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333-275112</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October 30,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142875</wp:posOffset>
            </wp:positionV>
            <wp:extent cx="1722755" cy="6172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22755"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$25,000,000 of Common Stock</w:t>
      </w:r>
    </w:p>
    <w:p>
      <w:pPr>
        <w:spacing w:after="0" w:line="229" w:lineRule="exact"/>
        <w:rPr>
          <w:sz w:val="24"/>
          <w:szCs w:val="24"/>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entered into a Common Stock Purchase Agreement with Triton Funds LP (“Triton”) on July 24, 2024 (the “CSPA”). Pursuant to the CSPA, we have the right, but not the obligation, to sell to Triton up to $25,000,000 of our shares of common stock, par value $0.0001 per share, offered by this prospectus supplement and the accompanying prospectus at our request any time during the commitment period commencing on July 24, 2024 and terminating on the earlier of (i) December 31, 2024 or (ii) the date on which Triton shall have purchased shares of our common stock pursuant to the CSPA equal to the investment amount of $25,000,000 (the “Commitment Period”).</w:t>
      </w:r>
    </w:p>
    <w:p>
      <w:pPr>
        <w:spacing w:after="0" w:line="183"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sale we request under the CSPA (a “Purchase Notice”) may be for a number of shares of our common stock that does not exceed 4.9% of our outstanding shares, which 4.9% amount is currently 7,790,353 shares, as of the date of the CSPA (the “Commitment Shares”). Triton has committed to purchase the Commitment Shares at 80% of the lowest traded price of our common stock five days prior to the closing date for that tranche of shares (the “Purchase Price”).</w:t>
      </w:r>
    </w:p>
    <w:p>
      <w:pPr>
        <w:spacing w:after="0" w:line="180" w:lineRule="exact"/>
        <w:rPr>
          <w:sz w:val="24"/>
          <w:szCs w:val="24"/>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also cover the sale of these shares by Triton to the public. Triton is deemed to be an “underwriter” within the meaning of the Securities Act of 1933, as amended (the “Securities Act”), and the compensation and discounts received by Triton will be deemed to be underwriting commissions or discounts. We will pay for expenses of this offering. For additional information on the methods of sale that may be used by Triton, see the section entitled “Plan of Distribution” on page S-14.</w:t>
      </w:r>
    </w:p>
    <w:p>
      <w:pPr>
        <w:spacing w:after="0" w:line="180"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“PRST”. On July 24, 2024, the closing price of our common stock, as reported on the Nasdaq Global Market, was $0.0717 per share.</w:t>
      </w:r>
    </w:p>
    <w:p>
      <w:pPr>
        <w:spacing w:after="0" w:line="158" w:lineRule="exact"/>
        <w:rPr>
          <w:sz w:val="24"/>
          <w:szCs w:val="24"/>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Before making an investment decision, please read carefully the discussion of material risks of investing in our common stock under the heading “Risk Factors” beginning on page S-5 of this prospectus supplement and in the documents incorporated by reference into this prospectus supplement.</w:t>
      </w:r>
    </w:p>
    <w:p>
      <w:pPr>
        <w:spacing w:after="0" w:line="171" w:lineRule="exact"/>
        <w:rPr>
          <w:sz w:val="24"/>
          <w:szCs w:val="24"/>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In particular, you should note that the Company is required to raise $2.0 million on or before each of August 1, 2024, August 15, 2024 and August 29, 2024 (each, a “Forbearance Date”) for a cumulative total of $6.0 million in order to prevent its senior secured lender from exercising remedies against the Company, including but not limited to an Article 9 foreclosure, which would result in the Company’s common stock, including the common stock offered hereby, becoming worthless. There is no guarantee from any third-party for such amounts. Accordingly, you will lose all of your investment if this offering, pursuant to the Company’s agreement with Triton, does not raise the amounts described above.</w:t>
      </w:r>
    </w:p>
    <w:p>
      <w:pPr>
        <w:spacing w:after="0" w:line="179" w:lineRule="exact"/>
        <w:rPr>
          <w:sz w:val="24"/>
          <w:szCs w:val="24"/>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The Company is required to raise an additional $32.0 million by no later than the Forbearance Date in order to facilitate negotiations with its senior secured lender for the assignment and restructuring of its loan. The Company has received no indications of interest from outside investors to make such investment since the opportunity to seek such an investment was granted on May 16, 2024. While there exists a possibility that such an investment may be secured, the Company considers this outcome to be extremely unlikely. Accordingly, the Company believes that it is extremely likely that you will lose all of your investment in this offering because the senior secured lender will be free to exercise remedies at that time.</w:t>
      </w:r>
    </w:p>
    <w:p>
      <w:pPr>
        <w:spacing w:after="0" w:line="182" w:lineRule="exact"/>
        <w:rPr>
          <w:sz w:val="24"/>
          <w:szCs w:val="24"/>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The direct use of proceeds for this offering is working capital and other general corporate purposes. However, indirectly the funds raised in this offering may solely benefit our senior secured lender with whom we are currently cooperating to find a potential purchaser for our business in the event of an Article 9 foreclosure. By funding our business through this offering until such a purchaser is located, the date on which our lender would need to fund our business and operations prior to any such sale is deferred.</w:t>
      </w:r>
    </w:p>
    <w:p>
      <w:pPr>
        <w:spacing w:after="0" w:line="176" w:lineRule="exact"/>
        <w:rPr>
          <w:sz w:val="24"/>
          <w:szCs w:val="24"/>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This offering will almost certainly violate the Nasdaq Stock Market LLC (“Nasdaq”) Listing Rule 5635(d). As a result, the Company expects to lose the appeal that it has submitted to Nasdaq to delay delisting, and the Company expects that its stock will be delisted from Nasdaq on or about August 8, 2024.</w:t>
      </w:r>
    </w:p>
    <w:p>
      <w:pPr>
        <w:spacing w:after="0" w:line="171" w:lineRule="exact"/>
        <w:rPr>
          <w:sz w:val="24"/>
          <w:szCs w:val="24"/>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(“SEC”) nor any state securities commission has approved or disapproved of these securities or determined if this prospectus is truthful or complete.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prospectus supplement is dated July 25,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700" w:type="dxa"/>
            <w:vAlign w:val="bottom"/>
            <w:gridSpan w:val="5"/>
          </w:tcPr>
          <w:p>
            <w:pPr>
              <w:jc w:val="center"/>
              <w:ind w:right="35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00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20" w:type="dxa"/>
            <w:vAlign w:val="bottom"/>
            <w:gridSpan w:val="6"/>
          </w:tcPr>
          <w:p>
            <w:pPr>
              <w:jc w:val="center"/>
              <w:ind w:right="280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1000" w:type="dxa"/>
            <w:vAlign w:val="bottom"/>
          </w:tcPr>
          <w:p>
            <w:pPr>
              <w:spacing w:after="0"/>
              <w:rPr>
                <w:sz w:val="24"/>
                <w:szCs w:val="24"/>
                <w:color w:val="auto"/>
              </w:rPr>
            </w:pPr>
          </w:p>
        </w:tc>
      </w:tr>
      <w:tr>
        <w:trPr>
          <w:trHeight w:val="459"/>
        </w:trPr>
        <w:tc>
          <w:tcPr>
            <w:tcW w:w="78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2080" w:type="dxa"/>
            <w:vAlign w:val="bottom"/>
            <w:tcBorders>
              <w:bottom w:val="single" w:sz="8" w:color="CCEEFF"/>
            </w:tcBorders>
          </w:tcPr>
          <w:p>
            <w:pPr>
              <w:spacing w:after="0"/>
              <w:rPr>
                <w:sz w:val="24"/>
                <w:szCs w:val="24"/>
                <w:color w:val="auto"/>
              </w:rPr>
            </w:pPr>
          </w:p>
        </w:tc>
        <w:tc>
          <w:tcPr>
            <w:tcW w:w="18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Page</w:t>
            </w:r>
          </w:p>
        </w:tc>
      </w:tr>
      <w:tr>
        <w:trPr>
          <w:trHeight w:val="156"/>
        </w:trPr>
        <w:tc>
          <w:tcPr>
            <w:tcW w:w="10240" w:type="dxa"/>
            <w:vAlign w:val="bottom"/>
            <w:gridSpan w:val="24"/>
            <w:shd w:val="clear" w:color="auto" w:fill="CCEEFF"/>
          </w:tcPr>
          <w:p>
            <w:pPr>
              <w:spacing w:after="0" w:line="136" w:lineRule="exact"/>
              <w:rPr>
                <w:sz w:val="20"/>
                <w:szCs w:val="20"/>
                <w:color w:val="auto"/>
              </w:rPr>
            </w:pPr>
            <w:r>
              <w:rPr>
                <w:rFonts w:ascii="Times New Roman" w:cs="Times New Roman" w:eastAsia="Times New Roman" w:hAnsi="Times New Roman"/>
                <w:sz w:val="15"/>
                <w:szCs w:val="15"/>
                <w:color w:val="0000EE"/>
              </w:rPr>
              <w:t>ABOUT THIS PROSPECTUS SUPPLEMENT</w:t>
            </w:r>
          </w:p>
        </w:tc>
        <w:tc>
          <w:tcPr>
            <w:tcW w:w="10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S-ii</w:t>
            </w:r>
          </w:p>
        </w:tc>
      </w:tr>
      <w:tr>
        <w:trPr>
          <w:trHeight w:val="34"/>
        </w:trPr>
        <w:tc>
          <w:tcPr>
            <w:tcW w:w="78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208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r>
      <w:tr>
        <w:trPr>
          <w:trHeight w:val="175"/>
        </w:trPr>
        <w:tc>
          <w:tcPr>
            <w:tcW w:w="102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S-iii</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30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SUPPLEMENT SUMMARY</w:t>
            </w:r>
          </w:p>
        </w:tc>
        <w:tc>
          <w:tcPr>
            <w:tcW w:w="6940" w:type="dxa"/>
            <w:vAlign w:val="bottom"/>
            <w:tcBorders>
              <w:bottom w:val="single" w:sz="8" w:color="CCEEFF"/>
            </w:tcBorders>
            <w:gridSpan w:val="8"/>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S-1</w:t>
            </w:r>
          </w:p>
        </w:tc>
      </w:tr>
      <w:tr>
        <w:trPr>
          <w:trHeight w:val="176"/>
        </w:trPr>
        <w:tc>
          <w:tcPr>
            <w:tcW w:w="102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CORPORATE INFORMATION</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8980" w:type="dxa"/>
            <w:vAlign w:val="bottom"/>
            <w:tcBorders>
              <w:bottom w:val="single" w:sz="8" w:color="CCEEFF"/>
            </w:tcBorders>
            <w:gridSpan w:val="21"/>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S-5</w:t>
            </w:r>
          </w:p>
        </w:tc>
      </w:tr>
      <w:tr>
        <w:trPr>
          <w:trHeight w:val="176"/>
        </w:trPr>
        <w:tc>
          <w:tcPr>
            <w:tcW w:w="102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S-8</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8420" w:type="dxa"/>
            <w:vAlign w:val="bottom"/>
            <w:tcBorders>
              <w:bottom w:val="single" w:sz="8" w:color="0000EE"/>
            </w:tcBorders>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MATERIAL U.S. FEDERAL TAX CONSIDERATIONS FOR NON-U.S. HOLDERS OF OUR COMMON STOCK</w:t>
            </w:r>
          </w:p>
        </w:tc>
        <w:tc>
          <w:tcPr>
            <w:tcW w:w="18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S-9</w:t>
            </w:r>
          </w:p>
        </w:tc>
      </w:tr>
      <w:tr>
        <w:trPr>
          <w:trHeight w:val="175"/>
        </w:trPr>
        <w:tc>
          <w:tcPr>
            <w:tcW w:w="102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S-16</w:t>
            </w:r>
          </w:p>
        </w:tc>
      </w:tr>
      <w:tr>
        <w:trPr>
          <w:trHeight w:val="176"/>
        </w:trPr>
        <w:tc>
          <w:tcPr>
            <w:tcW w:w="146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8780" w:type="dxa"/>
            <w:vAlign w:val="bottom"/>
            <w:tcBorders>
              <w:top w:val="single" w:sz="8" w:color="CCEEFF"/>
            </w:tcBorders>
            <w:gridSpan w:val="20"/>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6"/>
        </w:trPr>
        <w:tc>
          <w:tcPr>
            <w:tcW w:w="1024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S-16</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DOCUMENTS BY REFERENCE</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S-17</w:t>
            </w:r>
          </w:p>
        </w:tc>
      </w:tr>
      <w:tr>
        <w:trPr>
          <w:trHeight w:val="20"/>
        </w:trPr>
        <w:tc>
          <w:tcPr>
            <w:tcW w:w="7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4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53"/>
        </w:trPr>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700" w:type="dxa"/>
            <w:vAlign w:val="bottom"/>
            <w:gridSpan w:val="5"/>
          </w:tcPr>
          <w:p>
            <w:pPr>
              <w:jc w:val="center"/>
              <w:ind w:right="354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1000" w:type="dxa"/>
            <w:vAlign w:val="bottom"/>
          </w:tcPr>
          <w:p>
            <w:pPr>
              <w:spacing w:after="0"/>
              <w:rPr>
                <w:sz w:val="24"/>
                <w:szCs w:val="24"/>
                <w:color w:val="auto"/>
              </w:rPr>
            </w:pPr>
          </w:p>
        </w:tc>
      </w:tr>
      <w:tr>
        <w:trPr>
          <w:trHeight w:val="216"/>
        </w:trPr>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6"/>
        </w:trPr>
        <w:tc>
          <w:tcPr>
            <w:tcW w:w="224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8000" w:type="dxa"/>
            <w:vAlign w:val="bottom"/>
            <w:tcBorders>
              <w:bottom w:val="single" w:sz="8" w:color="CCEEFF"/>
            </w:tcBorders>
            <w:gridSpan w:val="1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102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TRADEMARKS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175"/>
        </w:trPr>
        <w:tc>
          <w:tcPr>
            <w:tcW w:w="6340" w:type="dxa"/>
            <w:vAlign w:val="bottom"/>
            <w:tcBorders>
              <w:top w:val="single" w:sz="8" w:color="0000EE"/>
            </w:tcBorders>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SUMMARY OF PROSPECTUS</w:t>
            </w:r>
          </w:p>
        </w:tc>
        <w:tc>
          <w:tcPr>
            <w:tcW w:w="3900" w:type="dxa"/>
            <w:vAlign w:val="bottom"/>
            <w:tcBorders>
              <w:top w:val="single" w:sz="8" w:color="CCEEFF"/>
            </w:tcBorders>
            <w:gridSpan w:val="2"/>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8980" w:type="dxa"/>
            <w:vAlign w:val="bottom"/>
            <w:tcBorders>
              <w:bottom w:val="single" w:sz="8" w:color="CCEEFF"/>
            </w:tcBorders>
            <w:gridSpan w:val="21"/>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176"/>
        </w:trPr>
        <w:tc>
          <w:tcPr>
            <w:tcW w:w="102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5100" w:type="dxa"/>
            <w:vAlign w:val="bottom"/>
            <w:tcBorders>
              <w:bottom w:val="single" w:sz="8" w:color="0000EE"/>
            </w:tcBorders>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COMMON STOCK AND PREFERRED STOCK</w:t>
            </w:r>
          </w:p>
        </w:tc>
        <w:tc>
          <w:tcPr>
            <w:tcW w:w="5140" w:type="dxa"/>
            <w:vAlign w:val="bottom"/>
            <w:tcBorders>
              <w:bottom w:val="single" w:sz="8" w:color="CCEEFF"/>
            </w:tcBorders>
            <w:gridSpan w:val="3"/>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175"/>
        </w:trPr>
        <w:tc>
          <w:tcPr>
            <w:tcW w:w="102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176"/>
        </w:trPr>
        <w:tc>
          <w:tcPr>
            <w:tcW w:w="2480" w:type="dxa"/>
            <w:vAlign w:val="bottom"/>
            <w:tcBorders>
              <w:top w:val="single" w:sz="8" w:color="0000EE"/>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DESCRIPTION OF RIGHTS</w:t>
            </w:r>
          </w:p>
        </w:tc>
        <w:tc>
          <w:tcPr>
            <w:tcW w:w="7760" w:type="dxa"/>
            <w:vAlign w:val="bottom"/>
            <w:tcBorders>
              <w:top w:val="single" w:sz="8" w:color="CCEEFF"/>
            </w:tcBorders>
            <w:gridSpan w:val="11"/>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175"/>
        </w:trPr>
        <w:tc>
          <w:tcPr>
            <w:tcW w:w="202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GLOBAL SECURITIES</w:t>
            </w:r>
          </w:p>
        </w:tc>
        <w:tc>
          <w:tcPr>
            <w:tcW w:w="8220" w:type="dxa"/>
            <w:vAlign w:val="bottom"/>
            <w:tcBorders>
              <w:top w:val="single" w:sz="8" w:color="CCEEFF"/>
            </w:tcBorders>
            <w:gridSpan w:val="17"/>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252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SELLING SECURITYHOLDERS</w:t>
            </w:r>
          </w:p>
        </w:tc>
        <w:tc>
          <w:tcPr>
            <w:tcW w:w="7720" w:type="dxa"/>
            <w:vAlign w:val="bottom"/>
            <w:tcBorders>
              <w:bottom w:val="single" w:sz="8" w:color="CCEEFF"/>
            </w:tcBorders>
            <w:gridSpan w:val="10"/>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175"/>
        </w:trPr>
        <w:tc>
          <w:tcPr>
            <w:tcW w:w="102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175"/>
        </w:trPr>
        <w:tc>
          <w:tcPr>
            <w:tcW w:w="146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8780" w:type="dxa"/>
            <w:vAlign w:val="bottom"/>
            <w:tcBorders>
              <w:top w:val="single" w:sz="8" w:color="CCEEFF"/>
            </w:tcBorders>
            <w:gridSpan w:val="20"/>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1024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24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INDEMNIFICATION FOR SECURITIES ACT LIABILITIES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0"/>
        </w:trPr>
        <w:tc>
          <w:tcPr>
            <w:tcW w:w="7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or incorporated by reference in this prospectus supplement and the accompanying prospectus. We have not authorized anyone to provide you with information different from that contained or incorporated by reference into this prospectus. If any person does provide you with information that differs from what is contained or incorporated by reference in this prospectus, you should not rely on it. No dealer, salesperson or other person is authorized to give any information or to represent anything not contained in this prospectus supplement and the accompanying prospectus. You should assume that the information contained in this prospectus supplement and the accompanying prospectus is accurate only as of the date on the front of the document and that any information contained in any document we have incorporated by reference is accurate only as of the date of the document incorporated by reference, regardless of the time of delivery of this prospectus supplement, the accompanying prospectus or any sale of a security. These documents are not an offer to sell or a solicitation of an offer to buy these securities by anyone in any jurisdiction in which such offer or solicitation is not authorized, or in which the person is not qualified to do so or to any person to whom it is unlawful to make such offer or solicitation.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“shelf” registration statement on Form S-3 (File No. 333-275112) that we initially filed with the SEC on October 20, 2023, and was declared effective on October 30, 2023. Under this shelf registration process, we may, from time to time, sell any combination of the securities described in the accompanying prospectus in one or more offerings up to a total dollar amount of $75,000,000.</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prospectus supplement provides specific details regarding the issuance of up to $25,000,000 of shares of our common stock pursuant to the CSPA. To the extent there is a conflict between the information contained in this prospectus supplement and accompanying prospectus, you should rely on the information in this prospectus supplement. Generally, when we refer to this prospectus supplement, we are referring to both parts of this document combined together with all documents incorporated by reference. This prospectus supplement, the accompanying prospectus and the documents we incorporate by reference herein and therein include important information about us and our common stock, and other information you should know before investing. You should read this prospectus supplement, the accompanying prospectus and the documents incorporated by reference in this prospectus supplement and the accompanying prospectus before making an investment decision. You should also read and consider the information in the documents referred to in the sections of this prospectus supplement entitled “Where You Can Find More Information” and “Incorporation of Certain Documents by Reference.”</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specific terms of this offering (this “Offering”) and also adds to and updates information contained in the accompanying prospectus and the documents incorporated by reference into this prospectus supplement and the accompanying prospectus. The second part is the accompanying prospectus, which gives more general information about the shares of our common stock and other securities we may offer from time to time under our shelf registration statement, some of which does not apply to the common stock offered by this prospectus supplement.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prospectus supplement or contained in or incorporated by reference into the accompanying prospectus to which we have referred you. We have not authorized anyone to provide you with information that is different. If anyone provides you with different or inconsistent information, you should not rely on it. The information contained in, or incorporated by reference into, this prospectus supplement and contained in, or incorporated by reference into, the accompanying prospectus is accurate only as of the respective dates thereof, regardless of the time of delivery of this prospectus supplement and the accompanying prospectus or of any sale of securities.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offering to sell, and are seeking offers to buy, the shares of common stock only in jurisdictions where such offers and sales are permitted. The distribution of this prospectus supplement and the accompanying prospectus and the offering of the shares of common stock in certain states or jurisdictions or to certain persons within such states and jurisdictions may be restricted by law. Persons outside the United States who come into possession of this prospectus supplement and the accompanying prospectus must inform themselves about and observe any restrictions relating to the offering of the shares of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state or jurisdiction in which it is unlawful for such person to make such an offer or solicitation.</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references in this prospectus to “Presto,” “we,” “us” and “our” refer to Presto Automation Inc. and its consolidated subsidiaries, unless otherwise specified.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herein and therein contain forward-looking statements within the meaning of the Private Securities Litigation Reform Act of 1995, Section 27A of the Securities Act of 1933, as amended, or the Securities Act, and Section 21E of the Securities Exchange Act of 1934, as amended, or the Exchange Act, and are based on our management’s beliefs and assumptions and on information currently available to our management. Forward-looking statements include information concerning our possible or assumed future results of our business and statements regarding our financial condition, results of operations, liquidity, plans and objectives. Forward-looking statements include all statements that are not historical facts and in some cases can be identified by terminology such as “believe,” “may,” “anticipate,” “estimate,” “continue,” “anticipate,” “intend,” “should,” “plan,” “expect,” “predict,” “project,” “potential,” “will,” or the negative of these terms or other similar expressions that convey uncertainty of future events or outcomes.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are discussed in the section titled “Risk Factors” included in our Annual Report on Form 10-K for the year ended June 30, 2023 filed with the SEC on October 11, 2023, as amended by Amendment No. 1 on Form 10-K/A filed with the SEC on October 12, 2023 (the “2023 Form 10-K”), and other risk factors detailed from time to time in filings with the SEC. Our ability to predict the results of our operations or the effects of various events on our operating results is inherently uncertain. Therefore, we caution you to consider carefully the matters described under the caption “Risk Factors” and certain other matters discussed in this prospectus supplement, the accompanying prospectus and the documents incorporated by reference herein and therein, and other publicly available sources. Such factors and many other factors beyond the control of our management could cause our actual results, performance or achievements to differ materially from any future results, performance or achievements that may be expressed or implied by the forward-looking statements. Unless we are required to do so under U.S. federal securities laws or other applicable laws, we do not intend to update or revise any forward-looking statements.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45020" cy="79851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5020" cy="7985125"/>
                    </a:xfrm>
                    <a:prstGeom prst="rect">
                      <a:avLst/>
                    </a:prstGeom>
                    <a:noFill/>
                  </pic:spPr>
                </pic:pic>
              </a:graphicData>
            </a:graphic>
          </wp:anchor>
        </w:drawing>
        <w:t>PROSPECTUS SUPPLEMENT SUMMARY</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supplement. This summary does not contain all of the information that you should consider before deciding whether to invest in our common stock. You should read this entire prospectus supplement carefully, including accompanying prospectus, the “Risk Factors” section in this prospectus supplement, the risks set forth under the heading “Risk Factors” in the 2023 Form 10-K, and the other documents incorporated by reference in this prospectus supplement and the accompanying prospectus, prior to making an investment decision. References in this prospectus supplement to “we,” “us,” “our,” the “Company,” and “Presto” refer to Presto Automation Inc. unless otherwise stated or the context otherwise requires.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Presto provides enterprise-grade AI and automation solutions to the restaurant industry. Presto’s solutions are designed to decrease labor costs, improve staff productivity, increase revenue and enhance the guest experience. We offer our industry-leading AI solution, Presto Voice, to quick service restaurants (QSR), and we have some of the most recognized restaurant names in the United States as our customers.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Following our founding in 2008, we initially focused exclusively on Presto Touch, a pay-at-table tablet solution. As a result of the Presto Voice opportunities, we have taken decisive action to focus on this solution and, as has been disclosed previously, we exited the Presto Touch business line with the expiration of our final customer contracts at the end of June 2024. Our Presto Voice product line addresses the pressing needs of drive-thru restaurant operators by improving order accuracy, reducing labor costs and increasing revenue through menu upselling, while also providing guests with an improved drive-thru experience.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Cooperation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previously disclosed, on May 16, 2024, the Company entered into a Cooperation Agreement, as amended on July 19, 2024 (the “Cooperation Agreement”), with Metropolitan Partners Group Administration, LLC, the administrative, payment and collateral agent (the “Agent”) under the Credit Agreement, dated as of September 21, 2022 (as amended, the “Credit Agreement”), Metropolitan Levered Partners Fund VII, LP, Metropolitan Partners Fund VII, LP, Metropolitan Offshore Partners Fund VII, LP and CEOF Holdings LP (collectively, the “Lenders”). Capitalized terms used and not defined below have the meanings set forth in the Credit Agreement.</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Cooperation Agreement provides that the Lenders will not exercise remedies as a result of certain continuing events of default under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Agreement, subject to the following agreements and conditions (the “Forbearance”):</w:t>
      </w:r>
    </w:p>
    <w:p>
      <w:pPr>
        <w:spacing w:after="0" w:line="207" w:lineRule="exact"/>
        <w:rPr>
          <w:sz w:val="20"/>
          <w:szCs w:val="20"/>
          <w:color w:val="auto"/>
        </w:rPr>
      </w:pPr>
    </w:p>
    <w:p>
      <w:pPr>
        <w:ind w:left="960" w:right="20" w:hanging="320"/>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raises net cash proceeds equal to or greater than $1.5 million in a private offering by July 22, 2024, the Agent and the Lenders agree to extend the Forbearance termination date (the “Termination Date”) to August 1, 2024;</w:t>
      </w:r>
    </w:p>
    <w:p>
      <w:pPr>
        <w:spacing w:after="0" w:line="161"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raises additional net cash proceeds equal to or greater than $2.0 million (for a total of $3.5 million) or more by August 1, 2024, the Termination Date shall be automatically extended to August 15, 2024;</w:t>
      </w:r>
    </w:p>
    <w:p>
      <w:pPr>
        <w:spacing w:after="0" w:line="161"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raises additional net cash proceeds equal to or greater than $2.0 million (for a total of $5.5 million) or more by August 15, 2024, the Termination Date shall be automatically extended to August 29, 2024; and</w:t>
      </w:r>
    </w:p>
    <w:p>
      <w:pPr>
        <w:spacing w:after="0" w:line="161"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raises additional net cash proceeds equal to or greater than $2.0 million (for a total of $7.5 million) or more by August 29, 2024, the Termination Date shall be automatically extended to September 15, 2024.</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Assuming continued Forbearance, the Lenders have agreed to engage in good faith discussions to conclude a binding agreement (the “Offer”) with a third-party submitted by any Loan Party or Significant Stakeholder (as defined in the Cooperation Agreement) to purchase all of the Lenders’ rights and obligations under the Loan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Offer is (A) for a cash purchase price of at least $20.0 million, (B) accompanied by a binding commitment by the Borrower to issue one or more promissory notes to the Lenders (the “Convertible Notes”) in an aggregate principal amount equal to fifty percent (50%) of the outstanding balance of the Obligations (as defined in the Credit Agreement) less the proposed cash purchase price, which Convertible Notes shall be convertible into equity of the Company of the same class and on the same terms as are set out in that certain convertible subordinated note issued to Remus Capital Series B II, L.P. on January 30, 2024, and (C) accompanied by evidence, in form and substance satisfactory to the Lenders in their sole discretion, reflecting that the Offer will provide us with operating capital of not less than $12.0 million, not including the cash purchase price described in subparagraph (A) above. To the extent that the operating capital is less than $18.0 million, the amount of the convertible note described above will be increased by a dollar amount equal the reduction in operating capital below $18.0 million.</w:t>
      </w: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92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45020" cy="88080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5020" cy="8808085"/>
                    </a:xfrm>
                    <a:prstGeom prst="rect">
                      <a:avLst/>
                    </a:prstGeom>
                    <a:noFill/>
                  </pic:spPr>
                </pic:pic>
              </a:graphicData>
            </a:graphic>
          </wp:anchor>
        </w:drawing>
        <w:t>Status of Capital Raise</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Efforts to raise capital to achieve the $32.0 million investment described above have been led solely by the Company’s director, Krishna Gupta:</w:t>
      </w:r>
    </w:p>
    <w:p>
      <w:pPr>
        <w:spacing w:after="0" w:line="237" w:lineRule="exact"/>
        <w:rPr>
          <w:sz w:val="20"/>
          <w:szCs w:val="20"/>
          <w:color w:val="auto"/>
        </w:rPr>
      </w:pPr>
    </w:p>
    <w:p>
      <w:pPr>
        <w:ind w:left="960" w:right="20" w:hanging="320"/>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received any indication of interest from a third party investor to invest any amount in the Company since the Cooperation Agreement was signed on May 16, 2024; and</w:t>
      </w:r>
    </w:p>
    <w:p>
      <w:pPr>
        <w:spacing w:after="0" w:line="161"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Gupta has indicated to the board that Remus Capital has “circled” $10.0 million; however, despite requests by the board, Mr. Gupta has not provided any evidence of the existence of such funds.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While there exists a possibility that such an investment may be secured before Forbearance terminates, the Company considers this outcome extremely unlikely. Accordingly, the Company believes that it is extremely likely that you will lose all of your investment.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Status of Nasdaq Listing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previously disclosed, the Company received a delisting notification from Nasdaq based on its failure to maintain a $1 per share bid price. This offering will almost certainly violate Nasdaq Listing Rule 5635(d). As a result, the Company expects to lose the appeal that it has submitted to Nasdaq to become compliant with Nasdaq listing requirements, and the Company expects that its common stock will be delisted on or about August 8,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Status of Issuance of Anti-dilution Shares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 July 16, 2024, the Company’s shareholders approved the issuance of shares and the potential issuance of shares underlying notes and warrants, in each case, pursuant to anti-dilution rights granted to holders of the Company’s securities:</w:t>
      </w:r>
    </w:p>
    <w:p>
      <w:pPr>
        <w:spacing w:after="0" w:line="162" w:lineRule="exact"/>
        <w:rPr>
          <w:sz w:val="20"/>
          <w:szCs w:val="20"/>
          <w:color w:val="auto"/>
        </w:rPr>
      </w:pPr>
    </w:p>
    <w:p>
      <w:pPr>
        <w:jc w:val="both"/>
        <w:ind w:left="960" w:right="20" w:hanging="320"/>
        <w:spacing w:after="0" w:line="26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50,471,013 shares to Presto CA LLC (“CA”), an affiliate of Cleveland Avenue LLC (“Cleveland Avenue”). Cleveland Avenue is a significant stockholder of the Company, and Keith Kravcik, a director of the Company, is the Chief Investment Officer of all of Cleveland Avenue’s various Investment Funds, including the funds invested in the Company;</w:t>
      </w:r>
    </w:p>
    <w:p>
      <w:pPr>
        <w:spacing w:after="0" w:line="175" w:lineRule="exact"/>
        <w:rPr>
          <w:rFonts w:ascii="Times New Roman" w:cs="Times New Roman" w:eastAsia="Times New Roman" w:hAnsi="Times New Roman"/>
          <w:sz w:val="18"/>
          <w:szCs w:val="18"/>
          <w:color w:val="auto"/>
        </w:rPr>
      </w:pPr>
    </w:p>
    <w:p>
      <w:pPr>
        <w:ind w:left="960" w:right="20" w:hanging="320"/>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37,112,611 shares to investors in the Company’s registered direct offerings in November 2023 and May 2024 that held such shares as of the anti-dilution trigger date;</w:t>
      </w:r>
    </w:p>
    <w:p>
      <w:pPr>
        <w:spacing w:after="0" w:line="161"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136,765,002 shares underlying warrants issued to the Lenders; and</w:t>
      </w:r>
    </w:p>
    <w:p>
      <w:pPr>
        <w:spacing w:after="0" w:line="225"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137,913,043 shares underlying convertible notes issued in January 2024.</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examining the steps that are required to issue such securities in compliance with applicable securities laws, including the filing of a resale registration statement on Form S-1 with respect to some or all of such securities. The Company has insufficient funds currently to complete such actions given its liquidity position.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and Business Update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currently has cash and cash equivalents sufficient to operate its business through the end of July 2024. The Company requires approximately $3.0 million each month to operate its business.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has agreed to pay its Lenders $375,000 in interest and to reimburse them $210,000 in fees and expenses on or before August 9, 2024. The Company’s failure to make such payments is an event of default.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Franchisee Update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brand owner, with whom the Company does not have a direct agreement, whose franchisees account for approximately 90% of the Company’s installed base, recently advised those franchisees that they may face potential lawsuits for infringing the California Invasion of Privacy Act (the “Act”) as a result of the use of drive-through AI technology. This follows a purported class action lawsuit filed in California in February 2024 alleging that the use of drive-through AI technology such as the Presto Voice solution constitutes wiretapping under the Act due to a lack of consent from drive-through customers. The lawsuit was withdrawn by the plaintiff and dismissed without prejudice, meaning that the claim could be filed again. As a result of the brand owner’s advice, two franchisees, operating 40 locations in which the Company’s technology is installed, have recently paused further installations. The Company cannot be certain whether there will be any additional impact.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principal executive office is located at 985 Industrial Road, San Carlos, CA 94070. Our telephone number is (650) 817-9012. Our website address is www.presto.com. Information on or connected to our website is not a part of or incorporated by reference into this prospectus supplement.</w:t>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927" w:right="439" w:bottom="1440" w:gutter="0" w:footer="0" w:header="0"/>
        </w:sectPr>
      </w:pPr>
    </w:p>
    <w:bookmarkStart w:id="6" w:name="page7"/>
    <w:bookmarkEnd w:id="6"/>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offered by us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Common stock outstanding after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Anti-dilution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 factors</w:t>
      </w:r>
    </w:p>
    <w:p>
      <w:pPr>
        <w:spacing w:after="0" w:line="20" w:lineRule="exact"/>
        <w:rPr>
          <w:sz w:val="20"/>
          <w:szCs w:val="20"/>
          <w:color w:val="auto"/>
        </w:rPr>
      </w:pPr>
      <w:r>
        <w:rPr>
          <w:sz w:val="20"/>
          <w:szCs w:val="20"/>
          <w:color w:val="auto"/>
        </w:rPr>
        <w:br w:type="column"/>
      </w:r>
    </w:p>
    <w:p>
      <w:pPr>
        <w:ind w:left="150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-2176780</wp:posOffset>
            </wp:positionH>
            <wp:positionV relativeFrom="paragraph">
              <wp:posOffset>-268605</wp:posOffset>
            </wp:positionV>
            <wp:extent cx="7145020" cy="86880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5020" cy="868807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$25.0 million of shares of common stock.</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348,675,034 shares of common stock, which assumes the sale of shares our common stock at a price of $0.0717 per share, which was the closing price of our common stock on the date of the CSPA, for the up to $25,000,000 of shares of our common stock we may sell to Triton from time to time. The actual sale price will likely be lower. The actual number of shares of our common stock issued will vary depending on the sales prices under this Offering.</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sale we request under the CSPA (a “Purchase Notice”) may be for a number of shares of our common stock that does not exceed 4.9% of our outstanding shares, which 4.9% amount is currently 7,790,353 shares, as of the date of the CSPA (the “Commitment Shares”). Triton has committed to purchase the Commitment Shares at 80% of the lowest traded price of the common stock five days prior to the closing date for that tranche of shares (the “Purchase Price”).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direct use of proceeds is for working capital and other general corporate purposes. However, indirectly the funds raised in this offering may solely benefit our senior secured lender with whom we are currently cooperating to find a potential purchaser for our business in the event of an Article 9 foreclosure. By funding our business through this offering until such a purchaser is located, the date on which our lender would need to fund our business and operations prior to any such sale is deferred. See “Use of Proceeds.”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trading symbol “PRST.”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Purchase Price of our common stock in this Offering is less than $0.05175 per share, the Offering will trigger anti-dilution adjustment provisions in our existing agreements. See “Summary — Potential Anti-Dilution Impact of this Offering.” See the information below for the number of shares issued or issuable.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In particular, you should note that the Company is required to raise $2.0 million on or before each of August 1, 2024, August 15, 2024 and August 29, 2024 (each, a “Forbearance Date”) for a cumulative total of $6.0 million in order to prevent its senior secured lender from exercising remedies against the Company, including but not limited to an Article 9 foreclosure, which would result in the Company’s common stock, including the common stock offered hereby, becoming worthless. There is no guarantee from any third-party for such amounts. Accordingly, you will lose all of your investment if this offering, pursuant to the Company’s agreement with Triton, does not raise the amounts described above.</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required to raise an additional $32.0 million by no later than the Forbearance Date in order to facilitate negotiations with its senior secured lender for the assignment and restructuring of their loan. The Company has received no indications of interest from outside investors to make such investment since the opportunity to seek such an investment was granted on May 16, 2024. While there exists a possibility that such investment may be secured, the Company considers this outcome to be extremely unlikely. Accordingly, the Company believes that it is extremely likely that you will lose all of your investment in this offering because the senior secured lender will be free to exercise remedies at that time.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direct use of proceeds for this offering is working capital and other general corporate purposes. However, indirectly the funds raised in this offering may solely benefit our senior secured lender with whom we are currently cooperating to find a potential purchaser for our business in the event of an Article 9 foreclosure. By funding our business through this offering until such a purchaser is located, the date on which our lender would need to fund our business and operations prior to any such sale is deferred.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offering will almost certainly violate the Nasdaq Stock Market LLC (“Nasdaq”) Listing Rule 5635(d). As a result, the Company expects to lose the appeal that it has submitted to Nasdaq to delay delisting, and the Company expects that its stock will be delisted from Nasdaq on or about August 8, 2024.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read the section titled “Risk Factors,” and the other information included, or incorporated by reference, in this prospectus supplement for a discussion of some of the risks and uncertainties you should carefully consider before deciding to invest in our common stock.</w:t>
      </w:r>
    </w:p>
    <w:p>
      <w:pPr>
        <w:spacing w:after="0" w:line="200" w:lineRule="exact"/>
        <w:rPr>
          <w:sz w:val="20"/>
          <w:szCs w:val="20"/>
          <w:color w:val="auto"/>
        </w:rPr>
      </w:pPr>
    </w:p>
    <w:p>
      <w:pPr>
        <w:sectPr>
          <w:pgSz w:w="11900" w:h="16838" w:orient="portrait"/>
          <w:cols w:equalWidth="0" w:num="2">
            <w:col w:w="2660" w:space="640"/>
            <w:col w:w="7700"/>
          </w:cols>
          <w:pgMar w:left="460" w:top="927" w:right="439" w:bottom="1440" w:gutter="0" w:footer="0" w:header="0"/>
        </w:sectPr>
      </w:pPr>
    </w:p>
    <w:p>
      <w:pPr>
        <w:spacing w:after="0" w:line="2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24765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460" w:top="927" w:right="439" w:bottom="1440" w:gutter="0" w:footer="0" w:header="0"/>
          <w:type w:val="continuous"/>
        </w:sectPr>
      </w:pPr>
    </w:p>
    <w:bookmarkStart w:id="7" w:name="page8"/>
    <w:bookmarkEnd w:id="7"/>
    <w:p>
      <w:pPr>
        <w:ind w:left="20" w:firstLine="648"/>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45020" cy="55416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5020" cy="5541645"/>
                    </a:xfrm>
                    <a:prstGeom prst="rect">
                      <a:avLst/>
                    </a:prstGeom>
                    <a:noFill/>
                  </pic:spPr>
                </pic:pic>
              </a:graphicData>
            </a:graphic>
          </wp:anchor>
        </w:drawing>
        <w:t>Unless otherwise indicated, all information in this prospectus relating to the number of shares of our common stock outstanding is based on 158,986,810 shares of common stock outstanding as of June 30, 2024 and does not include:</w:t>
      </w:r>
    </w:p>
    <w:p>
      <w:pPr>
        <w:spacing w:after="0" w:line="162" w:lineRule="exact"/>
        <w:rPr>
          <w:sz w:val="20"/>
          <w:szCs w:val="20"/>
          <w:color w:val="auto"/>
        </w:rPr>
      </w:pPr>
    </w:p>
    <w:p>
      <w:pPr>
        <w:ind w:left="980" w:hanging="320"/>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issuable upon the exercise of certain outstanding warrants outstanding as of June 30, 2024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Shares Underlying Warrants</w:t>
            </w: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16"/>
        </w:trPr>
        <w:tc>
          <w:tcPr>
            <w:tcW w:w="9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23,653,259</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9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639,026</w:t>
            </w:r>
          </w:p>
        </w:tc>
        <w:tc>
          <w:tcPr>
            <w:tcW w:w="1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0.37</w:t>
            </w:r>
          </w:p>
        </w:tc>
      </w:tr>
      <w:tr>
        <w:trPr>
          <w:trHeight w:val="216"/>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294,725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6.53</w:t>
            </w:r>
          </w:p>
        </w:tc>
      </w:tr>
      <w:tr>
        <w:trPr>
          <w:trHeight w:val="216"/>
        </w:trPr>
        <w:tc>
          <w:tcPr>
            <w:tcW w:w="9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71,101</w:t>
            </w:r>
          </w:p>
        </w:tc>
        <w:tc>
          <w:tcPr>
            <w:tcW w:w="1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7.80</w:t>
            </w:r>
          </w:p>
        </w:tc>
      </w:tr>
      <w:tr>
        <w:trPr>
          <w:trHeight w:val="216"/>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584,648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8.16</w:t>
            </w:r>
          </w:p>
        </w:tc>
      </w:tr>
      <w:tr>
        <w:trPr>
          <w:trHeight w:val="216"/>
        </w:trPr>
        <w:tc>
          <w:tcPr>
            <w:tcW w:w="9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8,625,000</w:t>
            </w:r>
          </w:p>
        </w:tc>
        <w:tc>
          <w:tcPr>
            <w:tcW w:w="1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8.21</w:t>
            </w:r>
          </w:p>
        </w:tc>
      </w:tr>
      <w:tr>
        <w:trPr>
          <w:trHeight w:val="216"/>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170,993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9.25</w:t>
            </w:r>
          </w:p>
        </w:tc>
      </w:tr>
      <w:tr>
        <w:trPr>
          <w:trHeight w:val="234"/>
        </w:trPr>
        <w:tc>
          <w:tcPr>
            <w:tcW w:w="9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7,625,000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11.50</w:t>
            </w:r>
          </w:p>
        </w:tc>
      </w:tr>
    </w:tbl>
    <w:p>
      <w:pPr>
        <w:spacing w:after="0" w:line="179" w:lineRule="exact"/>
        <w:rPr>
          <w:sz w:val="20"/>
          <w:szCs w:val="20"/>
          <w:color w:val="auto"/>
        </w:rPr>
      </w:pPr>
    </w:p>
    <w:p>
      <w:pPr>
        <w:jc w:val="both"/>
        <w:ind w:left="980" w:right="20" w:hanging="320"/>
        <w:spacing w:after="0" w:line="26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2,961,738 shares of common stock underlying outstanding restricted stock units (“RSUs”) as of June 30, 2024 and 5,112,153 shares issuable upon the exercise of stock options outstanding as of June 30, 2024 previously granted under the Company’s equity incentive plans;</w:t>
      </w:r>
    </w:p>
    <w:p>
      <w:pPr>
        <w:spacing w:after="0" w:line="175" w:lineRule="exact"/>
        <w:rPr>
          <w:rFonts w:ascii="Times New Roman" w:cs="Times New Roman" w:eastAsia="Times New Roman" w:hAnsi="Times New Roman"/>
          <w:sz w:val="18"/>
          <w:szCs w:val="18"/>
          <w:color w:val="auto"/>
        </w:rPr>
      </w:pPr>
    </w:p>
    <w:p>
      <w:pPr>
        <w:ind w:left="980" w:right="20" w:hanging="320"/>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136,765,001 shares of common stock underlying warrants with an exercise price of $0.01 per share held by the Agent and the Lenders in connection with anti-dilution protections under the warrants;</w:t>
      </w:r>
    </w:p>
    <w:p>
      <w:pPr>
        <w:spacing w:after="0" w:line="161" w:lineRule="exact"/>
        <w:rPr>
          <w:rFonts w:ascii="Times New Roman" w:cs="Times New Roman" w:eastAsia="Times New Roman" w:hAnsi="Times New Roman"/>
          <w:sz w:val="18"/>
          <w:szCs w:val="18"/>
          <w:color w:val="auto"/>
        </w:rPr>
      </w:pPr>
    </w:p>
    <w:p>
      <w:pPr>
        <w:ind w:left="980" w:hanging="320"/>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50,471,013 shares of common stock issuable to Presto CA pursuant to anti-dilution protections previously granted to Presto CA, an affiliate of our shareholder, Cleveland Avenue, but that have not been issued as of the date hereof;</w:t>
      </w:r>
    </w:p>
    <w:p>
      <w:pPr>
        <w:spacing w:after="0" w:line="161" w:lineRule="exact"/>
        <w:rPr>
          <w:rFonts w:ascii="Times New Roman" w:cs="Times New Roman" w:eastAsia="Times New Roman" w:hAnsi="Times New Roman"/>
          <w:sz w:val="18"/>
          <w:szCs w:val="18"/>
          <w:color w:val="auto"/>
        </w:rPr>
      </w:pPr>
    </w:p>
    <w:p>
      <w:pPr>
        <w:ind w:left="980" w:right="20" w:hanging="320"/>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47,406,279 shares of common stock issuable to investors who participated in the Company’s registered direct offering dated November 17, 2023, but that have not been issued as of the date hereof;</w:t>
      </w:r>
    </w:p>
    <w:p>
      <w:pPr>
        <w:spacing w:after="0" w:line="161" w:lineRule="exact"/>
        <w:rPr>
          <w:rFonts w:ascii="Times New Roman" w:cs="Times New Roman" w:eastAsia="Times New Roman" w:hAnsi="Times New Roman"/>
          <w:sz w:val="18"/>
          <w:szCs w:val="18"/>
          <w:color w:val="auto"/>
        </w:rPr>
      </w:pPr>
    </w:p>
    <w:p>
      <w:pPr>
        <w:ind w:left="980" w:right="20" w:hanging="320"/>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10,293,668 shares of common stock issuable to investors who participated in the May Offering, but that have not been issued as of the date hereof;</w:t>
      </w:r>
    </w:p>
    <w:p>
      <w:pPr>
        <w:spacing w:after="0" w:line="161" w:lineRule="exact"/>
        <w:rPr>
          <w:rFonts w:ascii="Times New Roman" w:cs="Times New Roman" w:eastAsia="Times New Roman" w:hAnsi="Times New Roman"/>
          <w:sz w:val="18"/>
          <w:szCs w:val="18"/>
          <w:color w:val="auto"/>
        </w:rPr>
      </w:pPr>
    </w:p>
    <w:p>
      <w:pPr>
        <w:ind w:left="980" w:right="20" w:hanging="320"/>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137,913,043 shares of common stock issuable to the January 2024 Noteholders pursuant to anti-adjustment provisions in the January 2024 Notes; and</w:t>
      </w:r>
    </w:p>
    <w:p>
      <w:pPr>
        <w:spacing w:after="0" w:line="161" w:lineRule="exact"/>
        <w:rPr>
          <w:rFonts w:ascii="Times New Roman" w:cs="Times New Roman" w:eastAsia="Times New Roman" w:hAnsi="Times New Roman"/>
          <w:sz w:val="18"/>
          <w:szCs w:val="18"/>
          <w:color w:val="auto"/>
        </w:rPr>
      </w:pPr>
    </w:p>
    <w:p>
      <w:pPr>
        <w:ind w:left="980" w:hanging="320"/>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20,625,000 shares of common stock issuable underlying convertible notes issued to Remus Capital Series B II, L.P, on July 19, 2024.</w:t>
      </w:r>
    </w:p>
    <w:p>
      <w:pPr>
        <w:spacing w:after="0" w:line="225" w:lineRule="exact"/>
        <w:rPr>
          <w:sz w:val="20"/>
          <w:szCs w:val="20"/>
          <w:color w:val="auto"/>
        </w:rPr>
      </w:pPr>
    </w:p>
    <w:p>
      <w:pPr>
        <w:ind w:left="20" w:right="20" w:firstLine="648"/>
        <w:spacing w:after="0" w:line="282" w:lineRule="auto"/>
        <w:rPr>
          <w:sz w:val="20"/>
          <w:szCs w:val="20"/>
          <w:color w:val="auto"/>
        </w:rPr>
      </w:pPr>
      <w:r>
        <w:rPr>
          <w:rFonts w:ascii="Times New Roman" w:cs="Times New Roman" w:eastAsia="Times New Roman" w:hAnsi="Times New Roman"/>
          <w:sz w:val="18"/>
          <w:szCs w:val="18"/>
          <w:color w:val="auto"/>
        </w:rPr>
        <w:t>Unless otherwise indicated, all information in this prospectus reflects or assumes no exercise, vesting or termination of options, RSUs or warrants outstanding as of June 30, 2024.</w:t>
      </w: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40" w:top="931" w:right="4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An investment in our common stock involves a high degree of risk. You should carefully consider and evaluate all of the information included and incorporated by reference in this prospectus, including the risk factors below, in the 2023 Form 10-K (which is incorporated by reference into this prospectus supplement), and other filings we make with the SEC, which are incorporated by reference into this prospectus supplement. It is possible that our business, financial condition, liquidity or results of operations could be materially adversely affected by any of these risks.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Liquidity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believe that it is extremely likely that you will lose all of your investment if you purchase shares in our company.</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arrangement entered into with our senior secured lender creates a rolling termination date to their agreement to forbear from the exercise of remedies assuming we raise $2.0 million on or before each of August 1, 2024, August 15, 2024 and August 29, 2024 (each, a “Forbearance Date”) for a cumulative total of $6.0 in order to prevent the lender from exercising remedies against the Company, including but not limited to an Article 9 foreclosure, which would result in the Company’s common stock, including the common stock offered hereby, becoming worthless.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is also required to raise an additional $32.0 million by no later than the Forbearance Date in order to facilitate negotiations with its senior secured lender for the assignment and restructuring of their loan. The Company has received no indications of interest from outside investors to make such investment since the opportunity to seek such an investment was granted on May 16, 2024. While there exists a possibility that such an investment may be secured, the Company considers that outcome to be extremely unlikely. Accordingly, the Company believes that it is extremely likely that you will lose all of your investment in this offering because the senior secured lender will be free to exercise remedies at that time.</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will lose all of your investment if we are unable to raise $2.0 million by the end of the three approximately two-week periods ending September 15, 2024.</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is required to raise $2.0 million on or before each of August 1, 2024, August 15, 2024 and August 29, 2024 for a cumulative total of $6.0 million in order to prevent its senior secured lender from exercising remedies against the Company, including but not limited to an Article 9 foreclosure, which would result in the Company’s common stock, including the common stock offered hereby, becoming worthless. There is no guarantee from any third party for the amounts set forth above. Accordingly, you will lose all of your investment if this offering, pursuant to the Company’s agreement with Triton, does not raise the successive amounts described above.</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a very high probability that our lenders will exercise remedies and seek to sell our business or assets in an Article 9 foreclosure. Accordingly, the funds raised in this offering may solely benefit our lenders.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direct use of proceeds for this offering is working capital and other general corporate purposes. However, indirectly the funds raised in this offering may solely benefit our senior secured lender with whom we are currently cooperating to find a potential purchaser for our business in the event of an Article 9 foreclosure. By funding our business through this offering until such a purchaser is located, the date on which our lender needs to fund our business and operations prior to any such sale is deferred. You should be aware that there is a substantial likelihood that your investment may not benefit you.</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expect to be delisted from Nasdaq on or about August 8, 2024 which may materially adversely impact the liquidity of our common stock.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offering will almost certainly violate Nasdaq Rule 5635(d). As a result, the Company expects to lose the appeal that it has submitted to Nasdaq to delay delisting, and the Company expects that its stock will be delisted from Nasdaq on or about August 8, 2024. Our shares are then expected to trade in the over-the-counter market which may significantly impact their liquidity and our ability to raise capital.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need additional capital to sustain our operations, and to the extent additional financing is unavailable or is only available on unfavorable terms, or if certain investors exercise their veto rights and block us from raising additional capital, we will be forced to initiate insolvency proceedings.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we are unable to raise additional financing in the near term, we will become insolvent and investors will lose the entirety of their investment. Further, as described in our Current Report on Form 8-K filed with the SEC on November 16, 2023, pursuant to a contractual arrangement, KKG Enterprises LLC and CA, each affiliates of certain significant stockholders and directors of the Company, have veto rights over our ability to issue shares of our common stock or shares of our subsidiaries, or securities convertible into or exercisable for common stock, subject to certain limited exceptions, which could have a material adverse effect on our ability to raise additional financing if such veto rights are exercised.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This offering will result in massive dilution to our existing equityholders.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currently have outstanding approximately 159 million shares of common stock. This does not include 116,453,042 shares that we have committed to issue pursuant to anti-dilution rights and a further 157,088,300 shares underlying warrants issued to the Lenders and up to 188,848,319 shares underlying convertible notes issued to investors as of June 30, 2024. In order to raise $6.0 million, assuming a 20% discount to the closing price of our shares immediately prior to this prospectus, we would need to issue approximately 112 million additional shares. This level of dilution, together with the issuance of the previously mentioned antidilution shares, is likely to have a significant impact on the price of our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structure of the offering with Triton is likely to cause a significant decline in our share price.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Triton has committed to purchase shares that we seek to put to it pursuant to a purchase notice that we deliver for a price equal to 80% of the lowest trading price during the 5 trading days before closing. Closing is three trading days after we give Triton a notice. When we entered into a similar agreement with Triton previously, our share price prior to signing the agreement was $0.15. When we concluded the purchases thereunder, the share price was $0.10, but had dropped to as low as approximately $0.08. We expect that a similar reduction in share price may occur as a result of our current agreement with Triton.</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provide any assurances that customers will maintain their relationships with us as they learn about our financial position from disclosures related to this offering and in our other public communications.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financial position and the proximity of our company to an event of default under our credit facility may cause customers to reconsider their relationships with us. Customers make a significant investment when committing to use our technology and may terminate their commitment to us or delay any decision to purchase our product unless and until we are able to achieve a more stable financial position. This could impact our ability to maintain existing customer relationships and/or secure new business, further challenging our efforts to improve our financial situation.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granted anti-dilution protection to certain of our investors, which will cause additional significant dilution to our stockholders and may have a material adverse impact on the market price of our common stock and make it more difficult for us to raise funds through future equity offerings.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to the immediate dilutive effects described in “The Offering”, we have granted anti-dilution protections to holders of our shares, warrants and convertible notes that will result in the issuance of additional shares as a result of this offering if the issuance price is less than $0.05175 and would result in the issuance of additional shares as a result of future offerings below certain threshold prices. Moreover, the perceived risk of dilution and the resulting downward pressure on our common stock price could encourage investors to engage in short sales of our common stock, which could further contribute to price declines in our common stock. The fact that certain of our stockholders and our warrantholders can sell substantial amounts of our common stock in the public market, whether or not sales have occurred or are occurring, as well as the existence of anti-dilution provisions granted in most of our recent equity financings, could make it more difficult for us to raise additional funds through the sale of equity or equity-related securities in the future at a time and price that we deem reasonable or appropriate, or at all.</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price and trading volume have and may in the future experience significantly volatility, and at times, shares of our common stock have been, and may continue to be, thinly traded, which may contribute to volatility in our stock price and less liquidity for investors.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trading volume of our common stock has varied greatly in the past and may continue to do so in the future. At times our trading volume may be characterized as thinly traded. As a result of this thin trading market or “float” for our common stock, our common stock has been, and may continue to be, less liquid than the common stock of companies with broader public ownership. Conversely, at times, we have experienced very significant trading volume in our stock the drivers of which are not clear to us. If our common stock is thinly traded, the trading of a relatively small volume of our common stock may have a greater impact on the trading price of our common stock than would be the case if our float were larger. In addition, the high volume of trading in our stock could end suddenly, particularly if we elect to effect a reverse-stock-split as our shareholders as authorized our board to do at some point in the future. As a result, the trading prices of our common stock may be more volatile than the common stock of companies with broader public ownership, and an investor be unable to liquidate an investment in our common stock at attractive prices.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amounts of our common stock in the public market, or the perception that these sales may occur, could cause the market price of our common stock to decline.</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Sales of substantial amounts of our common stock in the public market, or the perception that these sales may occur, could cause the market price of our common stock to decline. This could also impair our ability to raise additional capital through the sale of our equity securities. We may issue additional shares of common stock, which may dilute existing shareholders, including purchasers of the common stock offered hereby.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direct use of proceeds is for working capital and other general corporate purposes. However, indirectly the funds raised in this offering may solely benefit our senior secured lender with whom we are currently cooperating to find a potential purchaser for our business in the event of an Article 9 foreclosure. By funding our business through this offering until such a purchaser is located, the date on which our lender would need to fund our business and operations prior to any such sale is deferred.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MATERIAL U.S. FEDERAL TAX CONSIDERATIONS FOR NON-U.S. HOLDERS OF OUR COMMON STOCK</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is a summary of the material U.S. federal income tax consequences applicable to Non-U.S. holders (as defined below) of the acquisition, ownership and disposition of our common stock purchased in accordance with this prospectus supplement, but does not purport to be a complete analysis of all potential tax consequences related thereto. This discussion applies only to our common stock that is held as a capital asset within the meaning of Section 1221 of the U.S. Internal Revenue Code of 1986, as amended (the “Code”). This discussion assumes that any distributions made (or deemed made) by us on our common stock and any consideration received (or deemed received) by a holder in consideration for the sale or other disposition of our common stock will be in U.S. dollars.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discussion does not address the U.S. federal income tax consequences to our founders, sponsors, officers or directors. This discussion is a summary only and does not describe all of the tax consequences that may be relevant to you in light of your particular circumstances, including but not limited to the alternative minimum tax, the Medicare tax on certain net investment income and the different consequences that may apply if you are subject to special rules that apply to certain types of investors, including but not limited to:</w:t>
      </w:r>
    </w:p>
    <w:p>
      <w:pPr>
        <w:spacing w:after="0" w:line="180"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financial institutions or financial services entities;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 for their securities holdings;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or former long-term residents of the United States;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provided below, persons that actually or constructively own five percent or more (by vote or value) of our shares;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our common stock pursuant to an exercise of employee share options, in connection with employee share incentive plans or otherwise as compensation;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and entities all of the interests of which are held by qualified foreign pension funds;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subject to a mark-to-market method of accounting with respect to our common stock;</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stock as part of a “straddle,” constructive sale, hedge, wash sale, conversion or other integrated or similar transaction;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under the constructive sale provisions of the Code;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ind w:left="1300" w:right="2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our common stock being taken into account in an applicable financial statement;</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holders (as defined below) whose functional currency is not the U.S. dollar;</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entities or arrangements classified as partnerships or other pass-through entities for U.S. federal income tax purposes) and any beneficial owners of such partnerships;</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corporations that accumulate earnings to avoid U.S. federal income tax;</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or other pass-thru entity for U.S. federal income tax purposes) holds our common stock,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our common stock, you are urged to consult your tax advisor regarding the tax consequences of the acquisition, ownership and disposition of our common stock.</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not sought, and do not expect to seek, a ruling from the U.S. Internal Revenue Service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THIS DISCUSSION IS ONLY A SUMMARY OF CERTAIN U.S. FEDERAL INCOME TAX CONSIDERATIONS ASSOCIATED WITH THE ACQUISITION, OWNERSHIP AND DISPOSITION OF OUR COMMON STOCK. EACH PROSPECTIVE INVESTOR IN OUR COMMON STOCK IS URGED TO CONSULT ITS OWN TAX ADVISOR WITH RESPECT TO THE PARTICULAR TAX CONSEQUENCES TO SUCH INVESTOR OF THE ACQUISITION, OWNERSHIP AND DISPOSITION OF OUR COMMON STOCK, INCLUDING THE APPLICABILITY AND EFFECT OF ANY U.S. FEDERAL NON-INCOME, STATE, LOCAL, AND NON-U.S. TAX LAWS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of Non-U.S. Holder</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used herein, the term “Non-U.S. holder” means a beneficial owner of our common stock (other than a partnership or entity or arrangement classified as a partnership for U.S. federal income tax purposes) that is, for U.S. federal income tax purposes, not a U.S. person.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“U.S. person” is any person that, for U.S. federal income tax purposes, is or is treated as any of the following:</w:t>
      </w:r>
    </w:p>
    <w:p>
      <w:pPr>
        <w:spacing w:after="0" w:line="225"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under the laws of the United States, any state thereof or the District of Columbia;</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a court within the United States is able to exercise primary supervision over the administration of the trust and one or more U.S. persons have the authority to control all substantial decisions of the trust or (b) it has in effect a valid election under applicable Treasury regulations to be treated as a U.S. person.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Distributions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general, any distributions (including constructive distributions, but not including certain distributions of our stock or rights to acquire our stock) we make to a Non-U.S. holder of shares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These certifications must be provided to the applicable withholding agent prior to the payment of dividends and must be updated periodically. A Non-U.S. holder that does not timely furnish the required documentation, but is eligible for a reduced rate of withholding tax under an income tax treaty may obtain a refund or credit of any excess amounts withheld by filing an appropriate claim for refund with the IRS. In the case of any constructive dividend, it is possible that this tax would be withheld from any amount owed to a Non-U.S. holder by us or the applicable withholding agent, including from other property subsequently paid or credited to such holder.</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Dividends that are effectively connected with a Non-U.S. holder’s conduct of a trade or business within the United States and, if such Non-U.S. holder is entitled to claim treaty benefits (and the Non-U.S. holder complies with applicable certification and other requirements), that are attributable to a permanent establishment (or, for an individual, a fixed base) maintained by such Non-U.S. holder within the United States are not subject to the withholding tax described above but instead are subject to U.S. federal income tax on a net income basis at applicable graduated U.S. federal income tax rates. In order for its effectively connected dividends to be exempt from the withholding tax described above, a Non-U.S. holder will be required to provide a duly completed and properly executed IRS Form W-8ECI, certifying that the dividends are effectively connected with the Non-U.S. holder’s conduct of a trade or business within the United States. Dividends received by a Non-U.S. holder that is a corporation that are effectively connected with its conduct of a trade or business within the United States may be subject to an additional branch profits tax at a 30% rate or such lower rate as may be specified by an applicable income tax treaty.</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distribution in excess of current and accumulated earnings and profits will constitute a return of capital that will be treated first as reducing (but not below zero) the Non-U.S. holder’s adjusted tax basis in its shares of our common stock and, to the extent such distribution exceeds the Non-U.S. holder’s adjusted tax basis, as gain realized from the sale or other disposition of common stock, which will be treated as described under “</w:t>
      </w:r>
      <w:r>
        <w:rPr>
          <w:rFonts w:ascii="Times New Roman" w:cs="Times New Roman" w:eastAsia="Times New Roman" w:hAnsi="Times New Roman"/>
          <w:sz w:val="18"/>
          <w:szCs w:val="18"/>
          <w:i w:val="1"/>
          <w:iCs w:val="1"/>
          <w:color w:val="auto"/>
        </w:rPr>
        <w:t>Gain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Sale, Taxable Exchange or Other Taxable Disposition of Common Stock</w:t>
      </w:r>
      <w:r>
        <w:rPr>
          <w:rFonts w:ascii="Times New Roman" w:cs="Times New Roman" w:eastAsia="Times New Roman" w:hAnsi="Times New Roman"/>
          <w:sz w:val="18"/>
          <w:szCs w:val="18"/>
          <w:color w:val="auto"/>
        </w:rPr>
        <w:t>” below. In addition, if we determine that we are likely to be classified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“United States real property holding corporation” (see “</w:t>
      </w:r>
      <w:r>
        <w:rPr>
          <w:rFonts w:ascii="Times New Roman" w:cs="Times New Roman" w:eastAsia="Times New Roman" w:hAnsi="Times New Roman"/>
          <w:sz w:val="18"/>
          <w:szCs w:val="18"/>
          <w:i w:val="1"/>
          <w:iCs w:val="1"/>
          <w:color w:val="auto"/>
        </w:rPr>
        <w:t>Gain on Sale, Taxable Exchange or Other Taxable Disposition of Common Stock</w:t>
      </w:r>
      <w:r>
        <w:rPr>
          <w:rFonts w:ascii="Times New Roman" w:cs="Times New Roman" w:eastAsia="Times New Roman" w:hAnsi="Times New Roman"/>
          <w:sz w:val="18"/>
          <w:szCs w:val="18"/>
          <w:color w:val="auto"/>
        </w:rPr>
        <w:t>” below), we generally will withhold 15% of any distribution that exceeds our current and accumulated earnings and profits.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Sale, Taxable Exchange or Other Taxable Disposition of Common Stock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Subject to the discussion below regarding backup withholding and FATCA, a Non-U.S. holder generally will not be subject to U.S. federal income or withholding tax in respect of gain recognized on a sale, taxable exchange or other taxable disposition of our common stock, unless:</w:t>
      </w:r>
    </w:p>
    <w:p>
      <w:pPr>
        <w:spacing w:after="0" w:line="162" w:lineRule="exact"/>
        <w:rPr>
          <w:sz w:val="20"/>
          <w:szCs w:val="20"/>
          <w:color w:val="auto"/>
        </w:rPr>
      </w:pPr>
    </w:p>
    <w:p>
      <w:pPr>
        <w:ind w:left="1300" w:hanging="644"/>
        <w:spacing w:after="0" w:line="282"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by the Non-U.S. holder of a trade or business within the United States (and, under certain income tax treaties, is attributable to a United States permanent establishment or fixed base maintained by the Non-U.S. holder);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ind w:left="1300" w:right="20" w:hanging="644"/>
        <w:spacing w:after="0" w:line="282"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present in the United States for 183 days or more in the taxable year of disposition and certain other requirements are met; or</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3"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(as defined below) for U.S. federal income tax purposes at any time during the shorter of the five-year period ending on the date of disposition or the Non-U.S. holder’s holding period for the applicable common stock, except, in the case where shares of our common stock are “regularly traded on an established securities market” (within the meaning of applicable Treasury Regulations, referred to herein as “regularly traded”), and the Non-U.S. holders has owned, directly or constructively, 5% or less of our common stock at all times within the shorter of the five-year period preceding such disposition of common stock or such Non-U.S. holder’s holding period for such common stock. It is unclear how the rules for determining the 5% threshold for this purpose would be applied with respect to our common stock, including how a Non-U.S. holder’s ownership of our warrants, if any, impacts the 5% threshold determination with respect to its common stock. We can provide no assurance as to our future status as a United States real property holding corporation or as to whether our common stock will be considered to be regularly traded. Non-U.S. holders should consult their own tax advisors regarding the application of the foregoing rules in light of their particular facts and circumstances.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treated as a corporation for U.S. federal income tax purposes may also be subject to an additional “branch profits tax” imposed at a 30% rate (or such lower rate as may be specified by an applicable income tax treaty) on a portion of its effectively connected earnings and profits for the taxable year that are attributable to such gain, as adjusted for certain items.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Gain described in the second bullet point above will be subject to U.S. federal income tax at a 30% rate (or such lower rate as may be specified by an applicable income tax treaty), but may be offset by U.S. source capital losses realized during the same taxable year (even though the individual is not considered a resident of the United States), provided the Non-U.S. holder has timely filed U.S. federal income tax returns with respect to such losses. Non-U.S. holders should consult any applicable income tax treaties that may provide for different rules.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third bullet point above applies to a Non-U.S. holder, gain recognized by such holder on the sale, exchange or other disposition of our common stock will be subject to tax at generally applicable U.S. federal income tax rates as if the Non-U.S. holder were a U.S. resident. In addition, a buyer of our common stock from such holder may be required to withhold U.S. federal income tax at a rate of 15% of the amount realized upon such disposition. Any amounts withheld may be refunded or credited against a Non-U.S. holder’s U.S. federal income tax liability, provided that the required information is timely provided to the IRS.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would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believe that we are not currently a United States real property holding corporation; however, there can be no assurance that we will not become a United States real property holding corporation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Payments of distributions on our common stock will not be subject to backup withholding, provided the applicable withholding agent does not have actual knowledge or reason to know the holder is a U.S. person and the holder either certifies its non-U.S. status, such as by furnishing a valid IRS Form W-8BEN, W-8BEN-E, W-8ECI, or W-8EXP, or otherwise establishes an exemption. However, information returns are required to be filed with the IRS in connection with any distributions on our common stock paid to the Non-U.S. holder, regardless of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U.S. person, or the holder otherwise establishes an exemption. Proceeds of a disposition of our common stock conducted through a non-U.S. office of a non-U.S. broker generally will not be subject to backup withholding or information reporting.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 or organized.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FATCA Withholding Taxes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Provisions commonly referred to as “FATCA” impose withholding of 30% on payments of dividends (including constructive dividends) on our common stock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Thirty percent withholding under FATCA was scheduled to apply to payments of gross proceeds from the sale or other disposition of property that produces U.S.-source interest or dividends beginning on January 1, 2019, but on December 13, 2018, the IRS released proposed regulations that, if finalized in their proposed form, would eliminate the obligation to withhold on gross proceeds. Such proposed regulations also delayed withholding on certain other payments received from other foreign financial institutions that are allocable, as provided for under final Treasury Regulations, to payments of U.S.-source dividends, and other fixed or determinable annual or periodic income. Although these proposed Treasury Regulations are not final, taxpayers generally may rely on them until final Treasury Regulations are issued. However, there can be no assurance that final Treasury Regulations will provide the same exceptions from FATCA withholding as the proposed Treasury Regulations. Non-U.S. holders should consult their tax advisors regarding the effects of FATCA on their investment in our common stock.</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CSPA, we have the right, but not the obligation, to sell to Triton up to $25,000,000 of our shares of common stock, par value $0.0001 per share, offered by this prospectus supplement and the accompanying prospectus at our request any time during the Commitment Period.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sale we request pursuant to a Purchase Notice under the CSPA may be for a number of shares of our common stock that does not exceed 4.9% of our outstanding shares, which 4.9% amount is currently 7,790,353 shares, as of the date of the CSPA (the “Commitment Shares”). Triton has committed to purchase the Commitment Shares at 80% of the lowest traded price of the common stock five days prior to the closing date of such tranche of shares.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shares of common stock that we may from time to time issue to Triton under this prospectus supplement may be subsequently sold or distributed from time to time by Triton, as a selling stockholder, directly to one or more purchasers or through brokers, dealers, or underwriters who may act solely as agents at market prices prevailing at the time of sale, at prices related to the prevailing market prices, at negotiated prices, or at fixed prices, which may be changed. Any resale of the shares of our common stock offered by this prospectus supplement could be effected in one or more of the following methods:</w:t>
      </w:r>
    </w:p>
    <w:p>
      <w:pPr>
        <w:spacing w:after="0" w:line="183" w:lineRule="exact"/>
        <w:rPr>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stockholder to sell a specified number of such securities at a stipulated price per security;</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Triton may also sell the shares of common stock under Rule 144 under the Securities Act, if available, rather than under this prospectus supplement.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shares may be sold through registered or licensed brokers or dealers. In addition, in certain states, the shares may not be sold unless they have been registered or qualified for sale in the state or an exemption from the state’s registration or qualification requirement is available and complied with.</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Triton is deemed an “underwriter” within the meaning of Section 2(a)(11) of the Securities Act.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Triton has informed us that it intends to use an unaffiliated broker-dealer to effectuate sales, if any, of the common stock that it may acquire from us pursuant to the CSPA. Such sales will be made at prices and at terms then prevailing or at prices related to the then current market price. Each such unaffiliated broker-dealer will be an underwriter within the meaning of Section 2(a)(11) of the Securities Act. Triton has informed us that each such broker-dealer will receive commissions from Triton that will not exceed customary brokerage commissions.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Brokers, dealers, underwriters, or agents participating in any distribution of the shares of our common stock offered by this prospectus supplement may receive compensation in the form of commissions, discounts, or concessions from the seller and/or purchasers of the common stock for whom the broker-dealers may act as agent. The compensation paid to a particular broker-dealer may be less than or in excess of customary commissions. Neither we nor Triton can presently estimate the amount of compensation that any agent will receive.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know of no existing arrangements between Triton or any other stockholder, broker, dealer, underwriter or agent relating to the sale or distribution of the shares of common stock offered by this prospectus supplement. At the time a particular offer of shares is made, a prospectus supplement, if required under the Securities Act, will be distributed that will set forth the names of any agents, underwriters or dealers and any compensation from the selling stockholder, and any other required information.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will pay our expenses incident to this offering, which we estimate to be approximately $200,000. We have agreed to indemnify Triton and certain other persons against certain liabilities in connection with the offering of shares of our common stock offered hereby, and if such indemnity is unavailable, to contribute amounts required to be paid in respect of such liabilities.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Triton has covenanted that neither Triton nor any affiliate of Triton acting on its behalf or pursuant to any understanding with it, will execute any short sales of our common stock during the term of the CSPA.</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advised Triton that it is required to comply with Regulation M promulgated under the Securities Exchange Act of 1934, as amended (the “Exchange Act”). With certain exceptions, Regulation M precludes a selling stockholder, any affiliated purchasers, and any broker-dealer or other person who participates in a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 supplement.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summary of the material provisions of the CSPA does not purport to be a complete statement of its terms and conditions. A copy of the CSPA is filed as an exhibit to a current report on Form 8-K filed with the SEC under the Exchange Act, and incorporated by reference in this prospectus supplement. See “Incorporation of Certain Documents by Reference” and “Where You Can Find More Information.”</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 action has been or will be taken in any jurisdiction (except in the United States) that would permit a public offering of the securities offered by this prospectus supplement and accompanying prospectus, or the possession, circulation, or distribution of this prospectus supplement and accompanying prospectus or any other material relating to us or the securities offered hereby in any jurisdiction where action for that purpose is required. Accordingly, the securities offered hereby may not be offered or sold, directly or indirectly, and neither of this prospectus supplement and accompanying prospectus nor any other offering material or advertisements in connection with the securities offered hereby may be distributed or published, in or from any country or jurisdiction except in compliance with any applicable rules and regulations of any such country or jurisdiction. Triton may arrange to sell securities offered by this prospectus supplement and accompanying prospectus in certain jurisdictions outside the United States, either directly or through affiliates, where they are permitted to do so.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legal matters in connection with this Offering will be passed upon for us by Paul Hastings LLP, New York, New York.</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incorporated in this prospectus by reference from Presto Automation Inc.’s Annual Report on Form 10-K for the year ended June 30, 2023 have been audited by Moss Adams LLP, an independent registered public accounting firm, as stated in its report, which is incorporated herein by reference. Such consolidated financial statements have been so incorporated in reliance upon the report of such firm (which report expresses an unqualified opinion and includes explanatory paragraphs relating to a going concern uncertainty and the adoption of a new accounting standard) given upon their authority as experts in accounting and auditing.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The SEC maintains an Internet website at </w:t>
      </w:r>
      <w:r>
        <w:rPr>
          <w:rFonts w:ascii="Times New Roman" w:cs="Times New Roman" w:eastAsia="Times New Roman" w:hAnsi="Times New Roman"/>
          <w:sz w:val="18"/>
          <w:szCs w:val="18"/>
          <w:i w:val="1"/>
          <w:iCs w:val="1"/>
          <w:color w:val="auto"/>
        </w:rPr>
        <w:t xml:space="preserve">http://www.sec.gov </w:t>
      </w:r>
      <w:r>
        <w:rPr>
          <w:rFonts w:ascii="Times New Roman" w:cs="Times New Roman" w:eastAsia="Times New Roman" w:hAnsi="Times New Roman"/>
          <w:sz w:val="18"/>
          <w:szCs w:val="18"/>
          <w:color w:val="auto"/>
        </w:rPr>
        <w:t>that contains reports, proxy and information statements, and other information regarding issuers that file electronically with the SEC,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including Romeo Power, Inc. You may also access our reports and proxy statements free of charge at our Internet website, </w:t>
      </w:r>
      <w:r>
        <w:rPr>
          <w:rFonts w:ascii="Times New Roman" w:cs="Times New Roman" w:eastAsia="Times New Roman" w:hAnsi="Times New Roman"/>
          <w:sz w:val="18"/>
          <w:szCs w:val="18"/>
          <w:i w:val="1"/>
          <w:iCs w:val="1"/>
          <w:color w:val="auto"/>
        </w:rPr>
        <w:t>http://www.romeopower.com</w:t>
      </w:r>
      <w:r>
        <w:rPr>
          <w:rFonts w:ascii="Times New Roman" w:cs="Times New Roman" w:eastAsia="Times New Roman" w:hAnsi="Times New Roman"/>
          <w:sz w:val="18"/>
          <w:szCs w:val="18"/>
          <w:color w:val="auto"/>
        </w:rPr>
        <w:t>. The information contained in, or that can be accessed through, our website is not part of this prospectus supplement.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part of a registration statement on Form S-3 that we filed with the SEC. This prospectus supplement and the accompanying prospectus do not contain all of the information set forth in the registration statement and exhibits and schedules to the registration statement. For further information with respect to the Company and its securities, reference is made to the registration statement, including the exhibits and schedules to the registration statement. Statements contained in this prospectus supplement and the accompanying prospectus as to the contents of any contract or other document referred to in this prospectus supplement and the accompanying prospectus are not necessarily complete and, where that contract is an exhibit to the registration statement, each statement is qualified in all respects by reference to the exhibit to which the reference relates.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 this prospectus supplement the information in other documents that we file with the SEC, which means that we can disclose important information to you by referring you to those documents. The information incorporated by reference is considered to be a part of this prospectus supplement. Information in documents that we file later with the SEC will automatically update and supersede information contained in documents filed earlier with the SEC or contained in this prospectus supplement. Any information so updated or superseded will not constitute a part of this prospectus supplement, except as so updated or superseded. We incorporate by reference into this prospectus supplement the documents listed below, which we have filed with the SEC, and any future filings that we may make with the SEC under Sections 13(a), 13(c), 14 or 15(d) of the Exchange Act (other than documents and information furnished and not filed in accordance with SEC rules, unless expressly stated otherwise therein), prior to the termination of the Offering under this prospectus supplement:</w:t>
      </w:r>
    </w:p>
    <w:p>
      <w:pPr>
        <w:spacing w:after="0" w:line="192" w:lineRule="exact"/>
        <w:rPr>
          <w:sz w:val="20"/>
          <w:szCs w:val="20"/>
          <w:color w:val="auto"/>
        </w:rPr>
      </w:pPr>
    </w:p>
    <w:p>
      <w:pPr>
        <w:ind w:left="1300" w:hanging="644"/>
        <w:spacing w:after="0" w:line="282"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June 30, 2023, filed with the SEC on October 11, 2023, as amended by amendment no. 1 to our Annual Report for the year ended June 30, 2023 on </w:t>
      </w:r>
      <w:hyperlink r:id="rId34">
        <w:r>
          <w:rPr>
            <w:rFonts w:ascii="Times New Roman" w:cs="Times New Roman" w:eastAsia="Times New Roman" w:hAnsi="Times New Roman"/>
            <w:sz w:val="18"/>
            <w:szCs w:val="18"/>
            <w:u w:val="single" w:color="auto"/>
            <w:color w:val="0000EE"/>
          </w:rPr>
          <w:t>Form 10-K/A</w:t>
        </w:r>
      </w:hyperlink>
      <w:r>
        <w:rPr>
          <w:rFonts w:ascii="Times New Roman" w:cs="Times New Roman" w:eastAsia="Times New Roman" w:hAnsi="Times New Roman"/>
          <w:sz w:val="18"/>
          <w:szCs w:val="18"/>
          <w:color w:val="auto"/>
        </w:rPr>
        <w:t>, filed with the SEC on October 12, 2023;</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35">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quarter ended September 30, 2023, filed with the SEC on November 20, 2023, our Quarterly Report on </w:t>
      </w:r>
      <w:hyperlink r:id="rId36">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quarter ended December 31, 2023, submitted to the SEC on February 20, 2024 and deemed filed with the SEC on February 21, 2024 and our Quarterly Report on </w:t>
      </w:r>
      <w:hyperlink r:id="rId37">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2024, submitted to the SEC on May 20, 2024 and deemed filed with the SEC on May 21, 2024;</w:t>
      </w:r>
    </w:p>
    <w:p>
      <w:pPr>
        <w:spacing w:after="0" w:line="179" w:lineRule="exact"/>
        <w:rPr>
          <w:rFonts w:ascii="Times New Roman" w:cs="Times New Roman" w:eastAsia="Times New Roman" w:hAnsi="Times New Roman"/>
          <w:sz w:val="18"/>
          <w:szCs w:val="18"/>
          <w:color w:val="auto"/>
        </w:rPr>
      </w:pPr>
    </w:p>
    <w:p>
      <w:pPr>
        <w:jc w:val="both"/>
        <w:ind w:left="1300" w:hanging="644"/>
        <w:spacing w:after="0" w:line="256" w:lineRule="auto"/>
        <w:tabs>
          <w:tab w:leader="none" w:pos="1300" w:val="left"/>
        </w:tabs>
        <w:numPr>
          <w:ilvl w:val="0"/>
          <w:numId w:val="13"/>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38">
        <w:r>
          <w:rPr>
            <w:rFonts w:ascii="Times New Roman" w:cs="Times New Roman" w:eastAsia="Times New Roman" w:hAnsi="Times New Roman"/>
            <w:sz w:val="18"/>
            <w:szCs w:val="18"/>
            <w:u w:val="single" w:color="auto"/>
            <w:color w:val="0000EE"/>
          </w:rPr>
          <w:t>August 2, 2023</w:t>
        </w:r>
      </w:hyperlink>
      <w:r>
        <w:rPr>
          <w:rFonts w:ascii="Times New Roman" w:cs="Times New Roman" w:eastAsia="Times New Roman" w:hAnsi="Times New Roman"/>
          <w:sz w:val="18"/>
          <w:szCs w:val="18"/>
          <w:color w:val="auto"/>
        </w:rPr>
        <w:t xml:space="preserve">, </w:t>
      </w:r>
      <w:hyperlink r:id="rId39">
        <w:r>
          <w:rPr>
            <w:rFonts w:ascii="Times New Roman" w:cs="Times New Roman" w:eastAsia="Times New Roman" w:hAnsi="Times New Roman"/>
            <w:sz w:val="18"/>
            <w:szCs w:val="18"/>
            <w:u w:val="single" w:color="auto"/>
            <w:color w:val="0000EE"/>
          </w:rPr>
          <w:t>August 31, 2023</w:t>
        </w:r>
      </w:hyperlink>
      <w:r>
        <w:rPr>
          <w:rFonts w:ascii="Times New Roman" w:cs="Times New Roman" w:eastAsia="Times New Roman" w:hAnsi="Times New Roman"/>
          <w:sz w:val="18"/>
          <w:szCs w:val="18"/>
          <w:color w:val="auto"/>
        </w:rPr>
        <w:t xml:space="preserve">, </w:t>
      </w:r>
      <w:hyperlink r:id="rId40">
        <w:r>
          <w:rPr>
            <w:rFonts w:ascii="Times New Roman" w:cs="Times New Roman" w:eastAsia="Times New Roman" w:hAnsi="Times New Roman"/>
            <w:sz w:val="18"/>
            <w:szCs w:val="18"/>
            <w:u w:val="single" w:color="auto"/>
            <w:color w:val="0000EE"/>
          </w:rPr>
          <w:t>October 11,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(excluding Item 2.02 and the exhibits furnished under Item 9.01 therein), </w:t>
      </w:r>
      <w:hyperlink r:id="rId41">
        <w:r>
          <w:rPr>
            <w:rFonts w:ascii="Times New Roman" w:cs="Times New Roman" w:eastAsia="Times New Roman" w:hAnsi="Times New Roman"/>
            <w:sz w:val="18"/>
            <w:szCs w:val="18"/>
            <w:u w:val="single" w:color="auto"/>
            <w:color w:val="0000EE"/>
          </w:rPr>
          <w:t>October 20, 2023</w:t>
        </w:r>
      </w:hyperlink>
      <w:r>
        <w:rPr>
          <w:rFonts w:ascii="Times New Roman" w:cs="Times New Roman" w:eastAsia="Times New Roman" w:hAnsi="Times New Roman"/>
          <w:sz w:val="18"/>
          <w:szCs w:val="18"/>
          <w:color w:val="auto"/>
        </w:rPr>
        <w:t xml:space="preserve">, </w:t>
      </w:r>
      <w:hyperlink r:id="rId42">
        <w:r>
          <w:rPr>
            <w:rFonts w:ascii="Times New Roman" w:cs="Times New Roman" w:eastAsia="Times New Roman" w:hAnsi="Times New Roman"/>
            <w:sz w:val="18"/>
            <w:szCs w:val="18"/>
            <w:u w:val="single" w:color="auto"/>
            <w:color w:val="0000EE"/>
          </w:rPr>
          <w:t>November 21, 2023</w:t>
        </w:r>
      </w:hyperlink>
      <w:r>
        <w:rPr>
          <w:rFonts w:ascii="Times New Roman" w:cs="Times New Roman" w:eastAsia="Times New Roman" w:hAnsi="Times New Roman"/>
          <w:sz w:val="18"/>
          <w:szCs w:val="18"/>
          <w:color w:val="auto"/>
        </w:rPr>
        <w:t xml:space="preserve">, </w:t>
      </w:r>
      <w:hyperlink r:id="rId43">
        <w:r>
          <w:rPr>
            <w:rFonts w:ascii="Times New Roman" w:cs="Times New Roman" w:eastAsia="Times New Roman" w:hAnsi="Times New Roman"/>
            <w:sz w:val="18"/>
            <w:szCs w:val="18"/>
            <w:u w:val="single" w:color="auto"/>
            <w:color w:val="0000EE"/>
          </w:rPr>
          <w:t>December 5, 2023</w:t>
        </w:r>
      </w:hyperlink>
      <w:r>
        <w:rPr>
          <w:rFonts w:ascii="Times New Roman" w:cs="Times New Roman" w:eastAsia="Times New Roman" w:hAnsi="Times New Roman"/>
          <w:sz w:val="18"/>
          <w:szCs w:val="18"/>
          <w:color w:val="auto"/>
        </w:rPr>
        <w:t xml:space="preserve">, </w:t>
      </w:r>
      <w:hyperlink r:id="rId44">
        <w:r>
          <w:rPr>
            <w:rFonts w:ascii="Times New Roman" w:cs="Times New Roman" w:eastAsia="Times New Roman" w:hAnsi="Times New Roman"/>
            <w:sz w:val="18"/>
            <w:szCs w:val="18"/>
            <w:u w:val="single" w:color="auto"/>
            <w:color w:val="0000EE"/>
          </w:rPr>
          <w:t>December 12, 2023</w:t>
        </w:r>
      </w:hyperlink>
      <w:r>
        <w:rPr>
          <w:rFonts w:ascii="Times New Roman" w:cs="Times New Roman" w:eastAsia="Times New Roman" w:hAnsi="Times New Roman"/>
          <w:sz w:val="18"/>
          <w:szCs w:val="18"/>
          <w:color w:val="auto"/>
        </w:rPr>
        <w:t xml:space="preserve">, </w:t>
      </w:r>
      <w:hyperlink r:id="rId45">
        <w:r>
          <w:rPr>
            <w:rFonts w:ascii="Times New Roman" w:cs="Times New Roman" w:eastAsia="Times New Roman" w:hAnsi="Times New Roman"/>
            <w:sz w:val="18"/>
            <w:szCs w:val="18"/>
            <w:u w:val="single" w:color="auto"/>
            <w:color w:val="0000EE"/>
          </w:rPr>
          <w:t>December 14,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(excluding Item 7.01 and the exhibits furnished under Item 9.01 therein),</w:t>
      </w:r>
      <w:r>
        <w:rPr>
          <w:rFonts w:ascii="Times New Roman" w:cs="Times New Roman" w:eastAsia="Times New Roman" w:hAnsi="Times New Roman"/>
          <w:sz w:val="18"/>
          <w:szCs w:val="18"/>
          <w:color w:val="0000EE"/>
        </w:rPr>
        <w:t xml:space="preserve"> </w:t>
      </w:r>
      <w:hyperlink r:id="rId46">
        <w:r>
          <w:rPr>
            <w:rFonts w:ascii="Times New Roman" w:cs="Times New Roman" w:eastAsia="Times New Roman" w:hAnsi="Times New Roman"/>
            <w:sz w:val="18"/>
            <w:szCs w:val="18"/>
            <w:u w:val="single" w:color="auto"/>
            <w:color w:val="0000EE"/>
          </w:rPr>
          <w:t>December 22, 2023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7">
        <w:r>
          <w:rPr>
            <w:rFonts w:ascii="Times New Roman" w:cs="Times New Roman" w:eastAsia="Times New Roman" w:hAnsi="Times New Roman"/>
            <w:sz w:val="18"/>
            <w:szCs w:val="18"/>
            <w:u w:val="single" w:color="auto"/>
            <w:color w:val="0000EE"/>
          </w:rPr>
          <w:t>January 4,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8">
        <w:r>
          <w:rPr>
            <w:rFonts w:ascii="Times New Roman" w:cs="Times New Roman" w:eastAsia="Times New Roman" w:hAnsi="Times New Roman"/>
            <w:sz w:val="18"/>
            <w:szCs w:val="18"/>
            <w:u w:val="single" w:color="auto"/>
            <w:color w:val="0000EE"/>
          </w:rPr>
          <w:t>January 22,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9">
        <w:r>
          <w:rPr>
            <w:rFonts w:ascii="Times New Roman" w:cs="Times New Roman" w:eastAsia="Times New Roman" w:hAnsi="Times New Roman"/>
            <w:sz w:val="18"/>
            <w:szCs w:val="18"/>
            <w:u w:val="single" w:color="auto"/>
            <w:color w:val="0000EE"/>
          </w:rPr>
          <w:t>February 1,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0">
        <w:r>
          <w:rPr>
            <w:rFonts w:ascii="Times New Roman" w:cs="Times New Roman" w:eastAsia="Times New Roman" w:hAnsi="Times New Roman"/>
            <w:sz w:val="18"/>
            <w:szCs w:val="18"/>
            <w:u w:val="single" w:color="auto"/>
            <w:color w:val="0000EE"/>
          </w:rPr>
          <w:t xml:space="preserve">February 2, 2024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subsequent Form 8-K/A filed on</w:t>
      </w:r>
      <w:r>
        <w:rPr>
          <w:rFonts w:ascii="Times New Roman" w:cs="Times New Roman" w:eastAsia="Times New Roman" w:hAnsi="Times New Roman"/>
          <w:sz w:val="18"/>
          <w:szCs w:val="18"/>
          <w:color w:val="0000EE"/>
        </w:rPr>
        <w:t xml:space="preserve"> </w:t>
      </w:r>
      <w:hyperlink r:id="rId51">
        <w:r>
          <w:rPr>
            <w:rFonts w:ascii="Times New Roman" w:cs="Times New Roman" w:eastAsia="Times New Roman" w:hAnsi="Times New Roman"/>
            <w:sz w:val="18"/>
            <w:szCs w:val="18"/>
            <w:u w:val="single" w:color="auto"/>
            <w:color w:val="0000EE"/>
          </w:rPr>
          <w:t>February 20,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2">
        <w:r>
          <w:rPr>
            <w:rFonts w:ascii="Times New Roman" w:cs="Times New Roman" w:eastAsia="Times New Roman" w:hAnsi="Times New Roman"/>
            <w:sz w:val="18"/>
            <w:szCs w:val="18"/>
            <w:u w:val="single" w:color="auto"/>
            <w:color w:val="0000EE"/>
          </w:rPr>
          <w:t>February 8,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3">
        <w:r>
          <w:rPr>
            <w:rFonts w:ascii="Times New Roman" w:cs="Times New Roman" w:eastAsia="Times New Roman" w:hAnsi="Times New Roman"/>
            <w:sz w:val="18"/>
            <w:szCs w:val="18"/>
            <w:u w:val="single" w:color="auto"/>
            <w:color w:val="0000EE"/>
          </w:rPr>
          <w:t>February 29,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4,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11,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18,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21,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 16,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 22,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 28,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w:t>
        </w:r>
      </w:hyperlink>
      <w:r>
        <w:rPr>
          <w:rFonts w:ascii="Times New Roman" w:cs="Times New Roman" w:eastAsia="Times New Roman" w:hAnsi="Times New Roman"/>
          <w:sz w:val="18"/>
          <w:szCs w:val="18"/>
          <w:color w:val="0000EE"/>
        </w:rPr>
        <w:t xml:space="preserve"> </w:t>
      </w:r>
      <w:hyperlink r:id="rId53">
        <w:r>
          <w:rPr>
            <w:rFonts w:ascii="Times New Roman" w:cs="Times New Roman" w:eastAsia="Times New Roman" w:hAnsi="Times New Roman"/>
            <w:sz w:val="18"/>
            <w:szCs w:val="18"/>
            <w:u w:val="single" w:color="auto"/>
            <w:color w:val="0000EE"/>
          </w:rPr>
          <w:t>7, 2024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4">
        <w:r>
          <w:rPr>
            <w:rFonts w:ascii="Times New Roman" w:cs="Times New Roman" w:eastAsia="Times New Roman" w:hAnsi="Times New Roman"/>
            <w:sz w:val="18"/>
            <w:szCs w:val="18"/>
            <w:u w:val="single" w:color="auto"/>
            <w:color w:val="0000EE"/>
          </w:rPr>
          <w:t>July 3, 2024</w:t>
        </w:r>
      </w:hyperlink>
      <w:hyperlink r:id="rId5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55">
        <w:r>
          <w:rPr>
            <w:rFonts w:ascii="Times New Roman" w:cs="Times New Roman" w:eastAsia="Times New Roman" w:hAnsi="Times New Roman"/>
            <w:sz w:val="18"/>
            <w:szCs w:val="18"/>
            <w:u w:val="single" w:color="auto"/>
            <w:color w:val="0000EE"/>
          </w:rPr>
          <w:t xml:space="preserve">July 22, 2024 </w:t>
        </w:r>
      </w:hyperlink>
      <w:hyperlink r:id="rId53">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56">
        <w:r>
          <w:rPr>
            <w:rFonts w:ascii="Times New Roman" w:cs="Times New Roman" w:eastAsia="Times New Roman" w:hAnsi="Times New Roman"/>
            <w:sz w:val="18"/>
            <w:szCs w:val="18"/>
            <w:u w:val="single" w:color="auto"/>
            <w:color w:val="0000EE"/>
          </w:rPr>
          <w:t>July 25, 2024</w:t>
        </w:r>
      </w:hyperlink>
      <w:hyperlink r:id="rId53">
        <w:r>
          <w:rPr>
            <w:rFonts w:ascii="Times New Roman" w:cs="Times New Roman" w:eastAsia="Times New Roman" w:hAnsi="Times New Roman"/>
            <w:sz w:val="18"/>
            <w:szCs w:val="18"/>
            <w:color w:val="000000"/>
          </w:rPr>
          <w:t>; and</w:t>
        </w:r>
      </w:hyperlink>
    </w:p>
    <w:p>
      <w:pPr>
        <w:spacing w:after="0" w:line="187" w:lineRule="exact"/>
        <w:rPr>
          <w:rFonts w:ascii="Times New Roman" w:cs="Times New Roman" w:eastAsia="Times New Roman" w:hAnsi="Times New Roman"/>
          <w:sz w:val="18"/>
          <w:szCs w:val="18"/>
          <w:color w:val="0000EE"/>
        </w:rPr>
      </w:pPr>
    </w:p>
    <w:p>
      <w:pPr>
        <w:jc w:val="both"/>
        <w:ind w:left="1300" w:hanging="644"/>
        <w:spacing w:after="0" w:line="266"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capital stock contained in our registration statement on </w:t>
      </w:r>
      <w:hyperlink r:id="rId57">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001-39830) filed on December 23, 2020, and any amendments or reports filed for the purposes of updating this description (including </w:t>
      </w:r>
      <w:hyperlink r:id="rId58">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10-K for the year ended June 30, 2023).</w:t>
      </w:r>
    </w:p>
    <w:p>
      <w:pPr>
        <w:spacing w:after="0" w:line="176" w:lineRule="exact"/>
        <w:rPr>
          <w:rFonts w:ascii="Times New Roman" w:cs="Times New Roman" w:eastAsia="Times New Roman" w:hAnsi="Times New Roman"/>
          <w:sz w:val="18"/>
          <w:szCs w:val="18"/>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information in any of the foregoing documents will automatically be deemed to be modified or superseded to the extent that information in this prospectus supplement or in a later filed document that is incorporated or deemed to be incorporated herein by reference modifies or replaces such information.</w:t>
      </w:r>
    </w:p>
    <w:p>
      <w:pPr>
        <w:spacing w:after="0" w:line="176" w:lineRule="exact"/>
        <w:rPr>
          <w:rFonts w:ascii="Times New Roman" w:cs="Times New Roman" w:eastAsia="Times New Roman" w:hAnsi="Times New Roman"/>
          <w:sz w:val="18"/>
          <w:szCs w:val="18"/>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will provide, without charge, upon written or oral request, a copy of any or all of the documents that are incorporated by reference in this prospectus supplement, excluding any exhibits to those documents unless such exhibits are specifically incorporated by reference herein.</w:t>
      </w:r>
    </w:p>
    <w:p>
      <w:pPr>
        <w:spacing w:after="0" w:line="162"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You should direct requests for documents to:</w:t>
      </w:r>
    </w:p>
    <w:p>
      <w:pPr>
        <w:spacing w:after="0" w:line="225"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Presto Automation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985 Industrial Road</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San Carlos, CA 94070</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(650) 817-9012</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200" w:lineRule="exact"/>
        <w:rPr>
          <w:rFonts w:ascii="Times New Roman" w:cs="Times New Roman" w:eastAsia="Times New Roman" w:hAnsi="Times New Roman"/>
          <w:sz w:val="18"/>
          <w:szCs w:val="18"/>
          <w:color w:val="auto"/>
        </w:rPr>
      </w:pPr>
    </w:p>
    <w:p>
      <w:pPr>
        <w:spacing w:after="0" w:line="22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Presto Automation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Primary Offering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$75,000,000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16,823,660 Shares of Common Stock Issuable Upon Exercise of Outstanding Warrants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Secondary Offering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52,709,824 Shares of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7,625,000 Warrants to Purchase Shares of Common Stock Offered by the Selling Securityholders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relates to (a) the offer and sale by Presto Automation Inc., a Delaware corporation (the “Company,” “we,” “us” or “Presto”) of up to $75,000,000 in the aggregate of the Company’s common stock, par value $0.0001 per share (the “Common Stock”), preferred stock, debt securities, new warrants, rights or units, (b) the issuance by us of up to 16,250,000 shares of Common Stock, that may be issued upon exercise of warrants to purchase Common Stock at an exercise price of $8.21 per share with respect to the public warrants and $11.50 per share of Common Stock with respect to the Financing Warrants and the Private Placement Warrants (each as defined below), (c) the issuance by us of up to 573,660 shares of Common Stock, that may be issued upon exercise of warrants to purchase Common Stock at an exercise price of $0.37 per share with respect to the 2017 Trinity Warrants and $5.85 per share of Common Stock with respect to the 2016 Trinity Warrants (each as defined below), and (d) an aggregate of 52,709,824 shares of Common Stock by certain of the selling securityholders named in this prospectus (each a “Selling Securityholder” and, collectively, the “Selling Securityholders”). The securities registered for resale covered by this prospectus consist of the following:</w:t>
      </w:r>
    </w:p>
    <w:p>
      <w:pPr>
        <w:spacing w:after="0" w:line="188" w:lineRule="exact"/>
        <w:rPr>
          <w:sz w:val="20"/>
          <w:szCs w:val="20"/>
          <w:color w:val="auto"/>
        </w:rPr>
      </w:pPr>
    </w:p>
    <w:p>
      <w:pPr>
        <w:jc w:val="both"/>
        <w:ind w:left="980" w:hanging="648"/>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4,312,500 shares of Common Stock held by the Sponsors, their respective permitted transferees and the independent directors of our predecessor Ventoux CCM Acquisition Corp. (“VTAQ”) (such shares, the “Founder Shares”) purchased prior to VTAQ’s initial public offering of Common Stock on December 30, 2020 (the “IPO”), at a price of $0.005 per share;</w:t>
      </w:r>
    </w:p>
    <w:p>
      <w:pPr>
        <w:spacing w:after="0" w:line="175" w:lineRule="exact"/>
        <w:rPr>
          <w:rFonts w:ascii="Times New Roman" w:cs="Times New Roman" w:eastAsia="Times New Roman" w:hAnsi="Times New Roman"/>
          <w:sz w:val="18"/>
          <w:szCs w:val="18"/>
          <w:color w:val="auto"/>
        </w:rPr>
      </w:pPr>
    </w:p>
    <w:p>
      <w:pPr>
        <w:jc w:val="both"/>
        <w:ind w:left="980" w:hanging="648"/>
        <w:spacing w:after="0" w:line="254"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7,143,687 shares of Common Stock issued to certain institutional and accredited investors in connection with the consummation of the Business Combination (as defined herein) (the “Business Combination PIPE Shares”), which, together with the transfer of Founder Shares to certain investors by the Sponsors, resulted in (i) an investment made by an affiliate of Cleveland Avenue, LLC (“Cleveland Avenue”) at an effective price per share of $7.14, taking into account (a) the subscription of 6,593,687 shares of Common Stock for an aggregate purchase price of $50.0 million and (b) the transfer of 406,313 Founder Shares by the Sponsors to Cleveland Avenue for nominal consideration, (ii) investments by five subscribers at an effective price per share of $8.00 per share, consisting of (a) a subscription for an aggregate 698,750 shares of Common Stock for an aggregate purchase price of $6.25 million, and (b) the transfer of an aggregate 82,500 Founder Shares from the Sponsors for nominal consideration and (iii) investments by a remaining eight subscribers for an aggregate of 375,000 shares of Common Stock for an aggregate purchase price of $3.75 million, or $10.00 per share;</w:t>
      </w:r>
    </w:p>
    <w:p>
      <w:pPr>
        <w:spacing w:after="0" w:line="188"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640,000 shares of Common Stock issued as partial consideration to various advisors of the Company and VTAQ for services rendered in connection with the Business Combination and the PIPE Investment (as defined herein), valued at $10.00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jc w:val="both"/>
        <w:ind w:left="980" w:right="20" w:hanging="648"/>
        <w:spacing w:after="0" w:line="26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20,995,097 shares of Common Stock issued or issuable to affiliates of the Company, at an exchange ratio as provided in the Merger Agreement, for shares or restricted stock units of Legacy Presto (as defined herein), resulting in an effective purchase price of $10.00 per share;</w:t>
      </w:r>
    </w:p>
    <w:p>
      <w:pPr>
        <w:spacing w:after="0" w:line="17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7,433,040 shares of Common Stock (that may be issued from time to time upon achievement of certain stock price thresholds) to affiliates of the Company in connection with the earnout provisions set forth in the Merger Agreement (as defined herein) at an exchange ratio as provided in the Merger Agreement for shares of Legacy Presto, resulting in an effective purchase price of $10.00 per share;</w:t>
      </w:r>
    </w:p>
    <w:p>
      <w:pPr>
        <w:spacing w:after="0" w:line="175" w:lineRule="exact"/>
        <w:rPr>
          <w:rFonts w:ascii="Times New Roman" w:cs="Times New Roman" w:eastAsia="Times New Roman" w:hAnsi="Times New Roman"/>
          <w:sz w:val="18"/>
          <w:szCs w:val="18"/>
          <w:color w:val="auto"/>
        </w:rPr>
      </w:pPr>
    </w:p>
    <w:p>
      <w:pPr>
        <w:jc w:val="both"/>
        <w:ind w:left="980" w:hanging="648"/>
        <w:spacing w:after="0" w:line="261"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6,125,000 warrants each exercisable for one share of Common Stock at an exercise price of $11.50 per share, purchased by the Sponsors and their permitted transferees, at a price of $1.00 per warrants in a private placement simultaneously with the consummation of VTAQ’s IPO (the “Private Placement Warrants”); and 1,500,000 warrants each exercisable for one share of Common Stock at an exercise price of $11.50 per share, issued to lenders party to the Credit Agreement (as defined herein) (the “Financing Warrants”);</w:t>
      </w:r>
    </w:p>
    <w:p>
      <w:pPr>
        <w:spacing w:after="0" w:line="179"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4,760,500 shares of Common Stock (the “June 2023 PIPE Shares”) that were issued at a purchase price of $2.00 per share in a private placement (the “June 2023 Private Placement”) pursuant to that certain securities purchase agreement, dated as of May 22, 2023, by and among us and certain accredited investors named therein (the “June Purchase Agreement”);</w:t>
      </w:r>
    </w:p>
    <w:p>
      <w:pPr>
        <w:spacing w:after="0" w:line="17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 shares of Common Stock (the “October 2023 PIPE Shares”) that were issued at a purchase price of $2.00 per share in a private placement (the “October 2023 Private Placement”) pursuant to that certain securities purchase agreement, dated October 10, 2023 by and between us and Presto CA LLC, an accredited investor;</w:t>
      </w:r>
    </w:p>
    <w:p>
      <w:pPr>
        <w:spacing w:after="0" w:line="175" w:lineRule="exact"/>
        <w:rPr>
          <w:rFonts w:ascii="Times New Roman" w:cs="Times New Roman" w:eastAsia="Times New Roman" w:hAnsi="Times New Roman"/>
          <w:sz w:val="18"/>
          <w:szCs w:val="18"/>
          <w:color w:val="auto"/>
        </w:rPr>
      </w:pPr>
    </w:p>
    <w:p>
      <w:pPr>
        <w:jc w:val="both"/>
        <w:ind w:left="980" w:hanging="648"/>
        <w:spacing w:after="0" w:line="256"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5,925,000 shares of Common Stock issuable upon the exercise of warrants to purchase shares of our Common Stock, at an exercise price of $0.01 per share, subject to adjustment held by Metropolitan Partners Group Administration, LLC (“Metropolitan”), the administrative, payment and collateral agent for Metropolitan Levered Partners Fund VII, LP, Metropolitan Partners Fund VII, LP, Metropolitan Offshore Partners Fund VII, LP, and CEOF Holdings LP (the “Metropolitan Entities”), pursuant to that certain Credit Agreement entered into initially on September 21, 2022, as subsequently amended (the “Credit Agreement”), such warrants being issued in consideration for the conversation of interest into principal and in respect of amendments to the Credit Agreement; and</w:t>
      </w:r>
    </w:p>
    <w:p>
      <w:pPr>
        <w:spacing w:after="0" w:line="187" w:lineRule="exact"/>
        <w:rPr>
          <w:rFonts w:ascii="Times New Roman" w:cs="Times New Roman" w:eastAsia="Times New Roman" w:hAnsi="Times New Roman"/>
          <w:sz w:val="18"/>
          <w:szCs w:val="18"/>
          <w:color w:val="auto"/>
        </w:rPr>
      </w:pPr>
    </w:p>
    <w:p>
      <w:pPr>
        <w:jc w:val="both"/>
        <w:ind w:left="980" w:hanging="648"/>
        <w:spacing w:after="0" w:line="261"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402,668 shares of Common Stock issuable upon the exercise of warrants to purchase shares of our Common Stock, at an exercise price of $0.37 per share (the “2017 Trinity Warrants”), held by Trinity Capital Fund II, L.P., LLC (“Trinity”) and 170,992 shares of Common Stock issuable upon the exercise of warrants to purchase shares of our Common Stock, at an exercise price of $5.85 per share, held by Trinity (the “2016 Trinity Warrants”, and, collectively with the 2017 Trinity Warrants, the “Trinity Warrants”).</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previously filed (i) a registration statement Form S-1 (File No. 333-267979) registering the issuance by us of up to 16,250,000 shares of Common Stock and the offer and sale, from time to time, by the Selling Securityholders of up to 48,149,324 shares of Common Stock and 7,625,000 outstanding Private Placement Warrants, which was declared effective by the SEC on January 9, 2023 (the “First Form S-1”), (ii) a registration statement Form S-1 (File No. 333-271551) registering up to 400,000 shares of Common Stock underlying the May 2023 Resale Warrants, which was declared effective by the SEC on May 12, 2023 (the “Second Form S-1”), and (iii) a registration statement Form S-1 (File No. 333-272913) registering up to 4,760,500 June 2023 PIPE Shares, 500,000 shares of Common Stock underlying the June 2023 Conversion Warrants, and 2,000,000 shares of Common Stock underlying the Second Amendment Warrants (the “Third Form S-1”, and, collectively with the First Form S-1 and Second Form S-1, the “Form S-1s”). We are filing this registration statement on Form S-3 to replace the Form S-1s with respect to the issuance by us of all shares of Common Stock underlying outstanding public warrants and Private Placement Warrants and the offer and sale by the Selling Securityholders of all outstanding securities still held by them, as well as to register (a) up to $75,000,000 in the aggregate of Common Stock, preferred stock, debt securities, new warrants, rights or units, (b) the October 2023 PIPE Shares, (c) 25,000 shares of Common Stock issuable upon the exercise of warrants, with an exercise price of $0.01 per share, that were issued pursuant to that certain third amendment to credit agreement, dated as of October 10, 2023, by and among us, E La Carte, LLC, Metropolitan and the Metropolitan Entities, (d) 3,000,000 shares of Common Stock issuable upon the exercise of warrants, with an exercise price of $0.01 per share that were issued pursuant to that certain third amended and restated fee letter, dated as of October 10, 2023, by and among us, E La Carte, LLC and Metropolitan and (e) the 573,660 shares of Common Stock issuable upon the exercise of the Trinity Warrants.</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such securities and the general manner in which we and the Selling Securityholders may offer or sell the securities. More specific terms of any securities that we and the Selling Securityholders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spacing w:after="0" w:line="261" w:lineRule="auto"/>
        <w:rPr>
          <w:sz w:val="20"/>
          <w:szCs w:val="20"/>
          <w:color w:val="auto"/>
        </w:rPr>
      </w:pPr>
      <w:r>
        <w:rPr>
          <w:rFonts w:ascii="Times New Roman" w:cs="Times New Roman" w:eastAsia="Times New Roman" w:hAnsi="Times New Roman"/>
          <w:sz w:val="18"/>
          <w:szCs w:val="18"/>
          <w:color w:val="auto"/>
        </w:rPr>
        <w:t>We will not receive any proceeds from the sale by the Selling Securityholders of shares of Common Stock or warrants pursuant to this prospectus or of the issuance by us of shares of Common Stock issuable upon exercise of outstanding warrants pursuant to this prospectus, except with respect to amounts received by us upon exercise of the warrants to the extent such warrants are exercised for cash. However, we will pay the expenses, other than underwriting discounts and commissions, associated with the sale of securities by the Selling Securityholders pursuant to this prospectus.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registration of the securities covered by this prospectus does not mean that either we or the Selling Securityholders will issue, offer or sell, as applicable, any of the securities. We or the Selling Securityholders may offer and sell the securities covered by this prospectus in a number of different ways and at varying prices. We provide more information about how we and/or the Selling Securityholders may sell the securities in the section entitled “Plan of Distribution.” You should read this prospectus and any prospectus supplement or amendment carefully before you invest in our securities.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shares of Common Stock are listed on the Nasdaq Stock Market under the symbol “PRST.” On October 18, 2023, the closing sale price of shares of our Common Stock was $1.48. Our warrants are listed on the Nasdaq Stock Market under the symbol “PRSTW.” On October 18, 2023, the closing sale price of our warrants was $0.04.</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date of this prospectus, all our warrants, except for the 2017 Trinity Warrants and the penny warrants (as defined below), are “out-of-the money,” which means that the trading price of the shares of our Common Stock underlying our warrants is below the respective $5.85, $8.21 and $11.50 exercise prices (subject to adjustment as described herein) of the warrants. For so long as the warrants remain “out-of-the money,” we do not expect warrantholders to exercise their warrants and, therefore, we do not expect to receive cash proceeds from any such exercise. We expect to receive only nominal proceeds from the exercise of the 2017 Trinity Warrants and the penny warrants.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sale of all of the securities registered for resale hereunder (and the shares of Common Stock issuable upon exercise of our warrants), or the perception that such sales may occur, may cause the market prices of our securities to decline significantly. See “</w:t>
      </w:r>
      <w:r>
        <w:rPr>
          <w:rFonts w:ascii="Times New Roman" w:cs="Times New Roman" w:eastAsia="Times New Roman" w:hAnsi="Times New Roman"/>
          <w:sz w:val="18"/>
          <w:szCs w:val="18"/>
          <w:i w:val="1"/>
          <w:iCs w:val="1"/>
          <w:color w:val="auto"/>
        </w:rPr>
        <w:t>Risk Factors—Risks Relating to Our Common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Warrants</w:t>
      </w:r>
      <w:r>
        <w:rPr>
          <w:rFonts w:ascii="Times New Roman" w:cs="Times New Roman" w:eastAsia="Times New Roman" w:hAnsi="Times New Roman"/>
          <w:sz w:val="18"/>
          <w:szCs w:val="18"/>
          <w:color w:val="auto"/>
        </w:rPr>
        <w:t>” in our Annual Report on Form 10-K for the fiscal year ended June 30, 2023 for more information.</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“Risk Factors” section beginning on page 4 of this prospectus and similar sections contained in the documents incorporated by reference into this prospectus.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October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620" w:type="dxa"/>
            <w:vAlign w:val="bottom"/>
          </w:tcPr>
          <w:p>
            <w:pPr>
              <w:spacing w:after="0"/>
              <w:rPr>
                <w:sz w:val="20"/>
                <w:szCs w:val="20"/>
                <w:color w:val="auto"/>
              </w:rPr>
            </w:pPr>
          </w:p>
        </w:tc>
      </w:tr>
      <w:tr>
        <w:trPr>
          <w:trHeight w:val="216"/>
        </w:trPr>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620" w:type="dxa"/>
            <w:vAlign w:val="bottom"/>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w:t>
            </w:r>
          </w:p>
        </w:tc>
        <w:tc>
          <w:tcPr>
            <w:tcW w:w="262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TRADEMARKS</w:t>
            </w:r>
          </w:p>
        </w:tc>
        <w:tc>
          <w:tcPr>
            <w:tcW w:w="262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262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SUMMARY OF PROSPECTUS</w:t>
            </w:r>
          </w:p>
        </w:tc>
        <w:tc>
          <w:tcPr>
            <w:tcW w:w="262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262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62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COMMON STOCK AND PREFERRED STOCK</w:t>
            </w:r>
          </w:p>
        </w:tc>
        <w:tc>
          <w:tcPr>
            <w:tcW w:w="262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DEBT SECURITIES</w:t>
            </w:r>
          </w:p>
        </w:tc>
        <w:tc>
          <w:tcPr>
            <w:tcW w:w="2620" w:type="dxa"/>
            <w:vAlign w:val="bottom"/>
            <w:shd w:val="clear" w:color="auto" w:fill="CCEEFF"/>
          </w:tcPr>
          <w:p>
            <w:pPr>
              <w:jc w:val="center"/>
              <w:ind w:left="153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RIGHTS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GLOBAL SECURITIES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SELLING SECURITYHOLDERS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19</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96"/>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7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r>
      <w:tr>
        <w:trPr>
          <w:trHeight w:val="175"/>
        </w:trPr>
        <w:tc>
          <w:tcPr>
            <w:tcW w:w="86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INDEMNIFICATION FOR SECURITIES ACT LIABILITIES</w:t>
            </w:r>
          </w:p>
        </w:tc>
        <w:tc>
          <w:tcPr>
            <w:tcW w:w="2620" w:type="dxa"/>
            <w:vAlign w:val="bottom"/>
            <w:shd w:val="clear" w:color="auto" w:fill="CCEEFF"/>
          </w:tcPr>
          <w:p>
            <w:pPr>
              <w:jc w:val="center"/>
              <w:ind w:left="1550"/>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No one has been authorized to provide you with information that is different from that contained in this prospectus. This prospectus is dated as of the date set forth on the cover hereof. You should not assume that the information contained in this prospectus is accurate as of any date other than that date.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(the “SEC”) using a “shelf” registration process. Under this shelf registration process, we and the selling securityholders named in this prospectus (the “Selling Securityholders”) may, from time to time, issue, offer and sell, as applicable, any combination of the securities described in this prospectus in one or more offerings. We may use the shelf registration statement to offer and sell up to $75,000,000 shares of common stock, par value $0.0001 per share (“Common Stock”), preferred stock, debt securities, new warrants, rights or units and to issue up to 16,823,660 shares of Common Stock upon exercise of the Trinity Warrants, Public Warrants, Financing Warrants, and the Private Placement Warrants. The Selling Securityholders may use the shelf registration statement to sell up to an aggregate of up to 52,709,824 shares of Common Stock and 7,625,000 Private Placement Warrants and Financing Warrants. More specific terms of any securities that we or the Selling Securityholders offer and sell may be provided in a prospectus supplement that describes, among other things, the specific amounts and prices of the securities being offered and the terms of the offering.</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“Where You Can Find More Information.”</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Neither we nor the Selling Securityholders have authorized anyone to provide any information or to make any representations other than those contained in this prospectus, any accompanying prospectus supplement or any free writing prospectus we have prepared. We and the Selling Securityholders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Before making an investment decision, you should read, in addition to this prospectus and the registration statement, any documents that we incorporate by reference in this prospectus, as referred to under “Where You Can Find More Information,” and you may obtain copies of those documents as described below.</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the context indicates otherwise, references to the “Company,” “PRST,” “we,” “us” and “our” refer to Presto Automation Inc., a Delaware corporation, and its consolidated subsidiaries following the Business Combination. References to “Ventoux” refer to Ventoux CCM Acquisition Corp. prior to the Business Combination and references to “Legacy Presto” refer to E La Carte, Inc. prior to the Business Combination.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document contains references to trademarks and service marks belonging to other entities. Solely for convenience, trademarks and trade names referred to in this prospectus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including the documents incorporated herein by reference, contains forward-looking statements. These forward-looking statements include, without limitation, statements relating to expectations for future financial performance, business strategies or expectations for our business. These statements are based on the beliefs and assumptions of the management of the Company. Although the Company believes that its plans, intentions and expectations reflected in or suggested by these forward-looking statements are reasonable, it cannot assure you that it will achieve or realize these plans, intentions or expectations. These statements constitute projections, forecasts and forward-looking statements, and are not guarantees of performance. Such statements can be identified by the fact that they do not relate strictly to historical or current facts. When used in this prospectus and/or the documents incorporated herein by reference, words such as “anticipate”, “believe”, “can”, “continue”, “could”, “estimate”, “expect”, “forecast”, “intend”, “may”, “might”, “plan”, “possible”, “potential”, “predict”, “project”, “seek”, “should”, “strive”, “target”, “will”, “would” and similar expressions may identify forward-looking statements, but the absence of these words does not mean that a statement is not forward-looking.</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 those described in our filings made with the SEC from time to time incorporated herein by reference.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forward-looking statements speak only as of the date of such statements.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 w:name="page28"/>
    <w:bookmarkEnd w:id="2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450850</wp:posOffset>
            </wp:positionV>
            <wp:extent cx="7153275" cy="46932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6">
                      <a:extLst>
                        <a:ext uri="{28A0092B-C50C-407E-A947-70E740481C1C}"/>
                      </a:extLst>
                    </a:blip>
                    <a:srcRect/>
                    <a:stretch>
                      <a:fillRect/>
                    </a:stretch>
                  </pic:blipFill>
                  <pic:spPr bwMode="auto">
                    <a:xfrm>
                      <a:off x="0" y="0"/>
                      <a:ext cx="7153275" cy="4693285"/>
                    </a:xfrm>
                    <a:prstGeom prst="rect">
                      <a:avLst/>
                    </a:prstGeom>
                    <a:noFill/>
                  </pic:spPr>
                </pic:pic>
              </a:graphicData>
            </a:graphic>
          </wp:anchor>
        </w:drawing>
        <w:t>SUMMARY OF THE PROSPECTUS</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This summary highlights selected information contained in the documents we incorporate by reference and may not contain all of the information that is important to you in making an investment decision. Before investing in our securities, you should carefully read this entire prospectus, including the documents incorporated herein by reference, especially the risk factors, management’s discussion and analysis of financial condition and results of operations, and consolidated financial statements and the related notes. </w:t>
      </w:r>
      <w:r>
        <w:rPr>
          <w:rFonts w:ascii="Times New Roman" w:cs="Times New Roman" w:eastAsia="Times New Roman" w:hAnsi="Times New Roman"/>
          <w:sz w:val="18"/>
          <w:szCs w:val="18"/>
          <w:color w:val="auto"/>
          <w:highlight w:val="white"/>
        </w:rPr>
        <w:t>See the section titled “Where You Can Find More Information.”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7"/>
          <w:szCs w:val="17"/>
          <w:color w:val="auto"/>
        </w:rPr>
        <w:t>We provide enterprise grade AI and automation solutions to the restaurant enterprise technology industry. Our solutions are designed to decrease labor costs, improve staff productivity, increase revenue and enhance the guest experience. We offer our AI solution, Presto Voice, to quick service restaurants (QSR) and our pay-at-table tablet solution, Presto Touch, to casual dining chains. Some of the most recognized restaurant names in the United States are among our customers, including Carl’s Jr., Hardee’s, Del Taco and Checkers for Presto Voice and Applebee’s, Chili’s and Red Lobster for Presto Touch.</w:t>
      </w:r>
    </w:p>
    <w:p>
      <w:pPr>
        <w:spacing w:after="0" w:line="16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our founding in 2008, we initially focused exclusively on Presto Touch. As of June 30, 2023, we had shipped over 277,000 Presto Touch tablets to three of the largest casual dining chains in the United States. While Presto Touch has accounted for substantially all of our historical revenues, we believe that Presto Voice will contribute an increasing portion of our revenues in the future. Presto Voice, addresses the pressing needs of restaurant operators by improving order accuracy, reducing labor costs and increasing revenue through menu upselling, while also providing guests with an improved drive-thru experience.</w:t>
      </w:r>
    </w:p>
    <w:p>
      <w:pPr>
        <w:spacing w:after="0" w:line="183"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The restaurant technology market, while still nascent, continues to rapidly develop and evolve in response to the challenges faced by restaurant operators and the productivity enhancements available to them through the use of technological advances. While growing and robust, the restaurant industry today faces increasing labor and other costs. At the same time, a higher percentage of guests are ordering food and drink via the drive-thru. In an era of high inflation, restaurant operators need to simultaneously lower their costs and generate higher revenues to leverage their cost structures. We believe our solutions help restaurant operators address these concerns with compelling end-to-end solutions that seamlessly integrate into a restaurant’s existing technology stacks.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principal executive office is located at 985 Industrial Road, San Carlos, CA 94070. Our telephone number is (650) 817-9012. Our website address is www.presto.com. Information contained on our website is not a part of this prospectus, and the inclusion of our website address in this prospectus is an inactive textual reference only.</w:t>
      </w:r>
    </w:p>
    <w:p>
      <w:pPr>
        <w:spacing w:after="0" w:line="200" w:lineRule="exact"/>
        <w:rPr>
          <w:sz w:val="20"/>
          <w:szCs w:val="20"/>
          <w:color w:val="auto"/>
        </w:rPr>
      </w:pPr>
    </w:p>
    <w:p>
      <w:pPr>
        <w:spacing w:after="0" w:line="21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60" w:top="927" w:right="41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 investment in any securities offered pursuant to this prospectus and the applicable prospectus supplement involves risks. Before deciding whether to invest in our securities, you should carefully consider the risk factors incorporated by reference to our most recent Annual Report on Form 10-K, as amended by amendment no. 1 to our Annual Report on Form 10-K/A and any subsequent Current Reports on Form 8-K, and all other information contained or incorporated by reference into this prospectus, as updated by our subsequent filings under the Exchange Act, and the risk factors and other information contained in any applicable prospectus supplement. For more information, see “Where You Can Find More Information.”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otherwise may be described in an applicable prospectus supplement, we intend to use the net proceeds from the sale of the securities offered by us hereunder for general corporate purposes. We may also use such proceeds for temporary investments until we need them for general corporate purposes.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of the shares of Common Stock and Warrants offered by the Selling Securityholders will be sold by them for their respective accounts. We will not receive any of the proceeds from these sales. We will receive up to an aggregate of approximately $158.6 million from the exercise of all Warrants assuming the exercise in full of all such Warrants for cash. As of the date of this prospectus, all our warrants, except for the 2017 Trinity Warrants and penny warrants, are “out-of-the money,” which means that the trading price of the shares of our Common Stock underlying our Warrants is below the respective $5.85, $8.21 and $11.50 exercise prices (subject to adjustment as described herein) of the warrants. For so long as the Warrants remain “out-of-the money,” we do not expect warrantholders to exercise their warrants and, therefore, we do not expect to receive cash proceeds from any such exercise. We expect to receive only nominal proceeds from the exercise of the 2017 Trinity Warrants and penny warrants. Unless we inform you otherwise in a prospectus supplement or free writing prospectus, we intend to use the net proceeds from the exercise of such Warrants for general corporate purposes which may include acquisitions or other strategic investments or repayment of outstanding indebtedness.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Securityholders will pay any underwriting fees, discounts, selling commissions, stock transfer taxes and certain legal expenses incurred by such Selling Securityholders in disposing of their shares of securities, and we will bear all other costs, fees and expenses incurred in effecting the registration of such securities covered by this prospectus, including, without limitation, all registration and filing fees, Nasdaq listing fees and fees and expenses of our counsel and our independent registered public accountants.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COMMON STOCK AND PREFERRED STOCK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description of our Common Stock and preferred stock is set forth in our registration statement on Form 8-A as originally filed with the SEC on December 23, 2020 and any amendment or report filed for the purpose of updating this information (including Exhibit 4.1 to our Annual Report on Form 10-K for the fiscal year ended June 30, 2023), which description is incorporated by reference herein.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issue debt securities either separately, or together with, or upon the conversion or exercise of or in exchange for, other securities described in this prospectus. Unless otherwise specified in a supplement to this prospectus, the debt securities will be our direct, unsecured obligations and may be issued in one or more series.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debt securities will be issued under an indenture between us and a trustee named in a prospectus supplement.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176" w:lineRule="exact"/>
        <w:rPr>
          <w:sz w:val="20"/>
          <w:szCs w:val="20"/>
          <w:color w:val="auto"/>
        </w:rPr>
      </w:pPr>
    </w:p>
    <w:p>
      <w:pPr>
        <w:ind w:left="980" w:hanging="648"/>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ranking of the debt securities (including the terms of any subordination provisions);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225" w:lineRule="exact"/>
        <w:rPr>
          <w:rFonts w:ascii="Times New Roman" w:cs="Times New Roman" w:eastAsia="Times New Roman" w:hAnsi="Times New Roman"/>
          <w:sz w:val="18"/>
          <w:szCs w:val="18"/>
          <w:color w:val="auto"/>
        </w:rPr>
      </w:pPr>
    </w:p>
    <w:p>
      <w:pPr>
        <w:jc w:val="both"/>
        <w:ind w:left="980" w:hanging="648"/>
        <w:spacing w:after="0" w:line="261"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179"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17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we may redeem the debt securities;</w:t>
      </w:r>
    </w:p>
    <w:p>
      <w:pPr>
        <w:spacing w:after="0" w:line="22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 w:name="page33"/>
    <w:bookmarkEnd w:id="32"/>
    <w:p>
      <w:pPr>
        <w:ind w:left="980" w:hanging="648"/>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161"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any integral multiple thereof;</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225" w:lineRule="exact"/>
        <w:rPr>
          <w:rFonts w:ascii="Times New Roman" w:cs="Times New Roman" w:eastAsia="Times New Roman" w:hAnsi="Times New Roman"/>
          <w:sz w:val="18"/>
          <w:szCs w:val="18"/>
          <w:color w:val="auto"/>
        </w:rPr>
      </w:pPr>
    </w:p>
    <w:p>
      <w:pPr>
        <w:ind w:left="980" w:right="20" w:hanging="648"/>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16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debt securities, which may be U.S. Dollars or any foreign currency, and if such currency of denomination is a composite currency, the agency or organization, if any, responsible for overseeing such composite currency;</w:t>
      </w:r>
    </w:p>
    <w:p>
      <w:pPr>
        <w:spacing w:after="0" w:line="16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premium and interest on the debt securities will be made;</w:t>
      </w:r>
    </w:p>
    <w:p>
      <w:pPr>
        <w:spacing w:after="0" w:line="161"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17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17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225"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161"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covenants described in this prospectus or in the indenture with respect to the debt securities;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w:t>
      </w:r>
    </w:p>
    <w:p>
      <w:pPr>
        <w:spacing w:after="0" w:line="22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17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175"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direct or indirect subsidiaries will guarantee the debt securities of that series including the terms of subordination, if any, of such guarantees.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Form, Transfer and Exchange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debt security will be represented by either one or more global securities registered in the name of The Depository Trust Company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Global Debt Securities and Book-Entry System. Each global debt security representing book-entry debt securities will be deposited with, or on behalf of, the Depositary, and registered in the name of the Depositary or a nominee of the Depositary. Unless and until it is exchanged for individual certificates evidencing securities under the limited circumstances described in the indenture, a global debt security may not be transferred except as a whole by the depositary to its nominee or by the nominee to the depositary, or by the depositary or its nominee to a successor depositary or to a nominee of the successor depositary.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Depositary holds securities that its participants deposit with Depositary. Depositary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Depositary include securities brokers and dealers, including underwriters, banks, trust companies, clearing corporations and other organizations. Access to the Depositary system is also available to others (which we sometimes refer to as indirect participants) that clear through or maintain a custodial relationship with a direct participant, either directly or indirectly. The rules applicable to Depositary and its participants are on file with the SEC.</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 long as the debt securities are in book-entry form, you will receive payments and may transfer debt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debt securities may be surrendered for payment, registration of transfer or exchange. We will make payments on book-entry debt securities to the Depositary or its nominee, as the registered owner of such securities, by wire transfer of immediately available funds.</w:t>
      </w:r>
    </w:p>
    <w:p>
      <w:pPr>
        <w:spacing w:after="0" w:line="1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Certificated Debt Securities</w:t>
      </w:r>
      <w:r>
        <w:rPr>
          <w:rFonts w:ascii="Times New Roman" w:cs="Times New Roman" w:eastAsia="Times New Roman" w:hAnsi="Times New Roman"/>
          <w:sz w:val="18"/>
          <w:szCs w:val="18"/>
          <w:color w:val="auto"/>
        </w:rPr>
        <w:t>. You may transfer or exchange certificated debt securities at any office we maintain for this purpose in accordance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debt securities are issued in definitive certificated form under the limited circumstances described in the indenture,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of debt securities, including the payment of principal, premium, if any, and interest on such debt securities. The indenture will not limit us from incurring or issuing other unsecured or secured debt and, unless otherwise indicated in the applicable prospectus supplement, the indenture will not contain any financial covenants.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set forth in the applicable prospectus supplement or free writing prospectus the terms on which a series of debt securities may be convertible into or exchangeable for our common stock, our preferred stock or other securities (including securities of a third-party).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third-party) that the holders of the series of debt securities receive would be subject to adjustment.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not consolidate with or merge with or into, or convey, transfer or lease all or substantially all of our properties and assets to any person (a “successor person”) unless:</w:t>
      </w:r>
    </w:p>
    <w:p>
      <w:pPr>
        <w:spacing w:after="0" w:line="162" w:lineRule="exact"/>
        <w:rPr>
          <w:sz w:val="20"/>
          <w:szCs w:val="20"/>
          <w:color w:val="auto"/>
        </w:rPr>
      </w:pPr>
    </w:p>
    <w:p>
      <w:pPr>
        <w:ind w:left="980" w:right="20" w:hanging="648"/>
        <w:spacing w:after="0" w:line="282"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corporation or the successor person (if other than Presto) is a corporation, organized and validly existing under the laws of any U.S. domestic jurisdiction and expressly assumes our obligations on the debt securities and under the indenture; and</w:t>
      </w:r>
    </w:p>
    <w:p>
      <w:pPr>
        <w:spacing w:after="0" w:line="161" w:lineRule="exact"/>
        <w:rPr>
          <w:rFonts w:ascii="Times New Roman" w:cs="Times New Roman" w:eastAsia="Times New Roman" w:hAnsi="Times New Roman"/>
          <w:sz w:val="18"/>
          <w:szCs w:val="18"/>
          <w:color w:val="auto"/>
        </w:rPr>
      </w:pPr>
    </w:p>
    <w:p>
      <w:pPr>
        <w:ind w:right="240" w:firstLine="332"/>
        <w:spacing w:after="0" w:line="498" w:lineRule="auto"/>
        <w:tabs>
          <w:tab w:leader="none" w:pos="97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(as defined below) or Event of Default shall have occurred and be continuing. Notwithstanding the above, any of our subsidiaries may consolidate with, merge into or transfer all or part of its properties to 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of Default” means with respect to any series of debt securities, any of the following:</w:t>
      </w:r>
    </w:p>
    <w:p>
      <w:pPr>
        <w:spacing w:after="0" w:line="225" w:lineRule="exact"/>
        <w:rPr>
          <w:sz w:val="20"/>
          <w:szCs w:val="20"/>
          <w:color w:val="auto"/>
        </w:rPr>
      </w:pPr>
    </w:p>
    <w:p>
      <w:pPr>
        <w:jc w:val="both"/>
        <w:ind w:left="980" w:hanging="648"/>
        <w:spacing w:after="0" w:line="266"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17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w:t>
      </w:r>
    </w:p>
    <w:p>
      <w:pPr>
        <w:spacing w:after="0" w:line="225" w:lineRule="exact"/>
        <w:rPr>
          <w:rFonts w:ascii="Times New Roman" w:cs="Times New Roman" w:eastAsia="Times New Roman" w:hAnsi="Times New Roman"/>
          <w:sz w:val="18"/>
          <w:szCs w:val="18"/>
          <w:color w:val="auto"/>
        </w:rPr>
      </w:pPr>
    </w:p>
    <w:p>
      <w:pPr>
        <w:jc w:val="both"/>
        <w:ind w:left="980" w:hanging="648"/>
        <w:spacing w:after="0" w:line="261"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Presto and the trustee receives written notice from the holders of not less than 25% in principal amount of the outstanding debt securities of that series as provided in the indenture;</w:t>
      </w:r>
    </w:p>
    <w:p>
      <w:pPr>
        <w:spacing w:after="0" w:line="17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events of bankruptcy, insolvency or reorganization of Presto;</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Default</w:t>
      </w:r>
      <w:r>
        <w:rPr>
          <w:rFonts w:ascii="Times New Roman" w:cs="Times New Roman" w:eastAsia="Times New Roman" w:hAnsi="Times New Roman"/>
          <w:sz w:val="18"/>
          <w:szCs w:val="18"/>
          <w:color w:val="auto"/>
        </w:rPr>
        <w:t>” means any event which is, or after notice or passage of time or both would be, an Event of Default.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both"/>
        <w:spacing w:after="0" w:line="253"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indenture will provide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162" w:lineRule="exact"/>
        <w:rPr>
          <w:sz w:val="20"/>
          <w:szCs w:val="20"/>
          <w:color w:val="auto"/>
        </w:rPr>
      </w:pPr>
    </w:p>
    <w:p>
      <w:pPr>
        <w:ind w:left="980" w:hanging="648"/>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225" w:lineRule="exact"/>
        <w:rPr>
          <w:rFonts w:ascii="Times New Roman" w:cs="Times New Roman" w:eastAsia="Times New Roman" w:hAnsi="Times New Roman"/>
          <w:sz w:val="18"/>
          <w:szCs w:val="18"/>
          <w:color w:val="auto"/>
        </w:rPr>
      </w:pPr>
    </w:p>
    <w:p>
      <w:pPr>
        <w:jc w:val="both"/>
        <w:ind w:left="980" w:hanging="648"/>
        <w:spacing w:after="0" w:line="261"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indenture will require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mail to each holder of the securities of that series notice of a Default or Event of Default within 90 days after it occurs or, if later, after a responsible officer of the trustee has knowledge of such Default or Event of Default. The indenture will provide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and the trustee may modify, amend or supplement the indenture or the debt securities of any series without the consent of any holder of any debt security:</w:t>
      </w:r>
    </w:p>
    <w:p>
      <w:pPr>
        <w:spacing w:after="0" w:line="162" w:lineRule="exact"/>
        <w:rPr>
          <w:sz w:val="20"/>
          <w:szCs w:val="20"/>
          <w:color w:val="auto"/>
        </w:rPr>
      </w:pPr>
    </w:p>
    <w:p>
      <w:pPr>
        <w:ind w:left="980" w:hanging="648"/>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covenants in the indenture described above under the heading “Consolidation, Merger and Sale of Assets”;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debt securities of any series or secure debt securities of any series;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our rights or powers under the indenture;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ind w:left="980" w:hanging="648"/>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debt securities of any series;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debt securities;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w:t>
      </w:r>
    </w:p>
    <w:p>
      <w:pPr>
        <w:spacing w:after="0" w:line="225"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161" w:lineRule="exact"/>
        <w:rPr>
          <w:rFonts w:ascii="Times New Roman" w:cs="Times New Roman" w:eastAsia="Times New Roman" w:hAnsi="Times New Roman"/>
          <w:sz w:val="18"/>
          <w:szCs w:val="18"/>
          <w:color w:val="auto"/>
        </w:rPr>
      </w:pPr>
    </w:p>
    <w:p>
      <w:pPr>
        <w:ind w:left="980" w:right="20" w:hanging="648"/>
        <w:spacing w:after="0" w:line="282"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 of 1939, as amended.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also modify and amend the indenture with the consent of the holders of a majority in principal amount of the outstanding debt securities of each series affected by the modifications or amendments (with the securities of each series voting as a class). We may not make any modification or amendment without the consent of the holders of each affected debt security then outstanding if that amendment will:</w:t>
      </w:r>
    </w:p>
    <w:p>
      <w:pPr>
        <w:spacing w:after="0" w:line="176" w:lineRule="exact"/>
        <w:rPr>
          <w:sz w:val="20"/>
          <w:szCs w:val="20"/>
          <w:color w:val="auto"/>
        </w:rPr>
      </w:pPr>
    </w:p>
    <w:p>
      <w:pPr>
        <w:ind w:left="980" w:hanging="648"/>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252"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252"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188"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252"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premium or interest on any debt security (except a rescission of acceleration of the debt securities of any series by the holders of a majority in aggregate principal amount of the then outstanding debt securities of that series and a waiver of the payment default that resulted from such acceleration);</w:t>
      </w:r>
    </w:p>
    <w:p>
      <w:pPr>
        <w:spacing w:after="0" w:line="202"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debt security payable in currency other than that stated in the debt security;</w:t>
      </w:r>
    </w:p>
    <w:p>
      <w:pPr>
        <w:spacing w:after="0" w:line="252"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202"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Except for certain specified provisions, the holders of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The indenture will provide that, unless otherwise provided by the terms of the applicable series of debt securities, we may be discharged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any and all obligations in respect of the debt securities of any series (subject to certain exceptions)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spacing w:after="0" w:line="256"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Defeasance of Certain Covenants</w:t>
      </w:r>
      <w:r>
        <w:rPr>
          <w:rFonts w:ascii="Times New Roman" w:cs="Times New Roman" w:eastAsia="Times New Roman" w:hAnsi="Times New Roman"/>
          <w:sz w:val="18"/>
          <w:szCs w:val="18"/>
          <w:color w:val="auto"/>
        </w:rPr>
        <w:t>. The indenture will provide that, unless otherwise provided by the terms of the applicable series of debt securities,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certain conditions:</w:t>
      </w:r>
    </w:p>
    <w:p>
      <w:pPr>
        <w:spacing w:after="0" w:line="160" w:lineRule="exact"/>
        <w:rPr>
          <w:sz w:val="20"/>
          <w:szCs w:val="20"/>
          <w:color w:val="auto"/>
        </w:rPr>
      </w:pPr>
    </w:p>
    <w:p>
      <w:pPr>
        <w:ind w:left="980" w:hanging="648"/>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16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 (“covenant defeasance”).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conditions include:</w:t>
      </w:r>
    </w:p>
    <w:p>
      <w:pPr>
        <w:spacing w:after="0" w:line="225" w:lineRule="exact"/>
        <w:rPr>
          <w:sz w:val="20"/>
          <w:szCs w:val="20"/>
          <w:color w:val="auto"/>
        </w:rPr>
      </w:pPr>
    </w:p>
    <w:p>
      <w:pPr>
        <w:jc w:val="both"/>
        <w:ind w:left="980" w:hanging="648"/>
        <w:spacing w:after="0" w:line="256"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187" w:lineRule="exact"/>
        <w:rPr>
          <w:rFonts w:ascii="Times New Roman" w:cs="Times New Roman" w:eastAsia="Times New Roman" w:hAnsi="Times New Roman"/>
          <w:sz w:val="18"/>
          <w:szCs w:val="18"/>
          <w:color w:val="auto"/>
        </w:rPr>
      </w:pPr>
    </w:p>
    <w:p>
      <w:pPr>
        <w:jc w:val="both"/>
        <w:ind w:left="980" w:hanging="648"/>
        <w:spacing w:after="0" w:line="261"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the holders of the debt securities of that series will not recognize income, gain or loss for United States federal income tax purposes as a result of such covenant defeasance and will be subject to United States federal income tax on the same amounts and in the same manner and at the same times as would have been the case if such covenant defeasance had not occurred.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covenant defeasance occurs, certain events (not including non-payment, bankruptcy, receivership, rehabilitation and insolvency events) described under “Events of Default” will no longer constitute an Event of Default with respect to the applicable series of debt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or Securityholders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including any claim or controversy arising out of or relating to the indenture or the securities, will be governed by the laws of the State of New York.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elect to offer new warrants from time to time in one or more series. The following description summarizes the general terms and provisions of the new warrants we may offer pursuant to this prospectus that are common to all series. For the avoidance of doubt, this section relates only to new warrants that we may issue and not any of our outstanding warrants, such as the Public Warrants or Private Placement Warrants, and we refer to such new warrants in this prospectus for the sake of simplicity as “warrants.”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specific terms relating to any series of our warrants that we offer will be described in a prospectus supplement, which you should read. Because the terms of specific series of warrants offered may differ from the general information that we have provided below, you should rely on information in the applicable prospectus supplement that contradicts any information below. The summary below is not complete and is subject to, and qualified in its entirety by reference to, the terms and provisions of the applicable warrant agreement relating to each series of warrants, which will be in the form filed as an exhibit to or incorporated by reference in the registration statement of which this prospectus is a part at or prior to the time of the issuance of such series of warrants.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issue warrants to purchase common stock, preferred stock, debt securities or any combination thereof (including in the form of units), which we refer to in this prospectus, collectively, as the “underlying warrant securities.” The warrants may be issued independently or together with any series of underlying warrant securities and may be attached or separate from the underlying warrant securities. Each series of warrants will be issued pursuant to a separate form of warrant and may be issued pursuant to a separate warrant agreement to be entered into between us and a warrant agent. Any warrant agent will act solely as our agent in connection with the warrants of such series and will not assume any obligation or relationship of agency for or with holders or beneficial owners of warrants.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will describe the terms of any series of warrants in respect of which this prospectus is being delivered, including the following:</w:t>
      </w:r>
    </w:p>
    <w:p>
      <w:pPr>
        <w:spacing w:after="0" w:line="162" w:lineRule="exact"/>
        <w:rPr>
          <w:sz w:val="20"/>
          <w:szCs w:val="20"/>
          <w:color w:val="auto"/>
        </w:rPr>
      </w:pPr>
    </w:p>
    <w:p>
      <w:pPr>
        <w:ind w:left="980" w:hanging="648"/>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warrants will be issued;</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the price of the warrants may be payable;</w:t>
      </w:r>
    </w:p>
    <w:p>
      <w:pPr>
        <w:spacing w:after="0" w:line="225" w:lineRule="exact"/>
        <w:rPr>
          <w:rFonts w:ascii="Times New Roman" w:cs="Times New Roman" w:eastAsia="Times New Roman" w:hAnsi="Times New Roman"/>
          <w:sz w:val="18"/>
          <w:szCs w:val="18"/>
          <w:color w:val="auto"/>
        </w:rPr>
      </w:pPr>
    </w:p>
    <w:p>
      <w:pPr>
        <w:ind w:left="980" w:right="20" w:hanging="648"/>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underlying warrant securities purchasable upon exercise of the warrants and the number of such underlying warrant securities issuable upon exercise of the warrants;</w:t>
      </w:r>
    </w:p>
    <w:p>
      <w:pPr>
        <w:spacing w:after="0" w:line="161"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and the currency or currencies, including composite currencies, in which the underlying warrant securities purchasable upon exercise of the warrants may be purchased;</w:t>
      </w:r>
    </w:p>
    <w:p>
      <w:pPr>
        <w:spacing w:after="0" w:line="161"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commence and the date on which that right will expire (subject to any extension);</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issued in registered form or bearer form;</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which may be exercised at any one time;</w:t>
      </w:r>
    </w:p>
    <w:p>
      <w:pPr>
        <w:spacing w:after="0" w:line="225"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underlying warrant securities with which the warrants are issued and the number of the warrants issued with each underlying warrant security;</w:t>
      </w:r>
    </w:p>
    <w:p>
      <w:pPr>
        <w:spacing w:after="0" w:line="161"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related underlying warrant securities will be separately transferable;</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225"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the material United States federal income tax considerations applicable to the issuance or exercise of the warrants; and</w:t>
      </w:r>
    </w:p>
    <w:p>
      <w:pPr>
        <w:spacing w:after="0" w:line="161"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warrants, including terms, procedures and limitations relating to the exchange and exercise of the warrants.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 and Supplements to Warrant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warrant agreement for a series of warrants, if applicable, may be amended or supplemented without the consent of the holders of the warrants issued thereunder to effect changes that are not inconsistent with the provisions of the warrants and that do not adversely affect the interests of the holders of the warrants.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122"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RIGHTS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section describes the general terms of the rights that we may offer and sell by this prospectus. This prospectus and any accompanying prospectus supplement will contain the material terms and conditions for each right. The accompanying prospectus supplement may add, update or change the terms and conditions of the rights as described in this prospectus.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particular terms of each issue of rights, the rights agreement relating to the rights and the rights certificates representing rights will be described in the applicable prospectus supplement, including, as applicable:</w:t>
      </w:r>
    </w:p>
    <w:p>
      <w:pPr>
        <w:spacing w:after="0" w:line="162" w:lineRule="exact"/>
        <w:rPr>
          <w:sz w:val="20"/>
          <w:szCs w:val="20"/>
          <w:color w:val="auto"/>
        </w:rPr>
      </w:pPr>
    </w:p>
    <w:p>
      <w:pPr>
        <w:ind w:left="980" w:hanging="648"/>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rights;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determining the security holders entitled to the rights distribution;</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aggregate number of shares of common stock or preferred stock purchasable upon exercise of the rights;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rights issued;</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rights will be separately transferable;</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rights will commence and the date on which the right will expire; and</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rights, including terms, procedures and limitations relating to the distribution, exchange and exercise of the rights.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right will entitle the holder of rights to purchase for cash the principal amount of shares of common stock or preferred stock at the exercise price provided in the applicable prospectus supplement. Rights may be exercised at any time up to the close of business on the expiration date for the rights provided in the applicable prospectus supplement. After the close of business on the expiration date, all unexercised rights will be void.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or preferred stock purchasable upon exercise of the rights. If less than all of the rights issued in any rights offering are exercised, we may offer any unsubscribed securities directly to persons other than securityholders, to or through agents, underwriters or dealers or through a combination of such methods, including pursuant to standby underwriting arrangements, as described in the applicable prospectus supplement.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supplements, summarizes the material terms and provisions of the units that we may offer under this prospectus. Units may be offered independently or together with common stock, preferred stock, debt securities, and warrants offered by any prospectus supplement, and may be attached to or separate from those securities. While the terms we have summarized below will generally apply to any future units that we may offer under this prospectus, we will describe the particular terms of any series of units that we may offer in more detail in the applicable prospectus supplement. The terms of any units offered under a prospectus supplement may differ from the terms described below.</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incorporate by reference into the registration statement, of which this prospectus is a part, the form of unit agreement, including a form of unit certificate, if any, that describes the terms of the series of units we are offering before the issuance of the related series of units. The following summaries of material provisions of the units and the unit agreements are subject to, and qualified in their entirety by reference to, all the provisions of the unit agreement applicable to a particular series of units. We urge you to read the applicable prospectus supplements related to the units that we sell under this prospectus, as well as the complete unit agreements that contain the terms of the units.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issue units consisting of common stock, preferred stock, debt securities, and/or warrants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units, including the following:</w:t>
      </w:r>
    </w:p>
    <w:p>
      <w:pPr>
        <w:spacing w:after="0" w:line="225" w:lineRule="exact"/>
        <w:rPr>
          <w:sz w:val="20"/>
          <w:szCs w:val="20"/>
          <w:color w:val="auto"/>
        </w:rPr>
      </w:pPr>
    </w:p>
    <w:p>
      <w:pPr>
        <w:ind w:left="980" w:hanging="648"/>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161"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 that differ from those described below; and</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provisions described in this section, as well as those described in the sections entitled “Description of Common Stock and Preferred Stock,” “Description of Debt Securities,” and “Description of Warrants,” will apply to each unit and to any common stock, preferred stock, debt security, or warrant included in each unit,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issue units in such amounts and in such numerous distinct series as we determine.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Units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the unit agent, and any of their agents may treat the registered holder of any unit certificate as an absolute owner of the units evidenced by that certificate for any purposes and as the person entitled to exercise the rights attaching to the units so requested, despite any notice to the contrary.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Book-Entry, Delivery and Form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we indicate differently in a prospectus supplement, the securities initially will be issued in book-entry form and represented by one or more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has advised us that it is:</w:t>
      </w:r>
    </w:p>
    <w:p>
      <w:pPr>
        <w:spacing w:after="0" w:line="225" w:lineRule="exact"/>
        <w:rPr>
          <w:sz w:val="20"/>
          <w:szCs w:val="20"/>
          <w:color w:val="auto"/>
        </w:rPr>
      </w:pPr>
    </w:p>
    <w:p>
      <w:pPr>
        <w:ind w:left="980" w:hanging="648"/>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limited-purpose trust company organized under the New York Banking Law;</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within the meaning of the New York Banking Law;</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within the meaning of the New York Uniform Commercial Code; and</w:t>
      </w:r>
    </w:p>
    <w:p>
      <w:pPr>
        <w:spacing w:after="0" w:line="225" w:lineRule="exact"/>
        <w:rPr>
          <w:rFonts w:ascii="Times New Roman" w:cs="Times New Roman" w:eastAsia="Times New Roman" w:hAnsi="Times New Roman"/>
          <w:sz w:val="18"/>
          <w:szCs w:val="18"/>
          <w:color w:val="auto"/>
        </w:rPr>
      </w:pPr>
    </w:p>
    <w:p>
      <w:pPr>
        <w:ind w:left="980" w:right="20" w:hanging="648"/>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pursuant to the provisions of Section 17A of the Securities Exchange Act of 1934, as amended, or Exchange Act.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jc w:val="both"/>
        <w:spacing w:after="0" w:line="282" w:lineRule="auto"/>
        <w:rPr>
          <w:sz w:val="20"/>
          <w:szCs w:val="20"/>
          <w:color w:val="auto"/>
        </w:rPr>
      </w:pPr>
      <w:r>
        <w:rPr>
          <w:rFonts w:ascii="Times New Roman" w:cs="Times New Roman" w:eastAsia="Times New Roman" w:hAnsi="Times New Roman"/>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noted above, beneficial owners of a particular series of securities generally will not receive certificates representing their ownership interests in those securities. However, if:</w:t>
      </w:r>
    </w:p>
    <w:p>
      <w:pPr>
        <w:spacing w:after="0" w:line="162" w:lineRule="exact"/>
        <w:rPr>
          <w:sz w:val="20"/>
          <w:szCs w:val="20"/>
          <w:color w:val="auto"/>
        </w:rPr>
      </w:pPr>
    </w:p>
    <w:p>
      <w:pPr>
        <w:jc w:val="both"/>
        <w:ind w:left="980" w:hanging="648"/>
        <w:spacing w:after="0" w:line="261"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17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in our sole discretion, not to have such securities represented by one or more global securities; or</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has occurred and is continuing with respect to such series of securities,</w:t>
      </w:r>
    </w:p>
    <w:p>
      <w:pPr>
        <w:spacing w:after="0" w:line="225" w:lineRule="exact"/>
        <w:rPr>
          <w:rFonts w:ascii="Times New Roman" w:cs="Times New Roman" w:eastAsia="Times New Roman" w:hAnsi="Times New Roman"/>
          <w:sz w:val="18"/>
          <w:szCs w:val="18"/>
          <w:color w:val="auto"/>
        </w:rPr>
      </w:pPr>
    </w:p>
    <w:p>
      <w:pPr>
        <w:jc w:val="both"/>
        <w:ind w:left="980" w:hanging="648"/>
        <w:spacing w:after="0" w:line="261"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obtained the information in this section and elsewhere in this prospectus concerning DTC and DTC’s book-entry system from sources that are believed to be reliable, but we take no responsibility for the accuracy of this information.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relates to the resale by the Selling Securityholders of (a) up to 16,250,000 shares of Common Stock, issuable upon exercise of warrants to purchase Common Stock at an exercise price of $8.21 per share with respect to the public warrants and $11.50 per share of Common Stock with respect to the Financing Warrants and the Private Placement Warrants, (b) up to 573,660 shares of Common Stock that may be issued upon exercise of the Trinity Warrants, and (c) the offer and sale, from time to time, by the Selling Securityholders of up to an aggregate of 52,709,824 shares of Common Stock, which includes up to:</w:t>
      </w:r>
    </w:p>
    <w:p>
      <w:pPr>
        <w:spacing w:after="0" w:line="183" w:lineRule="exact"/>
        <w:rPr>
          <w:sz w:val="20"/>
          <w:szCs w:val="20"/>
          <w:color w:val="auto"/>
        </w:rPr>
      </w:pPr>
    </w:p>
    <w:p>
      <w:pPr>
        <w:ind w:left="980" w:hanging="648"/>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4,312,500 Founder Shares;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7,143,687 Business Combination PIPE Shares;</w:t>
      </w:r>
    </w:p>
    <w:p>
      <w:pPr>
        <w:spacing w:after="0" w:line="225"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640,000 shares of Common Stock issued as partial consideration to various advisors of the Company and VTAQ for services rendered in connection with the Business Combination and the PIPE Investment (as defined herein), valued at $10.00 per share;</w:t>
      </w:r>
    </w:p>
    <w:p>
      <w:pPr>
        <w:spacing w:after="0" w:line="161" w:lineRule="exact"/>
        <w:rPr>
          <w:rFonts w:ascii="Times New Roman" w:cs="Times New Roman" w:eastAsia="Times New Roman" w:hAnsi="Times New Roman"/>
          <w:sz w:val="18"/>
          <w:szCs w:val="18"/>
          <w:color w:val="auto"/>
        </w:rPr>
      </w:pPr>
    </w:p>
    <w:p>
      <w:pPr>
        <w:jc w:val="both"/>
        <w:ind w:left="980" w:right="20" w:hanging="648"/>
        <w:spacing w:after="0" w:line="266"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20,995,097 shares of Common Stock issued or issuable to affiliates of the Company, at an exchange ratio as provided in the Merger Agreement, for shares or restricted stock units of Legacy Presto (as defined herein), resulting in an effective purchase price of $10.00 per share;</w:t>
      </w:r>
    </w:p>
    <w:p>
      <w:pPr>
        <w:spacing w:after="0" w:line="17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7,433,040 shares of Common Stock (that may be issued from time to time upon achievement of certain stock price thresholds) to affiliates of the Company in connection with the earnout provisions set forth in the Merger Agreement (as defined herein) at an exchange ratio as provided in the Merger Agreement for shares of Legacy Presto, resulting in an effective purchase price of $10.00 per share;</w:t>
      </w:r>
    </w:p>
    <w:p>
      <w:pPr>
        <w:spacing w:after="0" w:line="175" w:lineRule="exact"/>
        <w:rPr>
          <w:rFonts w:ascii="Times New Roman" w:cs="Times New Roman" w:eastAsia="Times New Roman" w:hAnsi="Times New Roman"/>
          <w:sz w:val="18"/>
          <w:szCs w:val="18"/>
          <w:color w:val="auto"/>
        </w:rPr>
      </w:pPr>
    </w:p>
    <w:p>
      <w:pPr>
        <w:jc w:val="both"/>
        <w:ind w:left="980" w:right="20" w:hanging="648"/>
        <w:spacing w:after="0" w:line="261"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6,125,000 Private Placement Warrants each exercisable for one share of Common Stock at an exercise price of $11.50 per share, purchased by the Sponsors and their permitted transferees, at a price of $1.00 per warrant in a private placement simultaneously with the consummation of VTAQ’s IPO; and 1,500,000 Financing Warrants each exercisable for one share of Common Stock at an exercise price of $11.50 per share, issued to lenders party to the Credit Agreement (as defined herein);</w:t>
      </w:r>
    </w:p>
    <w:p>
      <w:pPr>
        <w:spacing w:after="0" w:line="17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4,760,500 June 2023 PIPE Shares;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 October 2023 PIPE Shares; and</w:t>
      </w:r>
    </w:p>
    <w:p>
      <w:pPr>
        <w:spacing w:after="0" w:line="225"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5,925,000 shares of Common Stock issuable upon the exercise of warrants to purchase shares of our Common Stock by Metropolitan and the Metropolitan Entities (all warrants listed below are referred to herein as the “penny warrants”), which consist of:</w:t>
      </w:r>
    </w:p>
    <w:p>
      <w:pPr>
        <w:spacing w:after="0" w:line="161" w:lineRule="exact"/>
        <w:rPr>
          <w:rFonts w:ascii="Times New Roman" w:cs="Times New Roman" w:eastAsia="Times New Roman" w:hAnsi="Times New Roman"/>
          <w:sz w:val="18"/>
          <w:szCs w:val="18"/>
          <w:color w:val="auto"/>
        </w:rPr>
      </w:pPr>
    </w:p>
    <w:p>
      <w:pPr>
        <w:ind w:left="1620" w:hanging="640"/>
        <w:spacing w:after="0" w:line="282" w:lineRule="auto"/>
        <w:tabs>
          <w:tab w:leader="none" w:pos="16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 shares of Common Stock issuable upon the exercise of warrants to purchase shares of our Common Stock, at an exercise price of $0.01 per share, subject to adjustment (the “May 2023 Resale Warrants”), held by the Selling Securityholders;</w:t>
      </w:r>
    </w:p>
    <w:p>
      <w:pPr>
        <w:spacing w:after="0" w:line="161"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 shares of Common Stock issuable upon the exercise of warrants, with an exercise price of $0.01 per share (the “June 2023 Conversion Warrants”), that were issued pursuant to that certain second amendment to credit agreement, dated as of May 22, 2023, by and among us, E La Carte, LLC, Metropolitan, and the Metropolitan Entities;</w:t>
      </w:r>
    </w:p>
    <w:p>
      <w:pPr>
        <w:spacing w:after="0" w:line="175"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 shares of Common Stock issuable upon the exercise of warrants, with an exercise price of $0.01 per share (the “Second Amendment Warrants”), that were issued pursuant to that certain second amended and restated fee letter, dated as of May 22, 2023, by and among us, E La Carte, LLC and Metropolitan;</w:t>
      </w:r>
    </w:p>
    <w:p>
      <w:pPr>
        <w:spacing w:after="0" w:line="175"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 shares of Common Stock issuable upon the exercise of warrants, with an exercise price of $0.01 per share, that were issued pursuant to that certain third amendment to credit agreement, dated as of October 10, 2023, by and among us, E La Carte, LLC, Metropolitan and the Metropolitan Entities; and</w:t>
      </w:r>
    </w:p>
    <w:p>
      <w:pPr>
        <w:spacing w:after="0" w:line="175" w:lineRule="exact"/>
        <w:rPr>
          <w:rFonts w:ascii="Times New Roman" w:cs="Times New Roman" w:eastAsia="Times New Roman" w:hAnsi="Times New Roman"/>
          <w:sz w:val="18"/>
          <w:szCs w:val="18"/>
          <w:color w:val="auto"/>
        </w:rPr>
      </w:pPr>
    </w:p>
    <w:p>
      <w:pPr>
        <w:jc w:val="both"/>
        <w:ind w:left="1620" w:hanging="640"/>
        <w:spacing w:after="0" w:line="266" w:lineRule="auto"/>
        <w:tabs>
          <w:tab w:leader="none" w:pos="16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3,000,000 shares of Common Stock issuable upon the exercise of warrants, with an exercise price of $0.01 per share that were issued pursuant to that certain third amended and restated fee letter, dated as of October 10, 2023, by and among us, E La Carte, LLC and Metropolitan.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jc w:val="both"/>
        <w:spacing w:after="0" w:line="254" w:lineRule="auto"/>
        <w:rPr>
          <w:sz w:val="20"/>
          <w:szCs w:val="20"/>
          <w:color w:val="auto"/>
        </w:rPr>
      </w:pPr>
      <w:r>
        <w:rPr>
          <w:rFonts w:ascii="Times New Roman" w:cs="Times New Roman" w:eastAsia="Times New Roman" w:hAnsi="Times New Roman"/>
          <w:sz w:val="18"/>
          <w:szCs w:val="18"/>
          <w:color w:val="auto"/>
        </w:rPr>
        <w:t>The Selling Securityholders may from time to time offer and sell any or all of the shares of Common Stock set forth below pursuant to this prospectus and any accompanying prospectus supplement. When we refer to the “Selling Securityholders” in this prospectus, we mean the persons listed in the table below, and the pledgees, donees, transferees, assignees, successors, designees and others who later come to hold any of the Selling Securityholders’ interest in the Common Stock other than through a public sale. We cannot advise you as to whether the Selling Securityholders will in fact sell any or all of such shares of Common Stock. In addition, the Selling Securityholders may sell, transfer or otherwise dispose of, at any time and from time to time, the shares of Common Stock in transactions exempt from the registration requirements of the Securities Act after the date of this prospectus. For purposes of this table, we have assumed that all of the earnout shares have been issued in accordance with the terms of the Business Combination Agreement and the Selling Securityholders will have sold all of the securities covered by this prospectus upon the completion of the offering.</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sets forth, to the Company’s knowledge after review of information reasonably obtainable, as of the date of this filing (or such other date as such information was provided to us by the applicable Selling Securityholders), the name and address of the Selling Securityholders, the number of shares of Common Stock beneficially owned, the number of shares of Common Stock that the Selling Securityholders may offer pursuant to this prospectus and the number of shares of Common Stock beneficially owned by the Selling Securityholders after the sale of the securities offered hereby.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Securityholder information for each additional Selling Securityholder, if any, will be set forth by prospectus supplement to the extent required prior to the time of any offer or sale of such Selling Securityholder’s shares pursuant to this prospectus. Any prospectus supplement may add, update, substitute, or change the information contained in this prospectus, including the identity of each Selling Securityholder and the number of shares registered on its behalf. A Selling Securityholder may sell or otherwise transfer all, some or none of such shares in this offering. See “Plan of Distribution.”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beneficial ownership of shares of our Common Stock and Common Stock is based on 57,855,594 shares of our Common Stock as of September 30, 2023. 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warrants or stock options, within 60 days of September 30, 2023. Shares subject to warrants or options that are currently exercisable or exercisable within 60 days of September 30, 2023 that vest within 60 days of September 30, 2023 are considered outstanding and beneficially owned by the person holding such warrants or options for the purpose of computing the percentage ownership of that person but are not treated as outstanding for the purpose of computing the percentage ownership of any other person.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spacing w:after="0" w:line="282" w:lineRule="auto"/>
        <w:rPr>
          <w:sz w:val="20"/>
          <w:szCs w:val="20"/>
          <w:color w:val="auto"/>
        </w:rPr>
      </w:pPr>
      <w:r>
        <w:rPr>
          <w:rFonts w:ascii="Times New Roman" w:cs="Times New Roman" w:eastAsia="Times New Roman" w:hAnsi="Times New Roman"/>
          <w:sz w:val="18"/>
          <w:szCs w:val="18"/>
          <w:color w:val="auto"/>
        </w:rPr>
        <w:t>Except as noted by footnote, and subject to community property laws where applicable, based on the information provided to us, the persons and entities named in the table below have sole voting and investment power with respect to all shares shown as beneficially owned by them.</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20" w:type="dxa"/>
            <w:vAlign w:val="bottom"/>
            <w:gridSpan w:val="7"/>
            <w:vMerge w:val="restart"/>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Beneficially Owned Before the Offering</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 w:type="dxa"/>
            <w:vAlign w:val="bottom"/>
          </w:tcPr>
          <w:p>
            <w:pPr>
              <w:spacing w:after="0"/>
              <w:rPr>
                <w:sz w:val="17"/>
                <w:szCs w:val="17"/>
                <w:color w:val="auto"/>
              </w:rPr>
            </w:pPr>
          </w:p>
        </w:tc>
        <w:tc>
          <w:tcPr>
            <w:tcW w:w="3220" w:type="dxa"/>
            <w:vAlign w:val="bottom"/>
            <w:gridSpan w:val="6"/>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Beneficially Owned After the Offering</w:t>
            </w:r>
          </w:p>
        </w:tc>
        <w:tc>
          <w:tcPr>
            <w:tcW w:w="0" w:type="dxa"/>
            <w:vAlign w:val="bottom"/>
          </w:tcPr>
          <w:p>
            <w:pPr>
              <w:spacing w:after="0"/>
              <w:rPr>
                <w:sz w:val="1"/>
                <w:szCs w:val="1"/>
                <w:color w:val="auto"/>
              </w:rPr>
            </w:pPr>
          </w:p>
        </w:tc>
      </w:tr>
      <w:tr>
        <w:trPr>
          <w:trHeight w:val="212"/>
        </w:trPr>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20" w:type="dxa"/>
            <w:vAlign w:val="bottom"/>
            <w:gridSpan w:val="7"/>
            <w:vMerge w:val="continue"/>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Private</w:t>
            </w:r>
          </w:p>
        </w:tc>
        <w:tc>
          <w:tcPr>
            <w:tcW w:w="100" w:type="dxa"/>
            <w:vAlign w:val="bottom"/>
          </w:tcPr>
          <w:p>
            <w:pPr>
              <w:spacing w:after="0"/>
              <w:rPr>
                <w:sz w:val="18"/>
                <w:szCs w:val="18"/>
                <w:color w:val="auto"/>
              </w:rPr>
            </w:pPr>
          </w:p>
        </w:tc>
        <w:tc>
          <w:tcPr>
            <w:tcW w:w="322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0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00" w:type="dxa"/>
            <w:vAlign w:val="bottom"/>
            <w:gridSpan w:val="2"/>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1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Placement</w:t>
            </w:r>
          </w:p>
        </w:tc>
        <w:tc>
          <w:tcPr>
            <w:tcW w:w="10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0" w:type="dxa"/>
            <w:vAlign w:val="bottom"/>
            <w:gridSpan w:val="2"/>
          </w:tcPr>
          <w:p>
            <w:pPr>
              <w:jc w:val="center"/>
              <w:ind w:right="100"/>
              <w:spacing w:after="0" w:line="165" w:lineRule="exact"/>
              <w:rPr>
                <w:sz w:val="20"/>
                <w:szCs w:val="20"/>
                <w:color w:val="auto"/>
              </w:rPr>
            </w:pPr>
            <w:r>
              <w:rPr>
                <w:rFonts w:ascii="Times New Roman" w:cs="Times New Roman" w:eastAsia="Times New Roman" w:hAnsi="Times New Roman"/>
                <w:sz w:val="16"/>
                <w:szCs w:val="16"/>
                <w:b w:val="1"/>
                <w:bCs w:val="1"/>
                <w:color w:val="auto"/>
              </w:rPr>
              <w:t>% of</w:t>
            </w:r>
          </w:p>
        </w:tc>
        <w:tc>
          <w:tcPr>
            <w:tcW w:w="1200" w:type="dxa"/>
            <w:vAlign w:val="bottom"/>
            <w:gridSpan w:val="3"/>
          </w:tcPr>
          <w:p>
            <w:pPr>
              <w:jc w:val="center"/>
              <w:ind w:right="100"/>
              <w:spacing w:after="0" w:line="165" w:lineRule="exact"/>
              <w:rPr>
                <w:sz w:val="20"/>
                <w:szCs w:val="20"/>
                <w:color w:val="auto"/>
              </w:rPr>
            </w:pPr>
            <w:r>
              <w:rPr>
                <w:rFonts w:ascii="Times New Roman" w:cs="Times New Roman" w:eastAsia="Times New Roman" w:hAnsi="Times New Roman"/>
                <w:sz w:val="16"/>
                <w:szCs w:val="16"/>
                <w:b w:val="1"/>
                <w:bCs w:val="1"/>
                <w:color w:val="auto"/>
              </w:rPr>
              <w:t>Private</w:t>
            </w:r>
          </w:p>
        </w:tc>
        <w:tc>
          <w:tcPr>
            <w:tcW w:w="1020" w:type="dxa"/>
            <w:vAlign w:val="bottom"/>
            <w:gridSpan w:val="2"/>
          </w:tcPr>
          <w:p>
            <w:pPr>
              <w:jc w:val="center"/>
              <w:ind w:right="100"/>
              <w:spacing w:after="0" w:line="165" w:lineRule="exact"/>
              <w:rPr>
                <w:sz w:val="20"/>
                <w:szCs w:val="20"/>
                <w:color w:val="auto"/>
              </w:rPr>
            </w:pPr>
            <w:r>
              <w:rPr>
                <w:rFonts w:ascii="Times New Roman" w:cs="Times New Roman" w:eastAsia="Times New Roman" w:hAnsi="Times New Roman"/>
                <w:sz w:val="16"/>
                <w:szCs w:val="16"/>
                <w:b w:val="1"/>
                <w:bCs w:val="1"/>
                <w:color w:val="auto"/>
              </w:rPr>
              <w:t>Stock</w:t>
            </w:r>
          </w:p>
        </w:tc>
        <w:tc>
          <w:tcPr>
            <w:tcW w:w="1100" w:type="dxa"/>
            <w:vAlign w:val="bottom"/>
            <w:gridSpan w:val="2"/>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8"/>
              </w:rPr>
              <w:t>Warrants</w:t>
            </w:r>
          </w:p>
        </w:tc>
        <w:tc>
          <w:tcPr>
            <w:tcW w:w="100" w:type="dxa"/>
            <w:vAlign w:val="bottom"/>
          </w:tcPr>
          <w:p>
            <w:pPr>
              <w:spacing w:after="0"/>
              <w:rPr>
                <w:sz w:val="14"/>
                <w:szCs w:val="14"/>
                <w:color w:val="auto"/>
              </w:rPr>
            </w:pPr>
          </w:p>
        </w:tc>
        <w:tc>
          <w:tcPr>
            <w:tcW w:w="1000" w:type="dxa"/>
            <w:vAlign w:val="bottom"/>
            <w:gridSpan w:val="2"/>
          </w:tcPr>
          <w:p>
            <w:pPr>
              <w:jc w:val="center"/>
              <w:ind w:right="80"/>
              <w:spacing w:after="0" w:line="165" w:lineRule="exact"/>
              <w:rPr>
                <w:sz w:val="20"/>
                <w:szCs w:val="20"/>
                <w:color w:val="auto"/>
              </w:rPr>
            </w:pPr>
            <w:r>
              <w:rPr>
                <w:rFonts w:ascii="Times New Roman" w:cs="Times New Roman" w:eastAsia="Times New Roman" w:hAnsi="Times New Roman"/>
                <w:sz w:val="16"/>
                <w:szCs w:val="16"/>
                <w:b w:val="1"/>
                <w:bCs w:val="1"/>
                <w:color w:val="auto"/>
              </w:rPr>
              <w:t>Shares of</w:t>
            </w:r>
          </w:p>
        </w:tc>
        <w:tc>
          <w:tcPr>
            <w:tcW w:w="1120" w:type="dxa"/>
            <w:vAlign w:val="bottom"/>
            <w:gridSpan w:val="2"/>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5"/>
              </w:rPr>
              <w:t>% of</w:t>
            </w:r>
          </w:p>
        </w:tc>
        <w:tc>
          <w:tcPr>
            <w:tcW w:w="1100" w:type="dxa"/>
            <w:vAlign w:val="bottom"/>
            <w:gridSpan w:val="2"/>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Private</w:t>
            </w:r>
          </w:p>
        </w:tc>
        <w:tc>
          <w:tcPr>
            <w:tcW w:w="0" w:type="dxa"/>
            <w:vAlign w:val="bottom"/>
          </w:tcPr>
          <w:p>
            <w:pPr>
              <w:spacing w:after="0"/>
              <w:rPr>
                <w:sz w:val="1"/>
                <w:szCs w:val="1"/>
                <w:color w:val="auto"/>
              </w:rPr>
            </w:pPr>
          </w:p>
        </w:tc>
      </w:tr>
      <w:tr>
        <w:trPr>
          <w:trHeight w:val="203"/>
        </w:trPr>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Common</w:t>
            </w: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Placement</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Being</w:t>
            </w:r>
          </w:p>
        </w:tc>
        <w:tc>
          <w:tcPr>
            <w:tcW w:w="11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Being</w:t>
            </w:r>
          </w:p>
        </w:tc>
        <w:tc>
          <w:tcPr>
            <w:tcW w:w="100" w:type="dxa"/>
            <w:vAlign w:val="bottom"/>
          </w:tcPr>
          <w:p>
            <w:pPr>
              <w:spacing w:after="0"/>
              <w:rPr>
                <w:sz w:val="17"/>
                <w:szCs w:val="17"/>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1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Placement</w:t>
            </w:r>
          </w:p>
        </w:tc>
        <w:tc>
          <w:tcPr>
            <w:tcW w:w="0" w:type="dxa"/>
            <w:vAlign w:val="bottom"/>
          </w:tcPr>
          <w:p>
            <w:pPr>
              <w:spacing w:after="0"/>
              <w:rPr>
                <w:sz w:val="1"/>
                <w:szCs w:val="1"/>
                <w:color w:val="auto"/>
              </w:rPr>
            </w:pPr>
          </w:p>
        </w:tc>
      </w:tr>
      <w:tr>
        <w:trPr>
          <w:trHeight w:val="263"/>
        </w:trPr>
        <w:tc>
          <w:tcPr>
            <w:tcW w:w="226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6"/>
                <w:szCs w:val="16"/>
                <w:b w:val="1"/>
                <w:bCs w:val="1"/>
                <w:color w:val="auto"/>
              </w:rPr>
              <w:t>Selling Securityholder</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line="256" w:lineRule="exact"/>
              <w:rPr>
                <w:sz w:val="20"/>
                <w:szCs w:val="20"/>
                <w:color w:val="auto"/>
              </w:rPr>
            </w:pPr>
            <w:r>
              <w:rPr>
                <w:rFonts w:ascii="Times New Roman" w:cs="Times New Roman" w:eastAsia="Times New Roman" w:hAnsi="Times New Roman"/>
                <w:sz w:val="16"/>
                <w:szCs w:val="16"/>
                <w:b w:val="1"/>
                <w:bCs w:val="1"/>
                <w:color w:val="auto"/>
                <w:w w:val="92"/>
              </w:rPr>
              <w:t>Stock</w:t>
            </w:r>
            <w:r>
              <w:rPr>
                <w:rFonts w:ascii="Times New Roman" w:cs="Times New Roman" w:eastAsia="Times New Roman" w:hAnsi="Times New Roman"/>
                <w:sz w:val="26"/>
                <w:szCs w:val="26"/>
                <w:b w:val="1"/>
                <w:bCs w:val="1"/>
                <w:color w:val="auto"/>
                <w:w w:val="92"/>
                <w:vertAlign w:val="superscript"/>
              </w:rPr>
              <w:t>(1)</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2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Offered</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Offered</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260" w:type="dxa"/>
            <w:vAlign w:val="bottom"/>
            <w:gridSpan w:val="3"/>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80Five LLC</w:t>
            </w:r>
            <w:r>
              <w:rPr>
                <w:rFonts w:ascii="Times New Roman" w:cs="Times New Roman" w:eastAsia="Times New Roman" w:hAnsi="Times New Roman"/>
                <w:sz w:val="26"/>
                <w:szCs w:val="26"/>
                <w:color w:val="auto"/>
                <w:vertAlign w:val="superscript"/>
              </w:rPr>
              <w:t>(3)</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77,232</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77,232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3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Acadia Woods Partners,</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0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6"/>
                <w:szCs w:val="16"/>
                <w:color w:val="auto"/>
                <w:w w:val="99"/>
              </w:rPr>
              <w:t>LLC</w:t>
            </w:r>
            <w:r>
              <w:rPr>
                <w:rFonts w:ascii="Times New Roman" w:cs="Times New Roman" w:eastAsia="Times New Roman" w:hAnsi="Times New Roman"/>
                <w:sz w:val="26"/>
                <w:szCs w:val="26"/>
                <w:color w:val="auto"/>
                <w:w w:val="99"/>
                <w:vertAlign w:val="superscript"/>
              </w:rPr>
              <w:t>(4)</w:t>
            </w:r>
          </w:p>
        </w:tc>
        <w:tc>
          <w:tcPr>
            <w:tcW w:w="1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31,250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2"/>
                <w:szCs w:val="22"/>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31,250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Adam Eskin</w:t>
            </w:r>
            <w:r>
              <w:rPr>
                <w:rFonts w:ascii="Times New Roman" w:cs="Times New Roman" w:eastAsia="Times New Roman" w:hAnsi="Times New Roman"/>
                <w:sz w:val="26"/>
                <w:szCs w:val="26"/>
                <w:color w:val="auto"/>
                <w:vertAlign w:val="superscript"/>
              </w:rPr>
              <w:t>(3)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44,866</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26,238</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44,866</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26,238</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tcPr>
          <w:p>
            <w:pPr>
              <w:spacing w:after="0" w:line="243" w:lineRule="exact"/>
              <w:rPr>
                <w:sz w:val="20"/>
                <w:szCs w:val="20"/>
                <w:color w:val="auto"/>
              </w:rPr>
            </w:pPr>
            <w:r>
              <w:rPr>
                <w:rFonts w:ascii="Times New Roman" w:cs="Times New Roman" w:eastAsia="Times New Roman" w:hAnsi="Times New Roman"/>
                <w:sz w:val="16"/>
                <w:szCs w:val="16"/>
                <w:color w:val="auto"/>
              </w:rPr>
              <w:t>Adam Feil</w:t>
            </w:r>
            <w:r>
              <w:rPr>
                <w:rFonts w:ascii="Times New Roman" w:cs="Times New Roman" w:eastAsia="Times New Roman" w:hAnsi="Times New Roman"/>
                <w:sz w:val="26"/>
                <w:szCs w:val="26"/>
                <w:color w:val="auto"/>
                <w:vertAlign w:val="superscript"/>
              </w:rPr>
              <w:t>(3)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6,250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Al Marjan Limited</w:t>
            </w:r>
            <w:r>
              <w:rPr>
                <w:rFonts w:ascii="Times New Roman" w:cs="Times New Roman" w:eastAsia="Times New Roman" w:hAnsi="Times New Roman"/>
                <w:sz w:val="26"/>
                <w:szCs w:val="26"/>
                <w:color w:val="auto"/>
                <w:vertAlign w:val="superscript"/>
              </w:rPr>
              <w:t>(30)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tcPr>
          <w:p>
            <w:pPr>
              <w:spacing w:after="0" w:line="243" w:lineRule="exact"/>
              <w:rPr>
                <w:sz w:val="20"/>
                <w:szCs w:val="20"/>
                <w:color w:val="auto"/>
              </w:rPr>
            </w:pPr>
            <w:r>
              <w:rPr>
                <w:rFonts w:ascii="Times New Roman" w:cs="Times New Roman" w:eastAsia="Times New Roman" w:hAnsi="Times New Roman"/>
                <w:sz w:val="16"/>
                <w:szCs w:val="16"/>
                <w:color w:val="auto"/>
              </w:rPr>
              <w:t>Alexander Nevinskiy</w:t>
            </w:r>
            <w:r>
              <w:rPr>
                <w:rFonts w:ascii="Times New Roman" w:cs="Times New Roman" w:eastAsia="Times New Roman" w:hAnsi="Times New Roman"/>
                <w:sz w:val="26"/>
                <w:szCs w:val="26"/>
                <w:color w:val="auto"/>
                <w:vertAlign w:val="superscript"/>
              </w:rPr>
              <w:t>(30)(32)</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Aloha Partners, LLC</w:t>
            </w:r>
            <w:r>
              <w:rPr>
                <w:rFonts w:ascii="Times New Roman" w:cs="Times New Roman" w:eastAsia="Times New Roman" w:hAnsi="Times New Roman"/>
                <w:sz w:val="26"/>
                <w:szCs w:val="26"/>
                <w:color w:val="auto"/>
                <w:vertAlign w:val="superscript"/>
              </w:rPr>
              <w:t>(5)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12,500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tcPr>
          <w:p>
            <w:pPr>
              <w:spacing w:after="0" w:line="243" w:lineRule="exact"/>
              <w:rPr>
                <w:sz w:val="20"/>
                <w:szCs w:val="20"/>
                <w:color w:val="auto"/>
              </w:rPr>
            </w:pPr>
            <w:r>
              <w:rPr>
                <w:rFonts w:ascii="Times New Roman" w:cs="Times New Roman" w:eastAsia="Times New Roman" w:hAnsi="Times New Roman"/>
                <w:sz w:val="16"/>
                <w:szCs w:val="16"/>
                <w:color w:val="auto"/>
              </w:rPr>
              <w:t>Amir Ali Mithani</w:t>
            </w:r>
            <w:r>
              <w:rPr>
                <w:rFonts w:ascii="Times New Roman" w:cs="Times New Roman" w:eastAsia="Times New Roman" w:hAnsi="Times New Roman"/>
                <w:sz w:val="26"/>
                <w:szCs w:val="26"/>
                <w:color w:val="auto"/>
                <w:vertAlign w:val="superscript"/>
              </w:rPr>
              <w:t>(30)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Amy Doshi &amp; Sarin Swami</w:t>
            </w:r>
            <w:r>
              <w:rPr>
                <w:rFonts w:ascii="Times New Roman" w:cs="Times New Roman" w:eastAsia="Times New Roman" w:hAnsi="Times New Roman"/>
                <w:sz w:val="26"/>
                <w:szCs w:val="26"/>
                <w:color w:val="auto"/>
                <w:vertAlign w:val="superscript"/>
              </w:rPr>
              <w:t>(30)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Arbat​</w:t>
            </w:r>
          </w:p>
        </w:tc>
        <w:tc>
          <w:tcPr>
            <w:tcW w:w="1980" w:type="dxa"/>
            <w:vAlign w:val="bottom"/>
            <w:gridSpan w:val="3"/>
          </w:tcPr>
          <w:p>
            <w:pPr>
              <w:jc w:val="center"/>
              <w:ind w:right="280"/>
              <w:spacing w:after="0" w:line="243" w:lineRule="exact"/>
              <w:rPr>
                <w:sz w:val="20"/>
                <w:szCs w:val="20"/>
                <w:color w:val="auto"/>
              </w:rPr>
            </w:pPr>
            <w:r>
              <w:rPr>
                <w:rFonts w:ascii="Times New Roman" w:cs="Times New Roman" w:eastAsia="Times New Roman" w:hAnsi="Times New Roman"/>
                <w:sz w:val="16"/>
                <w:szCs w:val="16"/>
                <w:color w:val="auto"/>
                <w:w w:val="92"/>
              </w:rPr>
              <w:t>Capital Group Ltd</w:t>
            </w:r>
            <w:r>
              <w:rPr>
                <w:rFonts w:ascii="Times New Roman" w:cs="Times New Roman" w:eastAsia="Times New Roman" w:hAnsi="Times New Roman"/>
                <w:sz w:val="26"/>
                <w:szCs w:val="26"/>
                <w:color w:val="auto"/>
                <w:w w:val="92"/>
                <w:vertAlign w:val="superscript"/>
              </w:rPr>
              <w:t>.(29)(30)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201,100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101,100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Art Spigel</w:t>
            </w:r>
            <w:r>
              <w:rPr>
                <w:rFonts w:ascii="Times New Roman" w:cs="Times New Roman" w:eastAsia="Times New Roman" w:hAnsi="Times New Roman"/>
                <w:sz w:val="26"/>
                <w:szCs w:val="26"/>
                <w:color w:val="auto"/>
                <w:vertAlign w:val="superscript"/>
              </w:rPr>
              <w:t>(3)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77,232</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77,232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tcPr>
          <w:p>
            <w:pPr>
              <w:spacing w:after="0" w:line="243" w:lineRule="exact"/>
              <w:rPr>
                <w:sz w:val="20"/>
                <w:szCs w:val="20"/>
                <w:color w:val="auto"/>
              </w:rPr>
            </w:pPr>
            <w:r>
              <w:rPr>
                <w:rFonts w:ascii="Times New Roman" w:cs="Times New Roman" w:eastAsia="Times New Roman" w:hAnsi="Times New Roman"/>
                <w:sz w:val="16"/>
                <w:szCs w:val="16"/>
                <w:color w:val="auto"/>
              </w:rPr>
              <w:t>Biren Gosalia</w:t>
            </w:r>
            <w:r>
              <w:rPr>
                <w:rFonts w:ascii="Times New Roman" w:cs="Times New Roman" w:eastAsia="Times New Roman" w:hAnsi="Times New Roman"/>
                <w:sz w:val="26"/>
                <w:szCs w:val="26"/>
                <w:color w:val="auto"/>
                <w:vertAlign w:val="superscript"/>
              </w:rPr>
              <w:t>(30)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10,500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Blind 1212, LLC</w:t>
            </w:r>
            <w:r>
              <w:rPr>
                <w:rFonts w:ascii="Times New Roman" w:cs="Times New Roman" w:eastAsia="Times New Roman" w:hAnsi="Times New Roman"/>
                <w:sz w:val="26"/>
                <w:szCs w:val="26"/>
                <w:color w:val="auto"/>
                <w:vertAlign w:val="superscript"/>
              </w:rPr>
              <w:t>(3)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447,274</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288,616</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447,274</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288,616</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tcPr>
          <w:p>
            <w:pPr>
              <w:spacing w:after="0" w:line="243" w:lineRule="exact"/>
              <w:rPr>
                <w:sz w:val="20"/>
                <w:szCs w:val="20"/>
                <w:color w:val="auto"/>
              </w:rPr>
            </w:pPr>
            <w:r>
              <w:rPr>
                <w:rFonts w:ascii="Times New Roman" w:cs="Times New Roman" w:eastAsia="Times New Roman" w:hAnsi="Times New Roman"/>
                <w:sz w:val="16"/>
                <w:szCs w:val="16"/>
                <w:color w:val="auto"/>
              </w:rPr>
              <w:t>Brock Strasbourger</w:t>
            </w:r>
            <w:r>
              <w:rPr>
                <w:rFonts w:ascii="Times New Roman" w:cs="Times New Roman" w:eastAsia="Times New Roman" w:hAnsi="Times New Roman"/>
                <w:sz w:val="26"/>
                <w:szCs w:val="26"/>
                <w:color w:val="auto"/>
                <w:vertAlign w:val="superscript"/>
              </w:rPr>
              <w:t>(3)(34)</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390,905</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269,850</w:t>
            </w: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390,905</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269,850</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Cabbaj Capital Ltd.</w:t>
            </w:r>
            <w:r>
              <w:rPr>
                <w:rFonts w:ascii="Times New Roman" w:cs="Times New Roman" w:eastAsia="Times New Roman" w:hAnsi="Times New Roman"/>
                <w:sz w:val="26"/>
                <w:szCs w:val="26"/>
                <w:color w:val="auto"/>
                <w:vertAlign w:val="superscript"/>
              </w:rPr>
              <w:t>(7)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tcPr>
          <w:p>
            <w:pPr>
              <w:spacing w:after="0" w:line="243" w:lineRule="exact"/>
              <w:rPr>
                <w:sz w:val="20"/>
                <w:szCs w:val="20"/>
                <w:color w:val="auto"/>
              </w:rPr>
            </w:pPr>
            <w:r>
              <w:rPr>
                <w:rFonts w:ascii="Times New Roman" w:cs="Times New Roman" w:eastAsia="Times New Roman" w:hAnsi="Times New Roman"/>
                <w:sz w:val="16"/>
                <w:szCs w:val="16"/>
                <w:color w:val="auto"/>
              </w:rPr>
              <w:t>Cartoris Limited</w:t>
            </w:r>
            <w:r>
              <w:rPr>
                <w:rFonts w:ascii="Times New Roman" w:cs="Times New Roman" w:eastAsia="Times New Roman" w:hAnsi="Times New Roman"/>
                <w:sz w:val="26"/>
                <w:szCs w:val="26"/>
                <w:color w:val="auto"/>
                <w:vertAlign w:val="superscript"/>
              </w:rPr>
              <w:t>(30)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252,687</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85,000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167,687</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CEOF Holdings LP</w:t>
            </w:r>
            <w:r>
              <w:rPr>
                <w:rFonts w:ascii="Times New Roman" w:cs="Times New Roman" w:eastAsia="Times New Roman" w:hAnsi="Times New Roman"/>
                <w:sz w:val="26"/>
                <w:szCs w:val="26"/>
                <w:color w:val="auto"/>
                <w:vertAlign w:val="superscript"/>
              </w:rPr>
              <w:t>(21)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1,021,457</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w:t>
            </w: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190,909</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1,021,457</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190,909</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3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Chardan Capital Markets</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0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29"/>
                <w:szCs w:val="29"/>
                <w:color w:val="auto"/>
                <w:w w:val="85"/>
                <w:vertAlign w:val="subscript"/>
              </w:rPr>
              <w:t>LLC</w:t>
            </w:r>
            <w:r>
              <w:rPr>
                <w:rFonts w:ascii="Times New Roman" w:cs="Times New Roman" w:eastAsia="Times New Roman" w:hAnsi="Times New Roman"/>
                <w:sz w:val="13"/>
                <w:szCs w:val="13"/>
                <w:color w:val="auto"/>
                <w:w w:val="85"/>
              </w:rPr>
              <w:t>(23)</w:t>
            </w:r>
          </w:p>
        </w:tc>
        <w:tc>
          <w:tcPr>
            <w:tcW w:w="1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2"/>
                <w:szCs w:val="22"/>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350,000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Chardan International</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380" w:type="dxa"/>
            <w:vAlign w:val="bottom"/>
            <w:gridSpan w:val="4"/>
            <w:shd w:val="clear" w:color="auto" w:fill="CCEEFF"/>
          </w:tcPr>
          <w:p>
            <w:pPr>
              <w:ind w:left="180"/>
              <w:spacing w:after="0" w:line="256" w:lineRule="exact"/>
              <w:rPr>
                <w:sz w:val="20"/>
                <w:szCs w:val="20"/>
                <w:color w:val="auto"/>
              </w:rPr>
            </w:pPr>
            <w:r>
              <w:rPr>
                <w:rFonts w:ascii="Times New Roman" w:cs="Times New Roman" w:eastAsia="Times New Roman" w:hAnsi="Times New Roman"/>
                <w:sz w:val="16"/>
                <w:szCs w:val="16"/>
                <w:color w:val="auto"/>
              </w:rPr>
              <w:t>Investments, LLC</w:t>
            </w:r>
            <w:r>
              <w:rPr>
                <w:rFonts w:ascii="Times New Roman" w:cs="Times New Roman" w:eastAsia="Times New Roman" w:hAnsi="Times New Roman"/>
                <w:sz w:val="26"/>
                <w:szCs w:val="26"/>
                <w:color w:val="auto"/>
                <w:vertAlign w:val="superscript"/>
              </w:rPr>
              <w:t>(23)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2,983,171</w:t>
            </w: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1,875,000</w:t>
            </w: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2,983,171</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1,875,000</w:t>
            </w: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tcPr>
          <w:p>
            <w:pPr>
              <w:spacing w:after="0" w:line="243" w:lineRule="exact"/>
              <w:rPr>
                <w:sz w:val="20"/>
                <w:szCs w:val="20"/>
                <w:color w:val="auto"/>
              </w:rPr>
            </w:pPr>
            <w:r>
              <w:rPr>
                <w:rFonts w:ascii="Times New Roman" w:cs="Times New Roman" w:eastAsia="Times New Roman" w:hAnsi="Times New Roman"/>
                <w:sz w:val="16"/>
                <w:szCs w:val="16"/>
                <w:color w:val="auto"/>
              </w:rPr>
              <w:t>Chris Ahrens</w:t>
            </w:r>
            <w:r>
              <w:rPr>
                <w:rFonts w:ascii="Times New Roman" w:cs="Times New Roman" w:eastAsia="Times New Roman" w:hAnsi="Times New Roman"/>
                <w:sz w:val="26"/>
                <w:szCs w:val="26"/>
                <w:color w:val="auto"/>
                <w:vertAlign w:val="superscript"/>
              </w:rPr>
              <w:t>(3)(38)</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61,116</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26,238</w:t>
            </w: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61,116</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26,238</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Cindat USA LLC</w:t>
            </w:r>
            <w:r>
              <w:rPr>
                <w:rFonts w:ascii="Times New Roman" w:cs="Times New Roman" w:eastAsia="Times New Roman" w:hAnsi="Times New Roman"/>
                <w:sz w:val="26"/>
                <w:szCs w:val="26"/>
                <w:color w:val="auto"/>
                <w:vertAlign w:val="superscript"/>
              </w:rPr>
              <w:t>(17)</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1,374,148</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918,387</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1,374,148</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918,387</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Cleveland​</w:t>
            </w:r>
          </w:p>
        </w:tc>
        <w:tc>
          <w:tcPr>
            <w:tcW w:w="1680" w:type="dxa"/>
            <w:vAlign w:val="bottom"/>
            <w:gridSpan w:val="2"/>
          </w:tcPr>
          <w:p>
            <w:pPr>
              <w:jc w:val="center"/>
              <w:ind w:right="620"/>
              <w:spacing w:after="0" w:line="243" w:lineRule="exact"/>
              <w:rPr>
                <w:sz w:val="20"/>
                <w:szCs w:val="20"/>
                <w:color w:val="auto"/>
              </w:rPr>
            </w:pPr>
            <w:r>
              <w:rPr>
                <w:rFonts w:ascii="Times New Roman" w:cs="Times New Roman" w:eastAsia="Times New Roman" w:hAnsi="Times New Roman"/>
                <w:sz w:val="16"/>
                <w:szCs w:val="16"/>
                <w:color w:val="auto"/>
                <w:w w:val="93"/>
              </w:rPr>
              <w:t>Avenue LLC</w:t>
            </w:r>
            <w:r>
              <w:rPr>
                <w:rFonts w:ascii="Times New Roman" w:cs="Times New Roman" w:eastAsia="Times New Roman" w:hAnsi="Times New Roman"/>
                <w:sz w:val="26"/>
                <w:szCs w:val="26"/>
                <w:color w:val="auto"/>
                <w:w w:val="93"/>
                <w:vertAlign w:val="superscript"/>
              </w:rPr>
              <w:t>(33)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10,000,000</w:t>
            </w:r>
          </w:p>
        </w:tc>
        <w:tc>
          <w:tcPr>
            <w:tcW w:w="12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17.3%</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Cliff Moskowitz</w:t>
            </w:r>
            <w:r>
              <w:rPr>
                <w:rFonts w:ascii="Times New Roman" w:cs="Times New Roman" w:eastAsia="Times New Roman" w:hAnsi="Times New Roman"/>
                <w:sz w:val="26"/>
                <w:szCs w:val="26"/>
                <w:color w:val="auto"/>
                <w:vertAlign w:val="superscript"/>
              </w:rPr>
              <w:t>(3)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44,866</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26,238</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44,866</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26,238</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3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Connective Capital Emerging</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380" w:type="dxa"/>
            <w:vAlign w:val="bottom"/>
            <w:gridSpan w:val="4"/>
          </w:tcPr>
          <w:p>
            <w:pPr>
              <w:ind w:left="180"/>
              <w:spacing w:after="0" w:line="256" w:lineRule="exact"/>
              <w:rPr>
                <w:sz w:val="20"/>
                <w:szCs w:val="20"/>
                <w:color w:val="auto"/>
              </w:rPr>
            </w:pPr>
            <w:r>
              <w:rPr>
                <w:rFonts w:ascii="Times New Roman" w:cs="Times New Roman" w:eastAsia="Times New Roman" w:hAnsi="Times New Roman"/>
                <w:sz w:val="16"/>
                <w:szCs w:val="16"/>
                <w:color w:val="auto"/>
              </w:rPr>
              <w:t>Energy QP, LP</w:t>
            </w:r>
            <w:r>
              <w:rPr>
                <w:rFonts w:ascii="Times New Roman" w:cs="Times New Roman" w:eastAsia="Times New Roman" w:hAnsi="Times New Roman"/>
                <w:sz w:val="26"/>
                <w:szCs w:val="26"/>
                <w:color w:val="auto"/>
                <w:vertAlign w:val="superscript"/>
              </w:rPr>
              <w:t>(30)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68,137</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2"/>
                <w:szCs w:val="22"/>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68,137</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Connective Capital I QP, LP</w:t>
            </w:r>
            <w:r>
              <w:rPr>
                <w:rFonts w:ascii="Times New Roman" w:cs="Times New Roman" w:eastAsia="Times New Roman" w:hAnsi="Times New Roman"/>
                <w:sz w:val="26"/>
                <w:szCs w:val="26"/>
                <w:color w:val="auto"/>
                <w:vertAlign w:val="superscript"/>
              </w:rPr>
              <w:t>(30)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31,863</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31,863</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tcPr>
          <w:p>
            <w:pPr>
              <w:spacing w:after="0" w:line="243" w:lineRule="exact"/>
              <w:rPr>
                <w:sz w:val="20"/>
                <w:szCs w:val="20"/>
                <w:color w:val="auto"/>
              </w:rPr>
            </w:pPr>
            <w:r>
              <w:rPr>
                <w:rFonts w:ascii="Times New Roman" w:cs="Times New Roman" w:eastAsia="Times New Roman" w:hAnsi="Times New Roman"/>
                <w:sz w:val="16"/>
                <w:szCs w:val="16"/>
                <w:color w:val="auto"/>
              </w:rPr>
              <w:t>Cosme Fagundo</w:t>
            </w:r>
            <w:r>
              <w:rPr>
                <w:rFonts w:ascii="Times New Roman" w:cs="Times New Roman" w:eastAsia="Times New Roman" w:hAnsi="Times New Roman"/>
                <w:sz w:val="26"/>
                <w:szCs w:val="26"/>
                <w:color w:val="auto"/>
                <w:vertAlign w:val="superscript"/>
              </w:rPr>
              <w:t>(2)</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Dan Bordessa</w:t>
            </w:r>
            <w:r>
              <w:rPr>
                <w:rFonts w:ascii="Times New Roman" w:cs="Times New Roman" w:eastAsia="Times New Roman" w:hAnsi="Times New Roman"/>
                <w:sz w:val="26"/>
                <w:szCs w:val="26"/>
                <w:color w:val="auto"/>
                <w:vertAlign w:val="superscript"/>
              </w:rPr>
              <w:t>(3)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77,232</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77,232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tcPr>
          <w:p>
            <w:pPr>
              <w:spacing w:after="0" w:line="243" w:lineRule="exact"/>
              <w:rPr>
                <w:sz w:val="20"/>
                <w:szCs w:val="20"/>
                <w:color w:val="auto"/>
              </w:rPr>
            </w:pPr>
            <w:r>
              <w:rPr>
                <w:rFonts w:ascii="Times New Roman" w:cs="Times New Roman" w:eastAsia="Times New Roman" w:hAnsi="Times New Roman"/>
                <w:sz w:val="16"/>
                <w:szCs w:val="16"/>
                <w:color w:val="auto"/>
              </w:rPr>
              <w:t>David Allan DeHorn</w:t>
            </w:r>
            <w:r>
              <w:rPr>
                <w:rFonts w:ascii="Times New Roman" w:cs="Times New Roman" w:eastAsia="Times New Roman" w:hAnsi="Times New Roman"/>
                <w:sz w:val="26"/>
                <w:szCs w:val="26"/>
                <w:color w:val="auto"/>
                <w:vertAlign w:val="superscript"/>
              </w:rPr>
              <w:t>(3)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77,232</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77,232</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Dentons US LLP</w:t>
            </w:r>
            <w:r>
              <w:rPr>
                <w:rFonts w:ascii="Times New Roman" w:cs="Times New Roman" w:eastAsia="Times New Roman" w:hAnsi="Times New Roman"/>
                <w:sz w:val="26"/>
                <w:szCs w:val="26"/>
                <w:color w:val="auto"/>
                <w:vertAlign w:val="superscript"/>
              </w:rPr>
              <w:t>(13)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tcPr>
          <w:p>
            <w:pPr>
              <w:spacing w:after="0" w:line="243" w:lineRule="exact"/>
              <w:rPr>
                <w:sz w:val="20"/>
                <w:szCs w:val="20"/>
                <w:color w:val="auto"/>
              </w:rPr>
            </w:pPr>
            <w:r>
              <w:rPr>
                <w:rFonts w:ascii="Times New Roman" w:cs="Times New Roman" w:eastAsia="Times New Roman" w:hAnsi="Times New Roman"/>
                <w:sz w:val="16"/>
                <w:szCs w:val="16"/>
                <w:color w:val="auto"/>
              </w:rPr>
              <w:t>Dhari Albader</w:t>
            </w:r>
            <w:r>
              <w:rPr>
                <w:rFonts w:ascii="Times New Roman" w:cs="Times New Roman" w:eastAsia="Times New Roman" w:hAnsi="Times New Roman"/>
                <w:sz w:val="26"/>
                <w:szCs w:val="26"/>
                <w:color w:val="auto"/>
                <w:vertAlign w:val="superscript"/>
              </w:rPr>
              <w:t>(30)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247,500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147,500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Dipan Desai</w:t>
            </w:r>
            <w:r>
              <w:rPr>
                <w:rFonts w:ascii="Times New Roman" w:cs="Times New Roman" w:eastAsia="Times New Roman" w:hAnsi="Times New Roman"/>
                <w:sz w:val="26"/>
                <w:szCs w:val="26"/>
                <w:color w:val="auto"/>
                <w:vertAlign w:val="superscript"/>
              </w:rPr>
              <w:t>(30)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tcPr>
          <w:p>
            <w:pPr>
              <w:spacing w:after="0" w:line="243" w:lineRule="exact"/>
              <w:rPr>
                <w:sz w:val="20"/>
                <w:szCs w:val="20"/>
                <w:color w:val="auto"/>
              </w:rPr>
            </w:pPr>
            <w:r>
              <w:rPr>
                <w:rFonts w:ascii="Times New Roman" w:cs="Times New Roman" w:eastAsia="Times New Roman" w:hAnsi="Times New Roman"/>
                <w:sz w:val="16"/>
                <w:szCs w:val="16"/>
                <w:color w:val="auto"/>
              </w:rPr>
              <w:t>Ed Scheetz</w:t>
            </w:r>
            <w:r>
              <w:rPr>
                <w:rFonts w:ascii="Times New Roman" w:cs="Times New Roman" w:eastAsia="Times New Roman" w:hAnsi="Times New Roman"/>
                <w:sz w:val="26"/>
                <w:szCs w:val="26"/>
                <w:color w:val="auto"/>
                <w:vertAlign w:val="superscript"/>
              </w:rPr>
              <w:t>(3)(11)</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1,321,389</w:t>
            </w:r>
          </w:p>
        </w:tc>
        <w:tc>
          <w:tcPr>
            <w:tcW w:w="12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705,762</w:t>
            </w: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1,032,464</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705,762</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EJK Investments LLC</w:t>
            </w:r>
            <w:r>
              <w:rPr>
                <w:rFonts w:ascii="Times New Roman" w:cs="Times New Roman" w:eastAsia="Times New Roman" w:hAnsi="Times New Roman"/>
                <w:sz w:val="26"/>
                <w:szCs w:val="26"/>
                <w:color w:val="auto"/>
                <w:vertAlign w:val="superscript"/>
              </w:rPr>
              <w:t>(30)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tcPr>
          <w:p>
            <w:pPr>
              <w:spacing w:after="0" w:line="243" w:lineRule="exact"/>
              <w:rPr>
                <w:sz w:val="20"/>
                <w:szCs w:val="20"/>
                <w:color w:val="auto"/>
              </w:rPr>
            </w:pPr>
            <w:r>
              <w:rPr>
                <w:rFonts w:ascii="Times New Roman" w:cs="Times New Roman" w:eastAsia="Times New Roman" w:hAnsi="Times New Roman"/>
                <w:sz w:val="16"/>
                <w:szCs w:val="16"/>
                <w:color w:val="auto"/>
              </w:rPr>
              <w:t>Georgia Sgardeli</w:t>
            </w:r>
            <w:r>
              <w:rPr>
                <w:rFonts w:ascii="Times New Roman" w:cs="Times New Roman" w:eastAsia="Times New Roman" w:hAnsi="Times New Roman"/>
                <w:sz w:val="26"/>
                <w:szCs w:val="26"/>
                <w:color w:val="auto"/>
                <w:vertAlign w:val="superscript"/>
              </w:rPr>
              <w:t>(30)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Greg Flynn</w:t>
            </w:r>
            <w:r>
              <w:rPr>
                <w:rFonts w:ascii="Times New Roman" w:cs="Times New Roman" w:eastAsia="Times New Roman" w:hAnsi="Times New Roman"/>
                <w:sz w:val="26"/>
                <w:szCs w:val="26"/>
                <w:color w:val="auto"/>
                <w:vertAlign w:val="superscript"/>
              </w:rPr>
              <w:t>(18)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10,000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tcPr>
          <w:p>
            <w:pPr>
              <w:spacing w:after="0" w:line="243" w:lineRule="exact"/>
              <w:rPr>
                <w:sz w:val="20"/>
                <w:szCs w:val="20"/>
                <w:color w:val="auto"/>
              </w:rPr>
            </w:pPr>
            <w:r>
              <w:rPr>
                <w:rFonts w:ascii="Times New Roman" w:cs="Times New Roman" w:eastAsia="Times New Roman" w:hAnsi="Times New Roman"/>
                <w:sz w:val="16"/>
                <w:szCs w:val="16"/>
                <w:color w:val="auto"/>
              </w:rPr>
              <w:t>HighSage Ventures LLC</w:t>
            </w:r>
            <w:r>
              <w:rPr>
                <w:rFonts w:ascii="Times New Roman" w:cs="Times New Roman" w:eastAsia="Times New Roman" w:hAnsi="Times New Roman"/>
                <w:sz w:val="26"/>
                <w:szCs w:val="26"/>
                <w:color w:val="auto"/>
                <w:vertAlign w:val="superscript"/>
              </w:rPr>
              <w:t>(19)</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0"/>
        </w:trPr>
        <w:tc>
          <w:tcPr>
            <w:tcW w:w="23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I2BF Global Investments</w:t>
            </w: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0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6"/>
                <w:szCs w:val="16"/>
                <w:color w:val="auto"/>
              </w:rPr>
              <w:t>Ltd.</w:t>
            </w:r>
            <w:r>
              <w:rPr>
                <w:rFonts w:ascii="Times New Roman" w:cs="Times New Roman" w:eastAsia="Times New Roman" w:hAnsi="Times New Roman"/>
                <w:sz w:val="26"/>
                <w:szCs w:val="26"/>
                <w:color w:val="auto"/>
                <w:vertAlign w:val="superscript"/>
              </w:rPr>
              <w:t>(6)</w:t>
            </w:r>
          </w:p>
        </w:tc>
        <w:tc>
          <w:tcPr>
            <w:tcW w:w="1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5,682,225</w:t>
            </w: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9.8%</w:t>
            </w:r>
          </w:p>
        </w:tc>
        <w:tc>
          <w:tcPr>
            <w:tcW w:w="12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5,682,225</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tcPr>
          <w:p>
            <w:pPr>
              <w:spacing w:after="0" w:line="243" w:lineRule="exact"/>
              <w:rPr>
                <w:sz w:val="20"/>
                <w:szCs w:val="20"/>
                <w:color w:val="auto"/>
              </w:rPr>
            </w:pPr>
            <w:r>
              <w:rPr>
                <w:rFonts w:ascii="Times New Roman" w:cs="Times New Roman" w:eastAsia="Times New Roman" w:hAnsi="Times New Roman"/>
                <w:sz w:val="16"/>
                <w:szCs w:val="16"/>
                <w:color w:val="auto"/>
              </w:rPr>
              <w:t>Jameson Weber</w:t>
            </w:r>
            <w:r>
              <w:rPr>
                <w:rFonts w:ascii="Times New Roman" w:cs="Times New Roman" w:eastAsia="Times New Roman" w:hAnsi="Times New Roman"/>
                <w:sz w:val="26"/>
                <w:szCs w:val="26"/>
                <w:color w:val="auto"/>
                <w:vertAlign w:val="superscript"/>
              </w:rPr>
              <w:t>(3)</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77,232</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77,232</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4"/>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Jasminder Singh</w:t>
            </w:r>
            <w:r>
              <w:rPr>
                <w:rFonts w:ascii="Times New Roman" w:cs="Times New Roman" w:eastAsia="Times New Roman" w:hAnsi="Times New Roman"/>
                <w:sz w:val="26"/>
                <w:szCs w:val="26"/>
                <w:color w:val="auto"/>
                <w:vertAlign w:val="superscript"/>
              </w:rPr>
              <w:t>(3)</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115,848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78,714</w:t>
            </w:r>
          </w:p>
        </w:tc>
        <w:tc>
          <w:tcPr>
            <w:tcW w:w="1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115,848</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78,714</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682"/>
        </w:trPr>
        <w:tc>
          <w:tcPr>
            <w:tcW w:w="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46" w:name="page47"/>
    <w:bookmarkEnd w:id="46"/>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0" w:type="dxa"/>
            <w:vAlign w:val="bottom"/>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Beneficially Owned Before the Offering</w:t>
            </w:r>
          </w:p>
        </w:tc>
        <w:tc>
          <w:tcPr>
            <w:tcW w:w="0" w:type="dxa"/>
            <w:vAlign w:val="bottom"/>
          </w:tcPr>
          <w:p>
            <w:pPr>
              <w:spacing w:after="0"/>
              <w:rPr>
                <w:sz w:val="1"/>
                <w:szCs w:val="1"/>
                <w:color w:val="auto"/>
              </w:rPr>
            </w:pPr>
          </w:p>
        </w:tc>
      </w:tr>
      <w:tr>
        <w:trPr>
          <w:trHeight w:val="187"/>
        </w:trPr>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0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40" w:type="dxa"/>
            <w:vAlign w:val="bottom"/>
            <w:gridSpan w:val="3"/>
          </w:tcPr>
          <w:p>
            <w:pPr>
              <w:jc w:val="center"/>
              <w:ind w:right="100"/>
              <w:spacing w:after="0" w:line="165" w:lineRule="exact"/>
              <w:rPr>
                <w:sz w:val="20"/>
                <w:szCs w:val="20"/>
                <w:color w:val="auto"/>
              </w:rPr>
            </w:pPr>
            <w:r>
              <w:rPr>
                <w:rFonts w:ascii="Times New Roman" w:cs="Times New Roman" w:eastAsia="Times New Roman" w:hAnsi="Times New Roman"/>
                <w:sz w:val="16"/>
                <w:szCs w:val="16"/>
                <w:b w:val="1"/>
                <w:bCs w:val="1"/>
                <w:color w:val="auto"/>
              </w:rPr>
              <w:t>% of</w:t>
            </w:r>
          </w:p>
        </w:tc>
        <w:tc>
          <w:tcPr>
            <w:tcW w:w="920" w:type="dxa"/>
            <w:vAlign w:val="bottom"/>
            <w:gridSpan w:val="2"/>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Private</w:t>
            </w: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Common</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Placement</w:t>
            </w:r>
          </w:p>
        </w:tc>
        <w:tc>
          <w:tcPr>
            <w:tcW w:w="0" w:type="dxa"/>
            <w:vAlign w:val="bottom"/>
          </w:tcPr>
          <w:p>
            <w:pPr>
              <w:spacing w:after="0"/>
              <w:rPr>
                <w:sz w:val="1"/>
                <w:szCs w:val="1"/>
                <w:color w:val="auto"/>
              </w:rPr>
            </w:pPr>
          </w:p>
        </w:tc>
      </w:tr>
      <w:tr>
        <w:trPr>
          <w:trHeight w:val="263"/>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Selling Securityholder</w:t>
            </w:r>
          </w:p>
        </w:tc>
        <w:tc>
          <w:tcPr>
            <w:tcW w:w="120" w:type="dxa"/>
            <w:vAlign w:val="bottom"/>
          </w:tcPr>
          <w:p>
            <w:pPr>
              <w:spacing w:after="0"/>
              <w:rPr>
                <w:sz w:val="22"/>
                <w:szCs w:val="22"/>
                <w:color w:val="auto"/>
              </w:rPr>
            </w:pPr>
          </w:p>
        </w:tc>
        <w:tc>
          <w:tcPr>
            <w:tcW w:w="920" w:type="dxa"/>
            <w:vAlign w:val="bottom"/>
            <w:tcBorders>
              <w:bottom w:val="single" w:sz="8" w:color="auto"/>
            </w:tcBorders>
          </w:tcPr>
          <w:p>
            <w:pPr>
              <w:jc w:val="center"/>
              <w:spacing w:after="0" w:line="256" w:lineRule="exact"/>
              <w:rPr>
                <w:sz w:val="20"/>
                <w:szCs w:val="20"/>
                <w:color w:val="auto"/>
              </w:rPr>
            </w:pPr>
            <w:r>
              <w:rPr>
                <w:rFonts w:ascii="Times New Roman" w:cs="Times New Roman" w:eastAsia="Times New Roman" w:hAnsi="Times New Roman"/>
                <w:sz w:val="16"/>
                <w:szCs w:val="16"/>
                <w:b w:val="1"/>
                <w:bCs w:val="1"/>
                <w:color w:val="auto"/>
                <w:w w:val="92"/>
              </w:rPr>
              <w:t>Stock</w:t>
            </w:r>
            <w:r>
              <w:rPr>
                <w:rFonts w:ascii="Times New Roman" w:cs="Times New Roman" w:eastAsia="Times New Roman" w:hAnsi="Times New Roman"/>
                <w:sz w:val="26"/>
                <w:szCs w:val="26"/>
                <w:b w:val="1"/>
                <w:bCs w:val="1"/>
                <w:color w:val="auto"/>
                <w:w w:val="92"/>
                <w:vertAlign w:val="superscript"/>
              </w:rPr>
              <w:t>(1)</w:t>
            </w:r>
          </w:p>
        </w:tc>
        <w:tc>
          <w:tcPr>
            <w:tcW w:w="120" w:type="dxa"/>
            <w:vAlign w:val="bottom"/>
          </w:tcPr>
          <w:p>
            <w:pPr>
              <w:spacing w:after="0"/>
              <w:rPr>
                <w:sz w:val="22"/>
                <w:szCs w:val="22"/>
                <w:color w:val="auto"/>
              </w:rPr>
            </w:pPr>
          </w:p>
        </w:tc>
        <w:tc>
          <w:tcPr>
            <w:tcW w:w="102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Jay Lidell</w:t>
            </w:r>
            <w:r>
              <w:rPr>
                <w:rFonts w:ascii="Times New Roman" w:cs="Times New Roman" w:eastAsia="Times New Roman" w:hAnsi="Times New Roman"/>
                <w:sz w:val="26"/>
                <w:szCs w:val="26"/>
                <w:color w:val="auto"/>
                <w:vertAlign w:val="superscript"/>
              </w:rPr>
              <w:t>(3)</w:t>
            </w:r>
          </w:p>
        </w:tc>
        <w:tc>
          <w:tcPr>
            <w:tcW w:w="1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6,250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Jeff Jones</w:t>
            </w:r>
            <w:r>
              <w:rPr>
                <w:rFonts w:ascii="Times New Roman" w:cs="Times New Roman" w:eastAsia="Times New Roman" w:hAnsi="Times New Roman"/>
                <w:sz w:val="26"/>
                <w:szCs w:val="26"/>
                <w:color w:val="auto"/>
                <w:vertAlign w:val="superscript"/>
              </w:rPr>
              <w:t>(20)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Jefferies LLC</w:t>
            </w:r>
            <w:r>
              <w:rPr>
                <w:rFonts w:ascii="Times New Roman" w:cs="Times New Roman" w:eastAsia="Times New Roman" w:hAnsi="Times New Roman"/>
                <w:sz w:val="26"/>
                <w:szCs w:val="26"/>
                <w:color w:val="auto"/>
                <w:vertAlign w:val="superscript"/>
              </w:rPr>
              <w:t>(24)</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Julie Atkinson</w:t>
            </w:r>
            <w:r>
              <w:rPr>
                <w:rFonts w:ascii="Times New Roman" w:cs="Times New Roman" w:eastAsia="Times New Roman" w:hAnsi="Times New Roman"/>
                <w:sz w:val="26"/>
                <w:szCs w:val="26"/>
                <w:color w:val="auto"/>
                <w:vertAlign w:val="superscript"/>
              </w:rPr>
              <w:t>(3)(35)</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37,946</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10,495</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Kali Invest LLC</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Kepos Alpha Master Fund L.P.</w:t>
            </w:r>
            <w:r>
              <w:rPr>
                <w:rFonts w:ascii="Times New Roman" w:cs="Times New Roman" w:eastAsia="Times New Roman" w:hAnsi="Times New Roman"/>
                <w:sz w:val="26"/>
                <w:szCs w:val="26"/>
                <w:color w:val="auto"/>
                <w:vertAlign w:val="superscript"/>
              </w:rPr>
              <w:t>(30)</w:t>
            </w:r>
          </w:p>
        </w:tc>
        <w:tc>
          <w:tcPr>
            <w:tcW w:w="10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500,000</w:t>
            </w: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26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(31)</w:t>
            </w: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Kim Lopdrup</w:t>
            </w:r>
            <w:r>
              <w:rPr>
                <w:rFonts w:ascii="Times New Roman" w:cs="Times New Roman" w:eastAsia="Times New Roman" w:hAnsi="Times New Roman"/>
                <w:sz w:val="26"/>
                <w:szCs w:val="26"/>
                <w:color w:val="auto"/>
                <w:vertAlign w:val="superscript"/>
              </w:rPr>
              <w:t>(2)</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Lago Innovation</w:t>
            </w:r>
            <w:r>
              <w:rPr>
                <w:rFonts w:ascii="Times New Roman" w:cs="Times New Roman" w:eastAsia="Times New Roman" w:hAnsi="Times New Roman"/>
                <w:sz w:val="26"/>
                <w:szCs w:val="26"/>
                <w:color w:val="auto"/>
                <w:vertAlign w:val="superscript"/>
              </w:rPr>
              <w:t>(25)</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156,233</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Matt Armstrong</w:t>
            </w:r>
            <w:r>
              <w:rPr>
                <w:rFonts w:ascii="Times New Roman" w:cs="Times New Roman" w:eastAsia="Times New Roman" w:hAnsi="Times New Roman"/>
                <w:sz w:val="26"/>
                <w:szCs w:val="26"/>
                <w:color w:val="auto"/>
                <w:vertAlign w:val="superscript"/>
              </w:rPr>
              <w:t>(3)</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77,232</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52,476</w:t>
            </w:r>
          </w:p>
        </w:tc>
        <w:tc>
          <w:tcPr>
            <w:tcW w:w="0" w:type="dxa"/>
            <w:vAlign w:val="bottom"/>
          </w:tcPr>
          <w:p>
            <w:pPr>
              <w:spacing w:after="0"/>
              <w:rPr>
                <w:sz w:val="1"/>
                <w:szCs w:val="1"/>
                <w:color w:val="auto"/>
              </w:rPr>
            </w:pPr>
          </w:p>
        </w:tc>
      </w:tr>
      <w:tr>
        <w:trPr>
          <w:trHeight w:val="242"/>
        </w:trPr>
        <w:tc>
          <w:tcPr>
            <w:tcW w:w="2380" w:type="dxa"/>
            <w:vAlign w:val="bottom"/>
            <w:gridSpan w:val="2"/>
          </w:tcPr>
          <w:p>
            <w:pPr>
              <w:spacing w:after="0" w:line="242" w:lineRule="exact"/>
              <w:rPr>
                <w:sz w:val="20"/>
                <w:szCs w:val="20"/>
                <w:color w:val="auto"/>
              </w:rPr>
            </w:pPr>
            <w:r>
              <w:rPr>
                <w:rFonts w:ascii="Times New Roman" w:cs="Times New Roman" w:eastAsia="Times New Roman" w:hAnsi="Times New Roman"/>
                <w:sz w:val="16"/>
                <w:szCs w:val="16"/>
                <w:color w:val="auto"/>
              </w:rPr>
              <w:t>Matt MacDonald</w:t>
            </w:r>
            <w:r>
              <w:rPr>
                <w:rFonts w:ascii="Times New Roman" w:cs="Times New Roman" w:eastAsia="Times New Roman" w:hAnsi="Times New Roman"/>
                <w:sz w:val="26"/>
                <w:szCs w:val="26"/>
                <w:color w:val="auto"/>
                <w:vertAlign w:val="superscript"/>
              </w:rPr>
              <w:t>(3)(11)(36)</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1,036,253</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1.8%</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512,024</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Metropolitan Partners</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380" w:type="dxa"/>
            <w:vAlign w:val="bottom"/>
            <w:gridSpan w:val="2"/>
          </w:tcPr>
          <w:p>
            <w:pPr>
              <w:ind w:left="180"/>
              <w:spacing w:after="0" w:line="242" w:lineRule="exact"/>
              <w:rPr>
                <w:sz w:val="20"/>
                <w:szCs w:val="20"/>
                <w:color w:val="auto"/>
              </w:rPr>
            </w:pPr>
            <w:r>
              <w:rPr>
                <w:rFonts w:ascii="Times New Roman" w:cs="Times New Roman" w:eastAsia="Times New Roman" w:hAnsi="Times New Roman"/>
                <w:sz w:val="16"/>
                <w:szCs w:val="16"/>
                <w:color w:val="auto"/>
              </w:rPr>
              <w:t>Group</w:t>
            </w:r>
            <w:r>
              <w:rPr>
                <w:rFonts w:ascii="Times New Roman" w:cs="Times New Roman" w:eastAsia="Times New Roman" w:hAnsi="Times New Roman"/>
                <w:sz w:val="26"/>
                <w:szCs w:val="26"/>
                <w:color w:val="auto"/>
                <w:vertAlign w:val="superscript"/>
              </w:rPr>
              <w:t>(22)</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7,003,544</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12.1%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Monil Gandhi Personal Revocable</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6"/>
                <w:szCs w:val="16"/>
                <w:color w:val="auto"/>
              </w:rPr>
              <w:t>Trust</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12,500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2"/>
        </w:trPr>
        <w:tc>
          <w:tcPr>
            <w:tcW w:w="2380" w:type="dxa"/>
            <w:vAlign w:val="bottom"/>
            <w:gridSpan w:val="2"/>
          </w:tcPr>
          <w:p>
            <w:pPr>
              <w:spacing w:after="0" w:line="242" w:lineRule="exact"/>
              <w:rPr>
                <w:sz w:val="20"/>
                <w:szCs w:val="20"/>
                <w:color w:val="auto"/>
              </w:rPr>
            </w:pPr>
            <w:r>
              <w:rPr>
                <w:rFonts w:ascii="Times New Roman" w:cs="Times New Roman" w:eastAsia="Times New Roman" w:hAnsi="Times New Roman"/>
                <w:sz w:val="16"/>
                <w:szCs w:val="16"/>
                <w:color w:val="auto"/>
              </w:rPr>
              <w:t>Nadir Noorani</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75,000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Nexxus Capital Management Pte.</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6"/>
                <w:szCs w:val="16"/>
                <w:color w:val="auto"/>
              </w:rPr>
              <w:t>Ltd.</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42,029</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Paresh Doshi</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Paul Liberman</w:t>
            </w:r>
            <w:r>
              <w:rPr>
                <w:rFonts w:ascii="Times New Roman" w:cs="Times New Roman" w:eastAsia="Times New Roman" w:hAnsi="Times New Roman"/>
                <w:sz w:val="26"/>
                <w:szCs w:val="26"/>
                <w:color w:val="auto"/>
                <w:vertAlign w:val="superscript"/>
              </w:rPr>
              <w:t>(3)</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38,616</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26,238</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Prasad Phatak</w:t>
            </w:r>
            <w:r>
              <w:rPr>
                <w:rFonts w:ascii="Times New Roman" w:cs="Times New Roman" w:eastAsia="Times New Roman" w:hAnsi="Times New Roman"/>
                <w:sz w:val="26"/>
                <w:szCs w:val="26"/>
                <w:color w:val="auto"/>
                <w:vertAlign w:val="superscript"/>
              </w:rPr>
              <w:t>(3)(37)</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604,758</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415,154</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Rajat Suri</w:t>
            </w:r>
            <w:r>
              <w:rPr>
                <w:rFonts w:ascii="Times New Roman" w:cs="Times New Roman" w:eastAsia="Times New Roman" w:hAnsi="Times New Roman"/>
                <w:sz w:val="26"/>
                <w:szCs w:val="26"/>
                <w:color w:val="auto"/>
                <w:vertAlign w:val="superscript"/>
              </w:rPr>
              <w:t>(2)(15)</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8,623,814</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14.9%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Richard Hoon Thye Woei</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28,926</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Robert Martin</w:t>
            </w:r>
            <w:r>
              <w:rPr>
                <w:rFonts w:ascii="Times New Roman" w:cs="Times New Roman" w:eastAsia="Times New Roman" w:hAnsi="Times New Roman"/>
                <w:sz w:val="26"/>
                <w:szCs w:val="26"/>
                <w:color w:val="auto"/>
                <w:vertAlign w:val="superscript"/>
              </w:rPr>
              <w:t>(3)</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77,232</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52,476</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Romulus Capital</w:t>
            </w:r>
            <w:r>
              <w:rPr>
                <w:rFonts w:ascii="Times New Roman" w:cs="Times New Roman" w:eastAsia="Times New Roman" w:hAnsi="Times New Roman"/>
                <w:sz w:val="26"/>
                <w:szCs w:val="26"/>
                <w:color w:val="auto"/>
                <w:vertAlign w:val="superscript"/>
              </w:rPr>
              <w:t>(9)</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18,111,939</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31.3%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2"/>
        </w:trPr>
        <w:tc>
          <w:tcPr>
            <w:tcW w:w="2380" w:type="dxa"/>
            <w:vAlign w:val="bottom"/>
            <w:gridSpan w:val="2"/>
          </w:tcPr>
          <w:p>
            <w:pPr>
              <w:spacing w:after="0" w:line="242" w:lineRule="exact"/>
              <w:rPr>
                <w:sz w:val="20"/>
                <w:szCs w:val="20"/>
                <w:color w:val="auto"/>
              </w:rPr>
            </w:pPr>
            <w:r>
              <w:rPr>
                <w:rFonts w:ascii="Times New Roman" w:cs="Times New Roman" w:eastAsia="Times New Roman" w:hAnsi="Times New Roman"/>
                <w:sz w:val="16"/>
                <w:szCs w:val="16"/>
                <w:color w:val="auto"/>
              </w:rPr>
              <w:t>Sasha Hoffman</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Schechter Private Capital I, LLC –</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6"/>
                <w:szCs w:val="16"/>
                <w:color w:val="auto"/>
              </w:rPr>
              <w:t>Series V</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1,932,773</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Shamsuddin Charania</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262,069</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Sheel Tyle</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2"/>
        </w:trPr>
        <w:tc>
          <w:tcPr>
            <w:tcW w:w="2380" w:type="dxa"/>
            <w:vAlign w:val="bottom"/>
            <w:gridSpan w:val="2"/>
          </w:tcPr>
          <w:p>
            <w:pPr>
              <w:spacing w:after="0" w:line="242" w:lineRule="exact"/>
              <w:rPr>
                <w:sz w:val="20"/>
                <w:szCs w:val="20"/>
                <w:color w:val="auto"/>
              </w:rPr>
            </w:pPr>
            <w:r>
              <w:rPr>
                <w:rFonts w:ascii="Times New Roman" w:cs="Times New Roman" w:eastAsia="Times New Roman" w:hAnsi="Times New Roman"/>
                <w:sz w:val="16"/>
                <w:szCs w:val="16"/>
                <w:color w:val="auto"/>
              </w:rPr>
              <w:t>Shehzaan Chunara</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87,500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Silver Rock Capital</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6"/>
                <w:szCs w:val="16"/>
                <w:color w:val="auto"/>
              </w:rPr>
              <w:t>Partners</w:t>
            </w:r>
            <w:r>
              <w:rPr>
                <w:rFonts w:ascii="Times New Roman" w:cs="Times New Roman" w:eastAsia="Times New Roman" w:hAnsi="Times New Roman"/>
                <w:sz w:val="26"/>
                <w:szCs w:val="26"/>
                <w:color w:val="auto"/>
                <w:vertAlign w:val="superscript"/>
              </w:rPr>
              <w:t>(10)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0" w:type="dxa"/>
            <w:vAlign w:val="bottom"/>
          </w:tcPr>
          <w:p>
            <w:pPr>
              <w:spacing w:after="0"/>
              <w:rPr>
                <w:sz w:val="1"/>
                <w:szCs w:val="1"/>
                <w:color w:val="auto"/>
              </w:rPr>
            </w:pPr>
          </w:p>
        </w:tc>
      </w:tr>
      <w:tr>
        <w:trPr>
          <w:trHeight w:val="242"/>
        </w:trPr>
        <w:tc>
          <w:tcPr>
            <w:tcW w:w="2380" w:type="dxa"/>
            <w:vAlign w:val="bottom"/>
            <w:gridSpan w:val="2"/>
          </w:tcPr>
          <w:p>
            <w:pPr>
              <w:spacing w:after="0" w:line="242" w:lineRule="exact"/>
              <w:rPr>
                <w:sz w:val="20"/>
                <w:szCs w:val="20"/>
                <w:color w:val="auto"/>
              </w:rPr>
            </w:pPr>
            <w:r>
              <w:rPr>
                <w:rFonts w:ascii="Times New Roman" w:cs="Times New Roman" w:eastAsia="Times New Roman" w:hAnsi="Times New Roman"/>
                <w:sz w:val="16"/>
                <w:szCs w:val="16"/>
                <w:color w:val="auto"/>
              </w:rPr>
              <w:t>Tan Chin Nam</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13,926</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Rebecca P. Samberg 2018</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6"/>
                <w:szCs w:val="16"/>
                <w:color w:val="auto"/>
              </w:rPr>
              <w:t>revocable Trust</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409,640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2"/>
        </w:trPr>
        <w:tc>
          <w:tcPr>
            <w:tcW w:w="2380" w:type="dxa"/>
            <w:vAlign w:val="bottom"/>
            <w:gridSpan w:val="2"/>
          </w:tcPr>
          <w:p>
            <w:pPr>
              <w:spacing w:after="0" w:line="242" w:lineRule="exact"/>
              <w:rPr>
                <w:sz w:val="20"/>
                <w:szCs w:val="20"/>
                <w:color w:val="auto"/>
              </w:rPr>
            </w:pPr>
            <w:r>
              <w:rPr>
                <w:rFonts w:ascii="Times New Roman" w:cs="Times New Roman" w:eastAsia="Times New Roman" w:hAnsi="Times New Roman"/>
                <w:sz w:val="16"/>
                <w:szCs w:val="16"/>
                <w:color w:val="auto"/>
              </w:rPr>
              <w:t>Thomas P Botts</w:t>
            </w:r>
            <w:r>
              <w:rPr>
                <w:rFonts w:ascii="Times New Roman" w:cs="Times New Roman" w:eastAsia="Times New Roman" w:hAnsi="Times New Roman"/>
                <w:sz w:val="26"/>
                <w:szCs w:val="26"/>
                <w:color w:val="auto"/>
                <w:vertAlign w:val="superscript"/>
              </w:rPr>
              <w:t>(3)</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115,848</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78,714</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Trinity Capital Fund II, L.P.,</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380" w:type="dxa"/>
            <w:vAlign w:val="bottom"/>
            <w:gridSpan w:val="2"/>
          </w:tcPr>
          <w:p>
            <w:pPr>
              <w:ind w:left="180"/>
              <w:spacing w:after="0" w:line="242" w:lineRule="exact"/>
              <w:rPr>
                <w:sz w:val="20"/>
                <w:szCs w:val="20"/>
                <w:color w:val="auto"/>
              </w:rPr>
            </w:pPr>
            <w:r>
              <w:rPr>
                <w:rFonts w:ascii="Times New Roman" w:cs="Times New Roman" w:eastAsia="Times New Roman" w:hAnsi="Times New Roman"/>
                <w:sz w:val="28"/>
                <w:szCs w:val="28"/>
                <w:color w:val="auto"/>
                <w:vertAlign w:val="subscript"/>
              </w:rPr>
              <w:t>LLC</w:t>
            </w:r>
            <w:r>
              <w:rPr>
                <w:rFonts w:ascii="Times New Roman" w:cs="Times New Roman" w:eastAsia="Times New Roman" w:hAnsi="Times New Roman"/>
                <w:sz w:val="12"/>
                <w:szCs w:val="12"/>
                <w:color w:val="auto"/>
              </w:rPr>
              <w:t>(39)</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573,660</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Ventoux Acquisition</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6"/>
                <w:szCs w:val="16"/>
                <w:color w:val="auto"/>
              </w:rPr>
              <w:t>Holdings LLC</w:t>
            </w:r>
            <w:r>
              <w:rPr>
                <w:rFonts w:ascii="Times New Roman" w:cs="Times New Roman" w:eastAsia="Times New Roman" w:hAnsi="Times New Roman"/>
                <w:sz w:val="26"/>
                <w:szCs w:val="26"/>
                <w:color w:val="auto"/>
                <w:vertAlign w:val="superscript"/>
              </w:rPr>
              <w:t>(3)(16)</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288,925</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White &amp; Case LLP</w:t>
            </w:r>
            <w:r>
              <w:rPr>
                <w:rFonts w:ascii="Times New Roman" w:cs="Times New Roman" w:eastAsia="Times New Roman" w:hAnsi="Times New Roman"/>
                <w:sz w:val="26"/>
                <w:szCs w:val="26"/>
                <w:color w:val="auto"/>
                <w:vertAlign w:val="superscript"/>
              </w:rPr>
              <w:t>(12)</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23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William (Bill) Healey</w:t>
            </w:r>
            <w:r>
              <w:rPr>
                <w:rFonts w:ascii="Times New Roman" w:cs="Times New Roman" w:eastAsia="Times New Roman" w:hAnsi="Times New Roman"/>
                <w:sz w:val="26"/>
                <w:szCs w:val="26"/>
                <w:color w:val="auto"/>
                <w:vertAlign w:val="superscript"/>
              </w:rPr>
              <w:t>(2)(26)</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307,318</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2"/>
        </w:trPr>
        <w:tc>
          <w:tcPr>
            <w:tcW w:w="2380" w:type="dxa"/>
            <w:vAlign w:val="bottom"/>
            <w:gridSpan w:val="2"/>
          </w:tcPr>
          <w:p>
            <w:pPr>
              <w:spacing w:after="0" w:line="242" w:lineRule="exact"/>
              <w:rPr>
                <w:sz w:val="20"/>
                <w:szCs w:val="20"/>
                <w:color w:val="auto"/>
              </w:rPr>
            </w:pPr>
            <w:r>
              <w:rPr>
                <w:rFonts w:ascii="Times New Roman" w:cs="Times New Roman" w:eastAsia="Times New Roman" w:hAnsi="Times New Roman"/>
                <w:sz w:val="16"/>
                <w:szCs w:val="16"/>
                <w:color w:val="auto"/>
              </w:rPr>
              <w:t>William Souillard-Mandar</w:t>
            </w:r>
            <w:r>
              <w:rPr>
                <w:rFonts w:ascii="Times New Roman" w:cs="Times New Roman" w:eastAsia="Times New Roman" w:hAnsi="Times New Roman"/>
                <w:sz w:val="26"/>
                <w:szCs w:val="26"/>
                <w:color w:val="auto"/>
                <w:vertAlign w:val="superscript"/>
              </w:rPr>
              <w:t>(30)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375,000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4"/>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Wilton Trustees (IOM) Limited</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6"/>
                <w:szCs w:val="16"/>
                <w:color w:val="auto"/>
              </w:rPr>
              <w:t>ATO Dalmia Trust</w:t>
            </w:r>
            <w:r>
              <w:rPr>
                <w:rFonts w:ascii="Times New Roman" w:cs="Times New Roman" w:eastAsia="Times New Roman" w:hAnsi="Times New Roman"/>
                <w:sz w:val="26"/>
                <w:szCs w:val="26"/>
                <w:color w:val="auto"/>
                <w:vertAlign w:val="superscript"/>
              </w:rPr>
              <w:t>(15)</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55"/>
        </w:trPr>
        <w:tc>
          <w:tcPr>
            <w:tcW w:w="23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Woolery &amp; Co PLLC</w:t>
            </w:r>
            <w:r>
              <w:rPr>
                <w:rFonts w:ascii="Times New Roman" w:cs="Times New Roman" w:eastAsia="Times New Roman" w:hAnsi="Times New Roman"/>
                <w:sz w:val="26"/>
                <w:szCs w:val="26"/>
                <w:color w:val="auto"/>
                <w:vertAlign w:val="superscript"/>
              </w:rPr>
              <w:t>(14)</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15,000</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-7057390</wp:posOffset>
            </wp:positionV>
            <wp:extent cx="7132320"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-6739890</wp:posOffset>
            </wp:positionV>
            <wp:extent cx="713232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-6431280</wp:posOffset>
            </wp:positionV>
            <wp:extent cx="713232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-6002655</wp:posOffset>
            </wp:positionV>
            <wp:extent cx="713232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-5694045</wp:posOffset>
            </wp:positionV>
            <wp:extent cx="713232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-5385435</wp:posOffset>
            </wp:positionV>
            <wp:extent cx="7132320" cy="2832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0">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-4819650</wp:posOffset>
            </wp:positionV>
            <wp:extent cx="7132320"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-4382770</wp:posOffset>
            </wp:positionV>
            <wp:extent cx="713232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-4074160</wp:posOffset>
            </wp:positionV>
            <wp:extent cx="713232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-3765550</wp:posOffset>
            </wp:positionV>
            <wp:extent cx="713232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-3456940</wp:posOffset>
            </wp:positionV>
            <wp:extent cx="713232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-3148330</wp:posOffset>
            </wp:positionV>
            <wp:extent cx="7132320" cy="2825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6">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-2710815</wp:posOffset>
            </wp:positionV>
            <wp:extent cx="713232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-2402205</wp:posOffset>
            </wp:positionV>
            <wp:extent cx="7132320" cy="2825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8">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-1965325</wp:posOffset>
            </wp:positionV>
            <wp:extent cx="7132320" cy="2832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9">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-1527810</wp:posOffset>
            </wp:positionV>
            <wp:extent cx="7132320" cy="2825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0">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-962025</wp:posOffset>
            </wp:positionV>
            <wp:extent cx="713232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-653415</wp:posOffset>
            </wp:positionV>
            <wp:extent cx="713232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-216535</wp:posOffset>
            </wp:positionV>
            <wp:extent cx="713232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178308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7"/>
                <w:szCs w:val="17"/>
                <w:color w:val="auto"/>
              </w:rPr>
            </w:pPr>
          </w:p>
        </w:tc>
        <w:tc>
          <w:tcPr>
            <w:tcW w:w="3160" w:type="dxa"/>
            <w:vAlign w:val="bottom"/>
            <w:gridSpan w:val="7"/>
            <w:vMerge w:val="restart"/>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Beneficially Owned After the Offering</w:t>
            </w:r>
          </w:p>
        </w:tc>
        <w:tc>
          <w:tcPr>
            <w:tcW w:w="0" w:type="dxa"/>
            <w:vAlign w:val="bottom"/>
          </w:tcPr>
          <w:p>
            <w:pPr>
              <w:spacing w:after="0"/>
              <w:rPr>
                <w:sz w:val="1"/>
                <w:szCs w:val="1"/>
                <w:color w:val="auto"/>
              </w:rPr>
            </w:pPr>
          </w:p>
        </w:tc>
      </w:tr>
      <w:tr>
        <w:trPr>
          <w:trHeight w:val="212"/>
        </w:trPr>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Private</w:t>
            </w:r>
          </w:p>
        </w:tc>
        <w:tc>
          <w:tcPr>
            <w:tcW w:w="100" w:type="dxa"/>
            <w:vAlign w:val="bottom"/>
          </w:tcPr>
          <w:p>
            <w:pPr>
              <w:spacing w:after="0"/>
              <w:rPr>
                <w:sz w:val="18"/>
                <w:szCs w:val="18"/>
                <w:color w:val="auto"/>
              </w:rPr>
            </w:pPr>
          </w:p>
        </w:tc>
        <w:tc>
          <w:tcPr>
            <w:tcW w:w="3160" w:type="dxa"/>
            <w:vAlign w:val="bottom"/>
            <w:gridSpan w:val="7"/>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Placement</w:t>
            </w:r>
          </w:p>
        </w:tc>
        <w:tc>
          <w:tcPr>
            <w:tcW w:w="10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10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of</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Private</w:t>
            </w:r>
          </w:p>
        </w:tc>
        <w:tc>
          <w:tcPr>
            <w:tcW w:w="0" w:type="dxa"/>
            <w:vAlign w:val="bottom"/>
          </w:tcPr>
          <w:p>
            <w:pPr>
              <w:spacing w:after="0"/>
              <w:rPr>
                <w:sz w:val="1"/>
                <w:szCs w:val="1"/>
                <w:color w:val="auto"/>
              </w:rPr>
            </w:pPr>
          </w:p>
        </w:tc>
      </w:tr>
      <w:tr>
        <w:trPr>
          <w:trHeight w:val="203"/>
        </w:trPr>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Being</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Being</w:t>
            </w:r>
          </w:p>
        </w:tc>
        <w:tc>
          <w:tcPr>
            <w:tcW w:w="10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94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Placement</w:t>
            </w:r>
          </w:p>
        </w:tc>
        <w:tc>
          <w:tcPr>
            <w:tcW w:w="0" w:type="dxa"/>
            <w:vAlign w:val="bottom"/>
          </w:tcPr>
          <w:p>
            <w:pPr>
              <w:spacing w:after="0"/>
              <w:rPr>
                <w:sz w:val="1"/>
                <w:szCs w:val="1"/>
                <w:color w:val="auto"/>
              </w:rPr>
            </w:pPr>
          </w:p>
        </w:tc>
      </w:tr>
      <w:tr>
        <w:trPr>
          <w:trHeight w:val="225"/>
        </w:trPr>
        <w:tc>
          <w:tcPr>
            <w:tcW w:w="100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Offered</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6"/>
                <w:szCs w:val="16"/>
                <w:b w:val="1"/>
                <w:bCs w:val="1"/>
                <w:color w:val="auto"/>
                <w:w w:val="97"/>
              </w:rPr>
              <w:t>Offered</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6,250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37,946</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10,495</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32"/>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156,233</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77,232</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747,328</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512,024</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6"/>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7,003</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5"/>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12,500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75,000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5"/>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39,529</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38,616</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26,238</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604,758</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415,154</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4,386,655</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8,926</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77,232</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52,476</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18,111,939</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5"/>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1,432,773</w:t>
            </w: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2.5%</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87,500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174,569</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87,500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5"/>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8,926</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5"/>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125,000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284,640</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115,848</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78,714</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5"/>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288,925</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5"/>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288,925</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307,318</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375,000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45"/>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43"/>
        </w:trPr>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15,000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bl>
    <w:p>
      <w:pPr>
        <w:spacing w:after="0" w:line="270" w:lineRule="exact"/>
        <w:rPr>
          <w:sz w:val="20"/>
          <w:szCs w:val="20"/>
          <w:color w:val="auto"/>
        </w:rPr>
      </w:pPr>
    </w:p>
    <w:p>
      <w:pPr>
        <w:sectPr>
          <w:pgSz w:w="11900" w:h="16838" w:orient="portrait"/>
          <w:cols w:equalWidth="0" w:num="2">
            <w:col w:w="5580" w:space="100"/>
            <w:col w:w="5560"/>
          </w:cols>
          <w:pgMar w:left="320" w:top="893" w:right="339" w:bottom="1440" w:gutter="0" w:footer="0" w:header="0"/>
        </w:sectPr>
      </w:pPr>
    </w:p>
    <w:p>
      <w:pPr>
        <w:ind w:left="660" w:hanging="652"/>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beneficial ownership of less than 1%.</w:t>
      </w:r>
    </w:p>
    <w:p>
      <w:pPr>
        <w:spacing w:after="0" w:line="252" w:lineRule="exact"/>
        <w:rPr>
          <w:sz w:val="20"/>
          <w:szCs w:val="20"/>
          <w:color w:val="auto"/>
        </w:rPr>
      </w:pPr>
    </w:p>
    <w:p>
      <w:pPr>
        <w:ind w:left="660" w:hanging="652"/>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such number of shares of Presto Common Stock underlying the Private Placement Warrants, Financing Warrants, Trinity Warrants and penny warrants registered hereby as such warrants are currently exercisable.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type w:val="continuous"/>
        </w:sectPr>
      </w:pPr>
    </w:p>
    <w:bookmarkStart w:id="47" w:name="page48"/>
    <w:bookmarkEnd w:id="47"/>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business address of these securityholders is c/o Presto Automation Inc., 985 Industrial Road, San Carlos, CA 94070.</w:t>
      </w:r>
    </w:p>
    <w:p>
      <w:pPr>
        <w:spacing w:after="0" w:line="252"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each of these securityholders is c/o Ventoux Acquisition Holdings LLC, 1 East Putnam Avenue, Floor 4, Greenwich, CT 06830.</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Acadia Woods Partners, LLC is c/o Hawkes Financial LLC, 77 Bedford Road, Katonah, NY 10536.</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Aloha Partners, LLC is c/o Hawkes Financial LLC 77 Bedford Road, Omaha, NE 68127.</w:t>
      </w:r>
    </w:p>
    <w:p>
      <w:pPr>
        <w:spacing w:after="0" w:line="252"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Presto Common Stock held of record by I2BF Global Investments LTD (“I2BF”) and 1,252,717 Earnout Shares that may be issued to I2BF from time to time upon achievement of certain stock price thresholds in accordance with the terms of the Merger Agreement. Ilya Golubovich is a director of the Company and is the sole director of I2BF and possesses both voting and dispositive power over the shares. The business address of I2BF is C/O HSM Corporate Services Ltd. 68 Fort Street, PO Box 31726, Grand Cayman KY 1-1297, Cayman Islands.</w:t>
      </w:r>
    </w:p>
    <w:p>
      <w:pPr>
        <w:spacing w:after="0" w:line="20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Cabbaj Capital Ltd. is Georgiou Katsounotou, 6, 3026, Limassol, Cyprus.</w:t>
      </w:r>
    </w:p>
    <w:p>
      <w:pPr>
        <w:spacing w:after="0" w:line="252" w:lineRule="exact"/>
        <w:rPr>
          <w:rFonts w:ascii="Times New Roman" w:cs="Times New Roman" w:eastAsia="Times New Roman" w:hAnsi="Times New Roman"/>
          <w:sz w:val="18"/>
          <w:szCs w:val="18"/>
          <w:color w:val="auto"/>
        </w:rPr>
      </w:pPr>
    </w:p>
    <w:p>
      <w:pPr>
        <w:jc w:val="both"/>
        <w:ind w:left="660" w:hanging="652"/>
        <w:spacing w:after="0" w:line="255"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7,000,000 shares of Presto Common Stock held of record by Presto CA LLC (“Presto CA”). Cleveland Avenue Food and Beverage Fund II, LP (“CAFB Fund II”) is the sole member of Presto CA. Cleveland Avenue GP II, LLC (“Cleveland Avenue GP II”) is the general partner of CAFB Fund II. Cleveland Avenue, LLC (“CA LLC”) is the sole member of Cleveland Avenue GP II. Keith Kravcik, a director and significant stockholder of the Company, is the Chief Financial Officer and Chief Investment Officer for all of CA LLC’s various investment funds. Donald Thompson is the sole manager of CA LLC. Consequently, Mr. Thompson may be deemed to have sole voting and dispositive power over the shares held directly by Presto CA. Mr. Thompson disclaims beneficial ownership of these securities except to the extent of any pecuniary interest therein. The principal business address of Presto CA is c/o Cleveland Avenue, 222 N. Canal St., Chicago, IL 60606.</w:t>
      </w:r>
    </w:p>
    <w:p>
      <w:pPr>
        <w:spacing w:after="0" w:line="215" w:lineRule="exact"/>
        <w:rPr>
          <w:rFonts w:ascii="Times New Roman" w:cs="Times New Roman" w:eastAsia="Times New Roman" w:hAnsi="Times New Roman"/>
          <w:sz w:val="18"/>
          <w:szCs w:val="18"/>
          <w:color w:val="auto"/>
        </w:rPr>
      </w:pPr>
    </w:p>
    <w:p>
      <w:pPr>
        <w:jc w:val="both"/>
        <w:ind w:left="660" w:hanging="652"/>
        <w:spacing w:after="0" w:line="25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279,680 shares of Presto Common Stock held of record by KKG Enterprises LLC, for which Krishna K. Gupta, the chairman of our Board of Directors, is the managing member; (ii) 239,399 shares of Presto Common Stock held of record by Romulus Capital I, L.P. (“Romulus I”), for which Mr. Gupta is one of two members of Palatine Hill Ventures GP LLC, the general partner of Romulus I, through which Mr. Gupta exercises joint voting and dispositive control of the Presto Common Stock held by Romulus I; (iii) 3,608,384 shares of Presto Common Stock held of record by Romulus Capital II, L.P. (“Romulus II”), for which Mr. Gupta is one of two managing members of Romulus Capital II GP, LLC (the “Romulus GP”), the general partner of Romulus II, through which Mr. Gupta exercises joint voting and dispositive control of the Presto Common Stock held by Romulus II; (iv) 8,225,642 shares of Presto Common Stock held of record by Romulus Capital III, L.P. (“Romulus III”), for which Mr. Gupta is one of two managing members of Romulus GP, which is the general partner of Romulus III, through which Mr. Gupta exercises joint voting and dispositive control of the Presto Common Stock held by Romulus III; (v) 159,209 shares of Presto Common Stock held of record by Romulus ELC B3 Special Opportunity, L.P. (“Romulus Special Opportunity”), for which Mr. Gupta is one of two managing members of Romulus GP, which is the general partner of Romulus Special Opportunity, through which Mr. Gupta exercises joint voting and dispositive control of the Presto Common Stock held by Romulus Special Opportunity; (vi) 638,076 shares of Presto Common Stock held of record by Zaffran Special Opportunities LLC, for which Mr. Gupta is the sole general partner; (vii) 1,200,000 shares of Common Stock underlying outstanding restricted stock units that Legacy Presto granted to Mr. Gupta for services rendered prior to and in connection with the Business Combination, which were subsequently transferred from Mr. Gupta to KKG Enterprises LLC pursuant to that certain Restricted Stock Unit Transfer Agreement, by and among the Company, Mr. Gupta, and KKG Enterprises LLC, dated as of September 29, 2022 and (viii) 3,761,549 Earnout Shares that may be issued to such entities from time to time upon achievement of certain stock price thresholds in accordance with the terms of the Merger Agreement.</w:t>
      </w:r>
    </w:p>
    <w:p>
      <w:pPr>
        <w:spacing w:after="0" w:line="21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500,000 Private Placement Warrants held of record by Lake Vineyard Fund LP and Silver Rock Empire Fund LP — Series 2022, for which Silver Rock Capital Partners LP acts as investment advisor and possesses voting and dispositive power over such Private Placement Warrants. Vinay Kumar is the Managing Partner of Silver Rock Capital Partners LP.</w:t>
      </w:r>
    </w:p>
    <w:p>
      <w:pPr>
        <w:spacing w:after="0" w:line="202"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owned by Ventoux Acquisition Holdings LLC, for which Edward Scheetz and Matt MacDonald are the managing members and have voting and/or dispositive powers with respect to such shares. Edward Sheetz currently serves as a director of the Company.</w:t>
      </w:r>
    </w:p>
    <w:p>
      <w:pPr>
        <w:spacing w:after="0" w:line="188"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White &amp; Case LLP is 1221 Avenue of the Americas New York, NY 10020. White &amp; Case LLP served as counsel to Legacy Presto in connection with the Business Combination.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8" w:name="page49"/>
    <w:bookmarkEnd w:id="48"/>
    <w:p>
      <w:pPr>
        <w:ind w:left="660" w:hanging="652"/>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Dentons US LLP is 233 South Wacker Drive, Suite 5900, Chicago, IL 60606. Dentons US LLP served as co-counsel to VTAQ in connection with the Business Combination.</w:t>
      </w:r>
    </w:p>
    <w:p>
      <w:pPr>
        <w:spacing w:after="0" w:line="192" w:lineRule="exact"/>
        <w:rPr>
          <w:rFonts w:ascii="Times New Roman" w:cs="Times New Roman" w:eastAsia="Times New Roman" w:hAnsi="Times New Roman"/>
          <w:sz w:val="18"/>
          <w:szCs w:val="18"/>
          <w:color w:val="auto"/>
        </w:rPr>
      </w:pPr>
    </w:p>
    <w:p>
      <w:pPr>
        <w:ind w:left="660" w:hanging="652"/>
        <w:spacing w:after="0" w:line="188" w:lineRule="auto"/>
        <w:tabs>
          <w:tab w:leader="none" w:pos="660" w:val="left"/>
        </w:tabs>
        <w:numPr>
          <w:ilvl w:val="0"/>
          <w:numId w:val="3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business address of Woolery &amp; Co. PLLC is 1 Pier 76, 408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Ave New York, NY 10018. Woolery &amp; Co. PLLC served as co-counsel to VTAQ in connection with the Business Combination.</w:t>
      </w:r>
    </w:p>
    <w:p>
      <w:pPr>
        <w:spacing w:after="0" w:line="225" w:lineRule="exact"/>
        <w:rPr>
          <w:rFonts w:ascii="Times New Roman" w:cs="Times New Roman" w:eastAsia="Times New Roman" w:hAnsi="Times New Roman"/>
          <w:sz w:val="36"/>
          <w:szCs w:val="36"/>
          <w:color w:val="auto"/>
          <w:vertAlign w:val="superscript"/>
        </w:rPr>
      </w:pPr>
    </w:p>
    <w:p>
      <w:pPr>
        <w:jc w:val="both"/>
        <w:ind w:left="660" w:hanging="652"/>
        <w:spacing w:after="0" w:line="258"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consists of (i) 2,234,703 shares of Presto Common Stock currently owned by Rajat Suri, our former Chief Executive Officer and former member of the Presto Board, (ii) 4,237,159 shares of Presto Common Stock underlying stock options that are currently exercisable or exercisable within 60 days and (iii) up to 2,151,952 Earnout Shares that may be issued to Mr. Suri from time to time upon achievement of certain stock price thresholds in accordance with the terms of the Merger Agreement. The 2,234,703 shares of Presto Common Stock and 2,151,952 Earnout Shares are being offered by this prospectus.</w:t>
      </w:r>
    </w:p>
    <w:p>
      <w:pPr>
        <w:spacing w:after="0" w:line="210"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288,925 shares of Presto Common Stock that are subject to vesting based upon achievement of certain stock price thresholds in accordance with the terms of the Merger Agreement. VTAQ was the corporate predecessor of the Company.</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Cindat USA LLC is Beijing Yintai Center, Tower C, Suite 5101, 2 Jianwai Avenue, Beijing 100022, PRC.</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Greg Flynn is 225 Bush Street, Suite 1800, San Francisco, CA 94104.</w:t>
      </w:r>
    </w:p>
    <w:p>
      <w:pPr>
        <w:spacing w:after="0" w:line="23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business address of HighSage Ventures, LLC is 200 Clarendon Street, 59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Boston, MA, 02116.</w:t>
      </w:r>
    </w:p>
    <w:p>
      <w:pPr>
        <w:spacing w:after="0" w:line="101" w:lineRule="exact"/>
        <w:rPr>
          <w:rFonts w:ascii="Times New Roman" w:cs="Times New Roman" w:eastAsia="Times New Roman" w:hAnsi="Times New Roman"/>
          <w:sz w:val="36"/>
          <w:szCs w:val="36"/>
          <w:color w:val="auto"/>
          <w:vertAlign w:val="superscript"/>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Jeff Jones is 1180 NW Maple St Ste 105, Issaquah, WA 98027.</w:t>
      </w:r>
    </w:p>
    <w:p>
      <w:pPr>
        <w:spacing w:after="0" w:line="252" w:lineRule="exact"/>
        <w:rPr>
          <w:rFonts w:ascii="Times New Roman" w:cs="Times New Roman" w:eastAsia="Times New Roman" w:hAnsi="Times New Roman"/>
          <w:sz w:val="18"/>
          <w:szCs w:val="18"/>
          <w:color w:val="auto"/>
        </w:rPr>
      </w:pPr>
    </w:p>
    <w:p>
      <w:pPr>
        <w:jc w:val="both"/>
        <w:ind w:left="660" w:hanging="652"/>
        <w:spacing w:after="0" w:line="23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Corbin Capital Partners, L.P., is the investment manager of CEOF Holdings LP (“CEOF”). Craig Bergstrom is the Chief Investment Officer of Corbin Capital Partners, L.P. and directs the voting and investment decisions with respect to the shares held by CEOF. The business address of CEOF is 590 Madison Avenue,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Floor, New York, New York 10022. Mr. Bergstrom disclaims beneficial ownership of shares held by CEOF. CEOF is a lender under the Credit Agreement.</w:t>
      </w:r>
    </w:p>
    <w:p>
      <w:pPr>
        <w:spacing w:after="0" w:line="224" w:lineRule="exact"/>
        <w:rPr>
          <w:rFonts w:ascii="Times New Roman" w:cs="Times New Roman" w:eastAsia="Times New Roman" w:hAnsi="Times New Roman"/>
          <w:sz w:val="18"/>
          <w:szCs w:val="18"/>
          <w:color w:val="auto"/>
        </w:rPr>
      </w:pPr>
    </w:p>
    <w:p>
      <w:pPr>
        <w:jc w:val="both"/>
        <w:ind w:left="660" w:hanging="652"/>
        <w:spacing w:after="0" w:line="237"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MPF VII GP, LLC, an affiliate of Metropolitan Partners Group, is the general partner of Metropolitan Levered Partners Fund VII, LP, Metropolitan Offshore Partners Fund VII, LP, and Metropolitan Partners Fund VII, LP. Paul Lisiak, Alice Wang, Miles Peet and Dougal Gold are the Managing Partner and Chief Executive Officer, Chief Operating Officer, Deputy Chief Operating Officer and Chief Accounting Officer, respectively, of MPF VII GP, LLC and direct the voting and investment decisions with respect to the shares held by such entities. The business address of such entities is 850, Third Avenue, 18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10022. Metropolitan Levered Partners Fund VII, LP, Metropolitan Partners Fund VII, LP, Metropolitan Offshore Partners Fund VII, LP are lenders under the Credit Agreement.</w:t>
      </w:r>
    </w:p>
    <w:p>
      <w:pPr>
        <w:spacing w:after="0" w:line="228" w:lineRule="exact"/>
        <w:rPr>
          <w:rFonts w:ascii="Times New Roman" w:cs="Times New Roman" w:eastAsia="Times New Roman" w:hAnsi="Times New Roman"/>
          <w:sz w:val="18"/>
          <w:szCs w:val="18"/>
          <w:color w:val="auto"/>
        </w:rPr>
      </w:pPr>
    </w:p>
    <w:p>
      <w:pPr>
        <w:jc w:val="both"/>
        <w:ind w:left="660" w:hanging="652"/>
        <w:spacing w:after="0" w:line="235"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1,108,171 shares of Presto Common Stock and 1,875,000 Private Placement Warrants held by Chardan International Investments, LLC and (ii) 350,000 shares of Presto Common Stock held by Chardan Capital Markets, LLC. 155,575 of the shares of Presto Common Stock held by Chardan International Investments, LLC are subject to vesting based upon achievement of certain stock price thresholds in accordance with the terms of the Merger Agreement. The business address for such entities is c/o Chardan Capital Markets LLC, 17 State Street, 21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Floor, New York, NY 10004. Chardan Capital Markets, LLC served as an advisor to Legacy Presto in connection with the Business Combination</w:t>
      </w:r>
    </w:p>
    <w:p>
      <w:pPr>
        <w:spacing w:after="0" w:line="229" w:lineRule="exact"/>
        <w:rPr>
          <w:rFonts w:ascii="Times New Roman" w:cs="Times New Roman" w:eastAsia="Times New Roman" w:hAnsi="Times New Roman"/>
          <w:sz w:val="18"/>
          <w:szCs w:val="18"/>
          <w:color w:val="auto"/>
        </w:rPr>
      </w:pPr>
    </w:p>
    <w:p>
      <w:pPr>
        <w:ind w:left="660" w:hanging="652"/>
        <w:spacing w:after="0" w:line="188" w:lineRule="auto"/>
        <w:tabs>
          <w:tab w:leader="none" w:pos="660" w:val="left"/>
        </w:tabs>
        <w:numPr>
          <w:ilvl w:val="0"/>
          <w:numId w:val="3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business address of Jefferies LLC is 520 Madison Avenue,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10022. Jefferies LLC served as financial advisor to Legacy Presto in connection with the Business Combination.</w:t>
      </w:r>
    </w:p>
    <w:p>
      <w:pPr>
        <w:spacing w:after="0" w:line="225" w:lineRule="exact"/>
        <w:rPr>
          <w:rFonts w:ascii="Times New Roman" w:cs="Times New Roman" w:eastAsia="Times New Roman" w:hAnsi="Times New Roman"/>
          <w:sz w:val="36"/>
          <w:szCs w:val="36"/>
          <w:color w:val="auto"/>
          <w:vertAlign w:val="superscript"/>
        </w:rPr>
      </w:pPr>
    </w:p>
    <w:p>
      <w:pPr>
        <w:jc w:val="both"/>
        <w:ind w:left="660" w:hanging="652"/>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93,739, 31,247 and 31,247 shares of Presto Common Stock held by Lago Acceleration I, LLC, Lago Innovation Fund I, LLC and Lago Innovation Fund II, LLC, respectively. Tim Gottfried and Heather La Freniere are the managing members of each of these entities and have voting and/or dispositive powers with respect to such shares. The business address of such holders is 211 West Wacker Drive 1500A, Chicago, IL 60606.</w:t>
      </w:r>
    </w:p>
    <w:p>
      <w:pPr>
        <w:spacing w:after="0" w:line="202"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266,822 Earnout Shares that may be issued from time to time upon achievement of certain stock price thresholds in accordance with the terms of the Merger Agreement.</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Wilton Trustees (IOM) Limited ATO Dalmia Trust is Grosvenor House 66-67 Athol Street, Isle of Man IM1 IJE.</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Cosme Fagundo is 711 Calle Artis San Jose, CA 95131.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9" w:name="page50"/>
    <w:bookmarkEnd w:id="49"/>
    <w:p>
      <w:pPr>
        <w:jc w:val="both"/>
        <w:ind w:left="660" w:hanging="652"/>
        <w:spacing w:after="0" w:line="25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to be sold pursuant to this prospectus represent 100,000 June 2023 PIPE Shares. Other shares of Common Stock beneficially owned prior to this offering consists of 101,100 shares of Common Stock. Mr. Golubovich is a director of Arbat and disclaims beneficial ownership of the Common Stock held by Arbat except to the extent of his pecuniary interest therein. The business address of Arbat is 5 Themistokli Dervi St., 1066 Nicosia, Cyprus. Mr. Golubovich is a director of Arbat and disclaims beneficial ownership of the common stock held by Arbat except to the extent of his pecuniary interest therein. The business address of Arbat is Room 207 Mortlake Business Centre, 20 Mortlake High Street, London, SW14 8JN, UK.</w:t>
      </w:r>
    </w:p>
    <w:p>
      <w:pPr>
        <w:spacing w:after="0" w:line="214"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shares of Common Stock to be sold pursuant to this prospectus represent June 2023 PIPE Shares held by the securityholders.</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0"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to be sold pursuant to this prospectus represent 500,000 June 2023 PIPE Shares held of record by Kepos Capital LP. Kepos Capital LP is the investment manager of Kepos Alpha Master Fund L.P. and Kepos Partners LLC is the General Partner of Kepos Alpha Master Fund L.P. and each may be deemed to have voting and dispositive power with respect to the shares. The general partner of Kepos Capital LP is Kepos Capital GP LLC (the “Kepos GP”) and the Managing Member of Kepos Partners LLC is Kepos Partners MM LLC (“Kepos MM”). Mark Carhart controls Kepos GP and Kepos MM and, accordingly, may be deemed to have voting and dispositive power with respect to the shares held by Kepos Alpha Master Fund L.P. Mr. Carhart disclaims beneficial ownership of the shares held by Kepos Alpha Master Fund L.P. The business address of Kepos Capital LP and Mr. Carhart is 11 Times Square, 35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10036.</w:t>
      </w:r>
    </w:p>
    <w:p>
      <w:pPr>
        <w:spacing w:after="0" w:line="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to be sold pursuant to this prospectus represent 250,000 June 2023 PIPE Shares. As of April 2022, Mr. Nevinskiy was a partner of I2BF. I2BF, together with its affiliates, holds more than 5% beneficial ownership of the Company and Mr. Golubovich, the sole director of I2BF, currently serves as a director of the Company.</w:t>
      </w:r>
    </w:p>
    <w:p>
      <w:pPr>
        <w:spacing w:after="0" w:line="202" w:lineRule="exact"/>
        <w:rPr>
          <w:rFonts w:ascii="Times New Roman" w:cs="Times New Roman" w:eastAsia="Times New Roman" w:hAnsi="Times New Roman"/>
          <w:sz w:val="18"/>
          <w:szCs w:val="18"/>
          <w:color w:val="auto"/>
        </w:rPr>
      </w:pPr>
    </w:p>
    <w:p>
      <w:pPr>
        <w:jc w:val="both"/>
        <w:ind w:left="660" w:hanging="652"/>
        <w:spacing w:after="0" w:line="254"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to be sold pursuant to this prospectus represent 1,500,000 June 2023 PIPE Shares held of record by Presto CA LLC (“Presto CA”). Cleveland Avenue Food and Beverage Fund II, LP (“CAFB Fund II”) is the sole member of Presto CA. Cleveland Avenue GP II, LLC (“Cleveland Avenue GP II”) is the general partner of CAFB Fund II. Cleveland Avenue, LLC (“CA LLC”) is the sole member of Cleveland Avenue GP II. Keith Kravcik, a director and significant stockholder of the Company, is the Chief Financial Officer and Chief Investment Officer for all of Cleveland Avenue LLC’s various investment funds. Donald Thompson is the sole manager of CA LLC. Consequently, Mr. Thompson may be deemed to have sole voting and dispositive power over the shares held directly by Presto CA. Mr. Thompson disclaims beneficial ownership of these securities except to the extent of any pecuniary interest therein. The principal business address of Presto CA is c/o Cleveland Avenue, 222 N. Canal St., Chicago, IL 60606.</w:t>
      </w:r>
    </w:p>
    <w:p>
      <w:pPr>
        <w:spacing w:after="0" w:line="21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Business Combination, Brock Strasbourger was the Chief Operating Officer of the Company’s corporate predecessor, VTAQ.</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Business Combination, Julie Atkinson was a director of the Company’s corporate predecessor, VTAQ.</w:t>
      </w:r>
    </w:p>
    <w:p>
      <w:pPr>
        <w:spacing w:after="0" w:line="252"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Business Combination, Matt MacDonald was the Chief Financial Officer, Secretary, and a director of the Company’s corporate predecessor, VTAQ.</w:t>
      </w:r>
    </w:p>
    <w:p>
      <w:pPr>
        <w:spacing w:after="0" w:line="18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Business Combination, Prasad Phatak was the Chief Investment Officer of the Company’s corporate predecessor, VTAQ.</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Business Combination, Chris Ahrens was a director of the Company’s corporate predecessor, VTAQ.</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Trinity Capital Fund II, L.P., LLC is 2121 West Chandler Boulevard, Suite 103, Chandler, Arizona 85224.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relates to from time to time (i) the offer and sale by us of up to $75,000,000 in the aggregate of the Company’s Common Stock, preferred stock, debt securities, new warrants, rights or units, (ii) the offer and sale by us of up to 16,823,660 shares of Common Stock upon exercise of the Trinity Warrants, Public Warrants, Financing Warrants, and the Private Placement Warrants and (iii) the resale by certain of the Selling Securityholders named in this prospectus of (a) an aggregate of 52,709,824 shares of Common Stock and (b) 7,625,000 Private Placement Warrants and Financing Warrants.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registering the securities covered by this prospectus on both our behalf and that of the Selling Securityholders. All costs, expenses and fees connected with the registration of such securities will be borne by us. Any brokerage commissions and similar expenses connected with selling such securities will be borne by both us and the Selling Securityholders, respectively, according to the allocation of securities sold.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not receive any of the proceeds from the sale of the securities by the Selling Securityholders.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effectiveness of the registration statement of which this prospectus forms a part, the securities beneficially owned by us or the Selling Securityholders covered by this prospectus may be offered and sold from time to time by us or the Selling Securityholders, as applicable.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Securityholder reserves the right to accept and, together with its respective agents, to reject, any proposed purchase of securities to be made directly or through agents. We and the Selling Securityholders and any of their permitted transferees may sell securities offered by this prospectus on any stock exchange, market or trading facility on which the securities are traded or in private transactions.</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Subject to the limitations set forth in any applicable registration rights agreement, we and the Selling Securityholders may use any one or more of the following methods when selling the securities offered by this prospectus:</w:t>
      </w:r>
    </w:p>
    <w:p>
      <w:pPr>
        <w:spacing w:after="0" w:line="162" w:lineRule="exact"/>
        <w:rPr>
          <w:sz w:val="20"/>
          <w:szCs w:val="20"/>
          <w:color w:val="auto"/>
        </w:rPr>
      </w:pPr>
    </w:p>
    <w:p>
      <w:pPr>
        <w:ind w:left="980" w:hanging="648"/>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225"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securities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entered into after the date of this prospectus;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with broker-dealers to sell a specified number of the securities at a stipulated price per share;</w:t>
      </w:r>
    </w:p>
    <w:p>
      <w:pPr>
        <w:spacing w:after="0" w:line="22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7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directly to purchasers, including through a specific bidding, auction or other process or in privately negotiated transactions;</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or</w:t>
      </w:r>
    </w:p>
    <w:p>
      <w:pPr>
        <w:spacing w:after="0" w:line="225"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1" w:name="page52"/>
    <w:bookmarkEnd w:id="51"/>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 Selling Securityholder that is an entity may elect to make a pro rata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Selling Securityholders also may transfer the securities in other circumstances, in which case the transferees, pledgees or other successors-in-interest will be the selling beneficial owners for purposes of this prospectus. Upon being notified by a Selling Securityholder that a donee, pledgee, transferee, other successor-in-interest intends to sell our securities, we will, to the extent required, promptly file a supplement to this prospectus to name specifically such person as a Selling Securityholder.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required, the names of the Selling Securityholders,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or in connection with the sale of the shares of Common Stock registered hereby, the Selling Securityholders may enter into hedging transactions with broker-dealers or other financial institutions, which may in turn engage in short sales of our securities or the PIPE Shares in the course of hedging the positions they assume. We or the Selling Securityholders may also sell the securities or PIPE Shares short and deliver these securities to close out their short positions, or loan or pledge the securities or PIPE Shares to broker-dealers that in turn may sell these shares. We or the Selling Securityholders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The third party in such sale transactions will be an underwriter and will be identified in the applicable prospectus supplement (or a post-effective amendment to the registration statement of which this prospectus is a part).</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offering the securities covered by this prospectus, us, the Selling Securityholders and any underwriters, broker-dealers or agents who execute sales for the Selling Securityholders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advised the Selling Securityholders that the anti-manipulation rules of Regulation M under the Exchange Act may apply to sales of shares in the market and to the activities of the Selling Securityholders and their affiliates. In addition, to the extent applicable we will make copies of this prospectus (as it may be supplemented or amended from time to time) available to the Selling Securityholders for the purpose of satisfying the prospectus delivery requirements of the Securities Act. The Selling Securityholders may indemnify any broker-dealer that participates in transactions involving the sale of the shares against certain liabilities, including liabilities arising under the Securities Act.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indicated in an applicable prospectus supplement, the validity of the securities to be offered by this prospectus will be passed upon for us by White &amp; Case LLP, 1221 Avenue of the Americas, New York, New York 10020 and for any agents, underwriters, dealers, remarketing firms or other third parties by counsel named in the applicable prospectus supplement.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incorporated in this prospectus by reference from Presto Automation Inc.'s Annual Report on Form 10-K for the year ended June 30, 2023 have been audited by Moss Adams LLP, an independent registered public accounting firm, as stated in its report, which is incorporated herein by reference. Such consolidated financial statements have been so incorporated in reliance upon the report of such firm (which report expresses an unqualified opinion and includes explanatory paragraphs relating to a going concern uncertainty and the adoption of a new accounting standard) given upon their authority as experts in accounting and auditing.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We have also filed registration statements on Form S-1, including exhibits, under the Securities Act with respect to the securities offered by this prospectus. This prospectus is part of the registration statement, but does not contain all of the information included in the registration statement or the exhibits. Our SEC filings are available to the public on the internet at a website maintained by the SEC located at http://www.sec.gov. Those filings are also available to the public on, or accessible through, our website under the heading “Investors” at https://investor.presto.com/. The information on our web site, however, is not, and should not be deemed to be, a part of this prospectus.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incorporate by reference the documents set forth below (excluding any portions of such documents that have been “furnished to” but not “filed with” the SEC for purposes of the Exchange Act):</w:t>
      </w:r>
    </w:p>
    <w:p>
      <w:pPr>
        <w:spacing w:after="0" w:line="162" w:lineRule="exact"/>
        <w:rPr>
          <w:sz w:val="20"/>
          <w:szCs w:val="20"/>
          <w:color w:val="auto"/>
        </w:rPr>
      </w:pPr>
    </w:p>
    <w:p>
      <w:pPr>
        <w:ind w:left="980" w:hanging="648"/>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3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June 30, 2023, filed with the SEC on October 11, 2023, as amended by amendment no. 1 to our Annual Report for the year ended June 30, 2023 on </w:t>
      </w:r>
      <w:hyperlink r:id="rId34">
        <w:r>
          <w:rPr>
            <w:rFonts w:ascii="Times New Roman" w:cs="Times New Roman" w:eastAsia="Times New Roman" w:hAnsi="Times New Roman"/>
            <w:sz w:val="18"/>
            <w:szCs w:val="18"/>
            <w:u w:val="single" w:color="auto"/>
            <w:color w:val="0000EE"/>
          </w:rPr>
          <w:t>Form 10-K/A</w:t>
        </w:r>
      </w:hyperlink>
      <w:r>
        <w:rPr>
          <w:rFonts w:ascii="Times New Roman" w:cs="Times New Roman" w:eastAsia="Times New Roman" w:hAnsi="Times New Roman"/>
          <w:sz w:val="18"/>
          <w:szCs w:val="18"/>
          <w:color w:val="auto"/>
        </w:rPr>
        <w:t>, filed with the SEC on October 12, 2023;</w:t>
      </w:r>
    </w:p>
    <w:p>
      <w:pPr>
        <w:spacing w:after="0" w:line="161"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112">
        <w:r>
          <w:rPr>
            <w:rFonts w:ascii="Times New Roman" w:cs="Times New Roman" w:eastAsia="Times New Roman" w:hAnsi="Times New Roman"/>
            <w:sz w:val="18"/>
            <w:szCs w:val="18"/>
            <w:u w:val="single" w:color="auto"/>
            <w:color w:val="0000EE"/>
          </w:rPr>
          <w:t>August 2, 2023</w:t>
        </w:r>
      </w:hyperlink>
      <w:r>
        <w:rPr>
          <w:rFonts w:ascii="Times New Roman" w:cs="Times New Roman" w:eastAsia="Times New Roman" w:hAnsi="Times New Roman"/>
          <w:sz w:val="18"/>
          <w:szCs w:val="18"/>
          <w:color w:val="auto"/>
        </w:rPr>
        <w:t xml:space="preserve">, </w:t>
      </w:r>
      <w:hyperlink r:id="rId113">
        <w:r>
          <w:rPr>
            <w:rFonts w:ascii="Times New Roman" w:cs="Times New Roman" w:eastAsia="Times New Roman" w:hAnsi="Times New Roman"/>
            <w:sz w:val="18"/>
            <w:szCs w:val="18"/>
            <w:u w:val="single" w:color="auto"/>
            <w:color w:val="0000EE"/>
          </w:rPr>
          <w:t>August 31, 2023</w:t>
        </w:r>
      </w:hyperlink>
      <w:r>
        <w:rPr>
          <w:rFonts w:ascii="Times New Roman" w:cs="Times New Roman" w:eastAsia="Times New Roman" w:hAnsi="Times New Roman"/>
          <w:sz w:val="18"/>
          <w:szCs w:val="18"/>
          <w:color w:val="auto"/>
        </w:rPr>
        <w:t xml:space="preserve">, </w:t>
      </w:r>
      <w:hyperlink r:id="rId114">
        <w:r>
          <w:rPr>
            <w:rFonts w:ascii="Times New Roman" w:cs="Times New Roman" w:eastAsia="Times New Roman" w:hAnsi="Times New Roman"/>
            <w:sz w:val="18"/>
            <w:szCs w:val="18"/>
            <w:u w:val="single" w:color="auto"/>
            <w:color w:val="0000EE"/>
          </w:rPr>
          <w:t>October 11, 2023</w:t>
        </w:r>
      </w:hyperlink>
      <w:r>
        <w:rPr>
          <w:rFonts w:ascii="Times New Roman" w:cs="Times New Roman" w:eastAsia="Times New Roman" w:hAnsi="Times New Roman"/>
          <w:sz w:val="18"/>
          <w:szCs w:val="18"/>
          <w:color w:val="auto"/>
        </w:rPr>
        <w:t xml:space="preserve">, and </w:t>
      </w:r>
      <w:hyperlink r:id="rId115">
        <w:r>
          <w:rPr>
            <w:rFonts w:ascii="Times New Roman" w:cs="Times New Roman" w:eastAsia="Times New Roman" w:hAnsi="Times New Roman"/>
            <w:sz w:val="18"/>
            <w:szCs w:val="18"/>
            <w:u w:val="single" w:color="auto"/>
            <w:color w:val="0000EE"/>
          </w:rPr>
          <w:t>October 20, 2023</w:t>
        </w:r>
      </w:hyperlink>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capital stock contained in our registration statement on </w:t>
      </w:r>
      <w:hyperlink r:id="rId57">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001-39830) filed on December 23, 2020, and any amendments or reports filed for the purposes of updating this description (including </w:t>
      </w:r>
      <w:hyperlink r:id="rId58">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 on Form 10-K for the year ended June 30, 2023).</w:t>
      </w:r>
    </w:p>
    <w:p>
      <w:pPr>
        <w:spacing w:after="0" w:line="176"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14 or 15(d) of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under the Exchange Act, will also be incorporated by reference into this prospectus and deemed to be part of this prospectus from the date of the filing of such reports and documents.</w:t>
      </w:r>
    </w:p>
    <w:p>
      <w:pPr>
        <w:spacing w:after="0" w:line="180" w:lineRule="exact"/>
        <w:rPr>
          <w:rFonts w:ascii="Times New Roman" w:cs="Times New Roman" w:eastAsia="Times New Roman" w:hAnsi="Times New Roman"/>
          <w:sz w:val="18"/>
          <w:szCs w:val="18"/>
          <w:color w:val="auto"/>
        </w:rPr>
      </w:pPr>
    </w:p>
    <w:p>
      <w:pPr>
        <w:jc w:val="center"/>
        <w:ind w:right="300"/>
        <w:spacing w:after="0"/>
        <w:rPr>
          <w:sz w:val="20"/>
          <w:szCs w:val="20"/>
          <w:color w:val="auto"/>
        </w:rPr>
      </w:pPr>
      <w:r>
        <w:rPr>
          <w:rFonts w:ascii="Times New Roman" w:cs="Times New Roman" w:eastAsia="Times New Roman" w:hAnsi="Times New Roman"/>
          <w:sz w:val="17"/>
          <w:szCs w:val="17"/>
          <w:color w:val="auto"/>
        </w:rPr>
        <w:t>You may request a free copy of any of the documents incorporated by reference in this prospectus by writing or telephoning us at the following address:</w:t>
      </w:r>
    </w:p>
    <w:p>
      <w:pPr>
        <w:spacing w:after="0" w:line="23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Presto Automation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985 Industrial Road</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San Carlos, CA 94070</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(650) 817-9012</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207" w:lineRule="exact"/>
        <w:rPr>
          <w:rFonts w:ascii="Times New Roman" w:cs="Times New Roman" w:eastAsia="Times New Roman" w:hAnsi="Times New Roman"/>
          <w:sz w:val="18"/>
          <w:szCs w:val="18"/>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this prospectus or any accompanying prospectus supplement.</w:t>
      </w:r>
    </w:p>
    <w:p>
      <w:pPr>
        <w:spacing w:after="0" w:line="158"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FOR SECURITIES ACT LIABILITIES</w:t>
      </w:r>
    </w:p>
    <w:p>
      <w:pPr>
        <w:spacing w:after="0" w:line="229" w:lineRule="exact"/>
        <w:rPr>
          <w:rFonts w:ascii="Times New Roman" w:cs="Times New Roman" w:eastAsia="Times New Roman" w:hAnsi="Times New Roman"/>
          <w:sz w:val="18"/>
          <w:szCs w:val="18"/>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39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4" w:name="page55"/>
    <w:bookmarkEnd w:id="5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 to $25,000,000 of Common Stock</w:t>
      </w:r>
    </w:p>
    <w:p>
      <w:pPr>
        <w:sectPr>
          <w:pgSz w:w="11900" w:h="16838" w:orient="portrait"/>
          <w:cols w:equalWidth="0" w:num="1">
            <w:col w:w="9019"/>
          </w:cols>
          <w:pgMar w:left="1440" w:top="1440" w:right="1440"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July 25,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1528445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1)"/>
      <w:numFmt w:val="lowerRoman"/>
      <w:start w:val="1"/>
    </w:lvl>
  </w:abstractNum>
  <w:abstractNum w:abstractNumId="14">
    <w:nsid w:val="189A769B"/>
    <w:multiLevelType w:val="hybridMultilevel"/>
    <w:lvl w:ilvl="0">
      <w:lvlJc w:val="left"/>
      <w:lvlText w:val="(%1)"/>
      <w:numFmt w:val="lowerRoman"/>
      <w:start w:val="4"/>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
      <w:numFmt w:val="bullet"/>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1)"/>
      <w:numFmt w:val="lowerRoman"/>
      <w:start w:val="1"/>
    </w:lvl>
    <w:lvl w:ilvl="1">
      <w:lvlJc w:val="left"/>
      <w:lvlText w:val="%2."/>
      <w:numFmt w:val="lowerLetter"/>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1)"/>
      <w:numFmt w:val="decimal"/>
      <w:start w:val="2"/>
    </w:lvl>
  </w:abstractNum>
  <w:abstractNum w:abstractNumId="34">
    <w:nsid w:val="3804823E"/>
    <w:multiLevelType w:val="hybridMultilevel"/>
    <w:lvl w:ilvl="0">
      <w:lvlJc w:val="left"/>
      <w:lvlText w:val="(%1)"/>
      <w:numFmt w:val="decimal"/>
      <w:start w:val="13"/>
    </w:lvl>
  </w:abstractNum>
  <w:abstractNum w:abstractNumId="35">
    <w:nsid w:val="77465F01"/>
    <w:multiLevelType w:val="hybridMultilevel"/>
    <w:lvl w:ilvl="0">
      <w:lvlJc w:val="left"/>
      <w:lvlText w:val="(%1)"/>
      <w:numFmt w:val="decimal"/>
      <w:start w:val="29"/>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59" Type="http://schemas.openxmlformats.org/officeDocument/2006/relationships/image" Target="media/image26.png"/><Relationship Id="rId60" Type="http://schemas.openxmlformats.org/officeDocument/2006/relationships/image" Target="media/image27.png"/><Relationship Id="rId61" Type="http://schemas.openxmlformats.org/officeDocument/2006/relationships/image" Target="media/image28.png"/><Relationship Id="rId62" Type="http://schemas.openxmlformats.org/officeDocument/2006/relationships/image" Target="media/image29.png"/><Relationship Id="rId63" Type="http://schemas.openxmlformats.org/officeDocument/2006/relationships/image" Target="media/image30.png"/><Relationship Id="rId64" Type="http://schemas.openxmlformats.org/officeDocument/2006/relationships/image" Target="media/image31.png"/><Relationship Id="rId65" Type="http://schemas.openxmlformats.org/officeDocument/2006/relationships/image" Target="media/image32.png"/><Relationship Id="rId66" Type="http://schemas.openxmlformats.org/officeDocument/2006/relationships/image" Target="media/image33.png"/><Relationship Id="rId67" Type="http://schemas.openxmlformats.org/officeDocument/2006/relationships/image" Target="media/image34.png"/><Relationship Id="rId68" Type="http://schemas.openxmlformats.org/officeDocument/2006/relationships/image" Target="media/image35.png"/><Relationship Id="rId69" Type="http://schemas.openxmlformats.org/officeDocument/2006/relationships/image" Target="media/image36.png"/><Relationship Id="rId70" Type="http://schemas.openxmlformats.org/officeDocument/2006/relationships/image" Target="media/image37.png"/><Relationship Id="rId71" Type="http://schemas.openxmlformats.org/officeDocument/2006/relationships/image" Target="media/image38.png"/><Relationship Id="rId72" Type="http://schemas.openxmlformats.org/officeDocument/2006/relationships/image" Target="media/image39.png"/><Relationship Id="rId73" Type="http://schemas.openxmlformats.org/officeDocument/2006/relationships/image" Target="media/image40.png"/><Relationship Id="rId74" Type="http://schemas.openxmlformats.org/officeDocument/2006/relationships/image" Target="media/image41.png"/><Relationship Id="rId75" Type="http://schemas.openxmlformats.org/officeDocument/2006/relationships/image" Target="media/image42.png"/><Relationship Id="rId76" Type="http://schemas.openxmlformats.org/officeDocument/2006/relationships/image" Target="media/image43.png"/><Relationship Id="rId77" Type="http://schemas.openxmlformats.org/officeDocument/2006/relationships/image" Target="media/image44.png"/><Relationship Id="rId78" Type="http://schemas.openxmlformats.org/officeDocument/2006/relationships/image" Target="media/image45.png"/><Relationship Id="rId79" Type="http://schemas.openxmlformats.org/officeDocument/2006/relationships/image" Target="media/image46.png"/><Relationship Id="rId80" Type="http://schemas.openxmlformats.org/officeDocument/2006/relationships/image" Target="media/image47.png"/><Relationship Id="rId81" Type="http://schemas.openxmlformats.org/officeDocument/2006/relationships/image" Target="media/image48.png"/><Relationship Id="rId82" Type="http://schemas.openxmlformats.org/officeDocument/2006/relationships/image" Target="media/image49.png"/><Relationship Id="rId83" Type="http://schemas.openxmlformats.org/officeDocument/2006/relationships/image" Target="media/image50.png"/><Relationship Id="rId84" Type="http://schemas.openxmlformats.org/officeDocument/2006/relationships/image" Target="media/image51.png"/><Relationship Id="rId85" Type="http://schemas.openxmlformats.org/officeDocument/2006/relationships/image" Target="media/image52.png"/><Relationship Id="rId86" Type="http://schemas.openxmlformats.org/officeDocument/2006/relationships/image" Target="media/image53.png"/><Relationship Id="rId87" Type="http://schemas.openxmlformats.org/officeDocument/2006/relationships/image" Target="media/image54.png"/><Relationship Id="rId88" Type="http://schemas.openxmlformats.org/officeDocument/2006/relationships/image" Target="media/image55.png"/><Relationship Id="rId89" Type="http://schemas.openxmlformats.org/officeDocument/2006/relationships/image" Target="media/image56.png"/><Relationship Id="rId90" Type="http://schemas.openxmlformats.org/officeDocument/2006/relationships/image" Target="media/image57.png"/><Relationship Id="rId91" Type="http://schemas.openxmlformats.org/officeDocument/2006/relationships/image" Target="media/image58.png"/><Relationship Id="rId92" Type="http://schemas.openxmlformats.org/officeDocument/2006/relationships/image" Target="media/image59.png"/><Relationship Id="rId93" Type="http://schemas.openxmlformats.org/officeDocument/2006/relationships/image" Target="media/image60.png"/><Relationship Id="rId94" Type="http://schemas.openxmlformats.org/officeDocument/2006/relationships/image" Target="media/image61.png"/><Relationship Id="rId95" Type="http://schemas.openxmlformats.org/officeDocument/2006/relationships/image" Target="media/image62.png"/><Relationship Id="rId96" Type="http://schemas.openxmlformats.org/officeDocument/2006/relationships/image" Target="media/image63.png"/><Relationship Id="rId97" Type="http://schemas.openxmlformats.org/officeDocument/2006/relationships/image" Target="media/image64.png"/><Relationship Id="rId98" Type="http://schemas.openxmlformats.org/officeDocument/2006/relationships/image" Target="media/image65.png"/><Relationship Id="rId99" Type="http://schemas.openxmlformats.org/officeDocument/2006/relationships/image" Target="media/image66.png"/><Relationship Id="rId100" Type="http://schemas.openxmlformats.org/officeDocument/2006/relationships/image" Target="media/image67.png"/><Relationship Id="rId101" Type="http://schemas.openxmlformats.org/officeDocument/2006/relationships/image" Target="media/image68.png"/><Relationship Id="rId102" Type="http://schemas.openxmlformats.org/officeDocument/2006/relationships/image" Target="media/image69.png"/><Relationship Id="rId103" Type="http://schemas.openxmlformats.org/officeDocument/2006/relationships/image" Target="media/image70.png"/><Relationship Id="rId104" Type="http://schemas.openxmlformats.org/officeDocument/2006/relationships/image" Target="media/image71.png"/><Relationship Id="rId105" Type="http://schemas.openxmlformats.org/officeDocument/2006/relationships/image" Target="media/image72.png"/><Relationship Id="rId106" Type="http://schemas.openxmlformats.org/officeDocument/2006/relationships/image" Target="media/image73.png"/><Relationship Id="rId107" Type="http://schemas.openxmlformats.org/officeDocument/2006/relationships/image" Target="media/image74.png"/><Relationship Id="rId108" Type="http://schemas.openxmlformats.org/officeDocument/2006/relationships/image" Target="media/image75.png"/><Relationship Id="rId109" Type="http://schemas.openxmlformats.org/officeDocument/2006/relationships/image" Target="media/image76.png"/><Relationship Id="rId110" Type="http://schemas.openxmlformats.org/officeDocument/2006/relationships/image" Target="media/image77.png"/><Relationship Id="rId111" Type="http://schemas.openxmlformats.org/officeDocument/2006/relationships/image" Target="media/image78.png"/><Relationship Id="rId116" Type="http://schemas.openxmlformats.org/officeDocument/2006/relationships/image" Target="media/image79.png"/><Relationship Id="rId117" Type="http://schemas.openxmlformats.org/officeDocument/2006/relationships/image" Target="media/image80.png"/><Relationship Id="rId33" Type="http://schemas.openxmlformats.org/officeDocument/2006/relationships/hyperlink" Target="http://www.sec.gov/Archives/edgar/data/1822145/000155837023016336/prst-20230630x10k.htm" TargetMode="External"/><Relationship Id="rId34" Type="http://schemas.openxmlformats.org/officeDocument/2006/relationships/hyperlink" Target="http://www.sec.gov/Archives/edgar/data/1822145/000155837023016408/prst-20230630x10ka.htm" TargetMode="External"/><Relationship Id="rId35" Type="http://schemas.openxmlformats.org/officeDocument/2006/relationships/hyperlink" Target="http://www.sec.gov/Archives/edgar/data/1822145/000155837023019254/prst-20230930x10q.htm" TargetMode="External"/><Relationship Id="rId36" Type="http://schemas.openxmlformats.org/officeDocument/2006/relationships/hyperlink" Target="http://www.sec.gov/Archives/edgar/data/1822145/000155837024001375/prst-20231231x10q.htm" TargetMode="External"/><Relationship Id="rId37" Type="http://schemas.openxmlformats.org/officeDocument/2006/relationships/hyperlink" Target="https://www.sec.gov/Archives/edgar/data/1822145/000155837024008505/prst-20240331x10q.htm" TargetMode="External"/><Relationship Id="rId38" Type="http://schemas.openxmlformats.org/officeDocument/2006/relationships/hyperlink" Target="http://www.sec.gov/Archives/edgar/data/1822145/000110465923086535/tm2322640d1_8k.htm" TargetMode="External"/><Relationship Id="rId39" Type="http://schemas.openxmlformats.org/officeDocument/2006/relationships/hyperlink" Target="http://www.sec.gov/Archives/edgar/data/1822145/000110465923097311/tm2325309d1_8k.htm" TargetMode="External"/><Relationship Id="rId40" Type="http://schemas.openxmlformats.org/officeDocument/2006/relationships/hyperlink" Target="http://www.sec.gov/Archives/edgar/data/1822145/000101376223002979/ea186564-8k_prestoauto.htm" TargetMode="External"/><Relationship Id="rId41" Type="http://schemas.openxmlformats.org/officeDocument/2006/relationships/hyperlink" Target="http://www.sec.gov/Archives/edgar/data/1822145/000101376223005246/ea187043-8k_prestoauto.htm" TargetMode="External"/><Relationship Id="rId42" Type="http://schemas.openxmlformats.org/officeDocument/2006/relationships/hyperlink" Target="http://www.sec.gov/Archives/edgar/data/1822145/000121390023089293/ea188717-8k_presto.htm" TargetMode="External"/><Relationship Id="rId43" Type="http://schemas.openxmlformats.org/officeDocument/2006/relationships/hyperlink" Target="http://www.sec.gov/Archives/edgar/data/1822145/000155837023019477/prst-20231129x8k.htm" TargetMode="External"/><Relationship Id="rId44" Type="http://schemas.openxmlformats.org/officeDocument/2006/relationships/hyperlink" Target="http://www.sec.gov/Archives/edgar/data/1822145/000155837023019744/prst-20231206x8k.htm" TargetMode="External"/><Relationship Id="rId45" Type="http://schemas.openxmlformats.org/officeDocument/2006/relationships/hyperlink" Target="http://www.sec.gov/Archives/edgar/data/1822145/000121390023095635/ea190049-8k_presto.htm" TargetMode="External"/><Relationship Id="rId46" Type="http://schemas.openxmlformats.org/officeDocument/2006/relationships/hyperlink" Target="http://www.sec.gov/Archives/edgar/data/1822145/000121390023098185/ea190594-8k_presto.htm" TargetMode="External"/><Relationship Id="rId47" Type="http://schemas.openxmlformats.org/officeDocument/2006/relationships/hyperlink" Target="http://www.sec.gov/Archives/edgar/data/1822145/000155837024000064/prst-20231228x8k.htm" TargetMode="External"/><Relationship Id="rId48" Type="http://schemas.openxmlformats.org/officeDocument/2006/relationships/hyperlink" Target="http://www.sec.gov/Archives/edgar/data/1822145/000110465924005627/tm243773d1_8k.htm" TargetMode="External"/><Relationship Id="rId49" Type="http://schemas.openxmlformats.org/officeDocument/2006/relationships/hyperlink" Target="http://www.sec.gov/Archives/edgar/data/1822145/000121390024009098/ea192676-8k_presto.htm" TargetMode="External"/><Relationship Id="rId50" Type="http://schemas.openxmlformats.org/officeDocument/2006/relationships/hyperlink" Target="http://www.sec.gov/Archives/edgar/data/1822145/000110465924010183/tm244871d1_8k.htm" TargetMode="External"/><Relationship Id="rId51" Type="http://schemas.openxmlformats.org/officeDocument/2006/relationships/hyperlink" Target="http://www.sec.gov/Archives/edgar/data/1822145/000110465924025618/tm246736d1_8ka.htm" TargetMode="External"/><Relationship Id="rId52" Type="http://schemas.openxmlformats.org/officeDocument/2006/relationships/hyperlink" Target="http://www.sec.gov/Archives/edgar/data/1822145/000110465924012313/tm245632d1_8k.htm" TargetMode="External"/><Relationship Id="rId53" Type="http://schemas.openxmlformats.org/officeDocument/2006/relationships/hyperlink" Target="https://www.sec.gov/Archives/edgar/data/1822145/000110465924069366/tm2416729d1_8k.htm" TargetMode="External"/><Relationship Id="rId54" Type="http://schemas.openxmlformats.org/officeDocument/2006/relationships/hyperlink" Target="https://www.sec.gov/Archives/edgar/data/1822145/000110465924077787/tm2418737d1_8k.htm" TargetMode="External"/><Relationship Id="rId55" Type="http://schemas.openxmlformats.org/officeDocument/2006/relationships/hyperlink" Target="https://www.sec.gov/Archives/edgar/data/1822145/000110465924081555/tm2419916d1_8k.htm" TargetMode="External"/><Relationship Id="rId56" Type="http://schemas.openxmlformats.org/officeDocument/2006/relationships/hyperlink" Target="https://www.sec.gov/Archives/edgar/data/1822145/000110465924082583/tm2420152d1_8k.htm" TargetMode="External"/><Relationship Id="rId57" Type="http://schemas.openxmlformats.org/officeDocument/2006/relationships/hyperlink" Target="http://www.sec.gov/Archives/edgar/data/1822145/000121390020044238/ea131985-8a12b_ventouxccm.htm" TargetMode="External"/><Relationship Id="rId58" Type="http://schemas.openxmlformats.org/officeDocument/2006/relationships/hyperlink" Target="http://www.sec.gov/Archives/edgar/data/1822145/000155837023016336/prst-20230630xex4d1.htm" TargetMode="External"/><Relationship Id="rId112" Type="http://schemas.openxmlformats.org/officeDocument/2006/relationships/hyperlink" Target="https://www.sec.gov/Archives/edgar/data/1822145/000110465923086535/tm2322640d1_8k.htm" TargetMode="External"/><Relationship Id="rId113" Type="http://schemas.openxmlformats.org/officeDocument/2006/relationships/hyperlink" Target="https://www.sec.gov/Archives/edgar/data/1822145/000110465923097311/tm2325309d1_8k.htm" TargetMode="External"/><Relationship Id="rId114" Type="http://schemas.openxmlformats.org/officeDocument/2006/relationships/hyperlink" Target="https://www.sec.gov/Archives/edgar/data/1822145/000101376223002979/ea186564-8k_prestoauto.htm" TargetMode="External"/><Relationship Id="rId115" Type="http://schemas.openxmlformats.org/officeDocument/2006/relationships/hyperlink" Target="https://www.sec.gov/Archives/edgar/data/1822145/000101376223005246/ea187043-8k_prestoaut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2024-07-25T16:47:34Z</dcterms:created>
  <dcterms:modified xsi:type="dcterms:W3CDTF">2024-07-25T16:47:34Z</dcterms:modified>
</cp:coreProperties>
</file>