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01924-424b5_presto.htm"/>
      <w:bookmarkStart w:id="1" w:name="ksea0201924424b5_presto"/>
      <w:bookmarkEnd w:id="0"/>
      <w:bookmarkEnd w:id="1"/>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333-275112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br/>
        <w:t>(to Prospectus dated October 30,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4,800,000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1452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6858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this prospectus supplement and the accompanying prospectus, we are offering in a registered direct offering to certain purchasers, 4,800,000 shares of our common stock, par value $0.0001 per share (“common stock”) at an offering price of $0.25 per share (the “public offering price”).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Stock Market (“Nasdaq”) under the symbol “PRST.” On March 13, 2024, the last reported sale price of our common stock on Nasdaq was $0.23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retained Chardan Capital Markets LLC to act as our exclusive placement agent (the “placement agent”) in connection with the shares of common stock offered by this prospectus supplement. The placement agent is not purchasing or selling any of the shares we are offering, and the placement agent is not required to arrange the purchase or sale of any specific number of shares or dollar amount.  We have agreed to pay to the placement agent the placement agent fees set forth in the table below, which assumes that we sell all of the securities offered by this prospectus supplement.  See “Plan of Distribution” on page S-15 of this prospectus supplement for more information regarding these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Please read “Risk Factors” beginning on page S-3 of this prospectus supplement, on page 4 of the accompanying prospectus and in the documents incorporated by reference into this prospectus supplement and the accompanying prospectus.</w:t>
      </w:r>
    </w:p>
    <w:p>
      <w:pPr>
        <w:pStyle w:val="TextBody"/>
        <w:bidi w:val="0"/>
        <w:spacing w:before="0" w:after="0"/>
        <w:ind w:left="0" w:right="0" w:firstLine="360"/>
        <w:jc w:val="both"/>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2975"/>
        <w:gridCol w:w="60"/>
        <w:gridCol w:w="208"/>
        <w:gridCol w:w="832"/>
        <w:gridCol w:w="60"/>
        <w:gridCol w:w="60"/>
        <w:gridCol w:w="140"/>
        <w:gridCol w:w="980"/>
        <w:gridCol w:w="75"/>
      </w:tblGrid>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1,200,000</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sz w:val="20"/>
              </w:rPr>
            </w:pPr>
            <w:r>
              <w:rPr>
                <w:sz w:val="20"/>
              </w:rPr>
              <w:t>Placement agent fees</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832" w:type="dxa"/>
            <w:tcBorders/>
            <w:shd w:fill="FFFFFF" w:val="clear"/>
            <w:vAlign w:val="center"/>
          </w:tcPr>
          <w:p>
            <w:pPr>
              <w:pStyle w:val="TableContents"/>
              <w:bidi w:val="0"/>
              <w:spacing w:before="0" w:after="283"/>
              <w:jc w:val="right"/>
              <w:rPr/>
            </w:pPr>
            <w:r>
              <w:rPr/>
              <w:t>0.015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72,000</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Proceeds to us before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0.235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1,128,000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sz w:val="20"/>
              </w:rPr>
            </w:pPr>
            <w:r>
              <w:rPr>
                <w:sz w:val="20"/>
              </w:rPr>
              <w:t>(1)</w:t>
            </w:r>
          </w:p>
        </w:tc>
        <w:tc>
          <w:tcPr>
            <w:tcW w:w="9970" w:type="dxa"/>
            <w:tcBorders/>
            <w:vAlign w:val="center"/>
          </w:tcPr>
          <w:p>
            <w:pPr>
              <w:pStyle w:val="TableContents"/>
              <w:bidi w:val="0"/>
              <w:spacing w:before="0" w:after="283"/>
              <w:jc w:val="both"/>
              <w:rPr>
                <w:sz w:val="20"/>
              </w:rPr>
            </w:pPr>
            <w:r>
              <w:rPr>
                <w:sz w:val="20"/>
              </w:rPr>
              <w:t>We have agreed to reimburse the placement agent for certain of their offering-related expenses. See “Plan of Distribution” for a description of the compensation to be received by the placement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shares of common stock is expected to be made on or about March 18, 2024, subject to satisfaction of customary closing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Chardan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March 14,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8315"/>
        <w:gridCol w:w="60"/>
        <w:gridCol w:w="455"/>
      </w:tblGrid>
      <w:tr>
        <w:trPr/>
        <w:tc>
          <w:tcPr>
            <w:tcW w:w="8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8315" w:type="dxa"/>
            <w:tcBorders/>
            <w:shd w:fill="CCEEFF" w:val="clear"/>
            <w:vAlign w:val="center"/>
          </w:tcPr>
          <w:p>
            <w:pPr>
              <w:pStyle w:val="TableContents"/>
              <w:bidi w:val="0"/>
              <w:spacing w:before="0" w:after="283"/>
              <w:jc w:val="left"/>
              <w:rPr/>
            </w:pPr>
            <w:hyperlink w:anchor="ss_001">
              <w:r>
                <w:rPr>
                  <w:rStyle w:val="InternetLink"/>
                  <w:rFonts w:ascii="Times New Roman;Times;Serif" w:hAnsi="Times New Roman;Times;Serif"/>
                  <w:sz w:val="20"/>
                </w:rPr>
                <w:t>Important Notice About Information in this Prospectus Supplement and the Accompanying Prospectus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w:t>
            </w:r>
          </w:p>
        </w:tc>
      </w:tr>
      <w:tr>
        <w:trPr/>
        <w:tc>
          <w:tcPr>
            <w:tcW w:w="8315" w:type="dxa"/>
            <w:tcBorders/>
            <w:shd w:fill="FFFFFF" w:val="clear"/>
            <w:vAlign w:val="center"/>
          </w:tcPr>
          <w:p>
            <w:pPr>
              <w:pStyle w:val="TableContents"/>
              <w:bidi w:val="0"/>
              <w:spacing w:before="0" w:after="283"/>
              <w:jc w:val="left"/>
              <w:rPr/>
            </w:pPr>
            <w:hyperlink w:anchor="ss_002">
              <w:r>
                <w:rPr>
                  <w:rStyle w:val="InternetLink"/>
                  <w:rFonts w:ascii="Times New Roman;Times;Serif" w:hAnsi="Times New Roman;Times;Serif"/>
                  <w:sz w:val="20"/>
                </w:rPr>
                <w:t>Special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S-iii</w:t>
            </w:r>
          </w:p>
        </w:tc>
      </w:tr>
      <w:tr>
        <w:trPr/>
        <w:tc>
          <w:tcPr>
            <w:tcW w:w="8315" w:type="dxa"/>
            <w:tcBorders/>
            <w:shd w:fill="CCEEFF" w:val="clear"/>
            <w:vAlign w:val="center"/>
          </w:tcPr>
          <w:p>
            <w:pPr>
              <w:pStyle w:val="TableContents"/>
              <w:bidi w:val="0"/>
              <w:spacing w:before="0" w:after="283"/>
              <w:jc w:val="left"/>
              <w:rPr/>
            </w:pPr>
            <w:hyperlink w:anchor="ss_003">
              <w:r>
                <w:rPr>
                  <w:rStyle w:val="InternetLink"/>
                  <w:rFonts w:ascii="Times New Roman;Times;Serif" w:hAnsi="Times New Roman;Times;Serif"/>
                  <w:sz w:val="20"/>
                </w:rPr>
                <w:t>Prospectus Supplement Summary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r>
      <w:tr>
        <w:trPr/>
        <w:tc>
          <w:tcPr>
            <w:tcW w:w="8315" w:type="dxa"/>
            <w:tcBorders/>
            <w:shd w:fill="FFFFFF" w:val="clear"/>
            <w:vAlign w:val="center"/>
          </w:tcPr>
          <w:p>
            <w:pPr>
              <w:pStyle w:val="TableContents"/>
              <w:bidi w:val="0"/>
              <w:spacing w:before="0" w:after="283"/>
              <w:jc w:val="left"/>
              <w:rPr/>
            </w:pPr>
            <w:hyperlink w:anchor="ss_004">
              <w:r>
                <w:rPr>
                  <w:rStyle w:val="InternetLink"/>
                  <w:rFonts w:ascii="Times New Roman;Times;Serif" w:hAnsi="Times New Roman;Times;Serif"/>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w:t>
            </w:r>
          </w:p>
        </w:tc>
      </w:tr>
      <w:tr>
        <w:trPr/>
        <w:tc>
          <w:tcPr>
            <w:tcW w:w="8315" w:type="dxa"/>
            <w:tcBorders/>
            <w:shd w:fill="CCEEFF" w:val="clear"/>
            <w:vAlign w:val="center"/>
          </w:tcPr>
          <w:p>
            <w:pPr>
              <w:pStyle w:val="TableContents"/>
              <w:bidi w:val="0"/>
              <w:spacing w:before="0" w:after="283"/>
              <w:jc w:val="left"/>
              <w:rPr/>
            </w:pPr>
            <w:hyperlink w:anchor="ss_005">
              <w:r>
                <w:rPr>
                  <w:rStyle w:val="InternetLink"/>
                  <w:rFonts w:ascii="Times New Roman;Times;Serif" w:hAnsi="Times New Roman;Times;Serif"/>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S-6</w:t>
            </w:r>
          </w:p>
        </w:tc>
      </w:tr>
      <w:tr>
        <w:trPr/>
        <w:tc>
          <w:tcPr>
            <w:tcW w:w="8315" w:type="dxa"/>
            <w:tcBorders/>
            <w:shd w:fill="FFFFFF" w:val="clear"/>
            <w:vAlign w:val="center"/>
          </w:tcPr>
          <w:p>
            <w:pPr>
              <w:pStyle w:val="TableContents"/>
              <w:bidi w:val="0"/>
              <w:spacing w:before="0" w:after="283"/>
              <w:jc w:val="left"/>
              <w:rPr/>
            </w:pPr>
            <w:hyperlink w:anchor="ss_006">
              <w:r>
                <w:rPr>
                  <w:rStyle w:val="InternetLink"/>
                  <w:rFonts w:ascii="Times New Roman;Times;Serif" w:hAnsi="Times New Roman;Times;Serif"/>
                  <w:sz w:val="20"/>
                </w:rPr>
                <w:t>Dilution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S-7</w:t>
            </w:r>
          </w:p>
        </w:tc>
      </w:tr>
      <w:tr>
        <w:trPr/>
        <w:tc>
          <w:tcPr>
            <w:tcW w:w="8315" w:type="dxa"/>
            <w:tcBorders/>
            <w:shd w:fill="CCEEFF" w:val="clear"/>
            <w:vAlign w:val="center"/>
          </w:tcPr>
          <w:p>
            <w:pPr>
              <w:pStyle w:val="TableContents"/>
              <w:bidi w:val="0"/>
              <w:spacing w:before="0" w:after="283"/>
              <w:jc w:val="left"/>
              <w:rPr/>
            </w:pPr>
            <w:hyperlink w:anchor="ss_007">
              <w:r>
                <w:rPr>
                  <w:rStyle w:val="InternetLink"/>
                  <w:rFonts w:ascii="Times New Roman;Times;Serif" w:hAnsi="Times New Roman;Times;Serif"/>
                  <w:sz w:val="20"/>
                </w:rPr>
                <w:t>Capitalization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S-9</w:t>
            </w:r>
          </w:p>
        </w:tc>
      </w:tr>
      <w:tr>
        <w:trPr/>
        <w:tc>
          <w:tcPr>
            <w:tcW w:w="8315" w:type="dxa"/>
            <w:tcBorders/>
            <w:shd w:fill="FFFFFF" w:val="clear"/>
            <w:vAlign w:val="center"/>
          </w:tcPr>
          <w:p>
            <w:pPr>
              <w:pStyle w:val="TableContents"/>
              <w:bidi w:val="0"/>
              <w:spacing w:before="0" w:after="283"/>
              <w:jc w:val="left"/>
              <w:rPr/>
            </w:pPr>
            <w:hyperlink w:anchor="ss_008">
              <w:r>
                <w:rPr>
                  <w:rStyle w:val="InternetLink"/>
                  <w:rFonts w:ascii="Times New Roman;Times;Serif" w:hAnsi="Times New Roman;Times;Serif"/>
                  <w:sz w:val="20"/>
                </w:rPr>
                <w:t>Material U.S. Federal Tax Considerations for Non-U.S. Holders of Our Common Stock</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S-10</w:t>
            </w:r>
          </w:p>
        </w:tc>
      </w:tr>
      <w:tr>
        <w:trPr/>
        <w:tc>
          <w:tcPr>
            <w:tcW w:w="8315" w:type="dxa"/>
            <w:tcBorders/>
            <w:shd w:fill="CCEEFF" w:val="clear"/>
            <w:vAlign w:val="center"/>
          </w:tcPr>
          <w:p>
            <w:pPr>
              <w:pStyle w:val="TableContents"/>
              <w:bidi w:val="0"/>
              <w:spacing w:before="0" w:after="283"/>
              <w:jc w:val="left"/>
              <w:rPr/>
            </w:pPr>
            <w:hyperlink w:anchor="ss_009">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S-15</w:t>
            </w:r>
          </w:p>
        </w:tc>
      </w:tr>
      <w:tr>
        <w:trPr/>
        <w:tc>
          <w:tcPr>
            <w:tcW w:w="8315" w:type="dxa"/>
            <w:tcBorders/>
            <w:shd w:fill="FFFFFF" w:val="clear"/>
            <w:vAlign w:val="center"/>
          </w:tcPr>
          <w:p>
            <w:pPr>
              <w:pStyle w:val="TableContents"/>
              <w:bidi w:val="0"/>
              <w:spacing w:before="0" w:after="283"/>
              <w:jc w:val="left"/>
              <w:rPr/>
            </w:pPr>
            <w:hyperlink w:anchor="ss_010">
              <w:r>
                <w:rPr>
                  <w:rStyle w:val="InternetLink"/>
                  <w:rFonts w:ascii="Times New Roman;Times;Serif" w:hAnsi="Times New Roman;Times;Serif"/>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S-22</w:t>
            </w:r>
          </w:p>
        </w:tc>
      </w:tr>
      <w:tr>
        <w:trPr/>
        <w:tc>
          <w:tcPr>
            <w:tcW w:w="8315" w:type="dxa"/>
            <w:tcBorders/>
            <w:shd w:fill="CCEEFF" w:val="clear"/>
            <w:vAlign w:val="center"/>
          </w:tcPr>
          <w:p>
            <w:pPr>
              <w:pStyle w:val="TableContents"/>
              <w:bidi w:val="0"/>
              <w:spacing w:before="0" w:after="283"/>
              <w:jc w:val="left"/>
              <w:rPr/>
            </w:pPr>
            <w:hyperlink w:anchor="ss_011">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S-22</w:t>
            </w:r>
          </w:p>
        </w:tc>
      </w:tr>
      <w:tr>
        <w:trPr/>
        <w:tc>
          <w:tcPr>
            <w:tcW w:w="8315" w:type="dxa"/>
            <w:tcBorders/>
            <w:shd w:fill="FFFFFF" w:val="clear"/>
            <w:vAlign w:val="center"/>
          </w:tcPr>
          <w:p>
            <w:pPr>
              <w:pStyle w:val="TableContents"/>
              <w:bidi w:val="0"/>
              <w:spacing w:before="0" w:after="283"/>
              <w:jc w:val="left"/>
              <w:rPr/>
            </w:pPr>
            <w:hyperlink w:anchor="ss_012">
              <w:r>
                <w:rPr>
                  <w:rStyle w:val="InternetLink"/>
                  <w:rFonts w:ascii="Times New Roman;Times;Serif" w:hAnsi="Times New Roman;Times;Serif"/>
                  <w:sz w:val="20"/>
                </w:rPr>
                <w:t>Incorporation of Certain Information by Reference</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6890"/>
        <w:gridCol w:w="60"/>
        <w:gridCol w:w="275"/>
      </w:tblGrid>
      <w:tr>
        <w:trPr/>
        <w:tc>
          <w:tcPr>
            <w:tcW w:w="689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89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TRADEMARKS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68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CAUTIONARY STATEMENT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689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SUMMARY OF PROSPECTUS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68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689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689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COMMON STOCK AND PREFERRED STOCK</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689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DEBT SECURITIES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89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689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RIGHTS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9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689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GLOBAL SECURITIES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89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SELLING SECURITYHOLDERS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689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689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6890"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689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6890"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INDEMNIFICATION FOR SECURITIES ACT LIABILITIES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we nor the placement agent have authorized anyone to provide any information other than that contained or incorporated by reference in this prospectus supplement. Neither we nor the placement agent take responsibility for, and can provide no assurance as to the reliability of, any other information that others may give you.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supplement and the accompanying prospectus do not constitute an offer to sell, or a solicitation of an offer to purchase, the securities offered hereby in any jurisdiction to or from any person to whom or from whom it is unlawful to make such offer or solicitation of an offer in such jurisdiction. You should not assume that the information contained or incorporated by reference in this prospectus supplement or the accompanying prospectus is accurate as of any date other than the date on the front cover of the applicable document. Neither the delivery of this prospectus supplement and the accompanying prospectus, nor any distribution of securities pursuant to this prospectus supplement or the accompanying prospectus shall, under any circumstances, create any implication that there has been no change in our business, financial condition, results of operations and prospects since the date of this prospectus supplement or the accompanying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read this prospectus supplement, the accompanying prospectus and the documents incorporated by reference in the accompanying prospectus in their entirety before making an investment decision. You should also read and consider the information in the documents to which we have referred you in the section of the prospectus supplement entitled “Incorporation of Certain Information by Reference” and in the sections of the accompanying prospectus entitled “Where You Can Find More Information” and “Incorporation of Certain Information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investors outside the United States: we and the placement agent have not done anything that would permit this offering or possession or distribution of this prospectus supplement and the accompanying prospectus in any jurisdiction where action for that purpose is required, other than in the United States. Persons outside the United States who come into possession of this prospectus supplement and the accompanying prospectus must inform themselves about, and observe any restrictions relating to, the offering of the shares of common stock and the distribution of this prospectus supplement and the accompanying prospectus outside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ss_001"/>
      <w:bookmarkEnd w:id="2"/>
      <w:r>
        <w:rPr>
          <w:rFonts w:ascii="Times New Roman;Times;Serif" w:hAnsi="Times New Roman;Times;Serif"/>
          <w:b/>
          <w:i w:val="false"/>
          <w:caps/>
          <w:sz w:val="20"/>
        </w:rPr>
        <w:t>Important Notice About Information in this</w:t>
        <w:br/>
        <w:t>Prospectus Supplement and the Accompanying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form part of a registration statement on Form S-3 that we filed with the Securities and Exchange Commission, or the SEC, using a “shelf” registration process. This document contains two parts. The first part is this prospectus supplement, which describes the specific terms of this offering of shares of our common stock. The second part is the accompanying prospectus, which gives more general information, some of which may not apply to this offering of shares of our common stock. Generally, when we refer only to the “prospectus,” we are referring to both parts combined. If the information about this offering of shares of our common stock varies between this prospectus supplement and the accompanying prospectus, you should rely on the information in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by reference into this prospectus modifies or supersedes that statement. Any statement so modified or superseded will not be deemed, except as so modified or superseded, to constitute a part of this prospectus. Please read “Incorporation of Certain Information by Reference” in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ss_002"/>
      <w:bookmarkEnd w:id="3"/>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or the Securities Act, and Section 21E of the Securities Exchange Act of 1934, as amended, or the Exchange Act, and are based on our management’s beliefs and assumptions and on information currently available to our management. Forward-looking statements include information concerning our possible or assumed future results of our business and statements regarding our financial condition, results of operations, liquidity, plans and objectives.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are discussed in the section titled “Risk Factors” included in our Annual Report on Form 10-K for the year ended June 30, 2023 filed with the SEC on October 11, 2023, as amended by Amendment No. 1 on Form 10-K/A filed with the SEC on October 12, 2023 (the “2023 Form 10-K”), and other risk factors detailed from time to time in filings with the SEC. 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center"/>
        <w:rPr>
          <w:caps/>
          <w:bdr w:val="single" w:sz="12" w:space="3" w:color="000000"/>
        </w:rPr>
      </w:pPr>
      <w:r>
        <w:rPr>
          <w:caps/>
          <w:bdr w:val="single" w:sz="12" w:space="3"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3" w:color="000000"/>
        </w:rPr>
      </w:pPr>
      <w:bookmarkStart w:id="4" w:name="ss_003"/>
      <w:bookmarkEnd w:id="4"/>
      <w:r>
        <w:rPr>
          <w:rFonts w:ascii="Times New Roman;Times;Serif" w:hAnsi="Times New Roman;Times;Serif"/>
          <w:b/>
          <w:i w:val="false"/>
          <w:caps/>
          <w:sz w:val="20"/>
          <w:bdr w:val="single" w:sz="12" w:space="3" w:color="000000"/>
        </w:rPr>
        <w:t>Prospectus Supplement Summary</w:t>
      </w:r>
    </w:p>
    <w:p>
      <w:pPr>
        <w:pStyle w:val="TextBody"/>
        <w:bidi w:val="0"/>
        <w:spacing w:before="0" w:after="0"/>
        <w:ind w:left="0" w:right="0" w:hanging="0"/>
        <w:jc w:val="center"/>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3" w:color="000000"/>
        </w:rPr>
      </w:pPr>
      <w:r>
        <w:rPr>
          <w:rFonts w:ascii="Times New Roman;Times;Serif" w:hAnsi="Times New Roman;Times;Serif"/>
          <w:b w:val="false"/>
          <w:i/>
          <w:caps w:val="false"/>
          <w:smallCaps w:val="false"/>
          <w:sz w:val="20"/>
          <w:bdr w:val="single" w:sz="12" w:space="3" w:color="000000"/>
        </w:rPr>
        <w:t>This summary highlights information contained elsewhere in this prospectus supplement. This summary does not contain all of the information that you should consider before deciding whether to invest in our common stock. You should read this entire prospectus supplement carefully, including accompanying prospectus, the “Risk Factors” section in this prospectus supplement, the risks set forth under the heading “Risk Factors” in the 2023 Form 10-K, and the other documents incorporated by reference in this prospectus supplement and the accompanying prospectus, prior to making an investment decision. References in this prospectus supplement to “we,” “us,” “our,” the “Company,” and “Presto” refer to Presto Automation Inc. unless otherwise stated or the context otherwise requires.</w:t>
      </w:r>
    </w:p>
    <w:p>
      <w:pPr>
        <w:pStyle w:val="TextBody"/>
        <w:bidi w:val="0"/>
        <w:spacing w:before="0" w:after="0"/>
        <w:ind w:left="0" w:right="0" w:hanging="0"/>
        <w:jc w:val="center"/>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Our Business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Overview</w:t>
      </w:r>
    </w:p>
    <w:p>
      <w:pPr>
        <w:pStyle w:val="TextBody"/>
        <w:bidi w:val="0"/>
        <w:spacing w:before="0" w:after="0"/>
        <w:ind w:left="0" w:right="0" w:firstLine="36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provide enterprise grade AI and automation solutions to the restaurant technology industry. Our solutions are designed to decrease labor costs, improve staff productivity, increase revenue and enhance the guest experience. We offer our industry-leading AI solution, Presto Voice, to quick service restaurants (QSR) and our pay-at-table tablet solution, Presto Touch, to casual dining chains. Some of the most recognized restaurant names in the United States are among our customers, including Carl’s Jr. and Hardee’s, Wienerschnitzel and Checkers for Presto Voice.</w:t>
      </w:r>
    </w:p>
    <w:p>
      <w:pPr>
        <w:pStyle w:val="TextBody"/>
        <w:bidi w:val="0"/>
        <w:spacing w:before="0" w:after="0"/>
        <w:ind w:left="0" w:right="0" w:firstLine="36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Following our founding in 2008, we initially focused exclusively on Presto Touch. As of June 30, 2023, we had shipped over 277,000 Presto Touch tablets to three of the largest casual dining chains in the United States. Presto Voice addresses the pressing needs of drive-thru restaurant operators by improving order accuracy, reducing labor costs and increasing revenue through menu upselling, while also providing guests with an improved drive-thru experience. While Presto Touch has accounted for substantially all of our historical revenues, Presto Voice accounts for over 10% of our revenue for the three and six months ended December 31, 2023, and we believe that Presto Voice will contribute an increasing portion of our revenues in the future.</w:t>
      </w:r>
    </w:p>
    <w:p>
      <w:pPr>
        <w:pStyle w:val="TextBody"/>
        <w:bidi w:val="0"/>
        <w:spacing w:before="0" w:after="0"/>
        <w:ind w:left="0" w:right="0" w:firstLine="36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are considering strategic alternatives related to our Presto Touch solution including evaluating whether to engage in a wind-down from Presto Touch, which could include either a sale, partial sale or abandonment in the coming months, and allows us to focus our efforts on our Presto Voice solution.</w:t>
      </w:r>
    </w:p>
    <w:p>
      <w:pPr>
        <w:pStyle w:val="TextBody"/>
        <w:shd w:fill="FFFFFF" w:val="clear"/>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Recent Developments</w:t>
      </w:r>
    </w:p>
    <w:p>
      <w:pPr>
        <w:pStyle w:val="TextBody"/>
        <w:shd w:fill="FFFFFF" w:val="clear"/>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Update Regarding Liquidity and Credit Agreement with Metropolitan</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project that the net proceeds from this offering, together with our other cash resources and projected revenues, are sufficient for us to sustain our operations through April 1, 2024.</w:t>
      </w:r>
    </w:p>
    <w:p>
      <w:pPr>
        <w:pStyle w:val="TextBody"/>
        <w:shd w:fill="FFFFFF" w:val="clear"/>
        <w:bidi w:val="0"/>
        <w:spacing w:before="0" w:after="0"/>
        <w:ind w:left="0" w:right="0" w:firstLine="360"/>
        <w:jc w:val="both"/>
        <w:rPr>
          <w:caps w:val="false"/>
          <w:smallCaps w:val="false"/>
          <w:bdr w:val="single" w:sz="12" w:space="3" w:color="000000"/>
        </w:rPr>
      </w:pPr>
      <w:r>
        <w:rPr>
          <w:caps w:val="false"/>
          <w:smallCaps w:val="false"/>
          <w:bdr w:val="single" w:sz="12" w:space="3"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have entered into a forbearance agreement with the agent and the lenders under our credit agreement, which terminates on March 16, 2024. Following that date, irrespective of this offering, the agent and lenders will no longer be required to forbear from exercising rights and remedies against us under the credit agreement as a result of defaults under the credit agreement. The remedies that the agent and lenders have include instructing the banks in which we hold our deposits to transfer some or all of those deposits to an account designated by the agent for the purpose of reducing the outstanding principal and interest under the credit agreement.</w:t>
      </w:r>
    </w:p>
    <w:p>
      <w:pPr>
        <w:pStyle w:val="TextBody"/>
        <w:shd w:fill="FFFFFF" w:val="clear"/>
        <w:bidi w:val="0"/>
        <w:spacing w:before="0" w:after="0"/>
        <w:ind w:left="0" w:right="0" w:firstLine="360"/>
        <w:jc w:val="both"/>
        <w:rPr>
          <w:caps w:val="false"/>
          <w:smallCaps w:val="false"/>
          <w:bdr w:val="single" w:sz="12" w:space="3" w:color="000000"/>
        </w:rPr>
      </w:pPr>
      <w:r>
        <w:rPr>
          <w:caps w:val="false"/>
          <w:smallCaps w:val="false"/>
          <w:bdr w:val="single" w:sz="12" w:space="3"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Corporate Information</w:t>
      </w:r>
    </w:p>
    <w:p>
      <w:pPr>
        <w:pStyle w:val="TextBody"/>
        <w:bidi w:val="0"/>
        <w:spacing w:before="0" w:after="0"/>
        <w:ind w:left="0" w:right="0" w:firstLine="36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Our principal executive office is located at 985 Industrial Road, San Carlos, CA 94070. Our telephone number is (650) 817-9012. Our website address is www.presto.com. Information on or connected to our website is not a part of or incorporated by reference into this prospectus supplement.</w:t>
      </w:r>
    </w:p>
    <w:p>
      <w:pPr>
        <w:pStyle w:val="TextBody"/>
        <w:bidi w:val="0"/>
        <w:spacing w:before="0" w:after="0"/>
        <w:ind w:left="0" w:right="0" w:firstLine="36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The Offering</w:t>
      </w:r>
      <w:r>
        <w:rPr>
          <w:rFonts w:ascii="Times New Roman;Times;Serif" w:hAnsi="Times New Roman;Times;Serif"/>
          <w:b w:val="false"/>
          <w:i w:val="false"/>
          <w:caps w:val="false"/>
          <w:smallCaps w:val="false"/>
          <w:sz w:val="20"/>
          <w:bdr w:val="single" w:sz="12" w:space="3" w:color="000000"/>
        </w:rPr>
        <w:t> </w:t>
      </w:r>
    </w:p>
    <w:p>
      <w:pPr>
        <w:pStyle w:val="TextBody"/>
        <w:bidi w:val="0"/>
        <w:spacing w:before="0" w:after="0"/>
        <w:ind w:left="0" w:right="0" w:hanging="0"/>
        <w:jc w:val="center"/>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1749"/>
        <w:gridCol w:w="60"/>
        <w:gridCol w:w="8396"/>
      </w:tblGrid>
      <w:tr>
        <w:trPr/>
        <w:tc>
          <w:tcPr>
            <w:tcW w:w="1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offered by us</w:t>
            </w:r>
          </w:p>
        </w:tc>
        <w:tc>
          <w:tcPr>
            <w:tcW w:w="60" w:type="dxa"/>
            <w:tcBorders/>
            <w:vAlign w:val="center"/>
          </w:tcPr>
          <w:p>
            <w:pPr>
              <w:pStyle w:val="TableContents"/>
              <w:bidi w:val="0"/>
              <w:spacing w:before="0" w:after="283"/>
              <w:jc w:val="left"/>
              <w:rPr/>
            </w:pPr>
            <w:r>
              <w:rPr/>
              <w:t> </w:t>
            </w:r>
          </w:p>
        </w:tc>
        <w:tc>
          <w:tcPr>
            <w:tcW w:w="83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4,800,000 shares of our common stock.</w:t>
            </w:r>
          </w:p>
        </w:tc>
      </w:tr>
      <w:tr>
        <w:trPr/>
        <w:tc>
          <w:tcPr>
            <w:tcW w:w="1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6" w:type="dxa"/>
            <w:tcBorders/>
            <w:vAlign w:val="center"/>
          </w:tcPr>
          <w:p>
            <w:pPr>
              <w:pStyle w:val="TableContents"/>
              <w:bidi w:val="0"/>
              <w:spacing w:before="0" w:after="283"/>
              <w:ind w:left="0" w:right="0" w:hanging="180"/>
              <w:jc w:val="both"/>
              <w:rPr/>
            </w:pPr>
            <w:r>
              <w:rPr/>
              <w:t> </w:t>
            </w:r>
          </w:p>
        </w:tc>
      </w:tr>
      <w:tr>
        <w:trPr/>
        <w:tc>
          <w:tcPr>
            <w:tcW w:w="1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outstanding after this offering</w:t>
            </w:r>
          </w:p>
        </w:tc>
        <w:tc>
          <w:tcPr>
            <w:tcW w:w="60" w:type="dxa"/>
            <w:tcBorders/>
            <w:vAlign w:val="center"/>
          </w:tcPr>
          <w:p>
            <w:pPr>
              <w:pStyle w:val="TableContents"/>
              <w:bidi w:val="0"/>
              <w:spacing w:before="0" w:after="283"/>
              <w:jc w:val="left"/>
              <w:rPr/>
            </w:pPr>
            <w:r>
              <w:rPr/>
              <w:t> </w:t>
            </w:r>
          </w:p>
        </w:tc>
        <w:tc>
          <w:tcPr>
            <w:tcW w:w="8396"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95,141,277 shares of common stock </w:t>
            </w:r>
          </w:p>
        </w:tc>
      </w:tr>
      <w:tr>
        <w:trPr/>
        <w:tc>
          <w:tcPr>
            <w:tcW w:w="1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6" w:type="dxa"/>
            <w:tcBorders/>
            <w:vAlign w:val="center"/>
          </w:tcPr>
          <w:p>
            <w:pPr>
              <w:pStyle w:val="TableContents"/>
              <w:bidi w:val="0"/>
              <w:spacing w:before="0" w:after="283"/>
              <w:ind w:left="0" w:right="0" w:hanging="180"/>
              <w:jc w:val="both"/>
              <w:rPr/>
            </w:pPr>
            <w:r>
              <w:rPr/>
              <w:t> </w:t>
            </w:r>
          </w:p>
        </w:tc>
      </w:tr>
      <w:tr>
        <w:trPr/>
        <w:tc>
          <w:tcPr>
            <w:tcW w:w="1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per share</w:t>
            </w:r>
          </w:p>
        </w:tc>
        <w:tc>
          <w:tcPr>
            <w:tcW w:w="60" w:type="dxa"/>
            <w:tcBorders/>
            <w:vAlign w:val="center"/>
          </w:tcPr>
          <w:p>
            <w:pPr>
              <w:pStyle w:val="TableContents"/>
              <w:bidi w:val="0"/>
              <w:spacing w:before="0" w:after="283"/>
              <w:jc w:val="left"/>
              <w:rPr/>
            </w:pPr>
            <w:r>
              <w:rPr/>
              <w:t> </w:t>
            </w:r>
          </w:p>
        </w:tc>
        <w:tc>
          <w:tcPr>
            <w:tcW w:w="83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$0.25 per share. </w:t>
            </w:r>
          </w:p>
        </w:tc>
      </w:tr>
      <w:tr>
        <w:trPr/>
        <w:tc>
          <w:tcPr>
            <w:tcW w:w="1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6" w:type="dxa"/>
            <w:tcBorders/>
            <w:vAlign w:val="center"/>
          </w:tcPr>
          <w:p>
            <w:pPr>
              <w:pStyle w:val="TableContents"/>
              <w:bidi w:val="0"/>
              <w:spacing w:before="0" w:after="283"/>
              <w:jc w:val="both"/>
              <w:rPr/>
            </w:pPr>
            <w:r>
              <w:rPr/>
              <w:t> </w:t>
            </w:r>
          </w:p>
        </w:tc>
      </w:tr>
      <w:tr>
        <w:trPr/>
        <w:tc>
          <w:tcPr>
            <w:tcW w:w="1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60" w:type="dxa"/>
            <w:tcBorders/>
            <w:vAlign w:val="center"/>
          </w:tcPr>
          <w:p>
            <w:pPr>
              <w:pStyle w:val="TableContents"/>
              <w:bidi w:val="0"/>
              <w:spacing w:before="0" w:after="283"/>
              <w:jc w:val="left"/>
              <w:rPr/>
            </w:pPr>
            <w:r>
              <w:rPr/>
              <w:t> </w:t>
            </w:r>
          </w:p>
        </w:tc>
        <w:tc>
          <w:tcPr>
            <w:tcW w:w="839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to us from this offering will be approximately $1 million, after deducting the placement agent fees and estimated offering expenses payable by us.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working capital and general corporate purposes. See “Use of Proceeds.”</w:t>
            </w:r>
          </w:p>
        </w:tc>
      </w:tr>
      <w:tr>
        <w:trPr/>
        <w:tc>
          <w:tcPr>
            <w:tcW w:w="1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6" w:type="dxa"/>
            <w:tcBorders/>
            <w:vAlign w:val="center"/>
          </w:tcPr>
          <w:p>
            <w:pPr>
              <w:pStyle w:val="TableContents"/>
              <w:bidi w:val="0"/>
              <w:spacing w:before="0" w:after="283"/>
              <w:jc w:val="left"/>
              <w:rPr/>
            </w:pPr>
            <w:r>
              <w:rPr/>
              <w:t> </w:t>
            </w:r>
          </w:p>
        </w:tc>
      </w:tr>
      <w:tr>
        <w:trPr/>
        <w:tc>
          <w:tcPr>
            <w:tcW w:w="1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w:t>
            </w:r>
          </w:p>
        </w:tc>
        <w:tc>
          <w:tcPr>
            <w:tcW w:w="60" w:type="dxa"/>
            <w:tcBorders/>
            <w:vAlign w:val="center"/>
          </w:tcPr>
          <w:p>
            <w:pPr>
              <w:pStyle w:val="TableContents"/>
              <w:bidi w:val="0"/>
              <w:spacing w:before="0" w:after="283"/>
              <w:jc w:val="left"/>
              <w:rPr/>
            </w:pPr>
            <w:r>
              <w:rPr/>
              <w:t> </w:t>
            </w:r>
          </w:p>
        </w:tc>
        <w:tc>
          <w:tcPr>
            <w:tcW w:w="83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common stock is listed on Nasdaq under the trading symbol “PRST.”</w:t>
            </w:r>
          </w:p>
        </w:tc>
      </w:tr>
      <w:tr>
        <w:trPr/>
        <w:tc>
          <w:tcPr>
            <w:tcW w:w="1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6" w:type="dxa"/>
            <w:tcBorders/>
            <w:vAlign w:val="center"/>
          </w:tcPr>
          <w:p>
            <w:pPr>
              <w:pStyle w:val="TableContents"/>
              <w:bidi w:val="0"/>
              <w:spacing w:before="0" w:after="283"/>
              <w:jc w:val="both"/>
              <w:rPr/>
            </w:pPr>
            <w:r>
              <w:rPr/>
              <w:t> </w:t>
            </w:r>
          </w:p>
        </w:tc>
      </w:tr>
      <w:tr>
        <w:trPr/>
        <w:tc>
          <w:tcPr>
            <w:tcW w:w="1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60" w:type="dxa"/>
            <w:tcBorders/>
            <w:vAlign w:val="center"/>
          </w:tcPr>
          <w:p>
            <w:pPr>
              <w:pStyle w:val="TableContents"/>
              <w:bidi w:val="0"/>
              <w:spacing w:before="0" w:after="283"/>
              <w:jc w:val="left"/>
              <w:rPr/>
            </w:pPr>
            <w:r>
              <w:rPr/>
              <w:t> </w:t>
            </w:r>
          </w:p>
        </w:tc>
        <w:tc>
          <w:tcPr>
            <w:tcW w:w="83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Investing in our common stock involves a high degree of risk. You should read the section titled “Risk Factors,” and the other information included, or incorporated by reference, in this prospectus supplement for a discussion of some of the risks and uncertainties you should carefully consider before deciding to invest in our common stock.</w:t>
            </w:r>
          </w:p>
        </w:tc>
      </w:tr>
    </w:tbl>
    <w:p>
      <w:pPr>
        <w:pStyle w:val="TextBody"/>
        <w:bidi w:val="0"/>
        <w:spacing w:before="0" w:after="0"/>
        <w:ind w:left="0" w:right="0" w:firstLine="72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Unless otherwise indicated, all information in this prospectus relating to the number of shares of our common stock outstanding is based on 90,341,277 shares of common stock outstanding as of March 13, 2024 and does not include:</w:t>
      </w:r>
    </w:p>
    <w:p>
      <w:pPr>
        <w:pStyle w:val="TextBody"/>
        <w:bidi w:val="0"/>
        <w:spacing w:before="0" w:after="0"/>
        <w:ind w:left="0" w:right="0" w:firstLine="72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shares of common stock issuable upon the exercise of certain outstanding warrants outstanding as of March 13, 2024 as follows:</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4645" w:type="dxa"/>
        <w:jc w:val="left"/>
        <w:tblInd w:w="0" w:type="dxa"/>
        <w:tblLayout w:type="fixed"/>
        <w:tblCellMar>
          <w:top w:w="0" w:type="dxa"/>
          <w:left w:w="0" w:type="dxa"/>
          <w:bottom w:w="28" w:type="dxa"/>
          <w:right w:w="0" w:type="dxa"/>
        </w:tblCellMar>
      </w:tblPr>
      <w:tblGrid>
        <w:gridCol w:w="2990"/>
        <w:gridCol w:w="60"/>
        <w:gridCol w:w="60"/>
        <w:gridCol w:w="292"/>
        <w:gridCol w:w="1168"/>
        <w:gridCol w:w="75"/>
      </w:tblGrid>
      <w:tr>
        <w:trPr/>
        <w:tc>
          <w:tcPr>
            <w:tcW w:w="2990" w:type="dxa"/>
            <w:tcBorders>
              <w:bottom w:val="single" w:sz="12" w:space="0" w:color="000000"/>
            </w:tcBorders>
            <w:vAlign w:val="center"/>
          </w:tcPr>
          <w:p>
            <w:pPr>
              <w:pStyle w:val="TableContents"/>
              <w:bidi w:val="0"/>
              <w:spacing w:before="0" w:after="283"/>
              <w:jc w:val="center"/>
              <w:rPr>
                <w:b/>
              </w:rPr>
            </w:pPr>
            <w:r>
              <w:rPr>
                <w:b/>
              </w:rPr>
              <w:t>Shares Underlying Warrants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12" w:space="0" w:color="000000"/>
            </w:tcBorders>
            <w:vAlign w:val="center"/>
          </w:tcPr>
          <w:p>
            <w:pPr>
              <w:pStyle w:val="TableContents"/>
              <w:bidi w:val="0"/>
              <w:spacing w:before="0" w:after="283"/>
              <w:jc w:val="center"/>
              <w:rPr>
                <w:b/>
              </w:rPr>
            </w:pPr>
            <w:r>
              <w:rPr>
                <w:b/>
              </w:rPr>
              <w:t>Exercise Price</w:t>
            </w:r>
          </w:p>
        </w:tc>
        <w:tc>
          <w:tcPr>
            <w:tcW w:w="75" w:type="dxa"/>
            <w:tcBorders/>
            <w:tcMar>
              <w:bottom w:w="0" w:type="dxa"/>
            </w:tcM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283"/>
              <w:jc w:val="left"/>
              <w:rPr/>
            </w:pPr>
            <w:r>
              <w:rPr/>
              <w:t>9,329,961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w:t>
            </w:r>
          </w:p>
        </w:tc>
        <w:tc>
          <w:tcPr>
            <w:tcW w:w="1168" w:type="dxa"/>
            <w:tcBorders/>
            <w:shd w:fill="CCEEFF" w:val="clear"/>
            <w:tcMar>
              <w:bottom w:w="0" w:type="dxa"/>
            </w:tcMar>
            <w:vAlign w:val="center"/>
          </w:tcPr>
          <w:p>
            <w:pPr>
              <w:pStyle w:val="TableContents"/>
              <w:bidi w:val="0"/>
              <w:spacing w:before="0" w:after="283"/>
              <w:jc w:val="right"/>
              <w:rPr/>
            </w:pPr>
            <w:r>
              <w:rPr/>
              <w:t>0.01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shd w:fill="FFFFFF" w:val="clear"/>
            <w:tcMar>
              <w:bottom w:w="0" w:type="dxa"/>
            </w:tcMar>
            <w:vAlign w:val="center"/>
          </w:tcPr>
          <w:p>
            <w:pPr>
              <w:pStyle w:val="TableContents"/>
              <w:bidi w:val="0"/>
              <w:spacing w:before="0" w:after="283"/>
              <w:jc w:val="left"/>
              <w:rPr/>
            </w:pPr>
            <w:r>
              <w:rPr/>
              <w:t>639,026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w:t>
            </w:r>
          </w:p>
        </w:tc>
        <w:tc>
          <w:tcPr>
            <w:tcW w:w="1168" w:type="dxa"/>
            <w:tcBorders/>
            <w:shd w:fill="FFFFFF" w:val="clear"/>
            <w:tcMar>
              <w:bottom w:w="0" w:type="dxa"/>
            </w:tcMar>
            <w:vAlign w:val="center"/>
          </w:tcPr>
          <w:p>
            <w:pPr>
              <w:pStyle w:val="TableContents"/>
              <w:bidi w:val="0"/>
              <w:spacing w:before="0" w:after="283"/>
              <w:jc w:val="right"/>
              <w:rPr/>
            </w:pPr>
            <w:r>
              <w:rPr/>
              <w:t>0.37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283"/>
              <w:jc w:val="left"/>
              <w:rPr/>
            </w:pPr>
            <w:r>
              <w:rPr/>
              <w:t>294,725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w:t>
            </w:r>
          </w:p>
        </w:tc>
        <w:tc>
          <w:tcPr>
            <w:tcW w:w="1168" w:type="dxa"/>
            <w:tcBorders/>
            <w:shd w:fill="CCEEFF" w:val="clear"/>
            <w:tcMar>
              <w:bottom w:w="0" w:type="dxa"/>
            </w:tcMar>
            <w:vAlign w:val="center"/>
          </w:tcPr>
          <w:p>
            <w:pPr>
              <w:pStyle w:val="TableContents"/>
              <w:bidi w:val="0"/>
              <w:spacing w:before="0" w:after="283"/>
              <w:jc w:val="right"/>
              <w:rPr/>
            </w:pPr>
            <w:r>
              <w:rPr/>
              <w:t>6.53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shd w:fill="FFFFFF" w:val="clear"/>
            <w:tcMar>
              <w:bottom w:w="0" w:type="dxa"/>
            </w:tcMar>
            <w:vAlign w:val="center"/>
          </w:tcPr>
          <w:p>
            <w:pPr>
              <w:pStyle w:val="TableContents"/>
              <w:bidi w:val="0"/>
              <w:spacing w:before="0" w:after="283"/>
              <w:jc w:val="left"/>
              <w:rPr/>
            </w:pPr>
            <w:r>
              <w:rPr/>
              <w:t>71,101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w:t>
            </w:r>
          </w:p>
        </w:tc>
        <w:tc>
          <w:tcPr>
            <w:tcW w:w="1168" w:type="dxa"/>
            <w:tcBorders/>
            <w:shd w:fill="FFFFFF" w:val="clear"/>
            <w:tcMar>
              <w:bottom w:w="0" w:type="dxa"/>
            </w:tcMar>
            <w:vAlign w:val="center"/>
          </w:tcPr>
          <w:p>
            <w:pPr>
              <w:pStyle w:val="TableContents"/>
              <w:bidi w:val="0"/>
              <w:spacing w:before="0" w:after="283"/>
              <w:jc w:val="right"/>
              <w:rPr/>
            </w:pPr>
            <w:r>
              <w:rPr/>
              <w:t>7.80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283"/>
              <w:jc w:val="left"/>
              <w:rPr/>
            </w:pPr>
            <w:r>
              <w:rPr/>
              <w:t>584,648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w:t>
            </w:r>
          </w:p>
        </w:tc>
        <w:tc>
          <w:tcPr>
            <w:tcW w:w="1168" w:type="dxa"/>
            <w:tcBorders/>
            <w:shd w:fill="CCEEFF" w:val="clear"/>
            <w:tcMar>
              <w:bottom w:w="0" w:type="dxa"/>
            </w:tcMar>
            <w:vAlign w:val="center"/>
          </w:tcPr>
          <w:p>
            <w:pPr>
              <w:pStyle w:val="TableContents"/>
              <w:bidi w:val="0"/>
              <w:spacing w:before="0" w:after="283"/>
              <w:jc w:val="right"/>
              <w:rPr/>
            </w:pPr>
            <w:r>
              <w:rPr/>
              <w:t>8.16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shd w:fill="FFFFFF" w:val="clear"/>
            <w:tcMar>
              <w:bottom w:w="0" w:type="dxa"/>
            </w:tcMar>
            <w:vAlign w:val="center"/>
          </w:tcPr>
          <w:p>
            <w:pPr>
              <w:pStyle w:val="TableContents"/>
              <w:bidi w:val="0"/>
              <w:spacing w:before="0" w:after="283"/>
              <w:jc w:val="left"/>
              <w:rPr/>
            </w:pPr>
            <w:r>
              <w:rPr/>
              <w:t>8,625,000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w:t>
            </w:r>
          </w:p>
        </w:tc>
        <w:tc>
          <w:tcPr>
            <w:tcW w:w="1168" w:type="dxa"/>
            <w:tcBorders/>
            <w:shd w:fill="FFFFFF" w:val="clear"/>
            <w:tcMar>
              <w:bottom w:w="0" w:type="dxa"/>
            </w:tcMar>
            <w:vAlign w:val="center"/>
          </w:tcPr>
          <w:p>
            <w:pPr>
              <w:pStyle w:val="TableContents"/>
              <w:bidi w:val="0"/>
              <w:spacing w:before="0" w:after="283"/>
              <w:jc w:val="right"/>
              <w:rPr/>
            </w:pPr>
            <w:r>
              <w:rPr/>
              <w:t>8.21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283"/>
              <w:jc w:val="left"/>
              <w:rPr/>
            </w:pPr>
            <w:r>
              <w:rPr/>
              <w:t>170,993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w:t>
            </w:r>
          </w:p>
        </w:tc>
        <w:tc>
          <w:tcPr>
            <w:tcW w:w="1168" w:type="dxa"/>
            <w:tcBorders/>
            <w:shd w:fill="CCEEFF" w:val="clear"/>
            <w:tcMar>
              <w:bottom w:w="0" w:type="dxa"/>
            </w:tcMar>
            <w:vAlign w:val="center"/>
          </w:tcPr>
          <w:p>
            <w:pPr>
              <w:pStyle w:val="TableContents"/>
              <w:bidi w:val="0"/>
              <w:spacing w:before="0" w:after="283"/>
              <w:jc w:val="right"/>
              <w:rPr/>
            </w:pPr>
            <w:r>
              <w:rPr/>
              <w:t>9.25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shd w:fill="FFFFFF" w:val="clear"/>
            <w:tcMar>
              <w:bottom w:w="0" w:type="dxa"/>
            </w:tcMar>
            <w:vAlign w:val="center"/>
          </w:tcPr>
          <w:p>
            <w:pPr>
              <w:pStyle w:val="TableContents"/>
              <w:bidi w:val="0"/>
              <w:spacing w:before="0" w:after="283"/>
              <w:jc w:val="left"/>
              <w:rPr/>
            </w:pPr>
            <w:r>
              <w:rPr/>
              <w:t>7,625,000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w:t>
            </w:r>
          </w:p>
        </w:tc>
        <w:tc>
          <w:tcPr>
            <w:tcW w:w="1168" w:type="dxa"/>
            <w:tcBorders/>
            <w:shd w:fill="FFFFFF" w:val="clear"/>
            <w:tcMar>
              <w:bottom w:w="0" w:type="dxa"/>
            </w:tcMar>
            <w:vAlign w:val="center"/>
          </w:tcPr>
          <w:p>
            <w:pPr>
              <w:pStyle w:val="TableContents"/>
              <w:bidi w:val="0"/>
              <w:spacing w:before="0" w:after="283"/>
              <w:jc w:val="right"/>
              <w:rPr/>
            </w:pPr>
            <w:r>
              <w:rPr/>
              <w:t>11.50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2,977,011 shares of common stock underlying outstanding RSUs as of March 13, 2024 and 5,823,136 shares issuable upon the exercise of stock options outstanding as of March 13, 2024 previously granted under the Company’s equity incentive plans; and</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9,000,000 shares of common stock underlying warrants with an exercise price of $0.01 per share held by Metropolitan Partners Group Administration, LLC, Metropolitan Levered Partners Fund VII, LP, Metropolitan Partners Fund VII, LP, Metropolitan Offshore Partners Fund VII, LP and CEOF Holdings LP (collectively, the “Lenders”), the agent under our credit facility, in connection with antidilution protections under the warrants that were triggered by the February 2024 Offering (as defined under the heading “Dilution” below), but that may only be issued following receipt of shareholder approval pursuant to Nasdaq Rule 5635(d);</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4,500,000 shares of common stock issuable to Presto CA LLC (“CA LLC”) pursuant to anti-dilution protections previously granted to CA LLC, an affiliate of our shareholder, Cleveland Avenue, but that may only be issued following receipt of shareholder approval pursuant to Nasdaq Listing Rule 5635(d);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 shares of common stock issuable to investors who participated in the Company’s registered direct offering dated November 17, 2023, but that may only be issued following receipt of shareholder approval pursuant to Nasdaq Listing Rule 5635(d). </w:t>
            </w:r>
          </w:p>
        </w:tc>
      </w:tr>
    </w:tbl>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Unless otherwise indicated, all information in this prospectus (1) reflects or assumes no exercise, vesting or termination of options, RSUs or warrants outstanding as of March 13, 2024, and (2) assumes a public offering price per share of $0.25.</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ss_004"/>
      <w:bookmarkEnd w:id="5"/>
      <w:r>
        <w:rPr>
          <w:rFonts w:ascii="Times New Roman;Times;Serif" w:hAnsi="Times New Roman;Times;Serif"/>
          <w:b/>
          <w:i w:val="false"/>
          <w:caps/>
          <w:sz w:val="20"/>
        </w:rPr>
        <w:t>Risk Factors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common stock involves a high degree of risk. You should carefully consider and evaluate all of the information included and incorporated by reference in this prospectus, including the risk factors below, in the 2023 Form 10-K (which is incorporated by reference into this prospectus supplement), and other filings we make with the SEC, which are incorporated by reference into this prospectus supplement. It is possible that our business, financial condition, liquidity or results of operations could be materially adversely affected by any of these risks.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Purchasers of shares in this offering will experience immediate and substantial dilution in the book value of their investment.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offering price per share in this offering is substantially higher than the net tangible book value per share of our common stock before giving effect to this offering. Accordingly, purchasers of our securities in this offering at the public offering price will incur immediate dilution of approximately $1.24 per share representing the difference between the respective offering price per share and our pro forma as-adjusted net tangible book value as of December 31, 2023.  For more information, including how these amounts were calculated, see “Dilution.”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granted anti-dilution protection to certain of our investors, which will cause additional significant dilution to our stockholders and may have a material adverse impact on the market price of our common stock and make it more difficult for us to raise funds through future equity offerings.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immediate dilutive effects described in “The Offering”, we have granted anti-dilution protections to holders of our shares, warrants and convertible notes that could result in the issuance of additional shares in future offerings. Moreover, the perceived risk of dilution and the resulting downward pressure on our common stock price could encourage investors to engage in short sales of our common stock, which could further contribute to price declines in our common stock. The fact that certain of our stockholders and our warrantholders can sell substantial amounts of our common stock in the public market, whether or not sales have occurred or are occurring, as well as the existence of anti-dilution provisions in the Purchase Agreement and the Third Amendment Conversion Warrants, could make it more difficult for us to raise additional funds through the sale of equity or equity-related securities in the future at a time and price that we deem reasonable or appropriate, or at all.</w:t>
      </w:r>
    </w:p>
    <w:p>
      <w:pPr>
        <w:pStyle w:val="TextBody"/>
        <w:bidi w:val="0"/>
        <w:spacing w:before="0" w:after="0"/>
        <w:ind w:left="0" w:right="0" w:firstLine="48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price and trading volume have and may in the future experience volatility, and at times shares of our common stock have been, and may continue to be, thinly traded, which may contribute to volatility in our stock price and less liquidity for investors.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volume of our common stock has varied greatly in the past and may continue to do so in the future. At times our trading volume may be characterized as thinly traded. As a result of this thin trading market or “float” for our common stock, our common stock has been, and may continue to be, less liquid than the common stock of companies with broader public ownership. If our common stock is thinly traded, the trading of a relatively small volume of our common stock may have a greater impact on the trading price of our common stock than would be the case if our float were larger. As a result, the trading prices of our common stock may be more volatile than the common stock of companies with broader public ownership, and an investor be unable to liquidate an investment in our common stock at attractive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prices at which our common stock will trade in the future. Variations in financial results, announcements of material events, changes in our dividend policy, technological innovations or new products by us or our competitors, our quarterly operating results, changes in general conditions in the economy or government spending on law enforcement and military, other developments affecting us or our competitors or general price and volume fluctuations in the market are among the many factors that could cause the market price of our common stock to fluctuate substantially.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will need additional capital to sustain our operations and to the extent additional financing is unavailable or is only available on unfavorable terms, or if certain investors exercise their veto rights and block us from raising additional capital, it may have a material adverse effect on our business. </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raise approximately $1.2 million in gross proceeds in this offering, we believe that we would have sufficient liquidity to sustain the Company until approximately April 1, 2024 absent additional funding. If we are unable to raise additional financing in the near term, there is a significant risk that we would become insolvent and investors could lose the entirety of their investment. Further, as described in our Current Report on Form 8-K filed with the SEC on November 16, 2023. pursuant to a contractual arrangement, KKG Enterprises LLC, an affiliate of the REMUS Stockholders, and CA LLC, an affiliate of Cleveland Avenue, LLC, have veto rights over our ability to issue shares of our common stock or of our subsidiaries, or securities convertible into or exercisable for common stock, subject to certain limited exceptions, which could have a material adverse effect on our ability to raise additional financing if such veto rights are exercised.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Certain of our lenders are no longer required to forbear from exercising rights and remedies against us as a result of defaults under credit agreements.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forbearance agreement with the agent and the lenders under our credit agreement, which terminates on March 16, 2024. Following that date, irrespective of this offering, the agent and lenders will no longer be required to forbear from exercising rights and remedies against us under the credit agreement as a result of defaults under the credit agreement. The remedies that the agent and lenders have include instructing the banks in which we hold our deposits to transfer some or all of those deposits to an account designated by the agent for the purpose of reducing the outstanding principal and interest under the credit agreement. The occurrence of these events could limit the amount of cash available to us for use in our business.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to determine how to use the funds raised in this offering, and may use them in ways that may not enhance our operating results or the price of our common stock.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for working capital and general corporate purposes. Accordingly, we will have broad discretion as to how we use the net proceeds that we receive from this offering. We could spend the proceeds that we receive from this offering in ways that our shareholders may not agree with or that do not yield a favorable return. You will not have the opportunity as part of your investment decision to assess whether the net proceeds are being used appropriately. Investors in this offering will need to rely upon the judgment of our board of directors and management with respect to the use of proceeds. If we do not use the net proceeds that we receive in this offering effectively, our business, financial condition, results of operations and prospects could be harmed, and the market price of our shares of common stock could decline.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substantial amounts of our common stock in the public market, or the perception that these sales may occur, could cause the market price of our common stock to decline.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common stock in the public market, or the perception that these sales may occur, could cause the market price of our common stock to decline. This could also impair our ability to raise additional capital through the sale of our equity securities. We may issue additional shares of common stock, which may dilute existing shareholders, including purchasers of the common stock offered hereby. In connection with the completion of this offering, we have agreed not to issue, enter into any agreement to issue or announce the issuance or proposed issuance of any shares of Common Stock or Common Stock Equivalents (as defined in the securities purchase agreement entered into in connection with this offering) for a period of 15 days after the date of this prospectus supplement, subject to certain exceptions. Separately, the holders of approximately 35% of our shares have also agreed pursuant to a separate lock-up agreement with us entered into in connection with a financing transaction not to offer, sell or transfer their shares until December 23, 2024. Following the expiration of the lock-up periods, these shares will be available for sale in the public markets subject to restrictions under applicable securities laws. We cannot predict the size of future issuances of our shares, or the effect, if any, that future sales and issuances of securities would have on the market price of our shares of common stock. See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listed on the Nasdaq Stock Market. If we are unable to maintain listing of our securities on the Nasdaq Stock Market or any stock exchange, our stock price could be adversely affected and the liquidity of our stock and our ability to obtain financing could be impaired and it may be more difficult for our shareholders to sell their securities.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common stock is currently listed on Nasdaq, we may not be able to continue to meet the exchange’s minimum listing requirements or those of any other national exchange. For example, On February 23, 2024, we received the Notice from Nasdaq stating that the Company is not in compliance with the requirement to maintain a MVPHS of $15 million, as set forth in Nasdaq Listing Rule 5450(b)(2)(C) because the MVPHS of the Company was below $15 million for the 35 consecutive business days prior to the date of the Notice. The Notice was in addition to the previously disclosed letters received on February 6, 2024, notifying the Company that it was not in compliance with the requirement to maintain a minimum Market Value of Listed Securities of $50 million, as set forth in Nasdaq Listing Rule 5450(b)(2)(A), and on December 28, 2023, notifying the Company that it was not in compliance with the requirement to maintain a minimum bid price of $1.00 per share, as set forth in Nasdaq Listing Rule 5450(a)(1). The delisting of our common stock from Nasdaq may make it more difficult for us to raise capital on favorable terms in the future. Such a delisting would likely a result in a reduction in some or all of the following may occur, each of which could have a material adverse effect on our shareholders and may impair your ability to sell or purchase our common stock when you wish to do so:</w:t>
      </w:r>
    </w:p>
    <w:p>
      <w:pPr>
        <w:pStyle w:val="TextBody"/>
        <w:bidi w:val="0"/>
        <w:spacing w:before="0" w:after="0"/>
        <w:ind w:left="1195" w:right="0" w:hanging="36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liquidity of our common stock;</w:t>
            </w:r>
          </w:p>
        </w:tc>
      </w:tr>
    </w:tbl>
    <w:p>
      <w:pPr>
        <w:pStyle w:val="TextBody"/>
        <w:bidi w:val="0"/>
        <w:spacing w:before="0" w:after="0"/>
        <w:ind w:left="1195" w:right="0" w:hanging="360"/>
        <w:jc w:val="both"/>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17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of our common stock;</w:t>
            </w:r>
          </w:p>
        </w:tc>
      </w:tr>
    </w:tbl>
    <w:p>
      <w:pPr>
        <w:pStyle w:val="TextBody"/>
        <w:bidi w:val="0"/>
        <w:spacing w:before="0" w:after="0"/>
        <w:ind w:left="1195" w:right="0" w:hanging="36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financing for the continuation of our operations;</w:t>
            </w:r>
          </w:p>
        </w:tc>
      </w:tr>
    </w:tbl>
    <w:p>
      <w:pPr>
        <w:pStyle w:val="TextBody"/>
        <w:bidi w:val="0"/>
        <w:spacing w:before="0" w:after="0"/>
        <w:ind w:left="1195" w:right="0" w:hanging="360"/>
        <w:jc w:val="both"/>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investors that will consider investing in our common stock;</w:t>
            </w:r>
          </w:p>
        </w:tc>
      </w:tr>
    </w:tbl>
    <w:p>
      <w:pPr>
        <w:pStyle w:val="TextBody"/>
        <w:bidi w:val="0"/>
        <w:spacing w:before="0" w:after="0"/>
        <w:ind w:left="1195" w:right="0" w:hanging="360"/>
        <w:jc w:val="both"/>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38"/>
        <w:gridCol w:w="170"/>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market makers in our common stock;</w:t>
            </w:r>
          </w:p>
        </w:tc>
      </w:tr>
    </w:tbl>
    <w:p>
      <w:pPr>
        <w:pStyle w:val="TextBody"/>
        <w:bidi w:val="0"/>
        <w:spacing w:before="0" w:after="0"/>
        <w:ind w:left="1195" w:right="0" w:hanging="36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information concerning the trading prices and volume of our common stock; and</w:t>
            </w:r>
          </w:p>
        </w:tc>
      </w:tr>
    </w:tbl>
    <w:p>
      <w:pPr>
        <w:pStyle w:val="TextBody"/>
        <w:bidi w:val="0"/>
        <w:spacing w:before="0" w:after="0"/>
        <w:ind w:left="1195" w:right="0" w:hanging="36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17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broker-dealers willing to execute trades in shares of our common stock.</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we were to be delisted from the Nasdaq Stock Market and we are unable to obtain listing on another national securities exchange, our common stock would cease to be recognized as covered securities and we would be subject to regulation in each state in which we offer our securities.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ss_005"/>
      <w:bookmarkEnd w:id="6"/>
      <w:r>
        <w:rPr>
          <w:rFonts w:ascii="Times New Roman;Times;Serif" w:hAnsi="Times New Roman;Times;Serif"/>
          <w:b/>
          <w:i w:val="false"/>
          <w:caps/>
          <w:sz w:val="20"/>
        </w:rPr>
        <w:t>Use of PROCEEDS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we will receive net proceeds of approximately $1 million from the sale of the shares of common stock offered by us in this offering, after deducting the placement agent fees and estimated offering expenses payable by us. We intend to use the net proceeds from this offering for working capital and general corporate purposes.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determined the amount of net proceeds to be used specifically for any of the foregoing purposes. Accordingly, our management will have significant discretion and flexibility in applying the net proceeds from this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7" w:name="ss_006"/>
      <w:bookmarkEnd w:id="7"/>
      <w:r>
        <w:rPr>
          <w:rFonts w:ascii="Times New Roman;Times;Serif" w:hAnsi="Times New Roman;Times;Serif"/>
          <w:b/>
          <w:i w:val="false"/>
          <w:caps/>
          <w:sz w:val="20"/>
        </w:rPr>
        <w:t>DILUTION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common stock, your interest will be diluted immediately to the extent of the difference between the offering price per share you will pay in this offering and the as-adjusted net tangible book value per share of our common stock immediately after giving effect to this offering.</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as of December 31, 2023 was approximately $(53.2) million, or $(0.76) per share of common stock. Net tangible book value per share is determined by dividing our total tangible assets, less total liabilities, by the number of shares of our common stock outstanding as of December 31, 2023.</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 forma net tangible book value as of December 31, 2023, before giving effect to this offering, was approximately $(52.5), or $(0.75) per share of common stock. Pro forma net tangible book value, before the issuance and sale of shares of securities in this offering, gives effect to the issuance and sale of an aggregate of $9.0 million principal amount of subordinated convertible notes offered in January 2024 (the “January 2024 Offering”), sale of 8.5 million shares for gross proceeds of $2.1 million, and an aggregate of $0.96 million principal amount of subordinated convertible notes offered in February 2024 (the “February 2024 Offering”), the application of the estimated net proceeds therefrom and the issuance of shares of Common Stock pursuant to antidilution provisions triggered by the January 2024 Offering and the February 2024 Offering, after deducting estimated offering expenses payable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As-adjusted net tangible book value per share represents our net tangible book value after giving effect to the sale of shares of common stock at the public offering price of $0.25 per share, and, after deducting the placement agent fees and commissions and estimated offering expenses payable by us in connection with this offering, would have been approximately $(50.47) million, or $(0.58) per share. This represents an immediate increase in net tangible book value of $0.17 per share to our existing stockholders and an immediate dilution of approximately $1.33 per share to purchasers of our common stock in this offering at the public offering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per share dilution.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77"/>
        <w:gridCol w:w="60"/>
        <w:gridCol w:w="140"/>
        <w:gridCol w:w="515"/>
        <w:gridCol w:w="95"/>
        <w:gridCol w:w="60"/>
        <w:gridCol w:w="140"/>
        <w:gridCol w:w="635"/>
        <w:gridCol w:w="83"/>
      </w:tblGrid>
      <w:tr>
        <w:trPr/>
        <w:tc>
          <w:tcPr>
            <w:tcW w:w="8477" w:type="dxa"/>
            <w:tcBorders/>
            <w:shd w:fill="CCEEFF" w:val="clear"/>
            <w:vAlign w:val="center"/>
          </w:tcPr>
          <w:p>
            <w:pPr>
              <w:pStyle w:val="TableContents"/>
              <w:bidi w:val="0"/>
              <w:spacing w:before="0" w:after="283"/>
              <w:ind w:left="0" w:right="0" w:hanging="180"/>
              <w:jc w:val="left"/>
              <w:rPr/>
            </w:pPr>
            <w:r>
              <w:rPr/>
              <w:t>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0.25</w:t>
            </w:r>
          </w:p>
        </w:tc>
        <w:tc>
          <w:tcPr>
            <w:tcW w:w="83" w:type="dxa"/>
            <w:tcBorders/>
            <w:shd w:fill="CCEEFF" w:val="clear"/>
            <w:vAlign w:val="center"/>
          </w:tcPr>
          <w:p>
            <w:pPr>
              <w:pStyle w:val="TableContents"/>
              <w:bidi w:val="0"/>
              <w:spacing w:before="0" w:after="283"/>
              <w:jc w:val="left"/>
              <w:rPr/>
            </w:pPr>
            <w:r>
              <w:rPr/>
              <w:t> </w:t>
            </w:r>
          </w:p>
        </w:tc>
      </w:tr>
      <w:tr>
        <w:trPr/>
        <w:tc>
          <w:tcPr>
            <w:tcW w:w="8477" w:type="dxa"/>
            <w:tcBorders/>
            <w:shd w:fill="FFFFFF" w:val="clear"/>
            <w:vAlign w:val="center"/>
          </w:tcPr>
          <w:p>
            <w:pPr>
              <w:pStyle w:val="TableContents"/>
              <w:bidi w:val="0"/>
              <w:spacing w:before="0" w:after="283"/>
              <w:jc w:val="left"/>
              <w:rPr/>
            </w:pPr>
            <w:r>
              <w:rPr/>
              <w:t>Net tangible book value per share as of December 31, 2023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right"/>
              <w:rPr/>
            </w:pPr>
            <w:r>
              <w:rPr/>
              <w:t>(0.75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8477" w:type="dxa"/>
            <w:tcBorders/>
            <w:shd w:fill="CCEEFF" w:val="clear"/>
            <w:vAlign w:val="center"/>
          </w:tcPr>
          <w:p>
            <w:pPr>
              <w:pStyle w:val="TableContents"/>
              <w:bidi w:val="0"/>
              <w:spacing w:before="0" w:after="283"/>
              <w:jc w:val="left"/>
              <w:rPr/>
            </w:pPr>
            <w:r>
              <w:rPr/>
              <w:t>Increase in net tangible book value per share attributable to the January 2024 Offering and February 2024 Offering, the application of the estimated net proceeds therefrom and the issuance of shares of common stock pursuant to antidilution provisions triggered by the January 2024 Offering and February 2024 Offering after deducting estimated offering expenses payable by 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8477" w:type="dxa"/>
            <w:tcBorders/>
            <w:shd w:fill="FFFFFF" w:val="clear"/>
            <w:vAlign w:val="center"/>
          </w:tcPr>
          <w:p>
            <w:pPr>
              <w:pStyle w:val="TableContents"/>
              <w:bidi w:val="0"/>
              <w:spacing w:before="0" w:after="283"/>
              <w:jc w:val="left"/>
              <w:rPr/>
            </w:pPr>
            <w:r>
              <w:rPr/>
              <w:t>Pro forma net tangible book value per share as of December 31, 2023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(0.52</w:t>
            </w:r>
          </w:p>
        </w:tc>
        <w:tc>
          <w:tcPr>
            <w:tcW w:w="83" w:type="dxa"/>
            <w:tcBorders/>
            <w:shd w:fill="FFFFFF" w:val="clear"/>
            <w:vAlign w:val="center"/>
          </w:tcPr>
          <w:p>
            <w:pPr>
              <w:pStyle w:val="TableContents"/>
              <w:bidi w:val="0"/>
              <w:spacing w:before="0" w:after="283"/>
              <w:ind w:left="0" w:right="0" w:hanging="180"/>
              <w:jc w:val="left"/>
              <w:rPr/>
            </w:pPr>
            <w:r>
              <w:rPr/>
              <w:t>)</w:t>
            </w:r>
          </w:p>
        </w:tc>
      </w:tr>
      <w:tr>
        <w:trPr/>
        <w:tc>
          <w:tcPr>
            <w:tcW w:w="8477" w:type="dxa"/>
            <w:tcBorders/>
            <w:shd w:fill="CCEEFF" w:val="clear"/>
            <w:vAlign w:val="center"/>
          </w:tcPr>
          <w:p>
            <w:pPr>
              <w:pStyle w:val="TableContents"/>
              <w:bidi w:val="0"/>
              <w:spacing w:before="0" w:after="283"/>
              <w:jc w:val="left"/>
              <w:rPr/>
            </w:pPr>
            <w:r>
              <w:rPr/>
              <w:t>Increase in net tangible book value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0.03</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8477" w:type="dxa"/>
            <w:tcBorders/>
            <w:shd w:fill="FFFFFF" w:val="clear"/>
            <w:vAlign w:val="center"/>
          </w:tcPr>
          <w:p>
            <w:pPr>
              <w:pStyle w:val="TableContents"/>
              <w:bidi w:val="0"/>
              <w:spacing w:before="0" w:after="283"/>
              <w:jc w:val="left"/>
              <w:rPr/>
            </w:pPr>
            <w:r>
              <w:rPr/>
              <w:t>Pro forma as-adjusted net tangible book value per share as of December 31, 2023,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(0.498</w:t>
            </w:r>
          </w:p>
        </w:tc>
        <w:tc>
          <w:tcPr>
            <w:tcW w:w="83" w:type="dxa"/>
            <w:tcBorders/>
            <w:shd w:fill="FFFFFF" w:val="clear"/>
            <w:vAlign w:val="center"/>
          </w:tcPr>
          <w:p>
            <w:pPr>
              <w:pStyle w:val="TableContents"/>
              <w:bidi w:val="0"/>
              <w:spacing w:before="0" w:after="283"/>
              <w:ind w:left="0" w:right="0" w:hanging="180"/>
              <w:jc w:val="left"/>
              <w:rPr/>
            </w:pPr>
            <w:r>
              <w:rPr/>
              <w:t>)</w:t>
            </w:r>
          </w:p>
        </w:tc>
      </w:tr>
      <w:tr>
        <w:trPr/>
        <w:tc>
          <w:tcPr>
            <w:tcW w:w="8477" w:type="dxa"/>
            <w:tcBorders/>
            <w:shd w:fill="CCEEFF" w:val="clear"/>
            <w:vAlign w:val="center"/>
          </w:tcPr>
          <w:p>
            <w:pPr>
              <w:pStyle w:val="TableContents"/>
              <w:bidi w:val="0"/>
              <w:spacing w:before="0" w:after="283"/>
              <w:jc w:val="left"/>
              <w:rPr/>
            </w:pPr>
            <w:r>
              <w:rPr/>
              <w:t>Dilution per share to new investors purchasing in this offering at the public 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1.24</w:t>
            </w:r>
          </w:p>
        </w:tc>
        <w:tc>
          <w:tcPr>
            <w:tcW w:w="83"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above and in the foregoing table is based on 70,335,628 shares of our common stock outstanding as of December 31, 2023, and does not include:</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12,907,800 shares of common stock reserved for future issuance under the Company’s equity incentive plans;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9,000,000 shares of common stock underlying warrants with an exercise price of $0.01 per share held by Metropolitan Partners Group Administration, LLC, Metropolitan Levered Partners Fund VII, LP, Metropolitan Partners Fund VII, LP, Metropolitan Offshore Partners Fund VII, LP and CEOF Holdings LP (collectively, the “Lenders”), the agent under our credit facility, in connection with antidilution protections under the warrants that were triggered by the February 2024 Offering, but that may only be issued following receipt of shareholder approval pursuant to Nasdaq Rule 5635(d);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4,500,000 shares of common stock issuable to Presto CA LLC (“CA LLC”) pursuant to anti-dilution protections previously granted to CA LLC, an affiliate of our shareholder, Cleveland Avenue, but that may only be issued following receipt of shareholder approval pursuant to Nasdaq Listing Rule 5635(d);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4,500,000 shares of common stock issuable to investors who participated in the Company’s registered direct offering dated November 17, 2023, but that may only be issued following receipt of shareholder approval pursuant to Nasdaq Listing Rule 5635(d).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all information in this prospectus supplement assumes no exercise, vesting or termination of options, RSUs or warrants outstanding as of December 31, 2023. To the extent that any of these outstanding options, RSUs or warrants are exercised at prices per share below the public offering price or lead investor price per share in this offering or we issue additional shares under our equity incentive plans at prices below the public offering price or lead investor price per share in this offering,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w:t>
      </w:r>
    </w:p>
    <w:p>
      <w:pPr>
        <w:pStyle w:val="TextBody"/>
        <w:bidi w:val="0"/>
        <w:spacing w:before="0" w:after="0"/>
        <w:ind w:left="0" w:right="0" w:firstLine="360"/>
        <w:jc w:val="both"/>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ss_007"/>
      <w:bookmarkEnd w:id="8"/>
      <w:r>
        <w:rPr>
          <w:rFonts w:ascii="Times New Roman;Times;Serif" w:hAnsi="Times New Roman;Times;Serif"/>
          <w:b/>
          <w:i w:val="false"/>
          <w:caps/>
          <w:sz w:val="20"/>
        </w:rPr>
        <w:t>Capitalization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cash equivalents and capitalization as of December 31, 2023: </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882"/>
        <w:gridCol w:w="9127"/>
      </w:tblGrid>
      <w:tr>
        <w:trPr/>
        <w:tc>
          <w:tcPr>
            <w:tcW w:w="19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pPr>
            <w:r>
              <w:rPr/>
              <w:t>●</w:t>
            </w:r>
          </w:p>
        </w:tc>
        <w:tc>
          <w:tcPr>
            <w:tcW w:w="9127" w:type="dxa"/>
            <w:tcBorders/>
            <w:vAlign w:val="center"/>
          </w:tcPr>
          <w:p>
            <w:pPr>
              <w:pStyle w:val="TableContents"/>
              <w:bidi w:val="0"/>
              <w:spacing w:before="0" w:after="283"/>
              <w:jc w:val="both"/>
              <w:rPr/>
            </w:pPr>
            <w:r>
              <w:rPr/>
              <w:t>on an actual basis;</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780"/>
        <w:gridCol w:w="9251"/>
      </w:tblGrid>
      <w:tr>
        <w:trPr/>
        <w:tc>
          <w:tcPr>
            <w:tcW w:w="17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pPr>
            <w:r>
              <w:rPr/>
              <w:t>●</w:t>
            </w:r>
          </w:p>
        </w:tc>
        <w:tc>
          <w:tcPr>
            <w:tcW w:w="9251" w:type="dxa"/>
            <w:tcBorders/>
            <w:vAlign w:val="center"/>
          </w:tcPr>
          <w:p>
            <w:pPr>
              <w:pStyle w:val="TableContents"/>
              <w:bidi w:val="0"/>
              <w:spacing w:before="0" w:after="283"/>
              <w:jc w:val="both"/>
              <w:rPr/>
            </w:pPr>
            <w:r>
              <w:rPr/>
              <w:t>as adjusted to reflect:</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on an as-adjusted basis to give effect to the issuance and sale of an aggregate of $9.0 million principal amount of subordinated convertible notes offered in January 2024, the application of the estimated net proceeds therefrom and the issuance of shares of common stock pursuant to antidilution provisions triggered by the January 2024 Offering, after deducting estimated offering expenses payable by us;</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on an as-adjusted basis to give effect to the issuance and sale of an aggregate of $2.1 million of common stock in February 2024, the application of the estimated net proceeds therefrom and the issuance of shares of common stock pursuant to antidilution provisions triggered by the February 2024 Offering, after deducting estimated offering expenses payable by us; and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on an as-adjusted basis to give effect to the issuance and sale of an aggregate of $0.96 million principal amount of subordinated convertible notes offered in March 2024, the application of the estimated net proceeds therefrom; and</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an as-further-adjusted basis to give effect to the issuance and sale of our common stock offered hereby and the application of the estimated net proceeds therefrom as set forth under “Use of Proceeds,” based on the sale of 4,800,000 shares of common stock at public offering price of $0.25 per share, after deducting the placement agent fees and estimated offering expenses payable by us.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table in conjunction with the financial statements, including the notes thereto, and other financial information pertaining to us incorporated by reference in this prospectus supplement.</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43"/>
        <w:gridCol w:w="60"/>
        <w:gridCol w:w="140"/>
        <w:gridCol w:w="875"/>
        <w:gridCol w:w="95"/>
        <w:gridCol w:w="60"/>
        <w:gridCol w:w="140"/>
        <w:gridCol w:w="875"/>
        <w:gridCol w:w="95"/>
        <w:gridCol w:w="60"/>
        <w:gridCol w:w="145"/>
        <w:gridCol w:w="906"/>
        <w:gridCol w:w="111"/>
      </w:tblGrid>
      <w:tr>
        <w:trPr/>
        <w:tc>
          <w:tcPr>
            <w:tcW w:w="66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9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 2023</w:t>
            </w:r>
          </w:p>
        </w:tc>
        <w:tc>
          <w:tcPr>
            <w:tcW w:w="111" w:type="dxa"/>
            <w:tcBorders/>
            <w:vAlign w:val="center"/>
          </w:tcPr>
          <w:p>
            <w:pPr>
              <w:pStyle w:val="TableContents"/>
              <w:bidi w:val="0"/>
              <w:spacing w:before="0" w:after="283"/>
              <w:jc w:val="left"/>
              <w:rPr/>
            </w:pPr>
            <w:r>
              <w:rPr/>
              <w:t> </w:t>
            </w:r>
          </w:p>
        </w:tc>
      </w:tr>
      <w:tr>
        <w:trPr/>
        <w:tc>
          <w:tcPr>
            <w:tcW w:w="6643" w:type="dxa"/>
            <w:tcBorders>
              <w:bottom w:val="single" w:sz="12" w:space="0" w:color="000000"/>
            </w:tcBorders>
            <w:tcMar>
              <w:bottom w:w="28" w:type="dxa"/>
            </w:tcMar>
            <w:vAlign w:val="center"/>
          </w:tcPr>
          <w:p>
            <w:pPr>
              <w:pStyle w:val="TableContents"/>
              <w:bidi w:val="0"/>
              <w:spacing w:before="0" w:after="283"/>
              <w:jc w:val="left"/>
              <w:rPr>
                <w:b/>
              </w:rPr>
            </w:pPr>
            <w:r>
              <w:rPr>
                <w:b/>
              </w:rPr>
              <w:t>($ in thousands)</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w:t>
              <w:br/>
              <w:t>Adjusted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Further </w:t>
              <w:br/>
              <w:t>Adjusted</w:t>
            </w:r>
          </w:p>
        </w:tc>
        <w:tc>
          <w:tcPr>
            <w:tcW w:w="111" w:type="dxa"/>
            <w:tcBorders/>
            <w:vAlign w:val="center"/>
          </w:tcPr>
          <w:p>
            <w:pPr>
              <w:pStyle w:val="TableContents"/>
              <w:bidi w:val="0"/>
              <w:spacing w:before="0" w:after="283"/>
              <w:jc w:val="left"/>
              <w:rPr/>
            </w:pPr>
            <w:r>
              <w:rPr/>
              <w:t> </w:t>
            </w:r>
          </w:p>
        </w:tc>
      </w:tr>
      <w:tr>
        <w:trPr/>
        <w:tc>
          <w:tcPr>
            <w:tcW w:w="6643" w:type="dxa"/>
            <w:tcBorders/>
            <w:shd w:fill="CCEEFF" w:val="clear"/>
            <w:vAlign w:val="center"/>
          </w:tcPr>
          <w:p>
            <w:pPr>
              <w:pStyle w:val="TableContents"/>
              <w:bidi w:val="0"/>
              <w:spacing w:before="0" w:after="283"/>
              <w:jc w:val="left"/>
              <w:rPr>
                <w:sz w:val="20"/>
              </w:rPr>
            </w:pPr>
            <w:r>
              <w:rPr>
                <w:sz w:val="20"/>
              </w:rPr>
              <w:t>Cash and cash equivalents</w:t>
            </w:r>
            <w:r>
              <w:rPr>
                <w:position w:val="7"/>
                <w:sz w:val="16"/>
                <w:sz w:val="20"/>
              </w:rPr>
              <w:t>(1)(2)(3)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13,375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10,546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6" w:type="dxa"/>
            <w:tcBorders>
              <w:bottom w:val="double" w:sz="10" w:space="0" w:color="000000"/>
            </w:tcBorders>
            <w:shd w:fill="CCEEFF" w:val="clear"/>
            <w:tcMar>
              <w:bottom w:w="28" w:type="dxa"/>
            </w:tcMar>
            <w:vAlign w:val="center"/>
          </w:tcPr>
          <w:p>
            <w:pPr>
              <w:pStyle w:val="TableContents"/>
              <w:bidi w:val="0"/>
              <w:spacing w:before="0" w:after="283"/>
              <w:jc w:val="right"/>
              <w:rPr/>
            </w:pPr>
            <w:r>
              <w:rPr/>
              <w:t>11,674</w:t>
            </w:r>
          </w:p>
        </w:tc>
        <w:tc>
          <w:tcPr>
            <w:tcW w:w="111" w:type="dxa"/>
            <w:tcBorders/>
            <w:shd w:fill="CCEEFF" w:val="clear"/>
            <w:vAlign w:val="center"/>
          </w:tcPr>
          <w:p>
            <w:pPr>
              <w:pStyle w:val="TableContents"/>
              <w:bidi w:val="0"/>
              <w:spacing w:before="0" w:after="283"/>
              <w:jc w:val="left"/>
              <w:rPr/>
            </w:pPr>
            <w:r>
              <w:rPr/>
              <w:t> </w:t>
            </w:r>
          </w:p>
        </w:tc>
      </w:tr>
      <w:tr>
        <w:trPr/>
        <w:tc>
          <w:tcPr>
            <w:tcW w:w="6643" w:type="dxa"/>
            <w:tcBorders/>
            <w:shd w:fill="FFFFFF" w:val="clear"/>
            <w:vAlign w:val="center"/>
          </w:tcPr>
          <w:p>
            <w:pPr>
              <w:pStyle w:val="TableContents"/>
              <w:bidi w:val="0"/>
              <w:spacing w:before="0" w:after="283"/>
              <w:jc w:val="left"/>
              <w:rPr/>
            </w:pPr>
            <w:r>
              <w:rPr/>
              <w:t>Total debt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55,632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51,012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06" w:type="dxa"/>
            <w:tcBorders>
              <w:bottom w:val="single" w:sz="12" w:space="0" w:color="000000"/>
            </w:tcBorders>
            <w:shd w:fill="FFFFFF" w:val="clear"/>
            <w:tcMar>
              <w:bottom w:w="28" w:type="dxa"/>
            </w:tcMar>
            <w:vAlign w:val="center"/>
          </w:tcPr>
          <w:p>
            <w:pPr>
              <w:pStyle w:val="TableContents"/>
              <w:bidi w:val="0"/>
              <w:spacing w:before="0" w:after="283"/>
              <w:jc w:val="right"/>
              <w:rPr/>
            </w:pPr>
            <w:r>
              <w:rPr/>
              <w:t>51,012</w:t>
            </w:r>
          </w:p>
        </w:tc>
        <w:tc>
          <w:tcPr>
            <w:tcW w:w="111" w:type="dxa"/>
            <w:tcBorders/>
            <w:shd w:fill="FFFFFF" w:val="clear"/>
            <w:vAlign w:val="center"/>
          </w:tcPr>
          <w:p>
            <w:pPr>
              <w:pStyle w:val="TableContents"/>
              <w:bidi w:val="0"/>
              <w:spacing w:before="0" w:after="283"/>
              <w:jc w:val="left"/>
              <w:rPr/>
            </w:pPr>
            <w:r>
              <w:rPr/>
              <w:t> </w:t>
            </w:r>
          </w:p>
        </w:tc>
      </w:tr>
      <w:tr>
        <w:trPr/>
        <w:tc>
          <w:tcPr>
            <w:tcW w:w="6643" w:type="dxa"/>
            <w:tcBorders/>
            <w:shd w:fill="CCEEFF" w:val="clear"/>
            <w:vAlign w:val="center"/>
          </w:tcPr>
          <w:p>
            <w:pPr>
              <w:pStyle w:val="TableContents"/>
              <w:bidi w:val="0"/>
              <w:spacing w:before="0" w:after="283"/>
              <w:jc w:val="left"/>
              <w:rPr/>
            </w:pPr>
            <w:r>
              <w:rPr/>
              <w:t>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6643" w:type="dxa"/>
            <w:tcBorders/>
            <w:shd w:fill="FFFFFF" w:val="clear"/>
            <w:vAlign w:val="center"/>
          </w:tcPr>
          <w:p>
            <w:pPr>
              <w:pStyle w:val="TableContents"/>
              <w:bidi w:val="0"/>
              <w:spacing w:before="0" w:after="283"/>
              <w:jc w:val="left"/>
              <w:rPr/>
            </w:pPr>
            <w:r>
              <w:rPr/>
              <w:t>Common stock, par value $0.0001 per share; 180,000,000 shares authorized, actual and 100,000,000,000 shares authorized, as adjusted and as further adjusted, 70,335,628 shares issued and outstanding, actual; 79,335,628 shares issued and outstanding, as adjusted, and 87,868,628 outstanding, as further adjusted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14</w:t>
            </w:r>
          </w:p>
        </w:tc>
        <w:tc>
          <w:tcPr>
            <w:tcW w:w="111" w:type="dxa"/>
            <w:tcBorders/>
            <w:shd w:fill="FFFFFF" w:val="clear"/>
            <w:vAlign w:val="center"/>
          </w:tcPr>
          <w:p>
            <w:pPr>
              <w:pStyle w:val="TableContents"/>
              <w:bidi w:val="0"/>
              <w:spacing w:before="0" w:after="283"/>
              <w:jc w:val="left"/>
              <w:rPr/>
            </w:pPr>
            <w:r>
              <w:rPr/>
              <w:t> </w:t>
            </w:r>
          </w:p>
        </w:tc>
      </w:tr>
      <w:tr>
        <w:trPr/>
        <w:tc>
          <w:tcPr>
            <w:tcW w:w="6643"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206,109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207,898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209,021</w:t>
            </w:r>
          </w:p>
        </w:tc>
        <w:tc>
          <w:tcPr>
            <w:tcW w:w="111" w:type="dxa"/>
            <w:tcBorders/>
            <w:shd w:fill="CCEEFF" w:val="clear"/>
            <w:vAlign w:val="center"/>
          </w:tcPr>
          <w:p>
            <w:pPr>
              <w:pStyle w:val="TableContents"/>
              <w:bidi w:val="0"/>
              <w:spacing w:before="0" w:after="283"/>
              <w:jc w:val="left"/>
              <w:rPr/>
            </w:pPr>
            <w:r>
              <w:rPr/>
              <w:t> </w:t>
            </w:r>
          </w:p>
        </w:tc>
      </w:tr>
      <w:tr>
        <w:trPr/>
        <w:tc>
          <w:tcPr>
            <w:tcW w:w="6643"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(247,945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(247,945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6" w:type="dxa"/>
            <w:tcBorders>
              <w:bottom w:val="single" w:sz="12" w:space="0" w:color="000000"/>
            </w:tcBorders>
            <w:shd w:fill="FFFFFF" w:val="clear"/>
            <w:tcMar>
              <w:bottom w:w="28" w:type="dxa"/>
            </w:tcMar>
            <w:vAlign w:val="center"/>
          </w:tcPr>
          <w:p>
            <w:pPr>
              <w:pStyle w:val="TableContents"/>
              <w:bidi w:val="0"/>
              <w:spacing w:before="0" w:after="283"/>
              <w:jc w:val="right"/>
              <w:rPr/>
            </w:pPr>
            <w:r>
              <w:rPr/>
              <w:t>(247,945</w:t>
            </w:r>
          </w:p>
        </w:tc>
        <w:tc>
          <w:tcPr>
            <w:tcW w:w="111" w:type="dxa"/>
            <w:tcBorders/>
            <w:shd w:fill="FFFFFF" w:val="clear"/>
            <w:vAlign w:val="center"/>
          </w:tcPr>
          <w:p>
            <w:pPr>
              <w:pStyle w:val="TableContents"/>
              <w:bidi w:val="0"/>
              <w:spacing w:before="0" w:after="283"/>
              <w:jc w:val="left"/>
              <w:rPr/>
            </w:pPr>
            <w:r>
              <w:rPr/>
              <w:t>)</w:t>
            </w:r>
          </w:p>
        </w:tc>
      </w:tr>
      <w:tr>
        <w:trPr/>
        <w:tc>
          <w:tcPr>
            <w:tcW w:w="6643" w:type="dxa"/>
            <w:tcBorders/>
            <w:shd w:fill="CCEEFF" w:val="clear"/>
            <w:vAlign w:val="center"/>
          </w:tcPr>
          <w:p>
            <w:pPr>
              <w:pStyle w:val="TableContents"/>
              <w:bidi w:val="0"/>
              <w:spacing w:before="0" w:after="283"/>
              <w:jc w:val="left"/>
              <w:rPr/>
            </w:pPr>
            <w:r>
              <w:rPr/>
              <w:t>Total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(41,829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(40,038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12" w:space="0" w:color="000000"/>
            </w:tcBorders>
            <w:shd w:fill="CCEEFF" w:val="clear"/>
            <w:tcMar>
              <w:bottom w:w="28" w:type="dxa"/>
            </w:tcMar>
            <w:vAlign w:val="center"/>
          </w:tcPr>
          <w:p>
            <w:pPr>
              <w:pStyle w:val="TableContents"/>
              <w:bidi w:val="0"/>
              <w:spacing w:before="0" w:after="283"/>
              <w:jc w:val="right"/>
              <w:rPr/>
            </w:pPr>
            <w:r>
              <w:rPr/>
              <w:t>(38,910</w:t>
            </w:r>
          </w:p>
        </w:tc>
        <w:tc>
          <w:tcPr>
            <w:tcW w:w="111" w:type="dxa"/>
            <w:tcBorders/>
            <w:shd w:fill="CCEEFF" w:val="clear"/>
            <w:vAlign w:val="center"/>
          </w:tcPr>
          <w:p>
            <w:pPr>
              <w:pStyle w:val="TableContents"/>
              <w:bidi w:val="0"/>
              <w:spacing w:before="0" w:after="283"/>
              <w:jc w:val="left"/>
              <w:rPr/>
            </w:pPr>
            <w:r>
              <w:rPr/>
              <w:t>)</w:t>
            </w:r>
          </w:p>
        </w:tc>
      </w:tr>
      <w:tr>
        <w:trPr/>
        <w:tc>
          <w:tcPr>
            <w:tcW w:w="6643" w:type="dxa"/>
            <w:tcBorders/>
            <w:shd w:fill="FFFFFF" w:val="clear"/>
            <w:vAlign w:val="center"/>
          </w:tcPr>
          <w:p>
            <w:pPr>
              <w:pStyle w:val="TableContents"/>
              <w:bidi w:val="0"/>
              <w:spacing w:before="0" w:after="283"/>
              <w:jc w:val="left"/>
              <w:rPr/>
            </w:pPr>
            <w:r>
              <w:rPr/>
              <w:t>Total capitalization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13,803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28,037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6" w:type="dxa"/>
            <w:tcBorders>
              <w:bottom w:val="double" w:sz="10" w:space="0" w:color="000000"/>
            </w:tcBorders>
            <w:shd w:fill="FFFFFF" w:val="clear"/>
            <w:tcMar>
              <w:bottom w:w="28" w:type="dxa"/>
            </w:tcMar>
            <w:vAlign w:val="center"/>
          </w:tcPr>
          <w:p>
            <w:pPr>
              <w:pStyle w:val="TableContents"/>
              <w:bidi w:val="0"/>
              <w:spacing w:before="0" w:after="283"/>
              <w:jc w:val="right"/>
              <w:rPr/>
            </w:pPr>
            <w:r>
              <w:rPr/>
              <w:t>29,165</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ss_008"/>
      <w:bookmarkEnd w:id="9"/>
      <w:r>
        <w:rPr>
          <w:rFonts w:ascii="Times New Roman;Times;Serif" w:hAnsi="Times New Roman;Times;Serif"/>
          <w:b/>
          <w:i w:val="false"/>
          <w:caps/>
          <w:sz w:val="20"/>
        </w:rPr>
        <w:t>Material U.S. Federal Tax Considerations for Non-U.S. Holders of Our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U.S. federal income tax consequences applicable to Non-U.S. holders (as defined below) of the acquisition, ownership and disposition of our common stock purchased in accordance with this prospectus supplement, but does not purport to be a complete analysis of all potential tax consequences related thereto. This discussion applies only to our common stock that is held as a capital asset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common stock will be in U.S. dollars.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 financial institutions or financial services entities;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495" w:type="dxa"/>
        <w:jc w:val="left"/>
        <w:tblInd w:w="0" w:type="dxa"/>
        <w:shd w:fill="FFFFFF" w:val="clear"/>
        <w:tblLayout w:type="fixed"/>
        <w:tblCellMar>
          <w:top w:w="0" w:type="dxa"/>
          <w:left w:w="0" w:type="dxa"/>
          <w:bottom w:w="0" w:type="dxa"/>
          <w:right w:w="0" w:type="dxa"/>
        </w:tblCellMar>
      </w:tblPr>
      <w:tblGrid>
        <w:gridCol w:w="75"/>
        <w:gridCol w:w="170"/>
        <w:gridCol w:w="125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12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8740" w:type="dxa"/>
        <w:jc w:val="left"/>
        <w:tblInd w:w="0" w:type="dxa"/>
        <w:shd w:fill="FFFFFF" w:val="clear"/>
        <w:tblLayout w:type="fixed"/>
        <w:tblCellMar>
          <w:top w:w="0" w:type="dxa"/>
          <w:left w:w="0" w:type="dxa"/>
          <w:bottom w:w="0" w:type="dxa"/>
          <w:right w:w="0" w:type="dxa"/>
        </w:tblCellMar>
      </w:tblPr>
      <w:tblGrid>
        <w:gridCol w:w="75"/>
        <w:gridCol w:w="170"/>
        <w:gridCol w:w="8495"/>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84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traders in securities that elect to use a mark-to-market method of accounting for their securities holdings;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4585" w:type="dxa"/>
        <w:jc w:val="left"/>
        <w:tblInd w:w="0" w:type="dxa"/>
        <w:shd w:fill="FFFFFF" w:val="clear"/>
        <w:tblLayout w:type="fixed"/>
        <w:tblCellMar>
          <w:top w:w="0" w:type="dxa"/>
          <w:left w:w="0" w:type="dxa"/>
          <w:bottom w:w="0" w:type="dxa"/>
          <w:right w:w="0" w:type="dxa"/>
        </w:tblCellMar>
      </w:tblPr>
      <w:tblGrid>
        <w:gridCol w:w="75"/>
        <w:gridCol w:w="170"/>
        <w:gridCol w:w="434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434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governments or agencies or instrumentalities thereof;</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2965" w:type="dxa"/>
        <w:jc w:val="left"/>
        <w:tblInd w:w="0" w:type="dxa"/>
        <w:shd w:fill="FFFFFF" w:val="clear"/>
        <w:tblLayout w:type="fixed"/>
        <w:tblCellMar>
          <w:top w:w="0" w:type="dxa"/>
          <w:left w:w="0" w:type="dxa"/>
          <w:bottom w:w="0" w:type="dxa"/>
          <w:right w:w="0" w:type="dxa"/>
        </w:tblCellMar>
      </w:tblPr>
      <w:tblGrid>
        <w:gridCol w:w="75"/>
        <w:gridCol w:w="170"/>
        <w:gridCol w:w="272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27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2575" w:type="dxa"/>
        <w:jc w:val="left"/>
        <w:tblInd w:w="0" w:type="dxa"/>
        <w:shd w:fill="FFFFFF" w:val="clear"/>
        <w:tblLayout w:type="fixed"/>
        <w:tblCellMar>
          <w:top w:w="0" w:type="dxa"/>
          <w:left w:w="0" w:type="dxa"/>
          <w:bottom w:w="0" w:type="dxa"/>
          <w:right w:w="0" w:type="dxa"/>
        </w:tblCellMar>
      </w:tblPr>
      <w:tblGrid>
        <w:gridCol w:w="75"/>
        <w:gridCol w:w="170"/>
        <w:gridCol w:w="233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23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245" w:type="dxa"/>
        <w:jc w:val="left"/>
        <w:tblInd w:w="0" w:type="dxa"/>
        <w:shd w:fill="FFFFFF" w:val="clear"/>
        <w:tblLayout w:type="fixed"/>
        <w:tblCellMar>
          <w:top w:w="0" w:type="dxa"/>
          <w:left w:w="0" w:type="dxa"/>
          <w:bottom w:w="0" w:type="dxa"/>
          <w:right w:w="0" w:type="dxa"/>
        </w:tblCellMar>
      </w:tblPr>
      <w:tblGrid>
        <w:gridCol w:w="75"/>
        <w:gridCol w:w="170"/>
        <w:gridCol w:w="500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50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expatriates or former long-term residents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specifically provided below, persons that actually or constructively own five percent or more (by vote or value) of our shares;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acquired our common stock pursuant to an exercise of employee share options, in connection with employee share incentive plans or otherwise as compensation;</w:t>
            </w:r>
          </w:p>
        </w:tc>
      </w:tr>
    </w:tbl>
    <w:p>
      <w:pPr>
        <w:pStyle w:val="TextBody"/>
        <w:bidi w:val="0"/>
        <w:spacing w:before="0" w:after="0"/>
        <w:ind w:left="720" w:right="0" w:hanging="36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170"/>
        <w:gridCol w:w="249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tax-qualified retirement plans;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pPr>
            <w:r>
              <w:rPr/>
              <w:t>“</w:t>
            </w:r>
            <w:r>
              <w:rPr>
                <w:rFonts w:ascii="Times New Roman;Times;Serif" w:hAnsi="Times New Roman;Times;Serif"/>
                <w:sz w:val="20"/>
              </w:rPr>
              <w:t>qualified foreign pension funds” as defined in Section 897(l)(2) of the Code and entities all of the interests of which are held by qualified foreign pension funds;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2035" w:type="dxa"/>
        <w:jc w:val="left"/>
        <w:tblInd w:w="0" w:type="dxa"/>
        <w:shd w:fill="FFFFFF" w:val="clear"/>
        <w:tblLayout w:type="fixed"/>
        <w:tblCellMar>
          <w:top w:w="0" w:type="dxa"/>
          <w:left w:w="0" w:type="dxa"/>
          <w:bottom w:w="0" w:type="dxa"/>
          <w:right w:w="0" w:type="dxa"/>
        </w:tblCellMar>
      </w:tblPr>
      <w:tblGrid>
        <w:gridCol w:w="75"/>
        <w:gridCol w:w="170"/>
        <w:gridCol w:w="179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179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8575" w:type="dxa"/>
        <w:jc w:val="left"/>
        <w:tblInd w:w="0" w:type="dxa"/>
        <w:shd w:fill="FFFFFF" w:val="clear"/>
        <w:tblLayout w:type="fixed"/>
        <w:tblCellMar>
          <w:top w:w="0" w:type="dxa"/>
          <w:left w:w="0" w:type="dxa"/>
          <w:bottom w:w="0" w:type="dxa"/>
          <w:right w:w="0" w:type="dxa"/>
        </w:tblCellMar>
      </w:tblPr>
      <w:tblGrid>
        <w:gridCol w:w="75"/>
        <w:gridCol w:w="170"/>
        <w:gridCol w:w="833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83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dealers or traders subject to a mark-to-market method of accounting with respect to our common stock;</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holding our common stock as part of a “straddle,” constructive sale, hedge, wash sale, conversion or other integrated or similar transaction;</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7825" w:type="dxa"/>
        <w:jc w:val="left"/>
        <w:tblInd w:w="0" w:type="dxa"/>
        <w:shd w:fill="FFFFFF" w:val="clear"/>
        <w:tblLayout w:type="fixed"/>
        <w:tblCellMar>
          <w:top w:w="0" w:type="dxa"/>
          <w:left w:w="0" w:type="dxa"/>
          <w:bottom w:w="0" w:type="dxa"/>
          <w:right w:w="0" w:type="dxa"/>
        </w:tblCellMar>
      </w:tblPr>
      <w:tblGrid>
        <w:gridCol w:w="75"/>
        <w:gridCol w:w="170"/>
        <w:gridCol w:w="758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75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deemed to sell our common stock under the constructive sale provisions of the Code;</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subject to special tax accounting rules as a result of any item of gross income with respect to our common stock being taken into account in an applicable financial statement;</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r>
        <w:rPr/>
        <w:t> </w:t>
      </w:r>
    </w:p>
    <w:p>
      <w:pPr>
        <w:pStyle w:val="TextBody"/>
        <w:shd w:fill="FFFFFF" w:val="clear"/>
        <w:bidi w:val="0"/>
        <w:spacing w:before="0" w:after="0"/>
        <w:ind w:left="720" w:right="0" w:hanging="360"/>
        <w:jc w:val="both"/>
        <w:rPr>
          <w:caps w:val="false"/>
          <w:smallCaps w:val="false"/>
        </w:rPr>
      </w:pPr>
      <w:r>
        <w:rPr>
          <w:caps w:val="false"/>
          <w:smallCaps w:val="false"/>
        </w:rPr>
        <w:t> </w:t>
      </w:r>
    </w:p>
    <w:tbl>
      <w:tblPr>
        <w:tblW w:w="7135" w:type="dxa"/>
        <w:jc w:val="left"/>
        <w:tblInd w:w="0" w:type="dxa"/>
        <w:shd w:fill="FFFFFF" w:val="clear"/>
        <w:tblLayout w:type="fixed"/>
        <w:tblCellMar>
          <w:top w:w="0" w:type="dxa"/>
          <w:left w:w="0" w:type="dxa"/>
          <w:bottom w:w="0" w:type="dxa"/>
          <w:right w:w="0" w:type="dxa"/>
        </w:tblCellMar>
      </w:tblPr>
      <w:tblGrid>
        <w:gridCol w:w="75"/>
        <w:gridCol w:w="170"/>
        <w:gridCol w:w="689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689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Non-U.S. holders (as defined below) whose functional currency is not the U.S. dollar;</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partnerships (or entities or arrangements classified as partnerships or other pass-through entities for U.S. federal income tax purposes) and any beneficial owners of such partnerships;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900" w:type="dxa"/>
        <w:jc w:val="left"/>
        <w:tblInd w:w="0" w:type="dxa"/>
        <w:shd w:fill="FFFFFF" w:val="clear"/>
        <w:tblLayout w:type="fixed"/>
        <w:tblCellMar>
          <w:top w:w="0" w:type="dxa"/>
          <w:left w:w="0" w:type="dxa"/>
          <w:bottom w:w="0" w:type="dxa"/>
          <w:right w:w="0" w:type="dxa"/>
        </w:tblCellMar>
      </w:tblPr>
      <w:tblGrid>
        <w:gridCol w:w="75"/>
        <w:gridCol w:w="170"/>
        <w:gridCol w:w="1655"/>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16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entities;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6070" w:type="dxa"/>
        <w:jc w:val="left"/>
        <w:tblInd w:w="0" w:type="dxa"/>
        <w:shd w:fill="FFFFFF" w:val="clear"/>
        <w:tblLayout w:type="fixed"/>
        <w:tblCellMar>
          <w:top w:w="0" w:type="dxa"/>
          <w:left w:w="0" w:type="dxa"/>
          <w:bottom w:w="0" w:type="dxa"/>
          <w:right w:w="0" w:type="dxa"/>
        </w:tblCellMar>
      </w:tblPr>
      <w:tblGrid>
        <w:gridCol w:w="75"/>
        <w:gridCol w:w="170"/>
        <w:gridCol w:w="5825"/>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58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corporations that accumulate earnings to avoid U.S. federal income tax;</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3220" w:type="dxa"/>
        <w:jc w:val="left"/>
        <w:tblInd w:w="0" w:type="dxa"/>
        <w:shd w:fill="FFFFFF" w:val="clear"/>
        <w:tblLayout w:type="fixed"/>
        <w:tblCellMar>
          <w:top w:w="0" w:type="dxa"/>
          <w:left w:w="0" w:type="dxa"/>
          <w:bottom w:w="0" w:type="dxa"/>
          <w:right w:w="0" w:type="dxa"/>
        </w:tblCellMar>
      </w:tblPr>
      <w:tblGrid>
        <w:gridCol w:w="75"/>
        <w:gridCol w:w="170"/>
        <w:gridCol w:w="2975"/>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297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controlled foreign corporations; and</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3415" w:type="dxa"/>
        <w:jc w:val="left"/>
        <w:tblInd w:w="0" w:type="dxa"/>
        <w:shd w:fill="FFFFFF" w:val="clear"/>
        <w:tblLayout w:type="fixed"/>
        <w:tblCellMar>
          <w:top w:w="0" w:type="dxa"/>
          <w:left w:w="0" w:type="dxa"/>
          <w:bottom w:w="0" w:type="dxa"/>
          <w:right w:w="0" w:type="dxa"/>
        </w:tblCellMar>
      </w:tblPr>
      <w:tblGrid>
        <w:gridCol w:w="75"/>
        <w:gridCol w:w="170"/>
        <w:gridCol w:w="317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317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passive foreign investment companies.</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DISCUSSION IS ONLY A SUMMARY OF CERTAIN U.S. FEDERAL INCOME TAX CONSIDERATIONS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of Non-U.S. Holder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term “Non-U.S. holder” means a beneficial owner of our common stock (other than a partnership or entity or arrangement classified as a partnership for U.S. federal income tax purposes) that is, for U.S. federal income tax purposes, not a U.S. person.</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person” is any person that, for U.S. federal income tax purposes, is or is treated as any of the following:</w:t>
      </w:r>
    </w:p>
    <w:p>
      <w:pPr>
        <w:pStyle w:val="TextBody"/>
        <w:shd w:fill="FFFFFF" w:val="clear"/>
        <w:bidi w:val="0"/>
        <w:spacing w:before="0" w:after="0"/>
        <w:ind w:left="0" w:right="0" w:firstLine="48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170"/>
        <w:gridCol w:w="4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citizen or resident of the United States;</w:t>
            </w:r>
          </w:p>
        </w:tc>
      </w:tr>
    </w:tbl>
    <w:p>
      <w:pPr>
        <w:pStyle w:val="TextBody"/>
        <w:shd w:fill="FFFFFF" w:val="clear"/>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taxable as a corporation for U.S. federal income tax purposes, created or organized under the laws of the United States, any state thereof or the District of Columbia;</w:t>
            </w:r>
          </w:p>
        </w:tc>
      </w:tr>
    </w:tbl>
    <w:p>
      <w:pPr>
        <w:pStyle w:val="TextBody"/>
        <w:shd w:fill="FFFFFF" w:val="clear"/>
        <w:bidi w:val="0"/>
        <w:spacing w:before="0" w:after="0"/>
        <w:ind w:left="950" w:right="0" w:hanging="475"/>
        <w:jc w:val="both"/>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 regardless of its source; or</w:t>
            </w:r>
          </w:p>
        </w:tc>
      </w:tr>
    </w:tbl>
    <w:p>
      <w:pPr>
        <w:pStyle w:val="TextBody"/>
        <w:shd w:fill="FFFFFF" w:val="clear"/>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w:t>
            </w:r>
          </w:p>
        </w:tc>
      </w:tr>
    </w:tbl>
    <w:p>
      <w:pPr>
        <w:pStyle w:val="TextBody"/>
        <w:shd w:fill="FFFFFF" w:val="clear"/>
        <w:bidi w:val="0"/>
        <w:spacing w:before="0" w:after="0"/>
        <w:ind w:left="950" w:right="0" w:hanging="475"/>
        <w:jc w:val="both"/>
        <w:rPr>
          <w:caps w:val="false"/>
          <w:smallCaps w:val="false"/>
        </w:rPr>
      </w:pPr>
      <w:r>
        <w:rPr>
          <w:caps w:val="false"/>
          <w:smallCaps w:val="false"/>
        </w:rPr>
        <w:t> </w:t>
      </w:r>
    </w:p>
    <w:p>
      <w:pPr>
        <w:pStyle w:val="TextBody"/>
        <w:bidi w:val="0"/>
        <w:spacing w:before="0" w:after="0"/>
        <w:ind w:left="950" w:right="0" w:hanging="47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r>
        <w:rPr/>
        <w:t> </w:t>
      </w:r>
    </w:p>
    <w:p>
      <w:pPr>
        <w:pStyle w:val="TextBody"/>
        <w:shd w:fill="FFFFFF" w:val="clear"/>
        <w:bidi w:val="0"/>
        <w:spacing w:before="0" w:after="0"/>
        <w:ind w:left="950" w:right="0" w:hanging="475"/>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Distributions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These certifications must be provided to the applicable withholding agent prior to the payment of dividends and must be updated periodically. A Non-U.S. holder that does not timely furnish the required documentation, but is eligible for a reduced rate of withholding tax under an income tax treaty may obtain a refund or credit of any excess amounts withheld by filing an appropriate claim for refund with the IRS. In the case of any constructive dividend, it is possible that this tax would be withheld from any amount owed to a Non-U.S. holder by us or the applicable withholding agent, including from other property subsequently paid or credited to such holder.</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are effectively connected with a Non-U.S. holder’s conduct of a trade or business within the United States and, if such Non-U.S. holder is entitled to claim treaty benefits (and the Non-U.S.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duly completed and properly executed IRS Form W-8ECI, certifying that the dividends are effectively connected with the Non-U.S.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distribution in excess of current and accumulated earnings and profits will constitute a return of capital that will be treated first as reducing (but not below zero) the Non-U.S. holder’s adjusted tax basis in its shares of our common stock and, to the extent such distribution exceeds the Non-U.S. holder’s adjusted tax basis, as gain realized from the sale or other disposition of common stock, which will be treated as described under “</w:t>
      </w:r>
      <w:r>
        <w:rPr>
          <w:rFonts w:ascii="Times New Roman;Times;Serif" w:hAnsi="Times New Roman;Times;Serif"/>
          <w:b w:val="false"/>
          <w:i/>
          <w:caps w:val="false"/>
          <w:smallCaps w:val="false"/>
          <w:sz w:val="20"/>
        </w:rPr>
        <w:t>Gain on Sale, Taxable Exchange or Other Taxable Disposition of Common Stock</w:t>
      </w:r>
      <w:r>
        <w:rPr>
          <w:rFonts w:ascii="Times New Roman;Times;Serif" w:hAnsi="Times New Roman;Times;Serif"/>
          <w:b w:val="false"/>
          <w:i w:val="false"/>
          <w:caps w:val="false"/>
          <w:smallCaps w:val="false"/>
          <w:sz w:val="20"/>
        </w:rPr>
        <w:t>” below. In addition, if we determine that we are likely to be classified as a “United States real property holding corporation” (see “</w:t>
      </w:r>
      <w:r>
        <w:rPr>
          <w:rFonts w:ascii="Times New Roman;Times;Serif" w:hAnsi="Times New Roman;Times;Serif"/>
          <w:b w:val="false"/>
          <w:i/>
          <w:caps w:val="false"/>
          <w:smallCaps w:val="false"/>
          <w:sz w:val="20"/>
        </w:rPr>
        <w:t>Gain on Sale, Taxable Exchange or Other Taxable Disposition of Common Stock</w:t>
      </w:r>
      <w:r>
        <w:rPr>
          <w:rFonts w:ascii="Times New Roman;Times;Serif" w:hAnsi="Times New Roman;Times;Serif"/>
          <w:b w:val="false"/>
          <w:i w:val="false"/>
          <w:caps w:val="false"/>
          <w:smallCaps w:val="false"/>
          <w:sz w:val="20"/>
        </w:rPr>
        <w:t>” below), we generally will withhold 15% of any distribution that exceeds our current and accumulated earnings and profits.</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Sale, Taxable Exchange or Other Taxable Disposition of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regarding backup withholding and FATCA, a Non-U.S. holder generally will not be subject to U.S. federal income or withholding tax in respect of gain recognized on a sale, taxable exchange or other taxable disposition of our common stock, unless:</w:t>
      </w:r>
    </w:p>
    <w:p>
      <w:pPr>
        <w:pStyle w:val="TextBody"/>
        <w:shd w:fill="FFFFFF" w:val="clear"/>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gain is effectively connected with the conduct by the Non-U.S. holder of a trade or business within the United States (and, under certain income tax treaties, is attributable to a United States permanent establishment or fixed base maintained by the Non-U.S. holder);</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Non-U.S. holder is an individual present in the United States for 183 days or more in the taxable year of disposition and certain other requirements are met; or</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pPr>
      <w:r>
        <w:rPr/>
        <w:t> </w:t>
      </w:r>
    </w:p>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or have been a “United States real property holding corporation” (as defined below) for U.S. federal income tax purposes at any time during the shorter of the five-year period ending on the date of disposition or the Non-U.S. holder’s holding period for the applicable common stock, except, in the case where shares of our common stock are “regularly traded on an established securities market” (within the meaning of applicable Treasury Regulations, referred to herein as “regularly traded”), and the Non-U.S. holders has owned, directly or constructively, 5% or less of our common stock at all times within the shorter of the five-year period preceding such disposition of common stock or such Non-U.S. holder’s holding period for such common stock. It is unclear how the rules for determining the 5% threshold for this purpose would be applied with respect to our common stock, including how a Non-U.S. holder’s ownership of our warrants, if any, impacts the 5% threshold determination with respect to its common stock. We can provide no assurance as to our future status as a United States real property holding corporation or as to whether our common stock will be considered to be regularly traded. Non-U.S. holders should consult their own tax advisors regarding the application of the foregoing rules in light of their particular facts and circumstances.</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corporation for U.S. federal income tax purposes may also be subject to an additional “branch profits tax” imposed at a 30% rate (or such lower rate as may be specified by an applicable income tax treaty) on a portion of its effectively connected earnings and profits for the taxable year that are attributable to such gain, as adjusted for certain items.</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second bullet point above will be subject to U.S. federal income tax at a 30% rate (or such lower rate as may be specified by an applicable income tax treaty), but may be offset by U.S. source capital losses realized during the same taxable year (even though the individual is not considered a resident of the United States), provided the Non-U.S. holder has timely filed U.S. federal income tax returns with respect to such losses. Non-U.S. holders should consult any applicable income tax treaties that may provide for different rules.</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third bullet point above applies to a Non-U.S. holder, gain recognized by such holder on the sale, exchange or other disposition of our common stock will be subject to tax at generally applicable U.S. federal income tax rates as if the Non-U.S. holder were a U.S. resident. In addition, a buyer of our common stock from such holder may be required to withhold U.S. federal income tax at a rate of 15% of the amount realized upon such disposition. Any amounts withheld may be refunded or credited against a Non-U.S. holder’s U.S. federal income tax liability, provided that the required information is timely provided to the IRS.</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pPr>
      <w:r>
        <w:rPr/>
        <w:t> </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and Backup Withholding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distributions on our common stock will not be subject to backup withholding, provided the applicable withholding agent does not have actual knowledge or reason to know the holder is a U.S. person and the holder either certifies its non-U.S. status, such as by furnishing a valid IRS Form W-8BEN, W-8BEN-E, W-8ECI, or W-8EXP, or otherwise establishes an exemption. However, information returns are required to be filed with the IRS in connection with any distributions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information returns that are filed with the IRS may also be made available under the provisions of an applicable treaty or agreement to the tax authorities of the country in which the Non-U.S. Holder resides or is established or organized.</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FATCA Withholding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investment in our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0" w:name="ss_009"/>
      <w:bookmarkEnd w:id="10"/>
      <w:r>
        <w:rPr>
          <w:rFonts w:ascii="Times New Roman;Times;Serif" w:hAnsi="Times New Roman;Times;Serif"/>
          <w:b/>
          <w:i w:val="false"/>
          <w:caps/>
          <w:sz w:val="20"/>
        </w:rPr>
        <w:t>PLAN OF DISTRIBUTION</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Chardan Capital Markets LLC, whom we refer to as the placement agent, to act as our placement agent in connection with the securities offered by this prospectus supplement and the accompanying prospectus. We have entered into a securities purchase agreement directly with the investors who have agreed to purchase our securities in this offering. We will only sell securities in this offering to such investors.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securities offered hereby is expected to occur on or about March 18, 2024, subject to the satisfaction of customary closing conditions.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placement agent a cash fee equal to 6.0% of the aggregate gross proceeds from the offering. The following table shows the per share and total cash fee we will pay to the placement agent in connection with the sale of our securities offered pursuant to this prospectus supplement and the accompanying prospectus.</w:t>
      </w:r>
    </w:p>
    <w:p>
      <w:pPr>
        <w:pStyle w:val="TextBody"/>
        <w:shd w:fill="FFFFFF" w:val="clear"/>
        <w:bidi w:val="0"/>
        <w:spacing w:before="0" w:after="0"/>
        <w:ind w:left="0" w:right="0" w:firstLine="360"/>
        <w:jc w:val="left"/>
        <w:rPr>
          <w:caps w:val="false"/>
          <w:smallCaps w:val="false"/>
        </w:rPr>
      </w:pPr>
      <w:r>
        <w:rPr>
          <w:caps w:val="false"/>
          <w:smallCaps w:val="false"/>
        </w:rPr>
        <w:t> </w:t>
      </w:r>
    </w:p>
    <w:tbl>
      <w:tblPr>
        <w:tblW w:w="4430" w:type="dxa"/>
        <w:jc w:val="left"/>
        <w:tblInd w:w="0" w:type="dxa"/>
        <w:tblLayout w:type="fixed"/>
        <w:tblCellMar>
          <w:top w:w="0" w:type="dxa"/>
          <w:left w:w="0" w:type="dxa"/>
          <w:bottom w:w="0" w:type="dxa"/>
          <w:right w:w="0" w:type="dxa"/>
        </w:tblCellMar>
      </w:tblPr>
      <w:tblGrid>
        <w:gridCol w:w="2015"/>
        <w:gridCol w:w="60"/>
        <w:gridCol w:w="208"/>
        <w:gridCol w:w="832"/>
        <w:gridCol w:w="60"/>
        <w:gridCol w:w="60"/>
        <w:gridCol w:w="140"/>
        <w:gridCol w:w="980"/>
        <w:gridCol w:w="75"/>
      </w:tblGrid>
      <w:tr>
        <w:trPr/>
        <w:tc>
          <w:tcPr>
            <w:tcW w:w="2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1,200,000</w:t>
            </w:r>
          </w:p>
        </w:tc>
        <w:tc>
          <w:tcPr>
            <w:tcW w:w="75"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pPr>
            <w:r>
              <w:rPr/>
              <w:t>Placement agent fees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832" w:type="dxa"/>
            <w:tcBorders/>
            <w:shd w:fill="FFFFFF" w:val="clear"/>
            <w:vAlign w:val="center"/>
          </w:tcPr>
          <w:p>
            <w:pPr>
              <w:pStyle w:val="TableContents"/>
              <w:bidi w:val="0"/>
              <w:spacing w:before="0" w:after="283"/>
              <w:jc w:val="right"/>
              <w:rPr/>
            </w:pPr>
            <w:r>
              <w:rPr/>
              <w:t>0.015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72,000</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our total expenses of this offering will be approximately $210,000. This includes $35,000 of other fees and expenses of the placement agent in respect of this offering. These expenses are payable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agreed to indemnify the placement agent against certain liabilities, including civil liabilities under the Securities Act of 1933, as amended, or to contribute to payments that the placement agent may be required to make in respect of those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Sales of Similar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not to issue, enter into any agreement to issue or announce the issuance or proposed issuance of any shares of Common Stock or Common Stock Equivalents (as defined in the securities purchase agreement entered into in connection with this offering) for a period of 15 days after the date of this prospectus supplement, subject to limited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A placement agent has previously been engaged by us as a financial advisor and the placement agent may in the future engage in investment banking and other commercial dealings in the ordinary course of business with us or our affiliates. The placement agent may in the future receive customary fees and commissions for these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their various business activities, the placement agent and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placement agent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may facilitate the marketing of this offering online directly or through one of their affiliates. In those cases, prospective investors may view offering terms and the prospectus supplement and accompanying prospectus online and place orders online or through their financial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may be deemed to be an underwriter within the meaning of Section 2(a)(11) of the Securities Act, and any commissions received by them and any profit realized on the resale of the securities sold by them while acting as principal might be deemed to be underwriting discounts or commissions under the Securities Act. As an underwriter, the placement agent would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acting as principals. Under these rules and regulations, the placement agent (i) may not engage in any stabilization activity in connection with our securities and (ii) may not bid for or purchase any of our securities or attempt to induce any person to purchase any of our securities, other than as permitted under the Exchange Act, until they have completed its participation in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Offer, Sale,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the placement agent or certain of the securities dealers may distribute prospectuses by electronic means, such as e-mail. In addition, the placement agent may facilitate Internet distribution for this offering to certain of their Internet subscription customers. The placement agent may allocate a limited number of securities for sale to their online brokerage customers. An electronic prospectus supplement and accompanying prospectus is available on the Internet websites maintained by any such placement agent. Other than the prospectus supplement and accompanying prospectus in electronic format, the information on the websites of the placement agent is not part of this prospectus supplement or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“PRST.”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Transfer Agent and Registrar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Continental Stock Transfer and Trust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been taken by us or the placement agent that would permit a public offering of the securities offered by this prospectus supplement in any jurisdiction where action for that purpose is required. The shares offered by this prospectus supplement may not be offered or sold, directly or indirectly, nor may this prospectus supplement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European Economic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each Member State of the European Economic Area, each, a Relevant State, no securities have been offered or will be offered pursuant to this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pStyle w:val="TextBody"/>
        <w:bidi w:val="0"/>
        <w:spacing w:before="0" w:after="0"/>
        <w:ind w:left="0" w:right="0" w:firstLine="72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230"/>
        <w:gridCol w:w="74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20"/>
              </w:rPr>
            </w:pPr>
            <w:r>
              <w:rPr>
                <w:sz w:val="20"/>
              </w:rPr>
              <w:t>(a)</w:t>
            </w:r>
          </w:p>
        </w:tc>
        <w:tc>
          <w:tcPr>
            <w:tcW w:w="7475" w:type="dxa"/>
            <w:tcBorders/>
            <w:vAlign w:val="center"/>
          </w:tcPr>
          <w:p>
            <w:pPr>
              <w:pStyle w:val="TableContents"/>
              <w:bidi w:val="0"/>
              <w:spacing w:before="0" w:after="283"/>
              <w:jc w:val="both"/>
              <w:rPr>
                <w:sz w:val="20"/>
              </w:rPr>
            </w:pPr>
            <w:r>
              <w:rPr>
                <w:sz w:val="20"/>
              </w:rPr>
              <w:t>to any legal entity which is a qualified investor as defined under the Prospectus Regulation;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20"/>
              </w:rPr>
            </w:pPr>
            <w:r>
              <w:rPr>
                <w:sz w:val="20"/>
              </w:rPr>
              <w:t>(b)</w:t>
            </w:r>
          </w:p>
        </w:tc>
        <w:tc>
          <w:tcPr>
            <w:tcW w:w="9907" w:type="dxa"/>
            <w:tcBorders/>
            <w:vAlign w:val="center"/>
          </w:tcPr>
          <w:p>
            <w:pPr>
              <w:pStyle w:val="TableContents"/>
              <w:bidi w:val="0"/>
              <w:spacing w:before="0" w:after="283"/>
              <w:jc w:val="both"/>
              <w:rPr>
                <w:sz w:val="20"/>
              </w:rPr>
            </w:pPr>
            <w:r>
              <w:rPr>
                <w:sz w:val="20"/>
              </w:rPr>
              <w:t>to fewer than 150 natural or legal persons (other than qualified investors as defined under the Prospectus Regulation), subject to obtaining the prior consent of the placement agent; or</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230"/>
        <w:gridCol w:w="67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20"/>
              </w:rPr>
            </w:pPr>
            <w:r>
              <w:rPr>
                <w:sz w:val="20"/>
              </w:rPr>
              <w:t>(c)</w:t>
            </w:r>
          </w:p>
        </w:tc>
        <w:tc>
          <w:tcPr>
            <w:tcW w:w="6755" w:type="dxa"/>
            <w:tcBorders/>
            <w:vAlign w:val="center"/>
          </w:tcPr>
          <w:p>
            <w:pPr>
              <w:pStyle w:val="TableContents"/>
              <w:bidi w:val="0"/>
              <w:spacing w:before="0" w:after="283"/>
              <w:jc w:val="both"/>
              <w:rPr>
                <w:sz w:val="20"/>
              </w:rPr>
            </w:pPr>
            <w:r>
              <w:rPr>
                <w:sz w:val="20"/>
              </w:rPr>
              <w:t>in any other circumstances falling within Article 1(4) of the Prospectus Regulation,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such offer of the securities shall require us or the placement agent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the placement agent and the Company that it is a “qualified investor” within the meaning of Article 2(e) of the Prospectus Regulation. 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placement agent have been obtained to each such proposed offer or resale.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and do not authorize the making of any offer of the securities through any financial intermediary on their behalf, other than offers made by the placement agent with a view to the final placement of the securities in this document. Accordingly, no purchaser of the securities, other than the placement agent, is authorized to make any further offer of the securities on behalf of us or the placement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United Kingdom, no securities have been offered or will be offered pursuant to this offering to the public in the United Kingdom prior to the publication of a prospectus in relation to the securities that has been approved by the Financial Conduct Authority, except that offers of securities may be made to the public in the United Kingdom at any time under the following exemptions under the UK Prospectus Regulation:</w:t>
      </w:r>
    </w:p>
    <w:p>
      <w:pPr>
        <w:pStyle w:val="TextBody"/>
        <w:bidi w:val="0"/>
        <w:spacing w:before="0" w:after="0"/>
        <w:ind w:left="0" w:right="0" w:firstLine="72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230"/>
        <w:gridCol w:w="84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20"/>
              </w:rPr>
            </w:pPr>
            <w:r>
              <w:rPr>
                <w:sz w:val="20"/>
              </w:rPr>
              <w:t>(a)</w:t>
            </w:r>
          </w:p>
        </w:tc>
        <w:tc>
          <w:tcPr>
            <w:tcW w:w="8450" w:type="dxa"/>
            <w:tcBorders/>
            <w:vAlign w:val="center"/>
          </w:tcPr>
          <w:p>
            <w:pPr>
              <w:pStyle w:val="TableContents"/>
              <w:bidi w:val="0"/>
              <w:spacing w:before="0" w:after="283"/>
              <w:jc w:val="both"/>
              <w:rPr>
                <w:sz w:val="20"/>
              </w:rPr>
            </w:pPr>
            <w:r>
              <w:rPr>
                <w:sz w:val="20"/>
              </w:rPr>
              <w:t>to any legal entity which is a qualified investor as defined in Article 2 of the UK Prospectus Regulation;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20"/>
              </w:rPr>
            </w:pPr>
            <w:r>
              <w:rPr>
                <w:sz w:val="20"/>
              </w:rPr>
              <w:t>(b)</w:t>
            </w:r>
          </w:p>
        </w:tc>
        <w:tc>
          <w:tcPr>
            <w:tcW w:w="9909" w:type="dxa"/>
            <w:tcBorders/>
            <w:vAlign w:val="center"/>
          </w:tcPr>
          <w:p>
            <w:pPr>
              <w:pStyle w:val="TableContents"/>
              <w:bidi w:val="0"/>
              <w:spacing w:before="0" w:after="283"/>
              <w:jc w:val="both"/>
              <w:rPr>
                <w:sz w:val="20"/>
              </w:rPr>
            </w:pPr>
            <w:r>
              <w:rPr>
                <w:sz w:val="20"/>
              </w:rPr>
              <w:t>to fewer than 150 natural or legal persons (other than qualified investors as defined in Article 2 of the UK Prospectus Regulation), subject to obtaining the prior consent of the placement agent; or</w:t>
            </w:r>
          </w:p>
        </w:tc>
      </w:tr>
    </w:tbl>
    <w:p>
      <w:pPr>
        <w:pStyle w:val="TextBody"/>
        <w:bidi w:val="0"/>
        <w:spacing w:before="0" w:after="0"/>
        <w:ind w:left="0" w:right="0" w:hanging="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230"/>
        <w:gridCol w:w="89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20"/>
              </w:rPr>
            </w:pPr>
            <w:r>
              <w:rPr>
                <w:sz w:val="20"/>
              </w:rPr>
              <w:t>(c)</w:t>
            </w:r>
          </w:p>
        </w:tc>
        <w:tc>
          <w:tcPr>
            <w:tcW w:w="8990" w:type="dxa"/>
            <w:tcBorders/>
            <w:vAlign w:val="center"/>
          </w:tcPr>
          <w:p>
            <w:pPr>
              <w:pStyle w:val="TableContents"/>
              <w:bidi w:val="0"/>
              <w:spacing w:before="0" w:after="283"/>
              <w:jc w:val="both"/>
              <w:rPr>
                <w:sz w:val="20"/>
              </w:rPr>
            </w:pPr>
            <w:r>
              <w:rPr>
                <w:sz w:val="20"/>
              </w:rPr>
              <w:t>in any other circumstances falling within section 86 of the Financial Services and Markets Act 2000, or FSMA,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such offer of securities shall require us or any representatives to publish a prospectus pursuant to 85 of the FSMA or supplement a prospectus pursuant to Article 23 of the UK Prospectus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in the United Kingdom who initially acquires any securities or to whom any offer is made will be deemed to have represented, acknowledged and agreed to and with us and the representatives that it is a qualified investor within the meaning of Article 2 of the UK Prospectus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securities being offered to a financial intermediary as that term is used in Article 1(4) of the U.K. Prospectus Regulation, each financial intermediary will also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the United Kingdom to qualified investors as so defined or in circumstances in which the prior consent of the representatives has been obtained to each such proposed offer or resale.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placement document, prospectus, product disclosure statement or other disclosure document has been lodged with the Australian Securities and Investments Commission in relation to this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offer in Australia of the securities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only to purchasers purchasing as principal that are both “accredited investors” as defined in National Instrument 45-106 Prospectus and Registration Exemptions and “permitted clients” as defined in National Instrument 31-103 Registration Requirements, Exemptions and Ongoing Registrant Obligations. Any resale of our securities must be made in accordance with an exemption from the prospectus requirements and in compliance with the registration requirements of applicable securities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(including any amendment, supplement or replacement thereto) is not being distributed in the context of a public offering in France within the meaning of Article L. 411-1 of the French Monetary and Financial Code (Code monétaire et financier).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has not been and will not be submitted to the French Autorité des marchés financiers, or the AMF, for approval in France and accordingly may not and will not be distributed to the public in France.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Article 211-3 of the AMF General Regulation, French residents are hereby informed that:</w:t>
      </w:r>
    </w:p>
    <w:p>
      <w:pPr>
        <w:pStyle w:val="TextBody"/>
        <w:bidi w:val="0"/>
        <w:spacing w:before="0" w:after="0"/>
        <w:ind w:left="0" w:right="0" w:firstLine="720"/>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23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transaction does not require a prospectus to be submitted for approval to the AMF;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or entities referred to in Point 2°, Section II of Article L.411-2 of the Monetary and Financial Code may take part in the transaction solely for their own account, as provided in Articles D. 411-1, D. 734-1, D. 744-1, D. 754-1 and D. 764-1 of the Monetary and Financial Code;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financial instruments thus acquired cannot be distributed directly or indirectly to the public otherwise than in accordance with Articles L. 411-1, L. 411-2, L. 412-1 and L. 621-8 to L. 621-8-3 of the Monetary and Financial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to be further distributed or reproduced (in whole or in part) in France by the recipients of this prospectus supplement. This prospectus supplement has been distributed on the understanding that such recipients will only participate in the issue or sale of our securities for their own account and undertake not to transfer, directly or indirectly, our securities to the public in France, other than in compliance with all applicable laws and regulations and in particular with Articles L. 411-1 and L. 411-2 of the French Monetary and Financial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Germany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in possession of this prospectus supplement is aware of the fact that no German securities prospectus (wertpapierprospekt) within the meaning of the German Securities Prospectus Act (Wertpapier-prospektgesetz, or the Act) of the Federal Republic of Germany has been or will be published with respect to the securities. In particular, the placement agent has represented that it has not engaged and has agreed that it will not engage in a public offering in the Federal Republic of Germany within the meaning of the Act with respect to any of the securities otherwise than in accordance with the Act and all other applicable legal and regulatory requirements.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securities which are or are intended to be disposed of only to persons outside Hong Kong or only to “professional investors” within the meaning of the Securities and Futures Ordinance (Cap. 571, Laws of Hong Kong) and any rules made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does not constitute a prospectus under the Israeli Securities Law, 5728-1968 (the Securities Law) and has not been filed with or approved by the Israel Securities Authority. In Israel, this prospectus supplement is being distributed only to, and is directed only at, and any offer of the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placement agents,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securities are subscribed or purchased under Section 275 of the SFA by a relevant person which is: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(which is not an accredited investor (as defined in Section 4A of the SFA)) the sole business of which is to hold investments and the entire share capital of which is owned by one or more individuals, each of whom is an accredited investor;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an institutional investor or to a relevant person defined in Section 275(2) of the SFA, or to any person arising from an offer referred to in Section 275(1A) or Section 276(4)(i)(B) of the SFA;</w:t>
            </w:r>
          </w:p>
        </w:tc>
      </w:tr>
    </w:tbl>
    <w:p>
      <w:pPr>
        <w:pStyle w:val="TextBody"/>
        <w:bidi w:val="0"/>
        <w:spacing w:before="0" w:after="0"/>
        <w:ind w:left="0" w:right="0" w:hanging="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17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no consideration is or will be given for the transfer;</w:t>
            </w:r>
          </w:p>
        </w:tc>
      </w:tr>
    </w:tbl>
    <w:p>
      <w:pPr>
        <w:pStyle w:val="TextBody"/>
        <w:bidi w:val="0"/>
        <w:spacing w:before="0" w:after="0"/>
        <w:ind w:left="0" w:right="0" w:hanging="0"/>
        <w:jc w:val="both"/>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17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transfer is by operation of law;</w:t>
            </w:r>
          </w:p>
        </w:tc>
      </w:tr>
    </w:tbl>
    <w:p>
      <w:pPr>
        <w:pStyle w:val="TextBody"/>
        <w:bidi w:val="0"/>
        <w:spacing w:before="0" w:after="0"/>
        <w:ind w:left="0" w:right="0" w:hanging="0"/>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17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specified in Section 276(7) of the SFA;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specified in Regulation 32 of the Securities and Futures (Offers of Investment) (Shares and Debentures) Regulations 2005.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Singapore Securities and Futures Act Product 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the purposes of our obligations pursuant to sections 309B(1)(a) and 309B(1)(c) of the SFA, we have determined, and hereby notify all relevant persons (as defined in Section 309A of the SFA), that the securities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not be publiclyv offered in Switzerland and will not be listed on the SIX Swiss Exchange, or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this offering may be publicly distributed or otherwise made publicly available in Switzerland.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document nor any other offering or marketing material relating to this offering, our company or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Arab Emirates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has not been approved or licensed by the Central Bank of the United Arab Emirates, or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or the DFSA, a regulatory authority of the Dubai International Financial Centre, or DIFC. This offering does not constitute a public offer of securities in the UAE, DIFC and/or any other free zone in accordance with the Commercial Companies Law, Federal Law No 8 of 1984 (as amended), DFSA Offered Securities Rules and NASDAQ Dubai Listing Rules, accordingly, or otherwise. The securities may not be offered to the public in the UAE and/or any of the free zones.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offered and issued only to a limited number of investors in the UAE or any of its free zones who qualify as sophisticated investors under the relevant laws and regulations of the UAE or the free zone concerned.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ss_010"/>
      <w:bookmarkEnd w:id="11"/>
      <w:r>
        <w:rPr>
          <w:rFonts w:ascii="Times New Roman;Times;Serif" w:hAnsi="Times New Roman;Times;Serif"/>
          <w:b/>
          <w:i w:val="false"/>
          <w:caps/>
          <w:sz w:val="20"/>
        </w:rPr>
        <w:t>Legal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will be passed upon for us by Paul Hastings LLP.  Goodwin Procter LLP represented the placement agent in this offering.</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ss_011"/>
      <w:bookmarkEnd w:id="12"/>
      <w:r>
        <w:rPr>
          <w:rFonts w:ascii="Times New Roman;Times;Serif" w:hAnsi="Times New Roman;Times;Serif"/>
          <w:b/>
          <w:i w:val="false"/>
          <w:caps/>
          <w:sz w:val="20"/>
        </w:rPr>
        <w:t>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ss_012"/>
      <w:bookmarkEnd w:id="13"/>
      <w:r>
        <w:rPr>
          <w:rFonts w:ascii="Times New Roman;Times;Serif" w:hAnsi="Times New Roman;Times;Serif"/>
          <w:b/>
          <w:i w:val="false"/>
          <w:caps/>
          <w:sz w:val="20"/>
        </w:rPr>
        <w:t>Incorporation of Certain Information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 this prospectus supplement the information in other documents that we file with the SEC, which means that we can disclose important information to you by referring you to those documents. The information incorporated by reference is considered to be a part of this prospectus supplement. Information in documents that we file later with the SEC will automatically update and supersede information contained in documents filed earlier with the SEC or contained in this prospectus supplement. Any information so updated or superseded will not constitute a part of this prospectus supplement, except as so updated or superseded. We incorporate by reference into this prospectus supplement the documents listed below, which we have filed with the SEC, and any future filings that we may make with the SEC under Sections 13(a), 13(c), 14 or 15(d) of the Exchange Act (other than documents and information furnished and not filed in accordance with SEC rules, unless expressly stated otherwise therein), prior to the termination of the offering under this prospectus supplement: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3">
              <w:r>
                <w:rPr>
                  <w:rStyle w:val="InternetLink"/>
                  <w:rFonts w:ascii="Times New Roman;Times;Serif" w:hAnsi="Times New Roman;Times;Serif"/>
                  <w:strike w:val="false"/>
                  <w:dstrike w:val="false"/>
                  <w:sz w:val="20"/>
                  <w:u w:val="none"/>
                  <w:effect w:val="none"/>
                </w:rPr>
                <w:t>Form 10-K</w:t>
              </w:r>
            </w:hyperlink>
            <w:r>
              <w:rPr>
                <w:rFonts w:ascii="Times New Roman;Times;Serif" w:hAnsi="Times New Roman;Times;Serif"/>
                <w:sz w:val="20"/>
              </w:rPr>
              <w:t xml:space="preserve"> for the year ended June 30, 2023, filed with the SEC on October 11, 2023, as amended by amendment no. 1 to our Annual Report for the year ended June 30, 2023 on </w:t>
            </w:r>
            <w:hyperlink r:id="rId4">
              <w:r>
                <w:rPr>
                  <w:rStyle w:val="InternetLink"/>
                  <w:rFonts w:ascii="Times New Roman;Times;Serif" w:hAnsi="Times New Roman;Times;Serif"/>
                  <w:strike w:val="false"/>
                  <w:dstrike w:val="false"/>
                  <w:sz w:val="20"/>
                  <w:u w:val="none"/>
                  <w:effect w:val="none"/>
                </w:rPr>
                <w:t>Form 10-K/A</w:t>
              </w:r>
            </w:hyperlink>
            <w:r>
              <w:rPr>
                <w:rFonts w:ascii="Times New Roman;Times;Serif" w:hAnsi="Times New Roman;Times;Serif"/>
                <w:sz w:val="20"/>
              </w:rPr>
              <w:t>, filed with the SEC on October 12, 2023;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Quarterly Report on </w:t>
            </w:r>
            <w:hyperlink r:id="rId5">
              <w:r>
                <w:rPr>
                  <w:rStyle w:val="InternetLink"/>
                  <w:rFonts w:ascii="Times New Roman;Times;Serif" w:hAnsi="Times New Roman;Times;Serif"/>
                  <w:sz w:val="20"/>
                </w:rPr>
                <w:t>Form 10-Q</w:t>
              </w:r>
            </w:hyperlink>
            <w:r>
              <w:rPr>
                <w:rFonts w:ascii="Times New Roman;Times;Serif" w:hAnsi="Times New Roman;Times;Serif"/>
                <w:sz w:val="20"/>
              </w:rPr>
              <w:t xml:space="preserve"> for the quarter ended September 30, 2023, filed with the SEC on November 20, 2023 and our Quarterly Report on </w:t>
            </w:r>
            <w:hyperlink r:id="rId6">
              <w:r>
                <w:rPr>
                  <w:rStyle w:val="InternetLink"/>
                  <w:rFonts w:ascii="Times New Roman;Times;Serif" w:hAnsi="Times New Roman;Times;Serif"/>
                  <w:sz w:val="20"/>
                </w:rPr>
                <w:t>Form 10-Q</w:t>
              </w:r>
            </w:hyperlink>
            <w:r>
              <w:rPr>
                <w:rFonts w:ascii="Times New Roman;Times;Serif" w:hAnsi="Times New Roman;Times;Serif"/>
                <w:sz w:val="20"/>
              </w:rPr>
              <w:t xml:space="preserve"> for the quarter ended December 31, 2023, submitted to the SEC on February 20, 2024 and deemed filed with the SEC on February 21, 2024;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Current Reports on Form 8-K, filed with the SEC on </w:t>
            </w:r>
            <w:hyperlink r:id="rId7">
              <w:r>
                <w:rPr>
                  <w:rStyle w:val="InternetLink"/>
                  <w:rFonts w:ascii="Times New Roman;Times;Serif" w:hAnsi="Times New Roman;Times;Serif"/>
                  <w:sz w:val="20"/>
                </w:rPr>
                <w:t>August 2, 2023</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August 31, 2023</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October 11, 2023</w:t>
              </w:r>
            </w:hyperlink>
            <w:r>
              <w:rPr>
                <w:rFonts w:ascii="Times New Roman;Times;Serif" w:hAnsi="Times New Roman;Times;Serif"/>
                <w:sz w:val="20"/>
              </w:rPr>
              <w:t xml:space="preserve"> (excluding Item 2.02 and the exhibits furnished under Item 9.01 therein), </w:t>
            </w:r>
            <w:hyperlink r:id="rId10">
              <w:r>
                <w:rPr>
                  <w:rStyle w:val="InternetLink"/>
                  <w:rFonts w:ascii="Times New Roman;Times;Serif" w:hAnsi="Times New Roman;Times;Serif"/>
                  <w:sz w:val="20"/>
                </w:rPr>
                <w:t>October 20, 2023</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November 21, 2023</w:t>
              </w:r>
            </w:hyperlink>
            <w:r>
              <w:rPr>
                <w:rFonts w:ascii="Times New Roman;Times;Serif" w:hAnsi="Times New Roman;Times;Serif"/>
                <w:sz w:val="20"/>
              </w:rPr>
              <w:t xml:space="preserve">, </w:t>
            </w:r>
            <w:hyperlink r:id="rId12">
              <w:r>
                <w:rPr>
                  <w:rStyle w:val="InternetLink"/>
                  <w:rFonts w:ascii="Times New Roman;Times;Serif" w:hAnsi="Times New Roman;Times;Serif"/>
                  <w:sz w:val="20"/>
                </w:rPr>
                <w:t>December 5, 2023</w:t>
              </w:r>
            </w:hyperlink>
            <w:r>
              <w:rPr>
                <w:rFonts w:ascii="Times New Roman;Times;Serif" w:hAnsi="Times New Roman;Times;Serif"/>
                <w:sz w:val="20"/>
              </w:rPr>
              <w:t xml:space="preserve">, </w:t>
            </w:r>
            <w:hyperlink r:id="rId13">
              <w:r>
                <w:rPr>
                  <w:rStyle w:val="InternetLink"/>
                  <w:rFonts w:ascii="Times New Roman;Times;Serif" w:hAnsi="Times New Roman;Times;Serif"/>
                  <w:sz w:val="20"/>
                </w:rPr>
                <w:t>December 12, 2023</w:t>
              </w:r>
            </w:hyperlink>
            <w:r>
              <w:rPr>
                <w:rFonts w:ascii="Times New Roman;Times;Serif" w:hAnsi="Times New Roman;Times;Serif"/>
                <w:sz w:val="20"/>
              </w:rPr>
              <w:t xml:space="preserve">, </w:t>
            </w:r>
            <w:hyperlink r:id="rId14">
              <w:r>
                <w:rPr>
                  <w:rStyle w:val="InternetLink"/>
                  <w:rFonts w:ascii="Times New Roman;Times;Serif" w:hAnsi="Times New Roman;Times;Serif"/>
                  <w:sz w:val="20"/>
                </w:rPr>
                <w:t>December 14, 2023</w:t>
              </w:r>
            </w:hyperlink>
            <w:r>
              <w:rPr>
                <w:rFonts w:ascii="Times New Roman;Times;Serif" w:hAnsi="Times New Roman;Times;Serif"/>
                <w:sz w:val="20"/>
              </w:rPr>
              <w:t xml:space="preserve">, (excluding Item 7.01 and the exhibits furnished under Item 9.01 therein), </w:t>
            </w:r>
            <w:hyperlink r:id="rId15">
              <w:r>
                <w:rPr>
                  <w:rStyle w:val="InternetLink"/>
                  <w:rFonts w:ascii="Times New Roman;Times;Serif" w:hAnsi="Times New Roman;Times;Serif"/>
                  <w:sz w:val="20"/>
                </w:rPr>
                <w:t>December 22, 2023</w:t>
              </w:r>
            </w:hyperlink>
            <w:r>
              <w:rPr>
                <w:rFonts w:ascii="Times New Roman;Times;Serif" w:hAnsi="Times New Roman;Times;Serif"/>
                <w:sz w:val="20"/>
              </w:rPr>
              <w:t xml:space="preserve">, </w:t>
            </w:r>
            <w:hyperlink r:id="rId16">
              <w:r>
                <w:rPr>
                  <w:rStyle w:val="InternetLink"/>
                  <w:rFonts w:ascii="Times New Roman;Times;Serif" w:hAnsi="Times New Roman;Times;Serif"/>
                  <w:sz w:val="20"/>
                </w:rPr>
                <w:t>January 4, 2024</w:t>
              </w:r>
            </w:hyperlink>
            <w:r>
              <w:rPr>
                <w:rFonts w:ascii="Times New Roman;Times;Serif" w:hAnsi="Times New Roman;Times;Serif"/>
                <w:sz w:val="20"/>
              </w:rPr>
              <w:t xml:space="preserve">, </w:t>
            </w:r>
            <w:hyperlink r:id="rId17">
              <w:r>
                <w:rPr>
                  <w:rStyle w:val="InternetLink"/>
                  <w:rFonts w:ascii="Times New Roman;Times;Serif" w:hAnsi="Times New Roman;Times;Serif"/>
                  <w:sz w:val="20"/>
                </w:rPr>
                <w:t>January 22, 2024</w:t>
              </w:r>
            </w:hyperlink>
            <w:r>
              <w:rPr>
                <w:rFonts w:ascii="Times New Roman;Times;Serif" w:hAnsi="Times New Roman;Times;Serif"/>
                <w:sz w:val="20"/>
              </w:rPr>
              <w:t xml:space="preserve">, </w:t>
            </w:r>
            <w:hyperlink r:id="rId18">
              <w:r>
                <w:rPr>
                  <w:rStyle w:val="InternetLink"/>
                  <w:rFonts w:ascii="Times New Roman;Times;Serif" w:hAnsi="Times New Roman;Times;Serif"/>
                  <w:sz w:val="20"/>
                </w:rPr>
                <w:t>February 1, 2024</w:t>
              </w:r>
            </w:hyperlink>
            <w:r>
              <w:rPr>
                <w:rFonts w:ascii="Times New Roman;Times;Serif" w:hAnsi="Times New Roman;Times;Serif"/>
                <w:sz w:val="20"/>
              </w:rPr>
              <w:t xml:space="preserve">, </w:t>
            </w:r>
            <w:hyperlink r:id="rId19">
              <w:r>
                <w:rPr>
                  <w:rStyle w:val="InternetLink"/>
                  <w:rFonts w:ascii="Times New Roman;Times;Serif" w:hAnsi="Times New Roman;Times;Serif"/>
                  <w:sz w:val="20"/>
                </w:rPr>
                <w:t>February 2, 2024</w:t>
              </w:r>
            </w:hyperlink>
            <w:r>
              <w:rPr>
                <w:rFonts w:ascii="Times New Roman;Times;Serif" w:hAnsi="Times New Roman;Times;Serif"/>
                <w:sz w:val="20"/>
              </w:rPr>
              <w:t xml:space="preserve"> (and the subsequent </w:t>
            </w:r>
            <w:hyperlink r:id="rId20">
              <w:r>
                <w:rPr>
                  <w:rStyle w:val="InternetLink"/>
                  <w:rFonts w:ascii="Times New Roman;Times;Serif" w:hAnsi="Times New Roman;Times;Serif"/>
                  <w:sz w:val="20"/>
                </w:rPr>
                <w:t>Form 8-K/A</w:t>
              </w:r>
            </w:hyperlink>
            <w:r>
              <w:rPr>
                <w:rFonts w:ascii="Times New Roman;Times;Serif" w:hAnsi="Times New Roman;Times;Serif"/>
                <w:sz w:val="20"/>
              </w:rPr>
              <w:t xml:space="preserve"> filed on February 20, 2024), </w:t>
            </w:r>
            <w:hyperlink r:id="rId21">
              <w:r>
                <w:rPr>
                  <w:rStyle w:val="InternetLink"/>
                  <w:rFonts w:ascii="Times New Roman;Times;Serif" w:hAnsi="Times New Roman;Times;Serif"/>
                  <w:sz w:val="20"/>
                </w:rPr>
                <w:t>February 8, 2024</w:t>
              </w:r>
            </w:hyperlink>
            <w:r>
              <w:rPr>
                <w:rFonts w:ascii="Times New Roman;Times;Serif" w:hAnsi="Times New Roman;Times;Serif"/>
                <w:sz w:val="20"/>
              </w:rPr>
              <w:t xml:space="preserve">, </w:t>
            </w:r>
            <w:hyperlink r:id="rId22">
              <w:r>
                <w:rPr>
                  <w:rStyle w:val="InternetLink"/>
                  <w:rFonts w:ascii="Times New Roman;Times;Serif" w:hAnsi="Times New Roman;Times;Serif"/>
                  <w:sz w:val="20"/>
                </w:rPr>
                <w:t>February 29, 2024</w:t>
              </w:r>
            </w:hyperlink>
            <w:r>
              <w:rPr>
                <w:rFonts w:ascii="Times New Roman;Times;Serif" w:hAnsi="Times New Roman;Times;Serif"/>
                <w:sz w:val="20"/>
              </w:rPr>
              <w:t xml:space="preserve">, </w:t>
            </w:r>
            <w:hyperlink r:id="rId23">
              <w:r>
                <w:rPr>
                  <w:rStyle w:val="InternetLink"/>
                  <w:rFonts w:ascii="Times New Roman;Times;Serif" w:hAnsi="Times New Roman;Times;Serif"/>
                  <w:sz w:val="20"/>
                </w:rPr>
                <w:t>March 4, 2024</w:t>
              </w:r>
            </w:hyperlink>
            <w:r>
              <w:rPr>
                <w:rFonts w:ascii="Times New Roman;Times;Serif" w:hAnsi="Times New Roman;Times;Serif"/>
                <w:sz w:val="20"/>
              </w:rPr>
              <w:t xml:space="preserve"> and </w:t>
            </w:r>
            <w:hyperlink r:id="rId24">
              <w:r>
                <w:rPr>
                  <w:rStyle w:val="InternetLink"/>
                  <w:rFonts w:ascii="Times New Roman;Times;Serif" w:hAnsi="Times New Roman;Times;Serif"/>
                  <w:sz w:val="20"/>
                </w:rPr>
                <w:t>March 11, 2024</w:t>
              </w:r>
            </w:hyperlink>
            <w:r>
              <w:rPr>
                <w:rFonts w:ascii="Times New Roman;Times;Serif" w:hAnsi="Times New Roman;Times;Serif"/>
                <w:sz w:val="20"/>
              </w:rPr>
              <w:t>; and</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capital stock contained in our registration statement on </w:t>
            </w:r>
            <w:hyperlink r:id="rId25">
              <w:r>
                <w:rPr>
                  <w:rStyle w:val="InternetLink"/>
                  <w:rFonts w:ascii="Times New Roman;Times;Serif" w:hAnsi="Times New Roman;Times;Serif"/>
                  <w:strike w:val="false"/>
                  <w:dstrike w:val="false"/>
                  <w:sz w:val="20"/>
                  <w:u w:val="none"/>
                  <w:effect w:val="none"/>
                </w:rPr>
                <w:t>Form 8-A</w:t>
              </w:r>
            </w:hyperlink>
            <w:r>
              <w:rPr>
                <w:rFonts w:ascii="Times New Roman;Times;Serif" w:hAnsi="Times New Roman;Times;Serif"/>
                <w:sz w:val="20"/>
              </w:rPr>
              <w:t xml:space="preserve"> (File No. 001-39830) filed on December 23, 2020, and any amendments or reports filed for the purposes of updating this description (including </w:t>
            </w:r>
            <w:hyperlink r:id="rId26">
              <w:r>
                <w:rPr>
                  <w:rStyle w:val="InternetLink"/>
                  <w:rFonts w:ascii="Times New Roman;Times;Serif" w:hAnsi="Times New Roman;Times;Serif"/>
                  <w:strike w:val="false"/>
                  <w:dstrike w:val="false"/>
                  <w:sz w:val="20"/>
                  <w:u w:val="none"/>
                  <w:effect w:val="none"/>
                </w:rPr>
                <w:t>Exhibit 4.1</w:t>
              </w:r>
            </w:hyperlink>
            <w:r>
              <w:rPr>
                <w:rFonts w:ascii="Times New Roman;Times;Serif" w:hAnsi="Times New Roman;Times;Serif"/>
                <w:sz w:val="20"/>
              </w:rPr>
              <w:t xml:space="preserve"> to the Annual Report on Form 10-K for the year ended June 30, 2023).</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information in any of the foregoing documents will automatically be deemed to be modified or superseded to the extent that information in this prospectus supplement or in a later filed document that is incorporated or deemed to be incorporated herein by reference modifies or replaces such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upon written or oral request, a copy of any or all of the documents that are incorporated by reference in this prospectus supplement, excluding any exhibits to those documents unless such exhibits are specifically incorporated by reference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direct requests for documents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 Industrial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Carlos, CA 94070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(650) 817-9012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Primary Offering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$75,000,000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16,823,660 Shares of Common Stock Issuable Upon Exercise of Outstanding Warrants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Secondary Offering of</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52,709,824 Shares of Common Stock</w:t>
        <w:br/>
        <w:t>7,625,000 Warrants to Purchase Shares of Common Stock Offered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(a) the offer and sale by Presto Automation Inc., a Delaware corporation (the “Company,” “we,” “us” or “Presto”) of up to $75,000,000 in the aggregate of the Company’s common stock, par value $0.0001 per share (the “Common Stock”), preferred stock, debt securities, new warrants, rights or units, (b) the issuance by us of up to 16,250,000 shares of Common Stock, that may be issued upon exercise of warrants to purchase Common Stock at an exercise price of $8.21 per share with respect to the public warrants and $11.50 per share of Common Stock with respect to the Financing Warrants and the Private Placement Warrants (each as defined below), (c) the issuance by us of up to 573,660 shares of Common Stock, that may be issued upon exercise of warrants to purchase Common Stock at an exercise price of $0.37 per share with respect to the 2017 Trinity Warrants and $5.85 per share of Common Stock with respect to the 2016 Trinity Warrants (each as defined below), and (d) an aggregate of 52,709,824 shares of Common Stock by certain of the selling securityholders named in this prospectus (each a “Selling Securityholder” and, collectively, the “Selling Securityholders”). The securities registered for resale covered by this prospectus consist of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4,312,500 shares of Common Stock held by the Sponsors, their respective permitted transferees and the independent directors of our predecessor Ventoux CCM Acquisition Corp. (“VTAQ”) (such shares, the “Founder Shares”) purchased prior to VTAQ’s initial public offering of Common Stock on December 30, 2020 (the “IPO”), at a price of $0.005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7,143,687 shares of Common Stock issued to certain institutional and accredited investors in connection with the consummation of the Business Combination (as defined herein) (the “Business Combination PIPE Shares”), which, together with the transfer of Founder Shares to certain investors by the Sponsors, resulted in (i) an investment made by an affiliate of Cleveland Avenue, LLC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6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640,000 shares of Common Stock issued as partial consideration to various advisors of the Company and VTAQ for services rendered in connection with the Business Combination and the PIPE Investment (as defined herein), valued at $10.00 per share;</w:t>
            </w:r>
          </w:p>
        </w:tc>
      </w:tr>
    </w:tbl>
    <w:p>
      <w:pPr>
        <w:pStyle w:val="TextBody"/>
        <w:bidi w:val="0"/>
        <w:spacing w:before="0" w:after="0"/>
        <w:ind w:left="864" w:right="0" w:hanging="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8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t>
            </w:r>
          </w:p>
        </w:tc>
        <w:tc>
          <w:tcPr>
            <w:tcW w:w="99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w:t>
            </w:r>
          </w:p>
        </w:tc>
        <w:tc>
          <w:tcPr>
            <w:tcW w:w="98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6,125,000 warrants each exercisable for one share of Common Stock at an exercise price of $11.50 per share, purchased by the Sponsors and their permitted transferees, at a price of $1.00 per warrants in a private placement simultaneously with the consummation of VTAQ’s IPO (the “Private Placement Warrants”); and 1,500,000 warrants each exercisable for one share of Common Stock at an exercise price of $11.50 per share, issued to lenders party to the Credit Agreement (as defined herein) (the “Financing Warrants”);</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4"/>
        <w:gridCol w:w="9813"/>
      </w:tblGrid>
      <w:tr>
        <w:trPr/>
        <w:tc>
          <w:tcPr>
            <w:tcW w:w="3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w:t>
            </w:r>
          </w:p>
        </w:tc>
        <w:tc>
          <w:tcPr>
            <w:tcW w:w="98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4,760,500 shares of Common Stock (the “June 2023 PIPE Shares”) that were issued at a purchase price of $2.00 per share in a private placement (the “June 2023 Private Placement”) pursuant to that certain securities purchase agreement, dated as of May 22, 2023, by and among us and certain accredited investors named therein (the “June Purchase Agreement”);</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6"/>
        <w:gridCol w:w="9751"/>
      </w:tblGrid>
      <w:tr>
        <w:trPr/>
        <w:tc>
          <w:tcPr>
            <w:tcW w:w="3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(viii)</w:t>
            </w:r>
          </w:p>
        </w:tc>
        <w:tc>
          <w:tcPr>
            <w:tcW w:w="97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1,500,000 shares of Common Stock (the “October 2023 PIPE Shares”) that were issued at a purchase price of $2.00 per share in a private placement (the “October 2023 Private Placement”) pursuant to that certain securities purchase agreement, dated October 10, 2023 by and between us and Presto CA LLC, an accredited investor;</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(ix)</w:t>
            </w:r>
          </w:p>
        </w:tc>
        <w:tc>
          <w:tcPr>
            <w:tcW w:w="98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5,925,000 shares of Common Stock issuable upon the exercise of warrants to purchase shares of our Common Stock, at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for the conversation of interest into principal and in respect of amendments to the Credit Agreement;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402,668 shares of Common Stock issuable upon the exercise of warrants to purchase shares of our Common Stock, at an exercise price of $0.37 per share (the “2017 Trinity Warrants”), held by Trinity Capital Fund II, L.P., LLC (“Trinity”) and 170,992 shares of Common Stock issuable upon the exercise of warrants to purchase shares of our Common Stock, at an exercise price of $5.85 per share, held by Trinity (the “2016 Trinity Warrants”, and, collectively with the 2017 Trinity Warrants, the “Trinity Warrants”).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filed (i) a registration statement Form S-1 (File No. 333-267979) registering the issuance by us of up to 16,250,000 shares of Common Stock and the offer and sale, from time to time, by the Selling Securityholders of up to 48,149,324 shares of Common Stock and 7,625,000 outstanding Private Placement Warrants, which was declared effective by the SEC on January 9, 2023 (the “First Form S-1”), (ii) a registration statement Form S-1 (File No. 333-271551) registering up to 400,000 shares of Common Stock underlying the May 2023 Resale Warrants, which was declared effective by the SEC on May 12, 2023 (the “Second Form S-1”), and (iii) a registration statement Form S-1 (File No. 333-272913) registering up to 4,760,500 June 2023 PIPE Shares, 500,000 shares of Common Stock underlying the June 2023 Conversion Warrants, and 2,000,000 shares of Common Stock underlying the Second Amendment Warrants (the “Third Form S-1”, and, collectively with the First Form S-1 and Second Form S-1, the “Form S-1s”). We are filing this registration statement on Form S-3 to replace the Form S-1s with respect to the issuance by us of all shares of Common Stock underlying outstanding public warrants and Private Placement Warrants and the offer and sale by the Selling Securityholders of all outstanding securities still held by them, as well as to register (a) up to $75,000,000 in the aggregate of Common Stock, preferred stock, debt securities, new warrants, rights or units, (b) the October 2023 PIPE Shares, (c) 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(d) 3,000,000 shares of Common Stock issuable upon the exercise of warrants, with an exercise price of $0.01 per share that were issued pursuant to that certain third amended and restated fee letter, dated as of October 10, 2023, by and among us, E La Carte, LLC and Metropolitan and (e) the 573,660 shares of Common Stock issuable upon the exercise of the Trinity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by the Selling Securityholders of shares of Common Stock or warrants pursuant to this prospectus or of the issuance by us of shares of Common Stock issuable upon exercise of outstanding warrants pursuant to this prospectus, except with respect to amounts received by us upon exercise of the warrants to the extent such warrants are exercised for cash. However, we will pay the expenses, other than underwriting discounts and commissions, associated with the sale of securities by the Selling Securityholders pursuant to this prospectus.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securities covered by this prospectus does not mean that either we or the Selling Securityholders will issue, offer or sell, as applicable, any of the securities. We or the Selling Securityholders may offer and sell the securities covered by this prospectus in a number of different ways and at varying prices. We provide more information about how we and/or the Selling Securityholders may sell the securities in the section entitled “Plan of Distribution.” You should read this prospectus and any prospectus supplement or amendment carefully before you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Stock are listed on the Nasdaq Stock Market under the symbol “PRST.” On October 18, 2023, the closing sale price of shares of our Common Stock was $1.48. Our warrants are listed on the Nasdaq Stock Market under the symbol “PRSTW.” On October 18, 2023, the closing sale price of our warrants was $0.04.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all our warrants, except for the 2017 Trinity Warrants and the penny warrants (as defined below),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the penny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all of the securities registered for resale hereunder (and the shares of Common Stock issuable upon exercise of our warrants), or the perception that such sales may occur, may cause the market prices of our securities to decline significantly. See “</w:t>
      </w:r>
      <w:r>
        <w:rPr>
          <w:rFonts w:ascii="Times New Roman;Times;Serif" w:hAnsi="Times New Roman;Times;Serif"/>
          <w:b w:val="false"/>
          <w:i/>
          <w:caps w:val="false"/>
          <w:smallCaps w:val="false"/>
          <w:sz w:val="20"/>
        </w:rPr>
        <w:t>Risk Factors—Risks Relating to Our Common Stock and Warrants</w:t>
      </w:r>
      <w:r>
        <w:rPr>
          <w:rFonts w:ascii="Times New Roman;Times;Serif" w:hAnsi="Times New Roman;Times;Serif"/>
          <w:b w:val="false"/>
          <w:i w:val="false"/>
          <w:caps w:val="false"/>
          <w:smallCaps w:val="false"/>
          <w:sz w:val="20"/>
        </w:rPr>
        <w:t>” in our Annual Report on Form 10-K for the fiscal year ended June 30, 2023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“Risk Factors” section beginning on page 4 of this prospectus and similar sections contained in the documents incorporated by reference into this prospectus.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6890"/>
        <w:gridCol w:w="60"/>
        <w:gridCol w:w="275"/>
      </w:tblGrid>
      <w:tr>
        <w:trPr/>
        <w:tc>
          <w:tcPr>
            <w:tcW w:w="689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TRADEMARKS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CAUTIONARY STATEMENT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SUMMARY OF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COMMON STOCK AND PREFERRED STOCK</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DEBT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RIGHTS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GLOBAL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SELLING SECURITYHOLDERS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INDEMNIFICATION FOR SECURITIES ACT LIABILITIES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01"/>
      <w:bookmarkEnd w:id="14"/>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(the “SEC”) using a “shelf” registration process. Under this shelf registration process, we and the selling securityholders named in this prospectus (the “Selling Securityholders”) may, from time to time, issue, offer and sell, as applicable, any combination of the securities described in this prospectus in one or more offerings. We may use the shelf registration statement to offer and sell up to $75,000,000 shares of common stock, par value $0.0001 per share (“Common Stock”), preferred stock, debt securities, new warrants, rights or units and to issue up to 16,823,660 shares of Common Stock upon exercise of the Trinity Warrants, Public Warrants, Financing Warrants, and the Private Placement Warrants. The Selling Securityholders may use the shelf registration statement to sell up to an aggregate of up to 52,709,824 shares of Common Stock and 7,625,000 Private Placement Warrants and Financing Warrants. More specific terms of any securities that we or the Selling Securityholders offer and sell may be provided in a prospectus supplement that describes, among other things, the specific amounts and prices of the securities being offered and the terms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“Where You Can Find More Information,” and you may obtain copies of those documents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02"/>
      <w:bookmarkEnd w:id="15"/>
      <w:r>
        <w:rPr>
          <w:rFonts w:ascii="Times New Roman;Times;Serif" w:hAnsi="Times New Roman;Times;Serif"/>
          <w:b/>
          <w:i w:val="false"/>
          <w:caps w:val="false"/>
          <w:smallCaps w:val="false"/>
          <w:sz w:val="20"/>
        </w:rPr>
        <w:t>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3"/>
      <w:bookmarkEnd w:id="16"/>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documents incorporated herein by reference, contains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17" w:name="a_004"/>
      <w:bookmarkEnd w:id="17"/>
      <w:r>
        <w:rPr>
          <w:rFonts w:ascii="Times New Roman;Times;Serif" w:hAnsi="Times New Roman;Times;Serif"/>
          <w:b/>
          <w:i w:val="false"/>
          <w:caps w:val="false"/>
          <w:smallCaps w:val="false"/>
          <w:sz w:val="20"/>
          <w:bdr w:val="single" w:sz="12" w:space="5" w:color="000000"/>
        </w:rPr>
        <w:t>SUMMARY OF THE PROSPECTUS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summary highlights selected information contained in the documents we incorporate by reference and may not contain all of the information that is important to you in making an investment decision. Before investing in our securities, you should carefully read this entire prospectus, including the documents incorporated herein by reference, especially the risk factors, management’s discussion and analysis of financial condition and results of operations, and consolidated financial statements and the related notes. See the section titled “Where You Can Find More Information.”</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05"/>
      <w:bookmarkEnd w:id="18"/>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as amended by amendment no. 1 to our Annual Report on Form 10-K/A and any subsequent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6"/>
      <w:bookmarkEnd w:id="1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may be described in an applicable prospectus supplement, we intend to use the net proceeds from the sale of the securities offered by us hereunder for general corporate purposes. We may also use such proceeds for temporary investments until we need them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 Common Stock and Warrants offered by the Selling Securityholders will be sold by them for their respective accounts. We will not receive any of the proceeds from these sales. We will receive up to an aggregate of approximately $158.6 million from the exercise of all Warrants assuming the exercise in full of all such Warrants for cash. As of the date of this prospectus, all our warrants, except for the 2017 Trinity Warrants and penny warrants,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penny warrants. 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7"/>
      <w:bookmarkEnd w:id="20"/>
      <w:r>
        <w:rPr>
          <w:rFonts w:ascii="Times New Roman;Times;Serif" w:hAnsi="Times New Roman;Times;Serif"/>
          <w:b/>
          <w:i w:val="false"/>
          <w:caps w:val="false"/>
          <w:smallCaps w:val="false"/>
          <w:sz w:val="20"/>
        </w:rPr>
        <w:t>DESCRIPTION OF COMMON STOCK AND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our Common Stock and preferred stock is set forth in our registration statement on Form 8-A as originally filed with the SEC on December 23, 2020 and any amendment or report filed for the purpose of updating this information (including Exhibit 4.1 to our Annual Report on Form 10-K for the fiscal year ended June 30, 2023), which description is incorporated by reference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8"/>
      <w:bookmarkEnd w:id="21"/>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either separately, or together with, or upon the conversion or exercise of or in exchange for, other securities described in this prospectus. Unless otherwise specified in a supplement to this prospectus, the debt securities will be our direct, unsecured obligations and may be issued in one or more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title and ranking of the debt securities (including the terms of any subordination provisions);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price or prices (expressed as a percentage of the principal amount) at which we will sell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w:t>
            </w:r>
          </w:p>
        </w:tc>
        <w:tc>
          <w:tcPr>
            <w:tcW w:w="987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limit on the aggregate principal amount of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4"/>
        <w:gridCol w:w="9931"/>
      </w:tblGrid>
      <w:tr>
        <w:trPr/>
        <w:tc>
          <w:tcPr>
            <w:tcW w:w="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or dates on which the principal of the securities of the series is payable;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period or periods within which, the price or prices at which and the terms and conditions upon which we may redeem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dates on which and the price or prices at which we will repurchase debt securities at the option of the holders of debt securities and other detailed terms and provisions of these repurchase obligations;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denominations in which the debt securities will be issued, if other than denominations of $1,000 and any integral multiple thereof;</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debt securities will be issued in the form of certificated debt securities or global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portion of principal amount of the debt securities payable upon declaration of acceleration of the maturity date, if other than the principal amount;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currency of denomination of the debt securities, which may be U.S. Dollars or any foreign currency, and if such currency of denomination is a composite currency, the agency or organization, if any, responsible for overseeing such composite currency;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of the currency, currencies or currency units in which payment of principal of, premium and interest on the debt securities will be made;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3"/>
        <w:gridCol w:w="9896"/>
      </w:tblGrid>
      <w:tr>
        <w:trPr/>
        <w:tc>
          <w:tcPr>
            <w:tcW w:w="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w:t>
            </w:r>
          </w:p>
        </w:tc>
        <w:tc>
          <w:tcPr>
            <w:tcW w:w="98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provisions relating to any security provided for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addition to, deletion of or change in the covenants described in this prospectus or in the indenture with respect to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depositaries, interest rate calculation agents, exchange rate calculation agents or other agents with respect to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any of our direct or indirect subsidiaries will guarantee the debt securities of that series including the terms of subordination, if any, of such guarantees.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Transfer and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Debt Securities and Book-Entry System. Each global debt security representing book-entry debt securities will be deposited with, or on behalf of, the Depositary, and registered in the name of the Depositary or a nominee of the Depositary. Unless and until it is exchanged for individual certificates evidencing securities under the limited circumstances described in the indenture, a global debt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holds securities that its participants deposit with Depositary.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Depositary include securities brokers and dealers, including underwriters, banks, trust companies, clearing corporations and other organizations. Access to the Depositary system is also available to others (which we sometimes refer to as indirect participants) that clear through or maintain a custodial relationship with a direct participant, either directly or indirectly. The rules applicable to Depositary and its participants are on file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debt securities are in book-entry form, you will receive payments and may transfer debt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debt securities may be surrendered for payment, registration of transfer or exchange. We will make payments on book-entry debt securities to the Depositary or its nominee, as the registered owner of such securities, by wire transfer of immediately available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Certificated Debt Securities</w:t>
      </w:r>
      <w:r>
        <w:rPr>
          <w:rFonts w:ascii="Times New Roman;Times;Serif" w:hAnsi="Times New Roman;Times;Serif"/>
          <w:b w:val="false"/>
          <w:i w:val="false"/>
          <w:caps w:val="false"/>
          <w:smallCaps w:val="false"/>
          <w:sz w:val="20"/>
        </w:rPr>
        <w:t>.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issued in definitive certificated form under the limited circumstances described in the indenture,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any restrictive covenants applicable to any issue of debt securities, including the payment of principal, premium, if any, and interest on such debt securities. The indenture will not limit us from incurring or issuing other unsecured or secured debt and, unless otherwise indicated in the applicable prospectus supplement, the indenture will not contain any financial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Protection in the Event of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and Sale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consolidate with or merge with or into, or convey, transfer or lease all or substantially all of our properties and assets to any person (a “successor person”) unless: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are the surviving corporation or the successor person (if other than Presto) is a corporation, organized and validly existing under the laws of any U.S. domestic jurisdiction and expressly assumes our obligations on the debt securities and under the indenture;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immediately after giving effect to the transaction, no Default (as defined below) or Event of Default shall have occurred and be continuing.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any of our subsidiaries may consolidate with, merge into or transfer all or part of its properties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means with respect to any series of debt securities, any of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28"/>
        <w:gridCol w:w="9926"/>
      </w:tblGrid>
      <w:tr>
        <w:trPr/>
        <w:tc>
          <w:tcPr>
            <w:tcW w:w="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w:t>
            </w:r>
          </w:p>
        </w:tc>
        <w:tc>
          <w:tcPr>
            <w:tcW w:w="99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default in the payment of principal of any security of that series at its maturity;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Presto and the trustee receives written notice from the holders of not less than 25% in principal amount of the outstanding debt securities of that series as provided in the indenture;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2"/>
        <w:gridCol w:w="9971"/>
      </w:tblGrid>
      <w:tr>
        <w:trPr/>
        <w:tc>
          <w:tcPr>
            <w:tcW w:w="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w:t>
            </w:r>
          </w:p>
        </w:tc>
        <w:tc>
          <w:tcPr>
            <w:tcW w:w="99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certain voluntary or involuntary events of bankruptcy, insolvency or reorganization of Presto;</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Event of Default provided with respect to debt securities of that series that is described in the applicable prospectus supplement.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means any event which is, or after notice or passage of time or both would be,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debt security of any series will have any right to institute any proceeding, judicial or otherwise, with respect to the indenture or for the appointment of a receiver or trustee, or for any remedy under the indenture, unless: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that holder has previously given to the trustee written notice of a continuing Event of Default with respect to debt securities of that series;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require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modify, amend or supplement the indenture or the debt securities of any series without the consent of any holder of any debt security:</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4"/>
        <w:gridCol w:w="9748"/>
      </w:tblGrid>
      <w:tr>
        <w:trPr/>
        <w:tc>
          <w:tcPr>
            <w:tcW w:w="8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w:t>
            </w:r>
          </w:p>
        </w:tc>
        <w:tc>
          <w:tcPr>
            <w:tcW w:w="97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cure any ambiguity, defect or inconsistency;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comply with covenants in the indenture described above under the heading “Consolidation, Merger and Sale of Assets”;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provide for uncertificated securities in addition to or in place of certificated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add guarantees with respect to debt securities of any series or secure debt securities of any series;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2"/>
        <w:gridCol w:w="9848"/>
      </w:tblGrid>
      <w:tr>
        <w:trPr/>
        <w:tc>
          <w:tcPr>
            <w:tcW w:w="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w:t>
            </w:r>
          </w:p>
        </w:tc>
        <w:tc>
          <w:tcPr>
            <w:tcW w:w="98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surrender any of our rights or powers under the indenture;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add covenants or events of default for the benefit of the holders of debt securities of any series;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4"/>
        <w:gridCol w:w="9895"/>
      </w:tblGrid>
      <w:tr>
        <w:trPr/>
        <w:tc>
          <w:tcPr>
            <w:tcW w:w="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comply with the applicable procedures of the applicable depositary;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5"/>
        <w:gridCol w:w="9967"/>
      </w:tblGrid>
      <w:tr>
        <w:trPr/>
        <w:tc>
          <w:tcPr>
            <w:tcW w:w="4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make any change that does not adversely affect the rights of any holder of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provide for the issuance of and establish the form and terms and conditions of debt securities of any series as permitted by the indenture;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effect the appointment of a successor trustee with respect to the debt securities of any series and to add to or change any of the provisions of the indenture to provide for or facilitate administration by more than one trustee;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comply with requirements of the SEC in order to effect or maintain the qualification of the indenture under the Trust Indenture Act of 1939, as amended.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modify and amend the indenture with the consent of the holders of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amount of debt securities whose holders must consent to an amendment, supplement or waiver;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rate of or extend the time for payment of interest (including default interest) on any debt security;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principal of or premium on or change the fixed maturity of any debt security or reduce the amount of, or postpone the date fixed for, the payment of any sinking fund or analogous obligation with respect to any series of debt securities;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
        <w:gridCol w:w="202"/>
        <w:gridCol w:w="9958"/>
      </w:tblGrid>
      <w:tr>
        <w:trPr/>
        <w:tc>
          <w:tcPr>
            <w:tcW w:w="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w:t>
            </w:r>
          </w:p>
        </w:tc>
        <w:tc>
          <w:tcPr>
            <w:tcW w:w="99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principal amount of discount securities payable upon acceleration of maturity;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waive a default in the payment of the principal of, premium or interest on any debt security (except a rescission of acceleration of the debt securities of any series by the holders of a majority in aggregate principal amount of the then outstanding debt securities of that series and a waiver of the payment default that resulted from such acceleration);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make the principal of or premium or interest on any debt security payable in currency other than that stated in the debt security;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3"/>
        <w:gridCol w:w="282"/>
        <w:gridCol w:w="9860"/>
      </w:tblGrid>
      <w:tr>
        <w:trPr/>
        <w:tc>
          <w:tcPr>
            <w:tcW w:w="6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waive a redemption payment with respect to any debt security.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certain specified provisions, the holders of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 of Debt Securities and Certain Covenants in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Legal Defeasance</w:t>
      </w:r>
      <w:r>
        <w:rPr>
          <w:rFonts w:ascii="Times New Roman;Times;Serif" w:hAnsi="Times New Roman;Times;Serif"/>
          <w:b w:val="false"/>
          <w:i w:val="false"/>
          <w:caps w:val="false"/>
          <w:smallCaps w:val="false"/>
          <w:sz w:val="20"/>
        </w:rPr>
        <w:t>. The indenture will provide that, unless otherwise provided by the terms of the applicable series of debt securities, we may be discharged from any and all obligations in respect of the debt securities of any series (subject to certain exceptions)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Defeasance of Certain Covenants</w:t>
      </w:r>
      <w:r>
        <w:rPr>
          <w:rFonts w:ascii="Times New Roman;Times;Serif" w:hAnsi="Times New Roman;Times;Serif"/>
          <w:b w:val="false"/>
          <w:i w:val="false"/>
          <w:caps w:val="false"/>
          <w:smallCaps w:val="false"/>
          <w:sz w:val="20"/>
        </w:rPr>
        <w:t>. The indenture will provide that, unless otherwise provided by the terms of the applicable series of debt securities, upon compliance with certain conditions: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omission to comply with those covenants will not constitute a Default or an Event of Default with respect to the debt securities of that series (“covenant defeasance”).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include: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delivering to the trustee an opinion of counsel to the effect that the holders of the debt securities of that series will not recognize income, gain or loss for United States federal income tax purposes as a result of such covenant defeasance and will be subject to United States federal income tax on the same amounts and in the same manner and at the same times as would have been the case if such covenant defeasance had not occurred.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covenant defeasance occurs, certain events (not including non-payment, bankruptcy, receivership, rehabilitation and insolvency events) described under “Events of Default” will no longer constitute an Event of Default with respect to the applicable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Personal Liability of Directors, Officers, Employees or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including any claim or controversy arising out of or relating to the indenture or the securities, will be governed by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9"/>
      <w:bookmarkEnd w:id="22"/>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offer new warrants from time to time in one or more series. The following description summarizes the general terms and provisions of the new warrants we may offer pursuant to this prospectus that are common to all series. For the avoidance of doubt, this section relates only to new warrants that we may issue and not any of our outstanding warrants, such as the Public Warrants or Private Placement Warrants, and we refer to such new warrants in this prospectus for the sake of simplicity as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relating to any series of our warrants that we offer will be described in a prospectus supplement, which you should read. Because the terms of specific series of warrants offered may differ from the general information that we have provided below, you should rely on information in the applicable prospectus supplement that contradicts any information below. The summary below is not complete and is subject to, and qualified in its entirety by reference to, the terms and provisions of the applicable warrant agreement relating to each series of warrants, which will be in the form filed as an exhibit to or incorporated by reference in the registration statement of which this prospectus is a part at or prior to the time of the issuance of such series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common stock, preferred stock, debt securities or any combination thereof (including in the form of units), which we refer to in this prospectus, collectively, as the “underlying warrant securities.” The warrants may be issued independently or together with any series of underlying warrant securities and may be attached or separate from the underlying warrant securities. Each series of warrants will be issued pursuant to a separate form of warrant and may be issued pursuant to a separate warrant agreement to be entered into between us and a warrant agent. Any warrant agent will act solely as our agent in connection with the warrants of such series and will not assume any obligation or relationship of agency for or with holders or beneficial owners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any series of warrants in respect of which this prospectus is being delivered, including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704"/>
        <w:gridCol w:w="9344"/>
      </w:tblGrid>
      <w:tr>
        <w:trPr/>
        <w:tc>
          <w:tcPr>
            <w:tcW w:w="15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pPr>
            <w:r>
              <w:rPr/>
              <w:t>●</w:t>
            </w:r>
          </w:p>
        </w:tc>
        <w:tc>
          <w:tcPr>
            <w:tcW w:w="934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title of the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500"/>
        <w:gridCol w:w="9594"/>
      </w:tblGrid>
      <w:tr>
        <w:trPr/>
        <w:tc>
          <w:tcPr>
            <w:tcW w:w="1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w:t>
            </w:r>
          </w:p>
        </w:tc>
        <w:tc>
          <w:tcPr>
            <w:tcW w:w="95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aggregate number of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20"/>
        <w:gridCol w:w="9814"/>
      </w:tblGrid>
      <w:tr>
        <w:trPr/>
        <w:tc>
          <w:tcPr>
            <w:tcW w:w="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w:t>
            </w:r>
          </w:p>
        </w:tc>
        <w:tc>
          <w:tcPr>
            <w:tcW w:w="981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price or prices at which the warrants will be issued;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1"/>
        <w:gridCol w:w="9923"/>
      </w:tblGrid>
      <w:tr>
        <w:trPr/>
        <w:tc>
          <w:tcPr>
            <w:tcW w:w="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currency or currencies in which the price of the warrants may be payable;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and terms of the underlying warrant securities purchasable upon exercise of the warrants and the number of such underlying warrant securities issuable upon exercise of the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price at which and the currency or currencies, including composite currencies, in which the underlying warrant securities purchasable upon exercise of the warrants may be purchased;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which the right to exercise the warrants will commence and the date on which that right will expire (subject to any extension);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warrants will be issued in registered form or bearer form;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applicable, the minimum or maximum amount of the warrants which may be exercised at any one time;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applicable, the designation and terms of the underlying warrant securities with which the warrants are issued and the number of the warrants issued with each underlying warrant security;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applicable, the date on and after which the warrants and the related underlying warrant securities will be separately transferable;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4"/>
        <w:gridCol w:w="9833"/>
      </w:tblGrid>
      <w:tr>
        <w:trPr/>
        <w:tc>
          <w:tcPr>
            <w:tcW w:w="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w:t>
            </w:r>
          </w:p>
        </w:tc>
        <w:tc>
          <w:tcPr>
            <w:tcW w:w="983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information with respect to book-entry procedures, if 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applicable, a discussion of the material United States federal income tax considerations applicable to the issuance or exercise of the warrants;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terms of the warrants, including terms, procedures and limitations relating to the exchange and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Supplements to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for a series of warrants, if applicable, may be amended or supplemented without the consent of the holders of the warrants issued thereunder to effect changes that are not inconsistent with the provisions of the warrants and that do not adversely affect the interests of the holders of the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10"/>
      <w:bookmarkEnd w:id="23"/>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general terms of the rights that we may offer and sell by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rights, the rights agreement relating to the rights and the rights certificates representing rights will be described in the applicable prospectus supplement, including, as applicable: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797"/>
        <w:gridCol w:w="9231"/>
      </w:tblGrid>
      <w:tr>
        <w:trPr/>
        <w:tc>
          <w:tcPr>
            <w:tcW w:w="17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pPr>
            <w:r>
              <w:rPr/>
              <w:t>●</w:t>
            </w:r>
          </w:p>
        </w:tc>
        <w:tc>
          <w:tcPr>
            <w:tcW w:w="92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title of the rights;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4"/>
        <w:gridCol w:w="9919"/>
      </w:tblGrid>
      <w:tr>
        <w:trPr/>
        <w:tc>
          <w:tcPr>
            <w:tcW w:w="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of determining the security holders entitled to the rights distribution;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title, aggregate number of shares of common stock or preferred stock purchasable upon exercise of the rights;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895"/>
        <w:gridCol w:w="9110"/>
      </w:tblGrid>
      <w:tr>
        <w:trPr/>
        <w:tc>
          <w:tcPr>
            <w:tcW w:w="20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exercise price;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453"/>
        <w:gridCol w:w="9651"/>
      </w:tblGrid>
      <w:tr>
        <w:trPr/>
        <w:tc>
          <w:tcPr>
            <w:tcW w:w="1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w:t>
            </w:r>
          </w:p>
        </w:tc>
        <w:tc>
          <w:tcPr>
            <w:tcW w:w="96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aggregate number of rights issued;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5"/>
        <w:gridCol w:w="9918"/>
      </w:tblGrid>
      <w:tr>
        <w:trPr/>
        <w:tc>
          <w:tcPr>
            <w:tcW w:w="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w:t>
            </w:r>
          </w:p>
        </w:tc>
        <w:tc>
          <w:tcPr>
            <w:tcW w:w="991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if any, on and after which the rights will be separately transferable;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which the right to exercise the rights will commence and the date on which the right will expire;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terms of the rights, including terms, procedures and limitations relating to the distribution, exchange and exercise of the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11"/>
      <w:bookmarkEnd w:id="24"/>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units that we may offer under this prospectus. Units may be offered independently or together with common stock, preferred stock, debt securities, and warrants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common stock, preferred stock, debt securities, and/or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including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7"/>
        <w:gridCol w:w="9965"/>
      </w:tblGrid>
      <w:tr>
        <w:trPr/>
        <w:tc>
          <w:tcPr>
            <w:tcW w:w="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provisions of the governing unit agreement that differ from those described below;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provisions for the issuance, payment, settlement, transfer, or exchange of the units or of the securities comprising the units.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in the sections entitled “Description of Common Stock and Preferred Stock,” “Description of Debt Securities,” and “Description of Warrants,” will apply to each unit and to any common stock, preferred stock, debt security, or warrant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in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such numerous distinct series as we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2"/>
      <w:bookmarkEnd w:id="25"/>
      <w:r>
        <w:rPr>
          <w:rFonts w:ascii="Times New Roman;Times;Serif" w:hAnsi="Times New Roman;Times;Serif"/>
          <w:b/>
          <w:i w:val="false"/>
          <w:caps w:val="false"/>
          <w:smallCaps w:val="false"/>
          <w:sz w:val="20"/>
        </w:rPr>
        <w:t>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Delivery and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differently in a prospectus supplement, the securities initially will be issued in book-entry form and represented by one or more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advised us that it is: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limited-purpose trust company organized under the New York Banking Law;</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9"/>
        <w:gridCol w:w="9926"/>
      </w:tblGrid>
      <w:tr>
        <w:trPr/>
        <w:tc>
          <w:tcPr>
            <w:tcW w:w="5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w:t>
            </w:r>
          </w:p>
        </w:tc>
        <w:tc>
          <w:tcPr>
            <w:tcW w:w="99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“banking organization” within the meaning of the New York Banking Law;</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6"/>
        <w:gridCol w:w="9697"/>
      </w:tblGrid>
      <w:tr>
        <w:trPr/>
        <w:tc>
          <w:tcPr>
            <w:tcW w:w="9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pPr>
            <w:r>
              <w:rPr/>
              <w:t>●</w:t>
            </w:r>
          </w:p>
        </w:tc>
        <w:tc>
          <w:tcPr>
            <w:tcW w:w="96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member of the Federal Reserve System;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“clearing corporation” within the meaning of the New York Uniform Commercial Code;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“clearing agency” registered pursuant to the provisions of Section 17A of the Securities Exchange Act of 1934, as amended, or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some jurisdictions may require that some purchasers of securities take physical delivery of securities in definitive form. Those laws may impair the ability to transfer or pledge beneficial interests in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beneficial owners of a particular series of securities generally will not receive certificates representing their ownership interests in those securities. However, if:</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determine, in our sole discretion, not to have such securities represented by one or more global securities;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7"/>
        <w:gridCol w:w="9965"/>
      </w:tblGrid>
      <w:tr>
        <w:trPr/>
        <w:tc>
          <w:tcPr>
            <w:tcW w:w="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Event of Default has occurred and is continuing with respect to such series of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the information in this section and elsewhere in this prospectus concerning DTC and DTC’s book-entry system from sources that are believed to be reliable, but we take no responsibility for the accuracy of this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3"/>
      <w:bookmarkEnd w:id="26"/>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Securityholders of (a) up to 16,250,000 shares of Common Stock, issuable upon exercise of warrants to purchase Common Stock at an exercise price of $8.21 per share with respect to the public warrants and $11.50 per share of Common Stock with respect to the Financing Warrants and the Private Placement Warrants, (b) up to 573,660 shares of Common Stock that may be issued upon exercise of the Trinity Warrants, and (c) the offer and sale, from time to time, by the Selling Securityholders of up to an aggregate of 52,709,824 shares of Common Stock, which includes up to:</w:t>
      </w:r>
    </w:p>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818"/>
        <w:gridCol w:w="9252"/>
      </w:tblGrid>
      <w:tr>
        <w:trPr/>
        <w:tc>
          <w:tcPr>
            <w:tcW w:w="13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2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4,312,500 Founder Shares;</w:t>
            </w:r>
          </w:p>
        </w:tc>
      </w:tr>
    </w:tbl>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614"/>
        <w:gridCol w:w="9511"/>
      </w:tblGrid>
      <w:tr>
        <w:trPr/>
        <w:tc>
          <w:tcPr>
            <w:tcW w:w="8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5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7,143,687 Business Combination PIPE Shares;</w:t>
            </w:r>
          </w:p>
        </w:tc>
      </w:tr>
    </w:tbl>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640,000 shares of Common Stock issued as partial consideration to various advisors of the Company and VTAQ for services rendered in connection with the Business Combination and the PIPE Investment (as defined herein), valued at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8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t>
            </w:r>
          </w:p>
        </w:tc>
        <w:tc>
          <w:tcPr>
            <w:tcW w:w="99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up to 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w:t>
            </w:r>
          </w:p>
        </w:tc>
        <w:tc>
          <w:tcPr>
            <w:tcW w:w="98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6,125,000 Private Placement Warrants each exercisable for one share of Common Stock at an exercise price of $11.50 per share, purchased by the Sponsors and their permitted transferees, at a price of $1.00 per warrant in a private placement simultaneously with the consummation of VTAQ’s IPO; and 1,500,000 Financing Warrants each exercisable for one share of Common Stock at an exercise price of $11.50 per share, issued to lenders party to the Credit Agreement (as defined herein);</w:t>
            </w:r>
          </w:p>
        </w:tc>
      </w:tr>
    </w:tbl>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1106"/>
        <w:gridCol w:w="8997"/>
      </w:tblGrid>
      <w:tr>
        <w:trPr/>
        <w:tc>
          <w:tcPr>
            <w:tcW w:w="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w:t>
            </w:r>
          </w:p>
        </w:tc>
        <w:tc>
          <w:tcPr>
            <w:tcW w:w="8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4,760,500 June 2023 PIPE Shares;</w:t>
            </w:r>
          </w:p>
        </w:tc>
      </w:tr>
    </w:tbl>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1048"/>
        <w:gridCol w:w="9073"/>
      </w:tblGrid>
      <w:tr>
        <w:trPr/>
        <w:tc>
          <w:tcPr>
            <w:tcW w:w="8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(viii)</w:t>
            </w:r>
          </w:p>
        </w:tc>
        <w:tc>
          <w:tcPr>
            <w:tcW w:w="9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1,500,000 October 2023 PIPE Shares; and</w:t>
            </w:r>
          </w:p>
        </w:tc>
      </w:tr>
    </w:tbl>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(ix)</w:t>
            </w:r>
          </w:p>
        </w:tc>
        <w:tc>
          <w:tcPr>
            <w:tcW w:w="98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5,925,000 shares of Common Stock issuable upon the exercise of warrants to purchase shares of our Common Stock by Metropolitan and the Metropolitan Entities (all warrants listed below are referred to herein as the “penny warrants”), which consist of:</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400,000 shares of Common Stock issuable upon the exercise of warrants to purchase shares of our Common Stock, at an exercise price of $0.01 per share, subject to adjustment (the “May 2023 Resale Warrants”), held by the Selling Securityholders;</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6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500,000 shares of Common Stock issuable upon the exercise of warrants, with an exercise price of $0.01 per share (the “June 2023 Conversion Warrants”), that were issued pursuant to that certain second amendment to credit agreement, dated as of May 22, 2023, by and among us, E La Carte, LLC, Metropolitan, and the Metropolitan Entities;</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2,000,000 shares of Common Stock issuable upon the exercise of warrants, with an exercise price of $0.01 per share (the “Second Amendment Warrants”), that were issued pursuant to that certain second amended and restated fee letter, dated as of May 22, 2023, by and among us, E La Carte, LLC and Metropolitan;</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6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and</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3,000,000 shares of Common Stock issuable upon the exercise of warrants, with an exercise price of $0.01 per share that were issued pursuant to that certain third amended and restated fee letter, dated as of October 10, 2023, by and among us, E La Carte, LLC and Metropolitan.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For purposes of this table, we have assumed that all of the earnout shares have been issued in accordance with the terms of the Business Combination Agreement and the Selling Securityholders will have sold all of the securities covered by this prospectus upon the completion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to the Company’s knowledge after review of information reasonably obtainable,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and the number of shares of Common Stock beneficially owned by the Selling Securityholders after the sale of the securities offered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shares of our Common Stock and Common Stock is based on 57,855,594 shares of our Common Stock as of September 30, 2023.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September 30, 2023. Shares subject to warrants or options that are currently exercisable or exercisable within 60 days of September 30, 2023 that vest within 60 days of September 30, 2023 are considered outstanding and beneficially owned by the person holding such warrants or options for the purpose of computing the percentage ownership of that person but are not treated as outstanding for the purpose of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noted by footnote, and subject to community property laws where applicable, based on the information provided to us, the persons and entities named in the table below have sole voting and investment power with respect to all shares shown as beneficially owned by them.</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545" w:type="dxa"/>
        <w:jc w:val="left"/>
        <w:tblInd w:w="0" w:type="dxa"/>
        <w:tblLayout w:type="fixed"/>
        <w:tblCellMar>
          <w:top w:w="0" w:type="dxa"/>
          <w:left w:w="0" w:type="dxa"/>
          <w:bottom w:w="0" w:type="dxa"/>
          <w:right w:w="0" w:type="dxa"/>
        </w:tblCellMar>
      </w:tblPr>
      <w:tblGrid>
        <w:gridCol w:w="1715"/>
        <w:gridCol w:w="60"/>
        <w:gridCol w:w="70"/>
        <w:gridCol w:w="981"/>
        <w:gridCol w:w="70"/>
        <w:gridCol w:w="70"/>
        <w:gridCol w:w="111"/>
        <w:gridCol w:w="629"/>
        <w:gridCol w:w="325"/>
        <w:gridCol w:w="70"/>
        <w:gridCol w:w="70"/>
        <w:gridCol w:w="883"/>
        <w:gridCol w:w="60"/>
        <w:gridCol w:w="60"/>
        <w:gridCol w:w="60"/>
        <w:gridCol w:w="830"/>
        <w:gridCol w:w="60"/>
        <w:gridCol w:w="60"/>
        <w:gridCol w:w="64"/>
        <w:gridCol w:w="796"/>
        <w:gridCol w:w="60"/>
        <w:gridCol w:w="60"/>
        <w:gridCol w:w="113"/>
        <w:gridCol w:w="1141"/>
        <w:gridCol w:w="113"/>
        <w:gridCol w:w="113"/>
        <w:gridCol w:w="138"/>
        <w:gridCol w:w="602"/>
        <w:gridCol w:w="113"/>
        <w:gridCol w:w="113"/>
        <w:gridCol w:w="160"/>
        <w:gridCol w:w="700"/>
        <w:gridCol w:w="75"/>
      </w:tblGrid>
      <w:tr>
        <w:trPr/>
        <w:tc>
          <w:tcPr>
            <w:tcW w:w="171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3279"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Beneficially Owned Before the Offering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Number of</w:t>
              <w:br/>
              <w:t>Shares of</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Number of</w:t>
              <w:br/>
              <w:t>Private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06"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Beneficially Owned After the Offering</w:t>
            </w:r>
          </w:p>
        </w:tc>
        <w:tc>
          <w:tcPr>
            <w:tcW w:w="75" w:type="dxa"/>
            <w:tcBorders/>
            <w:vAlign w:val="center"/>
          </w:tcPr>
          <w:p>
            <w:pPr>
              <w:pStyle w:val="TableContents"/>
              <w:bidi w:val="0"/>
              <w:spacing w:before="0" w:after="283"/>
              <w:jc w:val="center"/>
              <w:rPr/>
            </w:pPr>
            <w:r>
              <w:rPr/>
              <w:t> </w:t>
            </w:r>
          </w:p>
        </w:tc>
      </w:tr>
      <w:tr>
        <w:trPr/>
        <w:tc>
          <w:tcPr>
            <w:tcW w:w="17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Selling Securityholder</w:t>
            </w:r>
          </w:p>
        </w:tc>
        <w:tc>
          <w:tcPr>
            <w:tcW w:w="60" w:type="dxa"/>
            <w:tcBorders/>
            <w:vAlign w:val="center"/>
          </w:tcPr>
          <w:p>
            <w:pPr>
              <w:pStyle w:val="TableContents"/>
              <w:bidi w:val="0"/>
              <w:spacing w:before="0" w:after="283"/>
              <w:jc w:val="center"/>
              <w:rPr/>
            </w:pPr>
            <w:r>
              <w:rPr/>
              <w:t> </w:t>
            </w:r>
          </w:p>
        </w:tc>
        <w:tc>
          <w:tcPr>
            <w:tcW w:w="105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Shares of</w:t>
              <w:br/>
              <w:t>Common</w:t>
              <w:br/>
              <w:t>Stock</w:t>
            </w:r>
            <w:r>
              <w:rPr>
                <w:rFonts w:ascii="Times New Roman;Times;Serif" w:hAnsi="Times New Roman;Times;Serif"/>
                <w:b/>
                <w:position w:val="6"/>
                <w:sz w:val="14"/>
                <w:sz w:val="18"/>
              </w:rPr>
              <w:t>(1)</w:t>
            </w:r>
          </w:p>
        </w:tc>
        <w:tc>
          <w:tcPr>
            <w:tcW w:w="70" w:type="dxa"/>
            <w:tcBorders/>
            <w:vAlign w:val="center"/>
          </w:tcPr>
          <w:p>
            <w:pPr>
              <w:pStyle w:val="TableContents"/>
              <w:bidi w:val="0"/>
              <w:spacing w:before="0" w:after="283"/>
              <w:jc w:val="center"/>
              <w:rPr/>
            </w:pPr>
            <w:r>
              <w:rPr/>
              <w:t> </w:t>
            </w:r>
          </w:p>
        </w:tc>
        <w:tc>
          <w:tcPr>
            <w:tcW w:w="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of</w:t>
              <w:br/>
              <w:t>Common</w:t>
              <w:br/>
              <w:t>Stock</w:t>
            </w:r>
          </w:p>
        </w:tc>
        <w:tc>
          <w:tcPr>
            <w:tcW w:w="325" w:type="dxa"/>
            <w:tcBorders/>
            <w:vAlign w:val="center"/>
          </w:tcPr>
          <w:p>
            <w:pPr>
              <w:pStyle w:val="TableContents"/>
              <w:bidi w:val="0"/>
              <w:spacing w:before="0" w:after="283"/>
              <w:jc w:val="center"/>
              <w:rPr/>
            </w:pPr>
            <w:r>
              <w:rPr/>
              <w:t> </w:t>
            </w:r>
          </w:p>
        </w:tc>
        <w:tc>
          <w:tcPr>
            <w:tcW w:w="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5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Number of</w:t>
              <w:br/>
              <w:t>Private</w:t>
              <w:br/>
              <w:t>Placement</w:t>
              <w:br/>
              <w:t>Warrants</w:t>
            </w:r>
          </w:p>
        </w:tc>
        <w:tc>
          <w:tcPr>
            <w:tcW w:w="60" w:type="dxa"/>
            <w:tcBorders/>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Common</w:t>
              <w:br/>
              <w:t>Stock</w:t>
              <w:br/>
              <w:t>Being</w:t>
              <w:br/>
              <w:t>Offered</w:t>
            </w:r>
          </w:p>
        </w:tc>
        <w:tc>
          <w:tcPr>
            <w:tcW w:w="60" w:type="dxa"/>
            <w:tcBorders/>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Placement</w:t>
              <w:br/>
              <w:t>Warrants</w:t>
              <w:br/>
              <w:t>Being</w:t>
              <w:br/>
              <w:t>Offered</w:t>
            </w:r>
          </w:p>
        </w:tc>
        <w:tc>
          <w:tcPr>
            <w:tcW w:w="60" w:type="dxa"/>
            <w:tcBorders/>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Number of</w:t>
              <w:br/>
              <w:t>Shares of</w:t>
              <w:br/>
              <w:t>Common</w:t>
              <w:br/>
              <w:t>Stock</w:t>
            </w:r>
          </w:p>
        </w:tc>
        <w:tc>
          <w:tcPr>
            <w:tcW w:w="113" w:type="dxa"/>
            <w:tcBorders/>
            <w:vAlign w:val="center"/>
          </w:tcPr>
          <w:p>
            <w:pPr>
              <w:pStyle w:val="TableContents"/>
              <w:bidi w:val="0"/>
              <w:spacing w:before="0" w:after="283"/>
              <w:jc w:val="center"/>
              <w:rPr/>
            </w:pPr>
            <w:r>
              <w:rPr/>
              <w:t> </w:t>
            </w:r>
          </w:p>
        </w:tc>
        <w:tc>
          <w:tcPr>
            <w:tcW w:w="113"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of</w:t>
              <w:br/>
              <w:t>Common</w:t>
              <w:br/>
              <w:t>Stock</w:t>
            </w:r>
          </w:p>
        </w:tc>
        <w:tc>
          <w:tcPr>
            <w:tcW w:w="113" w:type="dxa"/>
            <w:tcBorders/>
            <w:vAlign w:val="center"/>
          </w:tcPr>
          <w:p>
            <w:pPr>
              <w:pStyle w:val="TableContents"/>
              <w:bidi w:val="0"/>
              <w:spacing w:before="0" w:after="283"/>
              <w:jc w:val="center"/>
              <w:rPr/>
            </w:pPr>
            <w:r>
              <w:rPr/>
              <w:t> </w:t>
            </w:r>
          </w:p>
        </w:tc>
        <w:tc>
          <w:tcPr>
            <w:tcW w:w="113"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Number of</w:t>
              <w:br/>
              <w:t>Private</w:t>
              <w:br/>
              <w:t>Placement</w:t>
              <w:br/>
              <w:t>Warrants</w:t>
            </w:r>
          </w:p>
        </w:tc>
        <w:tc>
          <w:tcPr>
            <w:tcW w:w="75" w:type="dxa"/>
            <w:tcBorders/>
            <w:vAlign w:val="center"/>
          </w:tcPr>
          <w:p>
            <w:pPr>
              <w:pStyle w:val="TableContents"/>
              <w:bidi w:val="0"/>
              <w:spacing w:before="0" w:after="283"/>
              <w:ind w:left="0" w:right="0" w:hanging="180"/>
              <w:jc w:val="center"/>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80Five LLC</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Acadia Woods Partners,</w:t>
              <w:br/>
              <w:t>LLC</w:t>
            </w:r>
            <w:r>
              <w:rPr>
                <w:rFonts w:ascii="Times New Roman;Times;Serif" w:hAnsi="Times New Roman;Times;Serif"/>
                <w:position w:val="6"/>
                <w:sz w:val="14"/>
                <w:sz w:val="18"/>
              </w:rPr>
              <w:t>(4)</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31,250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Adam Eskin</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44,866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Adam Feil</w:t>
            </w:r>
            <w:r>
              <w:rPr>
                <w:rFonts w:ascii="Times New Roman;Times;Serif" w:hAnsi="Times New Roman;Times;Serif"/>
                <w:position w:val="6"/>
                <w:sz w:val="14"/>
                <w:sz w:val="18"/>
              </w:rPr>
              <w:t>(3)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6,250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Al Marjan Limited</w:t>
            </w:r>
            <w:r>
              <w:rPr>
                <w:rFonts w:ascii="Times New Roman;Times;Serif" w:hAnsi="Times New Roman;Times;Serif"/>
                <w:position w:val="6"/>
                <w:sz w:val="14"/>
                <w:sz w:val="18"/>
              </w:rPr>
              <w:t>(30)</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Alexander Nevinskiy</w:t>
            </w:r>
            <w:r>
              <w:rPr>
                <w:rFonts w:ascii="Times New Roman;Times;Serif" w:hAnsi="Times New Roman;Times;Serif"/>
                <w:position w:val="6"/>
                <w:sz w:val="14"/>
                <w:sz w:val="18"/>
              </w:rPr>
              <w:t>(30)(32)</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Aloha Partners, LLC</w:t>
            </w:r>
            <w:r>
              <w:rPr>
                <w:rFonts w:ascii="Times New Roman;Times;Serif" w:hAnsi="Times New Roman;Times;Serif"/>
                <w:position w:val="6"/>
                <w:sz w:val="14"/>
                <w:sz w:val="18"/>
              </w:rPr>
              <w:t>(5)</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12,500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Amir Ali Mithani</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Amy Doshi &amp; Sarin Swami</w:t>
            </w:r>
            <w:r>
              <w:rPr>
                <w:rFonts w:ascii="Times New Roman;Times;Serif" w:hAnsi="Times New Roman;Times;Serif"/>
                <w:position w:val="6"/>
                <w:sz w:val="14"/>
                <w:sz w:val="18"/>
              </w:rPr>
              <w:t>(30)</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Arbat Capital Group Ltd</w:t>
            </w:r>
            <w:r>
              <w:rPr>
                <w:rFonts w:ascii="Times New Roman;Times;Serif" w:hAnsi="Times New Roman;Times;Serif"/>
                <w:position w:val="6"/>
                <w:sz w:val="14"/>
                <w:sz w:val="18"/>
              </w:rPr>
              <w:t>.(29)(30)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201,100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101,100</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Art Spigel</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Biren Gosalia</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10,500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Blind 1212, LLC</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447,274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288,616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447,274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288,616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Brock Strasbourger</w:t>
            </w:r>
            <w:r>
              <w:rPr>
                <w:rFonts w:ascii="Times New Roman;Times;Serif" w:hAnsi="Times New Roman;Times;Serif"/>
                <w:position w:val="6"/>
                <w:sz w:val="14"/>
                <w:sz w:val="18"/>
              </w:rPr>
              <w:t>(3)(34)</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390,905</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269,850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390,905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269,850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Cabbaj Capital Ltd.</w:t>
            </w:r>
            <w:r>
              <w:rPr>
                <w:rFonts w:ascii="Times New Roman;Times;Serif" w:hAnsi="Times New Roman;Times;Serif"/>
                <w:position w:val="6"/>
                <w:sz w:val="14"/>
                <w:sz w:val="18"/>
              </w:rPr>
              <w:t>(7)</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Cartoris Limited</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252,687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167,687</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CEOF Holdings LP</w:t>
            </w:r>
            <w:r>
              <w:rPr>
                <w:rFonts w:ascii="Times New Roman;Times;Serif" w:hAnsi="Times New Roman;Times;Serif"/>
                <w:position w:val="6"/>
                <w:sz w:val="14"/>
                <w:sz w:val="18"/>
              </w:rPr>
              <w:t>(21)</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1,021,457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190,909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1,021,457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190,909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Chardan Capital Markets</w:t>
              <w:br/>
              <w:t>LLC</w:t>
            </w:r>
            <w:r>
              <w:rPr>
                <w:rFonts w:ascii="Times New Roman;Times;Serif" w:hAnsi="Times New Roman;Times;Serif"/>
                <w:position w:val="6"/>
                <w:sz w:val="14"/>
                <w:sz w:val="18"/>
              </w:rPr>
              <w:t>(23)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Chardan International Investments, LLC</w:t>
            </w:r>
            <w:r>
              <w:rPr>
                <w:rFonts w:ascii="Times New Roman;Times;Serif" w:hAnsi="Times New Roman;Times;Serif"/>
                <w:position w:val="6"/>
                <w:sz w:val="14"/>
                <w:sz w:val="18"/>
              </w:rPr>
              <w:t>(23)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2,983,171</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w:t>
            </w:r>
          </w:p>
        </w:tc>
        <w:tc>
          <w:tcPr>
            <w:tcW w:w="32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2,983,171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Chris Ahrens</w:t>
            </w:r>
            <w:r>
              <w:rPr>
                <w:rFonts w:ascii="Times New Roman;Times;Serif" w:hAnsi="Times New Roman;Times;Serif"/>
                <w:position w:val="6"/>
                <w:sz w:val="14"/>
                <w:sz w:val="18"/>
              </w:rPr>
              <w:t>(3)(38)</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61,116</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Cindat USA LLC</w:t>
            </w:r>
            <w:r>
              <w:rPr>
                <w:rFonts w:ascii="Times New Roman;Times;Serif" w:hAnsi="Times New Roman;Times;Serif"/>
                <w:position w:val="6"/>
                <w:sz w:val="14"/>
                <w:sz w:val="18"/>
              </w:rPr>
              <w:t>(17)</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1,374,148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w:t>
            </w:r>
          </w:p>
        </w:tc>
        <w:tc>
          <w:tcPr>
            <w:tcW w:w="32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918,387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1,374,148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918,387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Cleveland Avenue LLC</w:t>
            </w:r>
            <w:r>
              <w:rPr>
                <w:rFonts w:ascii="Times New Roman;Times;Serif" w:hAnsi="Times New Roman;Times;Serif"/>
                <w:position w:val="6"/>
                <w:sz w:val="14"/>
                <w:sz w:val="18"/>
              </w:rPr>
              <w:t>(33)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17.3</w:t>
            </w:r>
          </w:p>
        </w:tc>
        <w:tc>
          <w:tcPr>
            <w:tcW w:w="32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Cliff Moskowitz</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44,866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Connective Capital Emerging Energy QP, LP</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68,137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68,137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Connective Capital I QP, LP</w:t>
            </w:r>
            <w:r>
              <w:rPr>
                <w:rFonts w:ascii="Times New Roman;Times;Serif" w:hAnsi="Times New Roman;Times;Serif"/>
                <w:position w:val="6"/>
                <w:sz w:val="14"/>
                <w:sz w:val="18"/>
              </w:rPr>
              <w:t>(30)</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31,863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Cosme Fagundo</w:t>
            </w:r>
            <w:r>
              <w:rPr>
                <w:rFonts w:ascii="Times New Roman;Times;Serif" w:hAnsi="Times New Roman;Times;Serif"/>
                <w:position w:val="6"/>
                <w:sz w:val="14"/>
                <w:sz w:val="18"/>
              </w:rPr>
              <w:t>(2)</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Dan Bordessa</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David Allan DeHorn</w:t>
            </w:r>
            <w:r>
              <w:rPr>
                <w:rFonts w:ascii="Times New Roman;Times;Serif" w:hAnsi="Times New Roman;Times;Serif"/>
                <w:position w:val="6"/>
                <w:sz w:val="14"/>
                <w:sz w:val="18"/>
              </w:rPr>
              <w:t>(3)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Dentons US LLP</w:t>
            </w:r>
            <w:r>
              <w:rPr>
                <w:rFonts w:ascii="Times New Roman;Times;Serif" w:hAnsi="Times New Roman;Times;Serif"/>
                <w:position w:val="6"/>
                <w:sz w:val="14"/>
                <w:sz w:val="18"/>
              </w:rPr>
              <w:t>(13)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Dhari Albader</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247,500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147,500</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Dipan Desai</w:t>
            </w:r>
            <w:r>
              <w:rPr>
                <w:rFonts w:ascii="Times New Roman;Times;Serif" w:hAnsi="Times New Roman;Times;Serif"/>
                <w:position w:val="6"/>
                <w:sz w:val="14"/>
                <w:sz w:val="18"/>
              </w:rPr>
              <w:t>(30)</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Ed Scheetz</w:t>
            </w:r>
            <w:r>
              <w:rPr>
                <w:rFonts w:ascii="Times New Roman;Times;Serif" w:hAnsi="Times New Roman;Times;Serif"/>
                <w:position w:val="6"/>
                <w:sz w:val="14"/>
                <w:sz w:val="18"/>
              </w:rPr>
              <w:t>(3)(11)</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1,321,389</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w:t>
            </w:r>
          </w:p>
        </w:tc>
        <w:tc>
          <w:tcPr>
            <w:tcW w:w="32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705,762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1,032,464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705,762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EJK Investments LLC</w:t>
            </w:r>
            <w:r>
              <w:rPr>
                <w:rFonts w:ascii="Times New Roman;Times;Serif" w:hAnsi="Times New Roman;Times;Serif"/>
                <w:position w:val="6"/>
                <w:sz w:val="14"/>
                <w:sz w:val="18"/>
              </w:rPr>
              <w:t>(30)</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Georgia Sgardeli</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Greg Flynn</w:t>
            </w:r>
            <w:r>
              <w:rPr>
                <w:rFonts w:ascii="Times New Roman;Times;Serif" w:hAnsi="Times New Roman;Times;Serif"/>
                <w:position w:val="6"/>
                <w:sz w:val="14"/>
                <w:sz w:val="18"/>
              </w:rPr>
              <w:t>(18)</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HighSage Ventures LLC</w:t>
            </w:r>
            <w:r>
              <w:rPr>
                <w:rFonts w:ascii="Times New Roman;Times;Serif" w:hAnsi="Times New Roman;Times;Serif"/>
                <w:position w:val="6"/>
                <w:sz w:val="14"/>
                <w:sz w:val="18"/>
              </w:rPr>
              <w:t>(19)</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I2BF Global Investments</w:t>
              <w:br/>
              <w:t>Ltd.</w:t>
            </w:r>
            <w:r>
              <w:rPr>
                <w:rFonts w:ascii="Times New Roman;Times;Serif" w:hAnsi="Times New Roman;Times;Serif"/>
                <w:position w:val="6"/>
                <w:sz w:val="14"/>
                <w:sz w:val="18"/>
              </w:rPr>
              <w:t>(6)</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5,682,225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9.8</w:t>
            </w:r>
          </w:p>
        </w:tc>
        <w:tc>
          <w:tcPr>
            <w:tcW w:w="32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5,682,225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Jameson Weber</w:t>
            </w:r>
            <w:r>
              <w:rPr>
                <w:rFonts w:ascii="Times New Roman;Times;Serif" w:hAnsi="Times New Roman;Times;Serif"/>
                <w:position w:val="6"/>
                <w:sz w:val="14"/>
                <w:sz w:val="18"/>
              </w:rPr>
              <w:t>(3)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Jasminder Singh</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115,848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78,714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115,848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78,714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jc w:val="left"/>
        <w:rPr/>
      </w:pPr>
      <w:r>
        <w:rPr>
          <w:caps w:val="false"/>
          <w:smallCaps w:val="false"/>
        </w:rPr>
        <w:t> </w:t>
      </w:r>
      <w:r>
        <w:rPr/>
        <w:t xml:space="preserve"> </w:t>
      </w:r>
    </w:p>
    <w:tbl>
      <w:tblPr>
        <w:tblW w:w="10659" w:type="dxa"/>
        <w:jc w:val="left"/>
        <w:tblInd w:w="0" w:type="dxa"/>
        <w:tblLayout w:type="fixed"/>
        <w:tblCellMar>
          <w:top w:w="0" w:type="dxa"/>
          <w:left w:w="0" w:type="dxa"/>
          <w:bottom w:w="0" w:type="dxa"/>
          <w:right w:w="0" w:type="dxa"/>
        </w:tblCellMar>
      </w:tblPr>
      <w:tblGrid>
        <w:gridCol w:w="1715"/>
        <w:gridCol w:w="60"/>
        <w:gridCol w:w="78"/>
        <w:gridCol w:w="1084"/>
        <w:gridCol w:w="78"/>
        <w:gridCol w:w="78"/>
        <w:gridCol w:w="112"/>
        <w:gridCol w:w="628"/>
        <w:gridCol w:w="222"/>
        <w:gridCol w:w="78"/>
        <w:gridCol w:w="78"/>
        <w:gridCol w:w="794"/>
        <w:gridCol w:w="60"/>
        <w:gridCol w:w="60"/>
        <w:gridCol w:w="60"/>
        <w:gridCol w:w="830"/>
        <w:gridCol w:w="60"/>
        <w:gridCol w:w="60"/>
        <w:gridCol w:w="77"/>
        <w:gridCol w:w="783"/>
        <w:gridCol w:w="60"/>
        <w:gridCol w:w="60"/>
        <w:gridCol w:w="97"/>
        <w:gridCol w:w="1205"/>
        <w:gridCol w:w="97"/>
        <w:gridCol w:w="97"/>
        <w:gridCol w:w="138"/>
        <w:gridCol w:w="602"/>
        <w:gridCol w:w="276"/>
        <w:gridCol w:w="97"/>
        <w:gridCol w:w="158"/>
        <w:gridCol w:w="702"/>
        <w:gridCol w:w="75"/>
      </w:tblGrid>
      <w:tr>
        <w:trPr/>
        <w:tc>
          <w:tcPr>
            <w:tcW w:w="17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3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Beneficially Owned Before the Offering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Number of</w:t>
              <w:br/>
              <w:t>Shares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Number of</w:t>
              <w:br/>
              <w:t>Private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469"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Beneficially Owned After the Offering</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7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Selling Securityholder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 of</w:t>
              <w:br/>
              <w:t>Common</w:t>
              <w:br/>
              <w:t>Stock</w:t>
            </w:r>
            <w:r>
              <w:rPr>
                <w:rFonts w:ascii="Times New Roman;Times;Serif" w:hAnsi="Times New Roman;Times;Serif"/>
                <w:b/>
                <w:i w:val="false"/>
                <w:caps w:val="false"/>
                <w:smallCaps w:val="false"/>
                <w:position w:val="6"/>
                <w:sz w:val="14"/>
                <w:sz w:val="18"/>
              </w:rPr>
              <w:t>(1)</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of</w:t>
              <w:br/>
              <w:t>Common</w:t>
              <w:br/>
              <w:t>Stock</w:t>
            </w:r>
          </w:p>
        </w:tc>
        <w:tc>
          <w:tcPr>
            <w:tcW w:w="222"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Number of</w:t>
              <w:br/>
              <w:t>Private</w:t>
              <w:br/>
              <w:t>Placement</w:t>
              <w:br/>
              <w:t>Warrants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w:t>
              <w:br/>
              <w:t>Stock</w:t>
              <w:br/>
              <w:t>Being</w:t>
              <w:br/>
              <w:t>Offered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Placement</w:t>
              <w:br/>
              <w:t>Warrants</w:t>
              <w:br/>
              <w:t>Being</w:t>
              <w:br/>
              <w:t>Offered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Number of</w:t>
              <w:br/>
              <w:t>Shares of</w:t>
              <w:br/>
              <w:t>Common</w:t>
              <w:br/>
              <w:t>Stock</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of</w:t>
              <w:br/>
              <w:t>Common</w:t>
              <w:br/>
              <w:t>Stock</w:t>
            </w:r>
          </w:p>
        </w:tc>
        <w:tc>
          <w:tcPr>
            <w:tcW w:w="276" w:type="dxa"/>
            <w:tcBorders/>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Number of</w:t>
              <w:br/>
              <w:t>Private</w:t>
              <w:br/>
              <w:t>Placement</w:t>
              <w:br/>
              <w:t>Warrants</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Jay Lidell</w:t>
            </w:r>
            <w:r>
              <w:rPr>
                <w:rFonts w:ascii="Times New Roman;Times;Serif" w:hAnsi="Times New Roman;Times;Serif"/>
                <w:b w:val="false"/>
                <w:i w:val="false"/>
                <w:caps w:val="false"/>
                <w:smallCaps w:val="false"/>
                <w:position w:val="6"/>
                <w:sz w:val="14"/>
                <w:sz w:val="18"/>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6,250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Jeff Jones</w:t>
            </w:r>
            <w:r>
              <w:rPr>
                <w:rFonts w:ascii="Times New Roman;Times;Serif" w:hAnsi="Times New Roman;Times;Serif"/>
                <w:b w:val="false"/>
                <w:i w:val="false"/>
                <w:caps w:val="false"/>
                <w:smallCaps w:val="false"/>
                <w:position w:val="6"/>
                <w:sz w:val="14"/>
                <w:sz w:val="18"/>
              </w:rPr>
              <w:t>(20)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Jefferies LLC</w:t>
            </w:r>
            <w:r>
              <w:rPr>
                <w:rFonts w:ascii="Times New Roman;Times;Serif" w:hAnsi="Times New Roman;Times;Serif"/>
                <w:b w:val="false"/>
                <w:i w:val="false"/>
                <w:caps w:val="false"/>
                <w:smallCaps w:val="false"/>
                <w:position w:val="6"/>
                <w:sz w:val="14"/>
                <w:sz w:val="18"/>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Julie Atkinson</w:t>
            </w:r>
            <w:r>
              <w:rPr>
                <w:rFonts w:ascii="Times New Roman;Times;Serif" w:hAnsi="Times New Roman;Times;Serif"/>
                <w:b w:val="false"/>
                <w:i w:val="false"/>
                <w:caps w:val="false"/>
                <w:smallCaps w:val="false"/>
                <w:position w:val="6"/>
                <w:sz w:val="14"/>
                <w:sz w:val="18"/>
              </w:rPr>
              <w:t>(3)(35)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37,946</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37,946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Kali Invest LLC</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Kepos Alpha Master </w:t>
              <w:br/>
              <w:t>Fund L.P.</w:t>
            </w:r>
            <w:r>
              <w:rPr>
                <w:rFonts w:ascii="Times New Roman;Times;Serif" w:hAnsi="Times New Roman;Times;Serif"/>
                <w:b w:val="false"/>
                <w:i w:val="false"/>
                <w:caps w:val="false"/>
                <w:smallCaps w:val="false"/>
                <w:position w:val="6"/>
                <w:sz w:val="14"/>
                <w:sz w:val="18"/>
              </w:rPr>
              <w:t>(30)(31)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Kim Lopdrup</w:t>
            </w:r>
            <w:r>
              <w:rPr>
                <w:rFonts w:ascii="Times New Roman;Times;Serif" w:hAnsi="Times New Roman;Times;Serif"/>
                <w:b w:val="false"/>
                <w:i w:val="false"/>
                <w:caps w:val="false"/>
                <w:smallCaps w:val="false"/>
                <w:position w:val="6"/>
                <w:sz w:val="14"/>
                <w:sz w:val="18"/>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Lago Innovation</w:t>
            </w:r>
            <w:r>
              <w:rPr>
                <w:rFonts w:ascii="Times New Roman;Times;Serif" w:hAnsi="Times New Roman;Times;Serif"/>
                <w:b w:val="false"/>
                <w:i w:val="false"/>
                <w:caps w:val="false"/>
                <w:smallCaps w:val="false"/>
                <w:position w:val="6"/>
                <w:sz w:val="14"/>
                <w:sz w:val="18"/>
              </w:rPr>
              <w:t>(25)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156,233</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156,233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Matt Armstrong</w:t>
            </w:r>
            <w:r>
              <w:rPr>
                <w:rFonts w:ascii="Times New Roman;Times;Serif" w:hAnsi="Times New Roman;Times;Serif"/>
                <w:b w:val="false"/>
                <w:i w:val="false"/>
                <w:caps w:val="false"/>
                <w:smallCaps w:val="false"/>
                <w:position w:val="6"/>
                <w:sz w:val="14"/>
                <w:sz w:val="18"/>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77,232</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52,476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77,232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52,476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Matt MacDonald</w:t>
            </w:r>
            <w:r>
              <w:rPr>
                <w:rFonts w:ascii="Times New Roman;Times;Serif" w:hAnsi="Times New Roman;Times;Serif"/>
                <w:b w:val="false"/>
                <w:i w:val="false"/>
                <w:caps w:val="false"/>
                <w:smallCaps w:val="false"/>
                <w:position w:val="6"/>
                <w:sz w:val="14"/>
                <w:sz w:val="18"/>
              </w:rPr>
              <w:t>(3)(11)(36)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1,036,253</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747,328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Metropolitan Partners</w:t>
              <w:br/>
              <w:t>Group</w:t>
            </w:r>
            <w:r>
              <w:rPr>
                <w:rFonts w:ascii="Times New Roman;Times;Serif" w:hAnsi="Times New Roman;Times;Serif"/>
                <w:b w:val="false"/>
                <w:i w:val="false"/>
                <w:caps w:val="false"/>
                <w:smallCaps w:val="false"/>
                <w:position w:val="6"/>
                <w:sz w:val="14"/>
                <w:sz w:val="18"/>
              </w:rPr>
              <w:t>(22)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7,003,544</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12.1</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7,003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Monil Gandhi Personal Revocable Trust</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Nadir Noorani</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Nexxus Capital Management Pte. Ltd.</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42,029</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39,529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Paresh Doshi</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Paul Liberman</w:t>
            </w:r>
            <w:r>
              <w:rPr>
                <w:rFonts w:ascii="Times New Roman;Times;Serif" w:hAnsi="Times New Roman;Times;Serif"/>
                <w:b w:val="false"/>
                <w:i w:val="false"/>
                <w:caps w:val="false"/>
                <w:smallCaps w:val="false"/>
                <w:position w:val="6"/>
                <w:sz w:val="14"/>
                <w:sz w:val="18"/>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38,616</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26,238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38,616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26,238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Prasad Phatak</w:t>
            </w:r>
            <w:r>
              <w:rPr>
                <w:rFonts w:ascii="Times New Roman;Times;Serif" w:hAnsi="Times New Roman;Times;Serif"/>
                <w:b w:val="false"/>
                <w:i w:val="false"/>
                <w:caps w:val="false"/>
                <w:smallCaps w:val="false"/>
                <w:position w:val="6"/>
                <w:sz w:val="14"/>
                <w:sz w:val="18"/>
              </w:rPr>
              <w:t>(3)(37)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604,758</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415,154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604,758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415,154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Rajat Suri</w:t>
            </w:r>
            <w:r>
              <w:rPr>
                <w:rFonts w:ascii="Times New Roman;Times;Serif" w:hAnsi="Times New Roman;Times;Serif"/>
                <w:b w:val="false"/>
                <w:i w:val="false"/>
                <w:caps w:val="false"/>
                <w:smallCaps w:val="false"/>
                <w:position w:val="6"/>
                <w:sz w:val="14"/>
                <w:sz w:val="18"/>
              </w:rPr>
              <w:t>(2)(15)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8,623,814</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14.9</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4,386,655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Richard Hoon Thye Woei</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28,926</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8,926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Robert Martin</w:t>
            </w:r>
            <w:r>
              <w:rPr>
                <w:rFonts w:ascii="Times New Roman;Times;Serif" w:hAnsi="Times New Roman;Times;Serif"/>
                <w:b w:val="false"/>
                <w:i w:val="false"/>
                <w:caps w:val="false"/>
                <w:smallCaps w:val="false"/>
                <w:position w:val="6"/>
                <w:sz w:val="14"/>
                <w:sz w:val="18"/>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77,232</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52,476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77,232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52,476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Romulus Capital</w:t>
            </w:r>
            <w:r>
              <w:rPr>
                <w:rFonts w:ascii="Times New Roman;Times;Serif" w:hAnsi="Times New Roman;Times;Serif"/>
                <w:b w:val="false"/>
                <w:i w:val="false"/>
                <w:caps w:val="false"/>
                <w:smallCaps w:val="false"/>
                <w:position w:val="6"/>
                <w:sz w:val="14"/>
                <w:sz w:val="18"/>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18,111,939</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31.3</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18,111,939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Sasha Hoffman</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Schechter Private Capital I, LLC – Series V</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1,932,773</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1,432,773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w:t>
            </w:r>
          </w:p>
        </w:tc>
        <w:tc>
          <w:tcPr>
            <w:tcW w:w="2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Shamsuddin Charania</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262,069</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174,569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Sheel Tyle</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Shehzaan Chunara</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87,500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Silver Rock Capital</w:t>
              <w:br/>
              <w:t>Partners</w:t>
            </w:r>
            <w:r>
              <w:rPr>
                <w:rFonts w:ascii="Times New Roman;Times;Serif" w:hAnsi="Times New Roman;Times;Serif"/>
                <w:b w:val="false"/>
                <w:i w:val="false"/>
                <w:caps w:val="false"/>
                <w:smallCaps w:val="false"/>
                <w:position w:val="6"/>
                <w:sz w:val="14"/>
                <w:sz w:val="18"/>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Tan Chin Nam</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13,926</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8,926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Rebecca P. Samberg 2018 revocable Trust</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409,640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284,640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Thomas P Botts</w:t>
            </w:r>
            <w:r>
              <w:rPr>
                <w:rFonts w:ascii="Times New Roman;Times;Serif" w:hAnsi="Times New Roman;Times;Serif"/>
                <w:b w:val="false"/>
                <w:i w:val="false"/>
                <w:caps w:val="false"/>
                <w:smallCaps w:val="false"/>
                <w:position w:val="6"/>
                <w:sz w:val="14"/>
                <w:sz w:val="18"/>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115,848</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78,714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115,848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78,714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715" w:type="dxa"/>
            <w:tcBorders/>
            <w:shd w:fill="CCEEFF" w:val="clear"/>
            <w:vAlign w:val="center"/>
          </w:tcPr>
          <w:p>
            <w:pPr>
              <w:pStyle w:val="TableContents"/>
              <w:pBdr/>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Trinity Capital Fund II, L.P., LLC</w:t>
            </w:r>
            <w:r>
              <w:rPr>
                <w:rFonts w:ascii="Times New Roman;Times;Serif" w:hAnsi="Times New Roman;Times;Serif"/>
                <w:b w:val="false"/>
                <w:i w:val="false"/>
                <w:caps w:val="false"/>
                <w:smallCaps w:val="false"/>
                <w:position w:val="6"/>
                <w:sz w:val="14"/>
                <w:sz w:val="18"/>
              </w:rPr>
              <w:t>(39)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573,660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288,925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Ventoux Acquisition</w:t>
              <w:br/>
              <w:t>Holdings LLC</w:t>
            </w:r>
            <w:r>
              <w:rPr>
                <w:rFonts w:ascii="Times New Roman;Times;Serif" w:hAnsi="Times New Roman;Times;Serif"/>
                <w:b w:val="false"/>
                <w:i w:val="false"/>
                <w:caps w:val="false"/>
                <w:smallCaps w:val="false"/>
                <w:position w:val="6"/>
                <w:sz w:val="14"/>
                <w:sz w:val="18"/>
              </w:rPr>
              <w:t>(3)(16)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288,925</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288,925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White &amp; Case LLP</w:t>
            </w:r>
            <w:r>
              <w:rPr>
                <w:rFonts w:ascii="Times New Roman;Times;Serif" w:hAnsi="Times New Roman;Times;Serif"/>
                <w:b w:val="false"/>
                <w:i w:val="false"/>
                <w:caps w:val="false"/>
                <w:smallCaps w:val="false"/>
                <w:position w:val="6"/>
                <w:sz w:val="14"/>
                <w:sz w:val="18"/>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William (Bill) Healey</w:t>
            </w:r>
            <w:r>
              <w:rPr>
                <w:rFonts w:ascii="Times New Roman;Times;Serif" w:hAnsi="Times New Roman;Times;Serif"/>
                <w:b w:val="false"/>
                <w:i w:val="false"/>
                <w:caps w:val="false"/>
                <w:smallCaps w:val="false"/>
                <w:position w:val="6"/>
                <w:sz w:val="14"/>
                <w:sz w:val="18"/>
              </w:rPr>
              <w:t>(2)(26)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307,318</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307,318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William Souillard-Mandar</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375,000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Wilton Trustees (IOM) Limited ATO Dalmia Trust</w:t>
            </w:r>
            <w:r>
              <w:rPr>
                <w:rFonts w:ascii="Times New Roman;Times;Serif" w:hAnsi="Times New Roman;Times;Serif"/>
                <w:b w:val="false"/>
                <w:i w:val="false"/>
                <w:caps w:val="false"/>
                <w:smallCaps w:val="false"/>
                <w:position w:val="6"/>
                <w:sz w:val="14"/>
                <w:sz w:val="18"/>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Woolery &amp; Co PLLC</w:t>
            </w:r>
            <w:r>
              <w:rPr>
                <w:rFonts w:ascii="Times New Roman;Times;Serif" w:hAnsi="Times New Roman;Times;Serif"/>
                <w:b w:val="false"/>
                <w:i w:val="false"/>
                <w:caps w:val="false"/>
                <w:smallCaps w:val="false"/>
                <w:position w:val="6"/>
                <w:sz w:val="14"/>
                <w:sz w:val="18"/>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tbl>
      <w:tblPr>
        <w:tblW w:w="4638" w:type="dxa"/>
        <w:jc w:val="left"/>
        <w:tblInd w:w="0" w:type="dxa"/>
        <w:tblLayout w:type="fixed"/>
        <w:tblCellMar>
          <w:top w:w="0" w:type="dxa"/>
          <w:left w:w="0" w:type="dxa"/>
          <w:bottom w:w="0" w:type="dxa"/>
          <w:right w:w="0" w:type="dxa"/>
        </w:tblCellMar>
      </w:tblPr>
      <w:tblGrid>
        <w:gridCol w:w="38"/>
        <w:gridCol w:w="14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Indicates beneficial ownership of less than 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such number of shares of Presto Common Stock underlying the Private Placement Warrants, Financing Warrants, Trinity Warrants and penny warrants registered hereby as such warrants are currently exercisable.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0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Unless otherwise noted, the business address of these securityholders is c/o Presto Automation Inc., 985 Industrial Road, San Carlos, CA 94070.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each of these securityholders is c/o Ventoux Acquisition Holdings LLC, 1 East Putnam Avenue, Floor 4, Greenwich, CT 06830.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89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Acadia Woods Partners, LLC is c/o Hawkes Financial LLC, 77 Bedford Road, Katonah, NY 10536.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8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Aloha Partners, LLC is c/o Hawkes Financial LLC 77 Bedford Road, Omaha, NE 68127.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a director of the Company and is the sole director of I2BF and possesses both voting and dispositive power over the shares. The business address of I2BF is C/O HSM Corporate Services Ltd. 68 Fort Street, PO Box 31726, Grand Cayman KY 1-1297, Cayman Islands.</w:t>
            </w:r>
          </w:p>
        </w:tc>
      </w:tr>
    </w:tbl>
    <w:p>
      <w:pPr>
        <w:pStyle w:val="TextBody"/>
        <w:bidi w:val="0"/>
        <w:spacing w:before="0" w:after="283"/>
        <w:jc w:val="left"/>
        <w:rPr/>
      </w:pPr>
      <w:r>
        <w:rPr/>
        <w:t> </w:t>
      </w:r>
    </w:p>
    <w:tbl>
      <w:tblPr>
        <w:tblW w:w="9663" w:type="dxa"/>
        <w:jc w:val="left"/>
        <w:tblInd w:w="0" w:type="dxa"/>
        <w:tblLayout w:type="fixed"/>
        <w:tblCellMar>
          <w:top w:w="0" w:type="dxa"/>
          <w:left w:w="0" w:type="dxa"/>
          <w:bottom w:w="0" w:type="dxa"/>
          <w:right w:w="0" w:type="dxa"/>
        </w:tblCellMar>
      </w:tblPr>
      <w:tblGrid>
        <w:gridCol w:w="38"/>
        <w:gridCol w:w="29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3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Cabbaj Capital Ltd. is Georgiou Katsounotou, 6, 3026, Limassol, Cyprus.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994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279,680 shares of Presto Common Stock held of record by KKG Enterprises LLC, for which Krishna K. Gupta, the chairman of our Board of Directors,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(vii) 1,200,000 shares of Common Stock underlying outstanding restricted stock units that Legacy Presto granted to Mr. Gupta for services rendered prior to and in connection with the Business Combination, which were subsequently transferred from Mr. Gupta to KKG Enterprises LLC pursuant to that certain Restricted Stock Unit Transfer Agreement, by and among the Company, Mr. Gupta, and KKG Enterprises LLC, dated as of September 29, 2022 and (viii) 3,761,549 Earnout Shares that may be issued to such entities from time to time upon achievement of certain stock price thresholds in accordance with the terms of the Merger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53"/>
        <w:gridCol w:w="9814"/>
      </w:tblGrid>
      <w:tr>
        <w:trPr/>
        <w:tc>
          <w:tcPr>
            <w:tcW w:w="3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981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61"/>
        <w:gridCol w:w="9806"/>
      </w:tblGrid>
      <w:tr>
        <w:trPr/>
        <w:tc>
          <w:tcPr>
            <w:tcW w:w="3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98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shares owned by Ventoux Acquisition Holdings LLC, for which Edward Scheetz and Matt MacDonald are the managing members and have voting and/or dispositive powers with respect to such shares. Edward Sheetz currently serves as a director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70"/>
        <w:gridCol w:w="9797"/>
      </w:tblGrid>
      <w:tr>
        <w:trPr/>
        <w:tc>
          <w:tcPr>
            <w:tcW w:w="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97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White &amp; Case LLP is 1221 Avenue of the Americas New York, NY 10020. White &amp; Case LLP served as counsel to Legacy Presto in connection with the Business Combination.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71"/>
        <w:gridCol w:w="9796"/>
      </w:tblGrid>
      <w:tr>
        <w:trPr/>
        <w:tc>
          <w:tcPr>
            <w:tcW w:w="3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97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Dentons US LLP is 233 South Wacker Drive, Suite 5900, Chicago, IL 60606. Dentons US LLP served as co-counsel to VTAQ in connection with the Business Combination.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70"/>
        <w:gridCol w:w="9797"/>
      </w:tblGrid>
      <w:tr>
        <w:trPr/>
        <w:tc>
          <w:tcPr>
            <w:tcW w:w="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97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Woolery &amp; Co. PLLC is 1 Pier 76, 408 12</w:t>
            </w:r>
            <w:r>
              <w:rPr>
                <w:rFonts w:ascii="Times New Roman;Times;Serif" w:hAnsi="Times New Roman;Times;Serif"/>
                <w:position w:val="8"/>
                <w:sz w:val="19"/>
              </w:rPr>
              <w:t>th</w:t>
            </w:r>
            <w:r>
              <w:rPr>
                <w:rFonts w:ascii="Times New Roman;Times;Serif" w:hAnsi="Times New Roman;Times;Serif"/>
              </w:rPr>
              <w:t> Ave New York, NY 10018. Woolery &amp; Co. PLLC served as co-counsel to VTAQ in connection with the Business Combination.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w:t>
            </w:r>
          </w:p>
        </w:tc>
        <w:tc>
          <w:tcPr>
            <w:tcW w:w="982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Beneficial ownership consists of (i) 2,234,703 shares of Presto Common Stock currently owned by Rajat Suri, our former Chief Executive Officer and former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63"/>
        <w:gridCol w:w="9804"/>
      </w:tblGrid>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98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288,925 shares of Presto Common Stock that are subject to vesting based upon achievement of certain stock price thresholds in accordance with the terms of the Merger Agreement. VTAQ was the corporate predecessor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92"/>
        <w:gridCol w:w="9775"/>
      </w:tblGrid>
      <w:tr>
        <w:trPr/>
        <w:tc>
          <w:tcPr>
            <w:tcW w:w="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w:t>
            </w:r>
          </w:p>
        </w:tc>
        <w:tc>
          <w:tcPr>
            <w:tcW w:w="97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Cindat USA LLC is Beijing Yintai Center, Tower C, Suite 5101, 2 Jianwai Avenue, Beijing 100022, PRC.</w:t>
            </w:r>
          </w:p>
        </w:tc>
      </w:tr>
    </w:tbl>
    <w:p>
      <w:pPr>
        <w:pStyle w:val="TextBody"/>
        <w:bidi w:val="0"/>
        <w:spacing w:before="0" w:after="283"/>
        <w:jc w:val="left"/>
        <w:rPr/>
      </w:pPr>
      <w:r>
        <w:rPr/>
        <w:t> </w:t>
      </w:r>
    </w:p>
    <w:tbl>
      <w:tblPr>
        <w:tblW w:w="9453" w:type="dxa"/>
        <w:jc w:val="left"/>
        <w:tblInd w:w="0" w:type="dxa"/>
        <w:tblLayout w:type="fixed"/>
        <w:tblCellMar>
          <w:top w:w="0" w:type="dxa"/>
          <w:left w:w="0" w:type="dxa"/>
          <w:bottom w:w="0" w:type="dxa"/>
          <w:right w:w="0" w:type="dxa"/>
        </w:tblCellMar>
      </w:tblPr>
      <w:tblGrid>
        <w:gridCol w:w="38"/>
        <w:gridCol w:w="41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w:t>
            </w:r>
          </w:p>
        </w:tc>
        <w:tc>
          <w:tcPr>
            <w:tcW w:w="9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Greg Flynn is 225 Bush Street, Suite 1800, San Francisco, CA 94104.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406"/>
        <w:gridCol w:w="9761"/>
      </w:tblGrid>
      <w:tr>
        <w:trPr/>
        <w:tc>
          <w:tcPr>
            <w:tcW w:w="3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(19)</w:t>
            </w:r>
          </w:p>
        </w:tc>
        <w:tc>
          <w:tcPr>
            <w:tcW w:w="97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HighSage Ventures, LLC is 200 Clarendon Street, 59</w:t>
            </w:r>
            <w:r>
              <w:rPr>
                <w:rFonts w:ascii="Times New Roman;Times;Serif" w:hAnsi="Times New Roman;Times;Serif"/>
                <w:position w:val="8"/>
                <w:sz w:val="19"/>
              </w:rPr>
              <w:t>th</w:t>
            </w:r>
            <w:r>
              <w:rPr>
                <w:rFonts w:ascii="Times New Roman;Times;Serif" w:hAnsi="Times New Roman;Times;Serif"/>
              </w:rPr>
              <w:t> Floor, Boston, MA, 02116.</w:t>
            </w:r>
          </w:p>
        </w:tc>
      </w:tr>
    </w:tbl>
    <w:p>
      <w:pPr>
        <w:pStyle w:val="TextBody"/>
        <w:bidi w:val="0"/>
        <w:spacing w:before="0" w:after="283"/>
        <w:jc w:val="left"/>
        <w:rPr/>
      </w:pPr>
      <w:r>
        <w:rPr/>
        <w:t> </w:t>
      </w:r>
    </w:p>
    <w:tbl>
      <w:tblPr>
        <w:tblW w:w="8823" w:type="dxa"/>
        <w:jc w:val="left"/>
        <w:tblInd w:w="0" w:type="dxa"/>
        <w:tblLayout w:type="fixed"/>
        <w:tblCellMar>
          <w:top w:w="0" w:type="dxa"/>
          <w:left w:w="0" w:type="dxa"/>
          <w:bottom w:w="0" w:type="dxa"/>
          <w:right w:w="0" w:type="dxa"/>
        </w:tblCellMar>
      </w:tblPr>
      <w:tblGrid>
        <w:gridCol w:w="38"/>
        <w:gridCol w:w="41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w:t>
            </w:r>
          </w:p>
        </w:tc>
        <w:tc>
          <w:tcPr>
            <w:tcW w:w="83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Jeff Jones is 1180 NW Maple St Ste 105, Issaquah, WA 98027.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9"/>
        <w:gridCol w:w="9818"/>
      </w:tblGrid>
      <w:tr>
        <w:trPr/>
        <w:tc>
          <w:tcPr>
            <w:tcW w:w="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w:t>
            </w:r>
          </w:p>
        </w:tc>
        <w:tc>
          <w:tcPr>
            <w:tcW w:w="981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Times New Roman;Times;Serif" w:hAnsi="Times New Roman;Times;Serif"/>
                <w:position w:val="8"/>
                <w:sz w:val="19"/>
              </w:rPr>
              <w:t>st</w:t>
            </w:r>
            <w:r>
              <w:rPr>
                <w:rFonts w:ascii="Times New Roman;Times;Serif" w:hAnsi="Times New Roman;Times;Serif"/>
              </w:rPr>
              <w:t> Floor, New York, New York 10022. Mr. Bergstrom disclaims beneficial ownership of shares held by CEOF. CEOF is a lender under the Credit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(22)</w:t>
            </w:r>
          </w:p>
        </w:tc>
        <w:tc>
          <w:tcPr>
            <w:tcW w:w="98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Times New Roman;Times;Serif" w:hAnsi="Times New Roman;Times;Serif"/>
                <w:position w:val="8"/>
                <w:sz w:val="19"/>
              </w:rPr>
              <w:t>th</w:t>
            </w:r>
            <w:r>
              <w:rPr>
                <w:rFonts w:ascii="Times New Roman;Times;Serif" w:hAnsi="Times New Roman;Times;Serif"/>
              </w:rPr>
              <w:t xml:space="preserve"> Floor, New York, New York 10022. Metropolitan Levered Partners Fund VII, LP, Metropolitan Partners Fund VII, LP, Metropolitan Offshore Partners Fund VII, LP are lenders under the Credit Agreement.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4"/>
        <w:gridCol w:w="9823"/>
      </w:tblGrid>
      <w:tr>
        <w:trPr/>
        <w:tc>
          <w:tcPr>
            <w:tcW w:w="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98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Times New Roman;Times;Serif" w:hAnsi="Times New Roman;Times;Serif"/>
                <w:position w:val="8"/>
                <w:sz w:val="19"/>
              </w:rPr>
              <w:t>st</w:t>
            </w:r>
            <w:r>
              <w:rPr>
                <w:rFonts w:ascii="Times New Roman;Times;Serif" w:hAnsi="Times New Roman;Times;Serif"/>
              </w:rPr>
              <w:t> Floor, New York, NY 10004. Chardan Capital Markets, LLC served as an advisor to Legacy Presto in connection with the Business Combination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70"/>
        <w:gridCol w:w="9797"/>
      </w:tblGrid>
      <w:tr>
        <w:trPr/>
        <w:tc>
          <w:tcPr>
            <w:tcW w:w="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(24)</w:t>
            </w:r>
          </w:p>
        </w:tc>
        <w:tc>
          <w:tcPr>
            <w:tcW w:w="97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Jefferies LLC is 520 Madison Avenue, 10</w:t>
            </w:r>
            <w:r>
              <w:rPr>
                <w:rFonts w:ascii="Times New Roman;Times;Serif" w:hAnsi="Times New Roman;Times;Serif"/>
                <w:position w:val="8"/>
                <w:sz w:val="19"/>
              </w:rPr>
              <w:t>th</w:t>
            </w:r>
            <w:r>
              <w:rPr>
                <w:rFonts w:ascii="Times New Roman;Times;Serif" w:hAnsi="Times New Roman;Times;Serif"/>
              </w:rPr>
              <w:t> Floor, New York, NY 10022. Jefferies LLC served as financial advisor to Legacy Presto in connection with the Business Combination.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50"/>
        <w:gridCol w:w="9817"/>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(25)</w:t>
            </w:r>
          </w:p>
        </w:tc>
        <w:tc>
          <w:tcPr>
            <w:tcW w:w="981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76"/>
        <w:gridCol w:w="9791"/>
      </w:tblGrid>
      <w:tr>
        <w:trPr/>
        <w:tc>
          <w:tcPr>
            <w:tcW w:w="3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(26)</w:t>
            </w:r>
          </w:p>
        </w:tc>
        <w:tc>
          <w:tcPr>
            <w:tcW w:w="979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266,822 Earnout Shares that may be issued from time to time upon achievement of certain stock price thresholds in accordance with the terms of the Merger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89"/>
        <w:gridCol w:w="9778"/>
      </w:tblGrid>
      <w:tr>
        <w:trPr/>
        <w:tc>
          <w:tcPr>
            <w:tcW w:w="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(27)</w:t>
            </w:r>
          </w:p>
        </w:tc>
        <w:tc>
          <w:tcPr>
            <w:tcW w:w="977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Wilton Trustees (IOM) Limited ATO Dalmia Trust is Grosvenor House 66-67 Athol Street, Isle of Man IM1 IJE.</w:t>
            </w:r>
          </w:p>
        </w:tc>
      </w:tr>
    </w:tbl>
    <w:p>
      <w:pPr>
        <w:pStyle w:val="TextBody"/>
        <w:bidi w:val="0"/>
        <w:spacing w:before="0" w:after="283"/>
        <w:jc w:val="left"/>
        <w:rPr/>
      </w:pPr>
      <w:r>
        <w:rPr/>
        <w:t> </w:t>
      </w:r>
    </w:p>
    <w:tbl>
      <w:tblPr>
        <w:tblW w:w="8133" w:type="dxa"/>
        <w:jc w:val="left"/>
        <w:tblInd w:w="0" w:type="dxa"/>
        <w:tblLayout w:type="fixed"/>
        <w:tblCellMar>
          <w:top w:w="0" w:type="dxa"/>
          <w:left w:w="0" w:type="dxa"/>
          <w:bottom w:w="0" w:type="dxa"/>
          <w:right w:w="0" w:type="dxa"/>
        </w:tblCellMar>
      </w:tblPr>
      <w:tblGrid>
        <w:gridCol w:w="38"/>
        <w:gridCol w:w="41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(28)</w:t>
            </w:r>
          </w:p>
        </w:tc>
        <w:tc>
          <w:tcPr>
            <w:tcW w:w="76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Cosme Fagundo is 711 Calle Artis San Jose, CA 95131.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(29)</w:t>
            </w:r>
          </w:p>
        </w:tc>
        <w:tc>
          <w:tcPr>
            <w:tcW w:w="98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Common Stock to be sold pursuant to this prospectus represent 100,000 June 2023 PIPE Shares. Other shares of Common Stock beneficially owned prior to this offering consists of 101,100 shares of Common Stock. Mr. Golubovich is a director of Arbat and disclaims beneficial ownership of the Common Stock held by Arbat except to the extent of his pecuniary interest therein. The business address of Arbat is 5 Themistokli Dervi St., 1066 Nicosia, Cyprus.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82"/>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w:t>
            </w:r>
          </w:p>
        </w:tc>
        <w:tc>
          <w:tcPr>
            <w:tcW w:w="97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Unless otherwise noted, the shares of Common Stock to be sold pursuant to this prospectus represent June 2023 PIPE Shares held by the securityholders.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1"/>
        <w:gridCol w:w="9826"/>
      </w:tblGrid>
      <w:tr>
        <w:trPr/>
        <w:tc>
          <w:tcPr>
            <w:tcW w:w="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w:t>
            </w:r>
          </w:p>
        </w:tc>
        <w:tc>
          <w:tcPr>
            <w:tcW w:w="98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Common Stock to be sold pursuant to this prospectus represent 500,000 June 2023 PIPE Shares held of record by Kepos Capital LP.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business address of Kepos Capital LP and Mr. Carhart is 11 Times Square, 35</w:t>
            </w:r>
            <w:r>
              <w:rPr>
                <w:rFonts w:ascii="Times New Roman;Times;Serif" w:hAnsi="Times New Roman;Times;Serif"/>
                <w:position w:val="8"/>
                <w:sz w:val="19"/>
              </w:rPr>
              <w:t>th</w:t>
            </w:r>
            <w:r>
              <w:rPr>
                <w:rFonts w:ascii="Times New Roman;Times;Serif" w:hAnsi="Times New Roman;Times;Serif"/>
              </w:rPr>
              <w:t> Floor, New York, NY 10036.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55"/>
        <w:gridCol w:w="9812"/>
      </w:tblGrid>
      <w:tr>
        <w:trPr/>
        <w:tc>
          <w:tcPr>
            <w:tcW w:w="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w:t>
            </w:r>
          </w:p>
        </w:tc>
        <w:tc>
          <w:tcPr>
            <w:tcW w:w="98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Common Stock to be sold pursuant to this prospectus represent 250,000 June 2023 PIPE Shares. As of April 2022, Mr. Nevinskiy was a partner of I2BF. I2BF, together with its affiliates, holds more than 5% beneficial ownership of the Company and Mr. Golubovich, the sole director of I2BF, currently serves as a director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1"/>
        <w:gridCol w:w="9826"/>
      </w:tblGrid>
      <w:tr>
        <w:trPr/>
        <w:tc>
          <w:tcPr>
            <w:tcW w:w="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w:t>
            </w:r>
          </w:p>
        </w:tc>
        <w:tc>
          <w:tcPr>
            <w:tcW w:w="98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Common Stock to be sold pursuant to this prospectus represent 1,500,000 June 2023 PIPE Shares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Cleveland Avenue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88"/>
        <w:gridCol w:w="9779"/>
      </w:tblGrid>
      <w:tr>
        <w:trPr/>
        <w:tc>
          <w:tcPr>
            <w:tcW w:w="3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(34)</w:t>
            </w:r>
          </w:p>
        </w:tc>
        <w:tc>
          <w:tcPr>
            <w:tcW w:w="97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 to the Business Combination, Brock Strasbourger was the Chief Operating Officer of the Company’s corporate predecessor, VTAQ.</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401"/>
        <w:gridCol w:w="9766"/>
      </w:tblGrid>
      <w:tr>
        <w:trPr/>
        <w:tc>
          <w:tcPr>
            <w:tcW w:w="3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(35)</w:t>
            </w:r>
          </w:p>
        </w:tc>
        <w:tc>
          <w:tcPr>
            <w:tcW w:w="97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 to the Business Combination, Julie Atkinson was a director of the Company’s corporate predecessor, VTAQ.</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(36)</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 to the Business Combination, Matt MacDonald was the Chief Financial Officer, Secretary, and a director of the Company’s corporate predecessor, VTAQ.</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90"/>
        <w:gridCol w:w="9777"/>
      </w:tblGrid>
      <w:tr>
        <w:trPr/>
        <w:tc>
          <w:tcPr>
            <w:tcW w:w="3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(37)</w:t>
            </w:r>
          </w:p>
        </w:tc>
        <w:tc>
          <w:tcPr>
            <w:tcW w:w="977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 to the Business Combination, Prasad Phatak was the Chief Investment Officer of the Company’s corporate predecessor, VTAQ.</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401"/>
        <w:gridCol w:w="9766"/>
      </w:tblGrid>
      <w:tr>
        <w:trPr/>
        <w:tc>
          <w:tcPr>
            <w:tcW w:w="3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(38)</w:t>
            </w:r>
          </w:p>
        </w:tc>
        <w:tc>
          <w:tcPr>
            <w:tcW w:w="97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 to the Business Combination, Chris Ahrens was a director of the Company’s corporate predecessor, VTAQ.</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business address of Trinity Capital Fund II, L.P., LLC is 2121 West Chandler Boulevard, Suite 103, Chandler, Arizona 85224.</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4"/>
      <w:bookmarkEnd w:id="27"/>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from time to time (i) the offer and sale by us of up to $75,000,000 in the aggregate of the Company’s Common Stock, preferred stock, debt securities, new warrants, rights or units, (ii) the offer and sale by us of up to 16,823,660 shares of Common Stock upon exercise of the Trinity Warrants, Public Warrants, Financing Warrants, and the Private Placement Warrants and (iii) the resale by certain of the Selling Securityholders named in this prospectus of (a) an aggregate of 52,709,824 shares of Common Stock and (b) 7,625,000 Private Placement Warrants and Financing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covered by this prospectus on both our behalf and that of the Selling Securityholders. All costs, expenses and fees connected with the registration of such securities will be borne by us. Any brokerage commissions and similar expenses connected with selling such securities will be borne by both us and the Selling Securityholders, respectively, according to the allocation of securities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securities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effectiveness of the registration statement of which this prospectus forms a part, the securities beneficially owned by us or the Selling Securityholders covered by this prospectus may be offered and sold from time to time by us or the Selling Securityholders, as applicable.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We and the Selling Securityholders and any of their permitted transferees may sell securities offered by this prospectus on any stock exchange, market or trading facility on which the securities are traded or in private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set forth in any applicable registration rights agreement, we and the Selling Securityholders may use any one or more of the following methods when selling the securities offered by this prospectus: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such broker-dealer for its own account pursuant to this prospectus;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 solicits purchasers;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so engaged will attempt to sell the securities as agent but may position and resell a portion of the block as principal to facilitate the transaction;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over-the-counter distribution in accordance with the rules of the applicable exchange;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60"/>
        <w:gridCol w:w="9888"/>
      </w:tblGrid>
      <w:tr>
        <w:trPr/>
        <w:tc>
          <w:tcPr>
            <w:tcW w:w="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settlement of short sales entered into after the date of this prospectus;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agreements with broker-dealers to sell a specified number of the securities at a stipulated price per share;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directly to purchasers, including through a specific bidding, auction or other process or in privately negotiated transactions;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or other hedging transactions, whether through an options exchange or otherwise;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9"/>
        <w:gridCol w:w="9815"/>
      </w:tblGrid>
      <w:tr>
        <w:trPr/>
        <w:tc>
          <w:tcPr>
            <w:tcW w:w="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a combination of any of the above methods;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9"/>
        <w:gridCol w:w="9815"/>
      </w:tblGrid>
      <w:tr>
        <w:trPr/>
        <w:tc>
          <w:tcPr>
            <w:tcW w:w="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in connection with the sale of the shares of Common Stock registered hereby, the Selling Securityholders may enter into hedging transactions with broker-dealers or other financial institutions, which may in turn engage in short sales of our securities or the PIPE Shares in the course of hedging the positions they assume. We or the Selling Securityholders may also sell the securities or PIPE Shares short and deliver these securities to close out their short positions, or loan or pledge the securities or PIPE Shares to broker-dealers that in turn may sell these shares. We or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offering the securities covered by this prospectus, 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5"/>
      <w:bookmarkEnd w:id="2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an applicable prospectus supplement, the validity of the securities to be offered by this prospectus will be passed upon for us by White &amp; Case LLP, 1221 Avenue of the Americas, New York, New York 10020 and for any agents, underwriters, dealers, remarketing firms or other third parties by counsel named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6"/>
      <w:bookmarkEnd w:id="29"/>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17"/>
      <w:bookmarkEnd w:id="30"/>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We have also filed registration statements on Form S-1,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(excluding any portions of such documents that have been “furnished to” but not “filed with” the SEC for purposes of the Exchange Act):</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Annual Report on </w:t>
            </w:r>
            <w:hyperlink r:id="rId27">
              <w:r>
                <w:rPr>
                  <w:rStyle w:val="InternetLink"/>
                  <w:rFonts w:ascii="Times New Roman;Times;Serif" w:hAnsi="Times New Roman;Times;Serif"/>
                </w:rPr>
                <w:t>Form 10-K</w:t>
              </w:r>
            </w:hyperlink>
            <w:r>
              <w:rPr>
                <w:rFonts w:ascii="Times New Roman;Times;Serif" w:hAnsi="Times New Roman;Times;Serif"/>
              </w:rPr>
              <w:t xml:space="preserve"> for the year ended June 30, 2023, filed with the SEC on October 11, 2023, as amended by amendment no. 1 to our Annual Report for the year ended June 30, 2023 on </w:t>
            </w:r>
            <w:hyperlink r:id="rId28">
              <w:r>
                <w:rPr>
                  <w:rStyle w:val="InternetLink"/>
                  <w:rFonts w:ascii="Times New Roman;Times;Serif" w:hAnsi="Times New Roman;Times;Serif"/>
                </w:rPr>
                <w:t>Form 10-K/A</w:t>
              </w:r>
            </w:hyperlink>
            <w:r>
              <w:rPr>
                <w:rFonts w:ascii="Times New Roman;Times;Serif" w:hAnsi="Times New Roman;Times;Serif"/>
              </w:rPr>
              <w:t>, filed with the SEC on October 12, 2023;</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Reports on Form 8-K, filed with the SEC on </w:t>
            </w:r>
            <w:hyperlink r:id="rId29">
              <w:r>
                <w:rPr>
                  <w:rStyle w:val="InternetLink"/>
                  <w:rFonts w:ascii="Times New Roman;Times;Serif" w:hAnsi="Times New Roman;Times;Serif"/>
                </w:rPr>
                <w:t>August 2, 2023</w:t>
              </w:r>
            </w:hyperlink>
            <w:r>
              <w:rPr>
                <w:rFonts w:ascii="Times New Roman;Times;Serif" w:hAnsi="Times New Roman;Times;Serif"/>
              </w:rPr>
              <w:t xml:space="preserve">, </w:t>
            </w:r>
            <w:hyperlink r:id="rId30">
              <w:r>
                <w:rPr>
                  <w:rStyle w:val="InternetLink"/>
                  <w:rFonts w:ascii="Times New Roman;Times;Serif" w:hAnsi="Times New Roman;Times;Serif"/>
                </w:rPr>
                <w:t>August 31, 2023</w:t>
              </w:r>
            </w:hyperlink>
            <w:r>
              <w:rPr>
                <w:rFonts w:ascii="Times New Roman;Times;Serif" w:hAnsi="Times New Roman;Times;Serif"/>
              </w:rPr>
              <w:t xml:space="preserve">, </w:t>
            </w:r>
            <w:hyperlink r:id="rId31">
              <w:r>
                <w:rPr>
                  <w:rStyle w:val="InternetLink"/>
                  <w:rFonts w:ascii="Times New Roman;Times;Serif" w:hAnsi="Times New Roman;Times;Serif"/>
                </w:rPr>
                <w:t>October 11, 2023</w:t>
              </w:r>
            </w:hyperlink>
            <w:r>
              <w:rPr>
                <w:rFonts w:ascii="Times New Roman;Times;Serif" w:hAnsi="Times New Roman;Times;Serif"/>
              </w:rPr>
              <w:t xml:space="preserve">, and </w:t>
            </w:r>
            <w:hyperlink r:id="rId32">
              <w:r>
                <w:rPr>
                  <w:rStyle w:val="InternetLink"/>
                  <w:rFonts w:ascii="Times New Roman;Times;Serif" w:hAnsi="Times New Roman;Times;Serif"/>
                </w:rPr>
                <w:t>October 20, 2023</w:t>
              </w:r>
            </w:hyperlink>
            <w:r>
              <w:rPr>
                <w:rFonts w:ascii="Times New Roman;Times;Serif" w:hAnsi="Times New Roman;Times;Serif"/>
              </w:rPr>
              <w: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the description of our capital stock contained in our registration statement on </w:t>
            </w:r>
            <w:hyperlink r:id="rId33">
              <w:r>
                <w:rPr>
                  <w:rStyle w:val="InternetLink"/>
                  <w:rFonts w:ascii="Times New Roman;Times;Serif" w:hAnsi="Times New Roman;Times;Serif"/>
                </w:rPr>
                <w:t>Form 8-A</w:t>
              </w:r>
            </w:hyperlink>
            <w:r>
              <w:rPr>
                <w:rFonts w:ascii="Times New Roman;Times;Serif" w:hAnsi="Times New Roman;Times;Serif"/>
              </w:rPr>
              <w:t xml:space="preserve"> (File No. 001-39830) filed on December 23, 2020, and any amendments or reports filed for the purposes of updating this description (including </w:t>
            </w:r>
            <w:hyperlink r:id="rId34">
              <w:r>
                <w:rPr>
                  <w:rStyle w:val="InternetLink"/>
                  <w:rFonts w:ascii="Times New Roman;Times;Serif" w:hAnsi="Times New Roman;Times;Serif"/>
                </w:rPr>
                <w:t>Exhibit 4.1</w:t>
              </w:r>
            </w:hyperlink>
            <w:r>
              <w:rPr>
                <w:rFonts w:ascii="Times New Roman;Times;Serif" w:hAnsi="Times New Roman;Times;Serif"/>
              </w:rPr>
              <w:t xml:space="preserve"> to the Annual Report on Form 10-K for the year ended June 30,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any of the documents incorporated by reference in this prospectus by writing or telephoning us at the following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br/>
        <w:t>985 Industrial Road</w:t>
        <w:br/>
        <w:t>San Carlos, CA 94070</w:t>
        <w:br/>
        <w:t>Telephone: (650) 817-9012</w:t>
        <w:br/>
        <w:t>Attention: Xavier Casanova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to the filings will not be sent, however, unless those exhibits have specifically been incorporated by reference in this prospectus or any accompanying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18"/>
      <w:bookmarkEnd w:id="31"/>
      <w:r>
        <w:rPr>
          <w:rFonts w:ascii="Times New Roman;Times;Serif" w:hAnsi="Times New Roman;Times;Serif"/>
          <w:b/>
          <w:i w:val="false"/>
          <w:caps w:val="false"/>
          <w:smallCaps w:val="false"/>
          <w:sz w:val="20"/>
        </w:rPr>
        <w:t>INDEMNIFICATION FOR SECURITIES 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4,800,000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Chardan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14,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22145/000155837023016336/prst-20230630x10k.htm" TargetMode="External"/><Relationship Id="rId4" Type="http://schemas.openxmlformats.org/officeDocument/2006/relationships/hyperlink" Target="http://www.sec.gov/Archives/edgar/data/1822145/000155837023016408/prst-20230630x10ka.htm" TargetMode="External"/><Relationship Id="rId5" Type="http://schemas.openxmlformats.org/officeDocument/2006/relationships/hyperlink" Target="http://www.sec.gov/Archives/edgar/data/1822145/000155837023019254/prst-20230930x10q.htm" TargetMode="External"/><Relationship Id="rId6" Type="http://schemas.openxmlformats.org/officeDocument/2006/relationships/hyperlink" Target="http://www.sec.gov/Archives/edgar/data/1822145/000155837024001375/prst-20231231x10q.htm" TargetMode="External"/><Relationship Id="rId7" Type="http://schemas.openxmlformats.org/officeDocument/2006/relationships/hyperlink" Target="http://www.sec.gov/Archives/edgar/data/1822145/000110465923086535/tm2322640d1_8k.htm" TargetMode="External"/><Relationship Id="rId8" Type="http://schemas.openxmlformats.org/officeDocument/2006/relationships/hyperlink" Target="http://www.sec.gov/Archives/edgar/data/1822145/000110465923097311/tm2325309d1_8k.htm" TargetMode="External"/><Relationship Id="rId9" Type="http://schemas.openxmlformats.org/officeDocument/2006/relationships/hyperlink" Target="http://www.sec.gov/Archives/edgar/data/1822145/000101376223002979/ea186564-8k_prestoauto.htm" TargetMode="External"/><Relationship Id="rId10" Type="http://schemas.openxmlformats.org/officeDocument/2006/relationships/hyperlink" Target="http://www.sec.gov/Archives/edgar/data/1822145/000101376223005246/ea187043-8k_prestoauto.htm" TargetMode="External"/><Relationship Id="rId11" Type="http://schemas.openxmlformats.org/officeDocument/2006/relationships/hyperlink" Target="http://www.sec.gov/Archives/edgar/data/1822145/000121390023089293/ea188717-8k_presto.htm" TargetMode="External"/><Relationship Id="rId12" Type="http://schemas.openxmlformats.org/officeDocument/2006/relationships/hyperlink" Target="http://www.sec.gov/Archives/edgar/data/1822145/000155837023019477/prst-20231129x8k.htm" TargetMode="External"/><Relationship Id="rId13" Type="http://schemas.openxmlformats.org/officeDocument/2006/relationships/hyperlink" Target="http://www.sec.gov/Archives/edgar/data/1822145/000155837023019744/prst-20231206x8k.htm" TargetMode="External"/><Relationship Id="rId14" Type="http://schemas.openxmlformats.org/officeDocument/2006/relationships/hyperlink" Target="http://www.sec.gov/Archives/edgar/data/1822145/000121390023095635/ea190049-8k_presto.htm" TargetMode="External"/><Relationship Id="rId15" Type="http://schemas.openxmlformats.org/officeDocument/2006/relationships/hyperlink" Target="http://www.sec.gov/Archives/edgar/data/1822145/000121390023098185/ea190594-8k_presto.htm" TargetMode="External"/><Relationship Id="rId16" Type="http://schemas.openxmlformats.org/officeDocument/2006/relationships/hyperlink" Target="http://www.sec.gov/Archives/edgar/data/1822145/000155837024000064/prst-20231228x8k.htm" TargetMode="External"/><Relationship Id="rId17" Type="http://schemas.openxmlformats.org/officeDocument/2006/relationships/hyperlink" Target="http://www.sec.gov/Archives/edgar/data/1822145/000110465924005627/tm243773d1_8k.htm" TargetMode="External"/><Relationship Id="rId18" Type="http://schemas.openxmlformats.org/officeDocument/2006/relationships/hyperlink" Target="http://www.sec.gov/Archives/edgar/data/1822145/000121390024009098/ea192676-8k_presto.htm" TargetMode="External"/><Relationship Id="rId19" Type="http://schemas.openxmlformats.org/officeDocument/2006/relationships/hyperlink" Target="http://www.sec.gov/Archives/edgar/data/1822145/000110465924010183/tm244871d1_8k.htm" TargetMode="External"/><Relationship Id="rId20" Type="http://schemas.openxmlformats.org/officeDocument/2006/relationships/hyperlink" Target="http://www.sec.gov/Archives/edgar/data/1822145/000110465924025618/tm246736d1_8ka.htm" TargetMode="External"/><Relationship Id="rId21" Type="http://schemas.openxmlformats.org/officeDocument/2006/relationships/hyperlink" Target="http://www.sec.gov/Archives/edgar/data/1822145/000110465924012313/tm245632d1_8k.htm" TargetMode="External"/><Relationship Id="rId22" Type="http://schemas.openxmlformats.org/officeDocument/2006/relationships/hyperlink" Target="http://www.sec.gov/Archives/edgar/data/1822145/000110465924029415/tm247433d1_8k.htm" TargetMode="External"/><Relationship Id="rId23" Type="http://schemas.openxmlformats.org/officeDocument/2006/relationships/hyperlink" Target="http://www.sec.gov/Archives/edgar/data/1822145/000110465924030518/tm246736d5_8k.htm" TargetMode="External"/><Relationship Id="rId24" Type="http://schemas.openxmlformats.org/officeDocument/2006/relationships/hyperlink" Target="http://www.sec.gov/Archives/edgar/data/1822145/000110465924032703/tm248423d1_8k.htm" TargetMode="External"/><Relationship Id="rId25" Type="http://schemas.openxmlformats.org/officeDocument/2006/relationships/hyperlink" Target="http://www.sec.gov/Archives/edgar/data/1822145/000121390020044238/ea131985-8a12b_ventouxccm.htm" TargetMode="External"/><Relationship Id="rId26" Type="http://schemas.openxmlformats.org/officeDocument/2006/relationships/hyperlink" Target="http://www.sec.gov/Archives/edgar/data/1822145/000155837023016336/prst-20230630xex4d1.htm" TargetMode="External"/><Relationship Id="rId27" Type="http://schemas.openxmlformats.org/officeDocument/2006/relationships/hyperlink" Target="http://www.sec.gov/Archives/edgar/data/1822145/000155837023016336/prst-20230630x10k.htm" TargetMode="External"/><Relationship Id="rId28" Type="http://schemas.openxmlformats.org/officeDocument/2006/relationships/hyperlink" Target="http://www.sec.gov/Archives/edgar/data/1822145/000155837023016408/prst-20230630x10ka.htm" TargetMode="External"/><Relationship Id="rId29" Type="http://schemas.openxmlformats.org/officeDocument/2006/relationships/hyperlink" Target="https://www.sec.gov/Archives/edgar/data/1822145/000110465923086535/tm2322640d1_8k.htm" TargetMode="External"/><Relationship Id="rId30" Type="http://schemas.openxmlformats.org/officeDocument/2006/relationships/hyperlink" Target="https://www.sec.gov/Archives/edgar/data/1822145/000110465923097311/tm2325309d1_8k.htm" TargetMode="External"/><Relationship Id="rId31" Type="http://schemas.openxmlformats.org/officeDocument/2006/relationships/hyperlink" Target="https://www.sec.gov/Archives/edgar/data/1822145/000101376223002979/ea186564-8k_prestoauto.htm" TargetMode="External"/><Relationship Id="rId32" Type="http://schemas.openxmlformats.org/officeDocument/2006/relationships/hyperlink" Target="https://www.sec.gov/Archives/edgar/data/1822145/000101376223005246/ea187043-8k_prestoauto.htm" TargetMode="External"/><Relationship Id="rId33" Type="http://schemas.openxmlformats.org/officeDocument/2006/relationships/hyperlink" Target="http://www.sec.gov/Archives/edgar/data/1822145/000121390020044238/ea131985-8a12b_ventouxccm.htm" TargetMode="External"/><Relationship Id="rId34" Type="http://schemas.openxmlformats.org/officeDocument/2006/relationships/hyperlink" Target="http://www.sec.gov/Archives/edgar/data/1822145/000155837023016336/prst-20230630xex4d1.htm"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33412</Words>
  <Characters>175811</Characters>
  <CharactersWithSpaces>210655</CharactersWithSpaces>
  <Paragraphs>4814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