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53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53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Kravcik Keith 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985 INDUSTRIAL ROAD, SUITE 205</w:t>
            </w:r>
          </w:p>
        </w:tc>
      </w:tr>
      <w:tr>
        <w:trPr>
          <w:trHeight w:val="208"/>
        </w:trPr>
        <w:tc>
          <w:tcPr>
            <w:tcW w:w="4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 CARLOS</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94070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Presto Automation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PRST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60" w:type="dxa"/>
            <w:vAlign w:val="bottom"/>
            <w:tcBorders>
              <w:bottom w:val="single" w:sz="8" w:color="0000EE"/>
            </w:tcBorders>
          </w:tcPr>
          <w:p>
            <w:pPr>
              <w:spacing w:after="0"/>
              <w:rPr>
                <w:sz w:val="3"/>
                <w:szCs w:val="3"/>
                <w:color w:val="auto"/>
              </w:rPr>
            </w:pPr>
          </w:p>
        </w:tc>
        <w:tc>
          <w:tcPr>
            <w:tcW w:w="1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12/07/2023</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$0.0001 par value</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12/07/2023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15,800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0.66</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422,687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$0.0001 par value</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12/08/2023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22,687</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0.62</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400,000</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$0.6506 to $0.6714. The price reported above reflects the weighted average sales price. The reporting person hereby undertakes to provide upon request to the SEC staff, the issuer or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422,687 RSUs following the reported transaction</w:t>
      </w:r>
    </w:p>
    <w:p>
      <w:pPr>
        <w:spacing w:after="0" w:line="5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$0.5822 to $0.6737. The price reported above reflects the weighted average sales price. The reporting person hereby undertakes to provide upon request to the SEC staff, the issuer or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400,000 RSUs following the reported transaction.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Keith Kravcik</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12/11/2023</w:t>
            </w:r>
          </w:p>
        </w:tc>
      </w:tr>
      <w:tr>
        <w:trPr>
          <w:trHeight w:val="20"/>
        </w:trPr>
        <w:tc>
          <w:tcPr>
            <w:tcW w:w="1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19937" TargetMode="External"/><Relationship Id="rId13"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2023-12-11T12:13:10Z</dcterms:created>
  <dcterms:modified xsi:type="dcterms:W3CDTF">2023-12-11T12:13:10Z</dcterms:modified>
</cp:coreProperties>
</file>