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500"/>
        <w:spacing w:after="0" w:line="250"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Cleveland Avenue Food &amp; Beverage</w:t>
        </w:r>
      </w:hyperlink>
      <w:r>
        <w:rPr>
          <w:rFonts w:ascii="Arial" w:cs="Arial" w:eastAsia="Arial" w:hAnsi="Arial"/>
          <w:sz w:val="21"/>
          <w:szCs w:val="21"/>
          <w:u w:val="single" w:color="auto"/>
          <w:color w:val="0000EE"/>
        </w:rPr>
        <w:t xml:space="preserve"> </w:t>
      </w:r>
      <w:hyperlink r:id="rId12">
        <w:r>
          <w:rPr>
            <w:rFonts w:ascii="Arial" w:cs="Arial" w:eastAsia="Arial" w:hAnsi="Arial"/>
            <w:sz w:val="21"/>
            <w:szCs w:val="21"/>
            <w:u w:val="single" w:color="auto"/>
            <w:color w:val="0000EE"/>
          </w:rPr>
          <w:t>Fund II, LP</w:t>
        </w:r>
      </w:hyperlink>
    </w:p>
    <w:p>
      <w:pPr>
        <w:spacing w:after="0" w:line="291"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222 N. CANAL ST.</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CHICAGO</w:t>
            </w:r>
          </w:p>
        </w:tc>
        <w:tc>
          <w:tcPr>
            <w:tcW w:w="104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00"/>
              <w:spacing w:after="0"/>
              <w:rPr>
                <w:sz w:val="20"/>
                <w:szCs w:val="20"/>
                <w:color w:val="auto"/>
              </w:rPr>
            </w:pPr>
            <w:r>
              <w:rPr>
                <w:rFonts w:ascii="Arial" w:cs="Arial" w:eastAsia="Arial" w:hAnsi="Arial"/>
                <w:sz w:val="17"/>
                <w:szCs w:val="17"/>
                <w:color w:val="0000FF"/>
              </w:rPr>
              <w:t>60606</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Presto Automation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PRST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60" w:type="dxa"/>
            <w:vAlign w:val="bottom"/>
            <w:tcBorders>
              <w:bottom w:val="single" w:sz="8" w:color="0000EE"/>
            </w:tcBorders>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060" w:type="dxa"/>
            <w:vAlign w:val="bottom"/>
            <w:gridSpan w:val="3"/>
          </w:tcPr>
          <w:p>
            <w:pPr>
              <w:ind w:left="80"/>
              <w:spacing w:after="0"/>
              <w:rPr>
                <w:sz w:val="20"/>
                <w:szCs w:val="20"/>
                <w:color w:val="auto"/>
              </w:rPr>
            </w:pPr>
            <w:r>
              <w:rPr>
                <w:rFonts w:ascii="Arial" w:cs="Arial" w:eastAsia="Arial" w:hAnsi="Arial"/>
                <w:sz w:val="17"/>
                <w:szCs w:val="17"/>
                <w:color w:val="0000FF"/>
              </w:rPr>
              <w:t>05/24/2023</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6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0"/>
          <w:szCs w:val="20"/>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540" w:type="dxa"/>
            <w:vAlign w:val="bottom"/>
            <w:gridSpan w:val="2"/>
            <w:vMerge w:val="restart"/>
          </w:tcPr>
          <w:p>
            <w:pPr>
              <w:ind w:left="560"/>
              <w:spacing w:after="0"/>
              <w:rPr>
                <w:sz w:val="20"/>
                <w:szCs w:val="20"/>
                <w:color w:val="auto"/>
              </w:rPr>
            </w:pPr>
            <w:r>
              <w:rPr>
                <w:rFonts w:ascii="Arial" w:cs="Arial" w:eastAsia="Arial" w:hAnsi="Arial"/>
                <w:sz w:val="17"/>
                <w:szCs w:val="17"/>
                <w:color w:val="0000FF"/>
              </w:rPr>
              <w:t>05/24/2023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(1)</w:t>
            </w:r>
          </w:p>
        </w:tc>
        <w:tc>
          <w:tcPr>
            <w:tcW w:w="800" w:type="dxa"/>
            <w:vAlign w:val="bottom"/>
            <w:vMerge w:val="restart"/>
          </w:tcPr>
          <w:p>
            <w:pPr>
              <w:ind w:left="60"/>
              <w:spacing w:after="0"/>
              <w:rPr>
                <w:sz w:val="20"/>
                <w:szCs w:val="20"/>
                <w:color w:val="auto"/>
              </w:rPr>
            </w:pPr>
            <w:r>
              <w:rPr>
                <w:rFonts w:ascii="Arial" w:cs="Arial" w:eastAsia="Arial" w:hAnsi="Arial"/>
                <w:sz w:val="17"/>
                <w:szCs w:val="17"/>
                <w:color w:val="0000FF"/>
                <w:w w:val="95"/>
              </w:rPr>
              <w:t>1,500,000</w:t>
            </w:r>
          </w:p>
        </w:tc>
        <w:tc>
          <w:tcPr>
            <w:tcW w:w="38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180" w:type="dxa"/>
            <w:vAlign w:val="bottom"/>
          </w:tcPr>
          <w:p>
            <w:pPr>
              <w:spacing w:after="0"/>
              <w:rPr>
                <w:sz w:val="22"/>
                <w:szCs w:val="22"/>
                <w:color w:val="auto"/>
              </w:rPr>
            </w:pPr>
          </w:p>
        </w:tc>
        <w:tc>
          <w:tcPr>
            <w:tcW w:w="38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w:t>
            </w:r>
          </w:p>
        </w:tc>
        <w:tc>
          <w:tcPr>
            <w:tcW w:w="80" w:type="dxa"/>
            <w:vAlign w:val="bottom"/>
          </w:tcPr>
          <w:p>
            <w:pPr>
              <w:spacing w:after="0"/>
              <w:rPr>
                <w:sz w:val="22"/>
                <w:szCs w:val="22"/>
                <w:color w:val="auto"/>
              </w:rPr>
            </w:pPr>
          </w:p>
        </w:tc>
        <w:tc>
          <w:tcPr>
            <w:tcW w:w="1300" w:type="dxa"/>
            <w:vAlign w:val="bottom"/>
            <w:gridSpan w:val="3"/>
            <w:vMerge w:val="restart"/>
          </w:tcPr>
          <w:p>
            <w:pPr>
              <w:ind w:left="320"/>
              <w:spacing w:after="0"/>
              <w:rPr>
                <w:sz w:val="20"/>
                <w:szCs w:val="20"/>
                <w:color w:val="auto"/>
              </w:rPr>
            </w:pPr>
            <w:r>
              <w:rPr>
                <w:rFonts w:ascii="Arial" w:cs="Arial" w:eastAsia="Arial" w:hAnsi="Arial"/>
                <w:sz w:val="17"/>
                <w:szCs w:val="17"/>
                <w:color w:val="0000FF"/>
              </w:rPr>
              <w:t>8,500,000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 shares received in connection with a PIPE investment in the issuer.</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of record by Presto CA LLC ("Presto CA"). The reporting person is the sole member of Presto CA. Cleveland Avenue GP II, LLC ("Cleveland Avenue GP II") is the general partner of the reporting person. Cleveland Avenue, LLC ("CA LLC") is the sole member of Cleveland Avenue GP II. Donald Thompson is the sole manager of CA LLC. Mr. Thompson disclaims beneficial ownership of these securities except to the extent of any pecuniary interest therein.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25" w:right="359" w:bottom="1440" w:gutter="0" w:footer="0" w:header="0"/>
          <w:type w:val="continuous"/>
        </w:sectPr>
      </w:pP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Joseph McCoy,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80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Operating Officer and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wp:posOffset>
            </wp:positionV>
            <wp:extent cx="1344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Counsel of Cleveland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wp:posOffset>
            </wp:positionV>
            <wp:extent cx="1341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0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44"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0000FF"/>
        </w:rPr>
        <w:t>10/26/2023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42" w:lineRule="exact"/>
        <w:rPr>
          <w:sz w:val="20"/>
          <w:szCs w:val="20"/>
          <w:color w:val="auto"/>
        </w:rPr>
      </w:pPr>
    </w:p>
    <w:p>
      <w:pPr>
        <w:sectPr>
          <w:pgSz w:w="11900" w:h="16838" w:orient="portrait"/>
          <w:cols w:equalWidth="0" w:num="2">
            <w:col w:w="8700" w:space="8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827795"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2023-10-26T20:43:52Z</dcterms:created>
  <dcterms:modified xsi:type="dcterms:W3CDTF">2023-10-26T20:43:52Z</dcterms:modified>
</cp:coreProperties>
</file>