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81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81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Mbugua Stanley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985 INDUSTRIAL ROAD, SUITE 205</w:t>
            </w: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94070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Presto Automation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PRST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04/25/2024</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CAO and Interim CFO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w:t>
            </w: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04/25/2024</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vMerge w:val="restart"/>
          </w:tcPr>
          <w:p>
            <w:pPr>
              <w:jc w:val="right"/>
              <w:ind w:right="12"/>
              <w:spacing w:after="0"/>
              <w:rPr>
                <w:sz w:val="20"/>
                <w:szCs w:val="20"/>
                <w:color w:val="auto"/>
              </w:rPr>
            </w:pPr>
            <w:r>
              <w:rPr>
                <w:rFonts w:ascii="Times New Roman" w:cs="Times New Roman" w:eastAsia="Times New Roman" w:hAnsi="Times New Roman"/>
                <w:sz w:val="17"/>
                <w:szCs w:val="17"/>
                <w:color w:val="0000FF"/>
              </w:rPr>
              <w:t>12,500</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312,500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05/23/2024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jc w:val="right"/>
              <w:ind w:right="12"/>
              <w:spacing w:after="0"/>
              <w:rPr>
                <w:sz w:val="20"/>
                <w:szCs w:val="20"/>
                <w:color w:val="auto"/>
              </w:rPr>
            </w:pPr>
            <w:r>
              <w:rPr>
                <w:rFonts w:ascii="Times New Roman" w:cs="Times New Roman" w:eastAsia="Times New Roman" w:hAnsi="Times New Roman"/>
                <w:sz w:val="17"/>
                <w:szCs w:val="17"/>
                <w:color w:val="0000FF"/>
              </w:rPr>
              <w:t>36,559</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0.176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275,941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restricted stock units ("RSUs") granted to the reporting person on April 25, 2024 (the "Grant Date") pursuant to the Issuer's 2022 Incentive Award Plan. The RSUs vested 50 percent on the Grant Date and the remaining 50 percent will vest on October 1, 2024, subject to the reporting person's continued employment. Each RSU represents the right to receive one share of Common Stock upon vesting.</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as disposed herein were granted as RSUs. The disposition of shares is associated with tax obligations of the reporting person associated with the vesting of RSUs.</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reflects the weighted average sales price. These shares were sold in multiple transactions at prices ranging from $0.171 to $0.180, inclusive. The reporting person hereby undertakes to provide upon request to the SEC staff, the issuer or any security holder of the issuer full information regarding the number of shares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Susan Shinoff, Attorney-in- </w:t>
      </w:r>
      <w:r>
        <w:rPr>
          <w:rFonts w:ascii="Times New Roman" w:cs="Times New Roman" w:eastAsia="Times New Roman" w:hAnsi="Times New Roman"/>
          <w:sz w:val="33"/>
          <w:szCs w:val="33"/>
          <w:color w:val="0000FF"/>
          <w:vertAlign w:val="subscript"/>
        </w:rPr>
        <w:t>05/29/2024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25441"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2024-05-29T17:18:17Z</dcterms:created>
  <dcterms:modified xsi:type="dcterms:W3CDTF">2024-05-29T17:18:17Z</dcterms:modified>
</cp:coreProperties>
</file>