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April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Ventoux CCM Acquisition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1"/>
              </w:rPr>
              <w:t>Delaware</w:t>
            </w:r>
          </w:p>
        </w:tc>
        <w:tc>
          <w:tcPr>
            <w:tcW w:w="4400" w:type="dxa"/>
            <w:vAlign w:val="bottom"/>
            <w:gridSpan w:val="3"/>
          </w:tcPr>
          <w:p>
            <w:pPr>
              <w:jc w:val="center"/>
              <w:ind w:left="720"/>
              <w:spacing w:after="0"/>
              <w:rPr>
                <w:sz w:val="20"/>
                <w:szCs w:val="20"/>
                <w:color w:val="auto"/>
              </w:rPr>
            </w:pPr>
            <w:r>
              <w:rPr>
                <w:rFonts w:ascii="Arial" w:cs="Arial" w:eastAsia="Arial" w:hAnsi="Arial"/>
                <w:sz w:val="16"/>
                <w:szCs w:val="16"/>
                <w:b w:val="1"/>
                <w:bCs w:val="1"/>
                <w:color w:val="auto"/>
                <w:w w:val="88"/>
              </w:rPr>
              <w:t>001-39830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60"/>
              <w:spacing w:after="0"/>
              <w:rPr>
                <w:sz w:val="20"/>
                <w:szCs w:val="20"/>
                <w:color w:val="auto"/>
              </w:rPr>
            </w:pPr>
            <w:r>
              <w:rPr>
                <w:rFonts w:ascii="Arial" w:cs="Arial" w:eastAsia="Arial" w:hAnsi="Arial"/>
                <w:sz w:val="16"/>
                <w:szCs w:val="16"/>
                <w:b w:val="1"/>
                <w:bCs w:val="1"/>
                <w:color w:val="auto"/>
                <w:w w:val="91"/>
              </w:rPr>
              <w:t>84-2968594</w:t>
            </w:r>
          </w:p>
        </w:tc>
      </w:tr>
      <w:tr>
        <w:trPr>
          <w:trHeight w:val="175"/>
        </w:trPr>
        <w:tc>
          <w:tcPr>
            <w:tcW w:w="3040" w:type="dxa"/>
            <w:vAlign w:val="bottom"/>
            <w:tcBorders>
              <w:top w:val="single" w:sz="8" w:color="auto"/>
            </w:tcBorders>
          </w:tcPr>
          <w:p>
            <w:pPr>
              <w:jc w:val="center"/>
              <w:ind w:left="480"/>
              <w:spacing w:after="0" w:line="175" w:lineRule="exact"/>
              <w:rPr>
                <w:sz w:val="20"/>
                <w:szCs w:val="20"/>
                <w:color w:val="auto"/>
              </w:rPr>
            </w:pPr>
            <w:r>
              <w:rPr>
                <w:rFonts w:ascii="Arial" w:cs="Arial" w:eastAsia="Arial" w:hAnsi="Arial"/>
                <w:sz w:val="16"/>
                <w:szCs w:val="16"/>
                <w:b w:val="1"/>
                <w:bCs w:val="1"/>
                <w:color w:val="auto"/>
                <w:w w:val="90"/>
              </w:rPr>
              <w:t>(State or Other Jurisdiction</w:t>
            </w:r>
          </w:p>
        </w:tc>
        <w:tc>
          <w:tcPr>
            <w:tcW w:w="5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880" w:type="dxa"/>
            <w:vAlign w:val="bottom"/>
            <w:tcBorders>
              <w:top w:val="single" w:sz="8" w:color="auto"/>
            </w:tcBorders>
          </w:tcPr>
          <w:p>
            <w:pPr>
              <w:jc w:val="center"/>
              <w:ind w:right="660"/>
              <w:spacing w:after="0" w:line="175" w:lineRule="exact"/>
              <w:rPr>
                <w:sz w:val="20"/>
                <w:szCs w:val="20"/>
                <w:color w:val="auto"/>
              </w:rPr>
            </w:pPr>
            <w:r>
              <w:rPr>
                <w:rFonts w:ascii="Arial" w:cs="Arial" w:eastAsia="Arial" w:hAnsi="Arial"/>
                <w:sz w:val="16"/>
                <w:szCs w:val="16"/>
                <w:b w:val="1"/>
                <w:bCs w:val="1"/>
                <w:color w:val="auto"/>
                <w:w w:val="93"/>
              </w:rPr>
              <w:t>(IRS Employer</w:t>
            </w:r>
          </w:p>
        </w:tc>
      </w:tr>
      <w:tr>
        <w:trPr>
          <w:trHeight w:val="208"/>
        </w:trPr>
        <w:tc>
          <w:tcPr>
            <w:tcW w:w="304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of Incorporation)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80" w:type="dxa"/>
            <w:vAlign w:val="bottom"/>
          </w:tcPr>
          <w:p>
            <w:pPr>
              <w:jc w:val="center"/>
              <w:ind w:right="64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0"/>
              </w:rPr>
              <w:t>1 East Putnam Avenue, Floor 4</w:t>
            </w:r>
          </w:p>
        </w:tc>
        <w:tc>
          <w:tcPr>
            <w:tcW w:w="2880" w:type="dxa"/>
            <w:vAlign w:val="bottom"/>
          </w:tcPr>
          <w:p>
            <w:pPr>
              <w:spacing w:after="0"/>
              <w:rPr>
                <w:sz w:val="24"/>
                <w:szCs w:val="24"/>
                <w:color w:val="auto"/>
              </w:rPr>
            </w:pPr>
          </w:p>
        </w:tc>
      </w:tr>
      <w:tr>
        <w:trPr>
          <w:trHeight w:val="191"/>
        </w:trPr>
        <w:tc>
          <w:tcPr>
            <w:tcW w:w="3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91"/>
              </w:rPr>
              <w:t>Greenwich, CT 06830</w:t>
            </w:r>
          </w:p>
        </w:tc>
        <w:tc>
          <w:tcPr>
            <w:tcW w:w="2880" w:type="dxa"/>
            <w:vAlign w:val="bottom"/>
          </w:tcPr>
          <w:p>
            <w:pPr>
              <w:spacing w:after="0"/>
              <w:rPr>
                <w:sz w:val="16"/>
                <w:szCs w:val="16"/>
                <w:color w:val="auto"/>
              </w:rPr>
            </w:pPr>
          </w:p>
        </w:tc>
      </w:tr>
      <w:tr>
        <w:trPr>
          <w:trHeight w:val="208"/>
        </w:trPr>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w w:val="88"/>
              </w:rPr>
              <w:t>(Address of principal executive office) (zip code)</w:t>
            </w:r>
          </w:p>
        </w:tc>
        <w:tc>
          <w:tcPr>
            <w:tcW w:w="2880" w:type="dxa"/>
            <w:vAlign w:val="bottom"/>
          </w:tcPr>
          <w:p>
            <w:pPr>
              <w:spacing w:after="0"/>
              <w:rPr>
                <w:sz w:val="18"/>
                <w:szCs w:val="18"/>
                <w:color w:val="auto"/>
              </w:rPr>
            </w:pPr>
          </w:p>
        </w:tc>
      </w:tr>
      <w:tr>
        <w:trPr>
          <w:trHeight w:val="382"/>
        </w:trPr>
        <w:tc>
          <w:tcPr>
            <w:tcW w:w="3040" w:type="dxa"/>
            <w:vAlign w:val="bottom"/>
          </w:tcPr>
          <w:p>
            <w:pPr>
              <w:spacing w:after="0"/>
              <w:rPr>
                <w:sz w:val="24"/>
                <w:szCs w:val="24"/>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Registrant’s telephone number, including area code: (646) 465-9000</w:t>
            </w:r>
          </w:p>
        </w:tc>
        <w:tc>
          <w:tcPr>
            <w:tcW w:w="2880" w:type="dxa"/>
            <w:vAlign w:val="bottom"/>
          </w:tcPr>
          <w:p>
            <w:pPr>
              <w:spacing w:after="0"/>
              <w:rPr>
                <w:sz w:val="24"/>
                <w:szCs w:val="24"/>
                <w:color w:val="auto"/>
              </w:rPr>
            </w:pPr>
          </w:p>
        </w:tc>
      </w:tr>
      <w:tr>
        <w:trPr>
          <w:trHeight w:val="366"/>
        </w:trPr>
        <w:tc>
          <w:tcPr>
            <w:tcW w:w="3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6"/>
                <w:szCs w:val="16"/>
                <w:b w:val="1"/>
                <w:bCs w:val="1"/>
                <w:color w:val="auto"/>
              </w:rPr>
              <w:t>N/A</w:t>
            </w:r>
          </w:p>
        </w:tc>
        <w:tc>
          <w:tcPr>
            <w:tcW w:w="2880" w:type="dxa"/>
            <w:vAlign w:val="bottom"/>
          </w:tcPr>
          <w:p>
            <w:pPr>
              <w:spacing w:after="0"/>
              <w:rPr>
                <w:sz w:val="24"/>
                <w:szCs w:val="24"/>
                <w:color w:val="auto"/>
              </w:rPr>
            </w:pPr>
          </w:p>
        </w:tc>
      </w:tr>
      <w:tr>
        <w:trPr>
          <w:trHeight w:val="208"/>
        </w:trPr>
        <w:tc>
          <w:tcPr>
            <w:tcW w:w="3040" w:type="dxa"/>
            <w:vAlign w:val="bottom"/>
          </w:tcPr>
          <w:p>
            <w:pPr>
              <w:spacing w:after="0"/>
              <w:rPr>
                <w:sz w:val="18"/>
                <w:szCs w:val="18"/>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89"/>
              </w:rPr>
              <w:t>(Former name or former address, if changed since last report)</w:t>
            </w:r>
          </w:p>
        </w:tc>
        <w:tc>
          <w:tcPr>
            <w:tcW w:w="288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 (see</w:t>
      </w:r>
    </w:p>
    <w:p>
      <w:pPr>
        <w:spacing w:after="0" w:line="31" w:lineRule="exact"/>
        <w:rPr>
          <w:sz w:val="24"/>
          <w:szCs w:val="24"/>
          <w:color w:val="auto"/>
        </w:rPr>
      </w:pPr>
    </w:p>
    <w:p>
      <w:pPr>
        <w:spacing w:after="0"/>
        <w:rPr>
          <w:sz w:val="20"/>
          <w:szCs w:val="20"/>
          <w:color w:val="auto"/>
        </w:rPr>
      </w:pPr>
      <w:r>
        <w:rPr>
          <w:rFonts w:ascii="Arial" w:cs="Arial" w:eastAsia="Arial" w:hAnsi="Arial"/>
          <w:sz w:val="16"/>
          <w:szCs w:val="16"/>
          <w:color w:val="auto"/>
        </w:rPr>
        <w:t>General Instruction A.2. below):</w:t>
      </w:r>
    </w:p>
    <w:p>
      <w:pPr>
        <w:spacing w:after="0" w:line="186" w:lineRule="exact"/>
        <w:rPr>
          <w:sz w:val="24"/>
          <w:szCs w:val="24"/>
          <w:color w:val="auto"/>
        </w:rPr>
      </w:pPr>
    </w:p>
    <w:p>
      <w:pPr>
        <w:ind w:left="400" w:hanging="357"/>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400" w:hanging="357"/>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400" w:hanging="357"/>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right="3760" w:firstLine="43"/>
        <w:spacing w:after="0" w:line="504" w:lineRule="auto"/>
        <w:tabs>
          <w:tab w:leader="none" w:pos="3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91"/>
        </w:trPr>
        <w:tc>
          <w:tcPr>
            <w:tcW w:w="3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r>
      <w:tr>
        <w:trPr>
          <w:trHeight w:val="212"/>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Title of each class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120" w:type="dxa"/>
            <w:vAlign w:val="bottom"/>
          </w:tcPr>
          <w:p>
            <w:pPr>
              <w:spacing w:after="0"/>
              <w:rPr>
                <w:sz w:val="18"/>
                <w:szCs w:val="18"/>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registered</w:t>
            </w:r>
          </w:p>
        </w:tc>
      </w:tr>
      <w:tr>
        <w:trPr>
          <w:trHeight w:val="203"/>
        </w:trPr>
        <w:tc>
          <w:tcPr>
            <w:tcW w:w="3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VTAQ</w:t>
            </w: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10"/>
        </w:trPr>
        <w:tc>
          <w:tcPr>
            <w:tcW w:w="3820" w:type="dxa"/>
            <w:vAlign w:val="bottom"/>
          </w:tcPr>
          <w:p>
            <w:pPr>
              <w:jc w:val="center"/>
              <w:spacing w:after="0"/>
              <w:rPr>
                <w:sz w:val="20"/>
                <w:szCs w:val="20"/>
                <w:color w:val="auto"/>
              </w:rPr>
            </w:pPr>
            <w:r>
              <w:rPr>
                <w:rFonts w:ascii="Arial" w:cs="Arial" w:eastAsia="Arial" w:hAnsi="Arial"/>
                <w:sz w:val="16"/>
                <w:szCs w:val="16"/>
                <w:color w:val="auto"/>
                <w:w w:val="89"/>
              </w:rPr>
              <w:t>Warrants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8"/>
              </w:rPr>
              <w:t>VTAQW</w:t>
            </w:r>
          </w:p>
        </w:tc>
        <w:tc>
          <w:tcPr>
            <w:tcW w:w="1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97"/>
        </w:trPr>
        <w:tc>
          <w:tcPr>
            <w:tcW w:w="3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Rights</w:t>
            </w:r>
          </w:p>
        </w:tc>
        <w:tc>
          <w:tcPr>
            <w:tcW w:w="20" w:type="dxa"/>
            <w:vAlign w:val="bottom"/>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VTAQR</w:t>
            </w:r>
          </w:p>
        </w:tc>
        <w:tc>
          <w:tcPr>
            <w:tcW w:w="120" w:type="dxa"/>
            <w:vAlign w:val="bottom"/>
            <w:shd w:val="clear" w:color="auto" w:fill="CCEEFF"/>
          </w:tcPr>
          <w:p>
            <w:pPr>
              <w:spacing w:after="0"/>
              <w:rPr>
                <w:sz w:val="17"/>
                <w:szCs w:val="17"/>
                <w:color w:val="auto"/>
              </w:rPr>
            </w:pPr>
          </w:p>
        </w:tc>
        <w:tc>
          <w:tcPr>
            <w:tcW w:w="3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204"/>
        </w:trPr>
        <w:tc>
          <w:tcPr>
            <w:tcW w:w="3820" w:type="dxa"/>
            <w:vAlign w:val="bottom"/>
          </w:tcPr>
          <w:p>
            <w:pPr>
              <w:jc w:val="center"/>
              <w:spacing w:after="0"/>
              <w:rPr>
                <w:sz w:val="20"/>
                <w:szCs w:val="20"/>
                <w:color w:val="auto"/>
              </w:rPr>
            </w:pPr>
            <w:r>
              <w:rPr>
                <w:rFonts w:ascii="Arial" w:cs="Arial" w:eastAsia="Arial" w:hAnsi="Arial"/>
                <w:sz w:val="16"/>
                <w:szCs w:val="16"/>
                <w:color w:val="auto"/>
                <w:w w:val="93"/>
              </w:rPr>
              <w:t>Units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7"/>
              </w:rPr>
              <w:t>VTAQU</w:t>
            </w: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bl>
    <w:p>
      <w:pPr>
        <w:spacing w:after="0" w:line="190"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111125</wp:posOffset>
            </wp:positionV>
            <wp:extent cx="71481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7148195"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528320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Attached as Exhibit 99.1 hereto and incorporated herein by reference is an updated investor presentation dated April 8, 2022, which will be used by Ventoux CCM Acquisition Corp. (“Ventoux”) in connection with its previously announced business combination with E La Carte, Inc., d/b/a Presto, Inc. (“Presto”).</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Ventoux under the Securities Act or the Exchange Act, regardless of any general incorporation language in such filings. This Current Report on Form 8-K will not be deemed an admission as to the materiality of any information of the information in this Item 7.01, including Exhibit 99.1.</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and Where to Find It</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connection with the proposed business combination involving Ventoux and Presto, Ventoux has filed a registration statement, which includes a preliminary proxy statement/prospectus, with the SEC. The proxy statement/prospectus will be sent to stockholders of Ventoux. This Current Report on Form 8-K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Offer or Solicitation</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Solicitation</w:t>
      </w:r>
    </w:p>
    <w:p>
      <w:pPr>
        <w:spacing w:after="0" w:line="202" w:lineRule="exact"/>
        <w:rPr>
          <w:sz w:val="20"/>
          <w:szCs w:val="20"/>
          <w:color w:val="auto"/>
        </w:rPr>
      </w:pPr>
    </w:p>
    <w:p>
      <w:pPr>
        <w:jc w:val="both"/>
        <w:ind w:right="20"/>
        <w:spacing w:after="0" w:line="297" w:lineRule="auto"/>
        <w:rPr>
          <w:sz w:val="20"/>
          <w:szCs w:val="20"/>
          <w:color w:val="auto"/>
        </w:rPr>
      </w:pPr>
      <w:r>
        <w:rPr>
          <w:rFonts w:ascii="Arial" w:cs="Arial" w:eastAsia="Arial" w:hAnsi="Arial"/>
          <w:sz w:val="14"/>
          <w:szCs w:val="14"/>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February 23, 2022.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This communication contains “forward-looking statements” within the meaning of the Private Securities Litigation Reform Act of 1995. Such statements include, but are not limited to, statements about future financial and operating results, plans, objectives, expectations and intentions with respect to future operations, products and services and expectations regarding the proposed business combination between Presto and Ventoux; and other statements identified by words such as “will likely result,” “are expected to,” “will continue,” “is anticipated,” “estimated,” “believe,” “intend,” “plan,” “projection,” “outlook” or words of similar meaning.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 (15) 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p>
      <w:pPr>
        <w:jc w:val="both"/>
        <w:ind w:left="4"/>
        <w:spacing w:after="0" w:line="271" w:lineRule="auto"/>
        <w:rPr>
          <w:sz w:val="20"/>
          <w:szCs w:val="20"/>
          <w:color w:val="auto"/>
        </w:rPr>
      </w:pPr>
      <w:r>
        <w:rPr>
          <w:rFonts w:ascii="Arial" w:cs="Arial" w:eastAsia="Arial" w:hAnsi="Arial"/>
          <w:sz w:val="15"/>
          <w:szCs w:val="15"/>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purposes only, are not forecasts and may not reflect actual results.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p>
      <w:pPr>
        <w:ind w:left="224" w:hanging="224"/>
        <w:spacing w:after="0"/>
        <w:tabs>
          <w:tab w:leader="none" w:pos="224"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Exhibits</w:t>
      </w:r>
    </w:p>
    <w:p>
      <w:pPr>
        <w:spacing w:after="0" w:line="194" w:lineRule="exact"/>
        <w:rPr>
          <w:sz w:val="20"/>
          <w:szCs w:val="20"/>
          <w:color w:val="auto"/>
        </w:rPr>
      </w:pPr>
    </w:p>
    <w:p>
      <w:pPr>
        <w:ind w:left="124"/>
        <w:spacing w:after="0"/>
        <w:tabs>
          <w:tab w:leader="none" w:pos="1124"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7148195" cy="136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7" w:lineRule="exact"/>
        <w:rPr>
          <w:sz w:val="20"/>
          <w:szCs w:val="20"/>
          <w:color w:val="auto"/>
        </w:rPr>
      </w:pPr>
    </w:p>
    <w:p>
      <w:pPr>
        <w:ind w:left="364"/>
        <w:spacing w:after="0"/>
        <w:tabs>
          <w:tab w:leader="none" w:pos="1124" w:val="left"/>
        </w:tabs>
        <w:rPr>
          <w:rFonts w:ascii="Arial" w:cs="Arial" w:eastAsia="Arial" w:hAnsi="Arial"/>
          <w:sz w:val="14"/>
          <w:szCs w:val="14"/>
          <w:u w:val="single" w:color="auto"/>
          <w:color w:val="0000EE"/>
        </w:rPr>
      </w:pPr>
      <w:r>
        <w:rPr>
          <w:rFonts w:ascii="Arial" w:cs="Arial" w:eastAsia="Arial" w:hAnsi="Arial"/>
          <w:sz w:val="16"/>
          <w:szCs w:val="16"/>
          <w:color w:val="auto"/>
        </w:rPr>
        <w:t>99.1</w:t>
      </w:r>
      <w:r>
        <w:rPr>
          <w:sz w:val="20"/>
          <w:szCs w:val="20"/>
          <w:color w:val="auto"/>
        </w:rPr>
        <w:tab/>
      </w:r>
      <w:hyperlink w:anchor="page6">
        <w:r>
          <w:rPr>
            <w:rFonts w:ascii="Arial" w:cs="Arial" w:eastAsia="Arial" w:hAnsi="Arial"/>
            <w:sz w:val="14"/>
            <w:szCs w:val="14"/>
            <w:u w:val="single" w:color="auto"/>
            <w:color w:val="0000EE"/>
          </w:rPr>
          <w:t>Investor Presentation dated April 8, 2022</w:t>
        </w:r>
      </w:hyperlink>
    </w:p>
    <w:p>
      <w:pPr>
        <w:spacing w:after="0" w:line="20" w:lineRule="exact"/>
        <w:rPr>
          <w:sz w:val="20"/>
          <w:szCs w:val="20"/>
          <w:color w:val="auto"/>
        </w:rPr>
      </w:pPr>
    </w:p>
    <w:p>
      <w:pPr>
        <w:ind w:left="5584" w:right="5020" w:hanging="5196"/>
        <w:spacing w:after="0" w:line="570" w:lineRule="auto"/>
        <w:tabs>
          <w:tab w:leader="none" w:pos="1131" w:val="left"/>
        </w:tabs>
        <w:numPr>
          <w:ilvl w:val="0"/>
          <w:numId w:val="4"/>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Ventoux CCM Acquisition Corp. has duly caused this report to be signed on its behalf by the undersigned hereunto duly authorized.</w:t>
      </w:r>
    </w:p>
    <w:p>
      <w:pPr>
        <w:spacing w:after="0" w:line="148"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VENTOUX CCM ACQUISITION CORP.</w:t>
      </w:r>
    </w:p>
    <w:p>
      <w:pPr>
        <w:spacing w:after="0" w:line="202"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6"/>
          <w:szCs w:val="16"/>
          <w:color w:val="auto"/>
        </w:rPr>
        <w:t>Date: April 8,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3"/>
          <w:szCs w:val="13"/>
          <w:color w:val="auto"/>
        </w:rPr>
        <w:t>/s/ Ed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Ed Scheetz</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Chief Executive Officer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5" w:name="page6"/>
    <w:bookmarkEnd w:id="5"/>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143510</wp:posOffset>
            </wp:positionV>
            <wp:extent cx="7203440" cy="437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4011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40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859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4770755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85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4385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93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4393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2022-04-11T05:26:21Z</dcterms:created>
  <dcterms:modified xsi:type="dcterms:W3CDTF">2022-04-11T05:26:21Z</dcterms:modified>
</cp:coreProperties>
</file>