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30, 2024</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2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00" w:type="dxa"/>
            <w:vAlign w:val="bottom"/>
          </w:tcPr>
          <w:p>
            <w:pPr>
              <w:spacing w:after="0"/>
              <w:rPr>
                <w:sz w:val="20"/>
                <w:szCs w:val="20"/>
                <w:color w:val="auto"/>
              </w:rPr>
            </w:pPr>
          </w:p>
        </w:tc>
      </w:tr>
      <w:tr>
        <w:trPr>
          <w:trHeight w:val="425"/>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3000" w:type="dxa"/>
            <w:vAlign w:val="bottom"/>
            <w:tcBorders>
              <w:top w:val="single" w:sz="8" w:color="auto"/>
            </w:tcBorders>
          </w:tcPr>
          <w:p>
            <w:pPr>
              <w:jc w:val="center"/>
              <w:ind w:left="6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center"/>
              <w:ind w:right="65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80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8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0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r>
              <w:rPr>
                <w:rFonts w:ascii="Times New Roman" w:cs="Times New Roman" w:eastAsia="Times New Roman" w:hAnsi="Times New Roman"/>
                <w:sz w:val="18"/>
                <w:szCs w:val="18"/>
                <w:b w:val="1"/>
                <w:bCs w:val="1"/>
                <w:color w:val="auto"/>
                <w:w w:val="99"/>
              </w:rPr>
              <w:t>: (650) 817-9012</w:t>
            </w:r>
          </w:p>
        </w:tc>
        <w:tc>
          <w:tcPr>
            <w:tcW w:w="2800" w:type="dxa"/>
            <w:vAlign w:val="bottom"/>
          </w:tcPr>
          <w:p>
            <w:pPr>
              <w:spacing w:after="0"/>
              <w:rPr>
                <w:sz w:val="24"/>
                <w:szCs w:val="24"/>
                <w:color w:val="auto"/>
              </w:rPr>
            </w:pP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gridSpan w:val="3"/>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0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54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which</w:t>
            </w:r>
          </w:p>
        </w:tc>
      </w:t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PRST</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PRSTW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u w:val="single" w:color="auto"/>
          <w:color w:val="auto"/>
        </w:rPr>
        <w:t>Explanatory Note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Presto Automation, Inc. (“Presto” or the “Company”) is filing this amendment to its Form 8-K filed on February 2, 2024 to include a reference to Item 3.01 that cross references the Company’s other disclosure included in its originally-filed Form 8-K and to correct information regarding the number of shares of the Company that were issued or are issuable following the transactions set forth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29, 2024, the Company entered into Securities Purchase Agreements (the “Purchase Agreements”) with several investors (the “Purchasers”)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issuance and sale (the “Offering”) of an aggregate of:</w:t>
      </w:r>
    </w:p>
    <w:p>
      <w:pPr>
        <w:spacing w:after="0" w:line="207" w:lineRule="exact"/>
        <w:rPr>
          <w:sz w:val="20"/>
          <w:szCs w:val="20"/>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principal amount of subordinated notes (the “Notes”) in consideration for a cash investment of $6.0 million from a number of investors consisting of (i) a lead investor (the “Lead Investor”) who purchased $3.0 million of the Notes, (ii) Remus Capital Series B II, L.P. (“Remus Capital”), an entity controlled by our Chairman and under common control with other entities that beneficially owned 25.2% of our outstanding shares of common stock par value $0.0001 per share (the “Common Stock”) prior to the Offering, which purchased $2.675 million of the Notes, and (iii) various other investors, and</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PIK Interest</w:t>
      </w:r>
      <w:r>
        <w:rPr>
          <w:rFonts w:ascii="Times New Roman" w:cs="Times New Roman" w:eastAsia="Times New Roman" w:hAnsi="Times New Roman"/>
          <w:sz w:val="18"/>
          <w:szCs w:val="18"/>
          <w:color w:val="auto"/>
        </w:rPr>
        <w:t>. Interest on the Notes accrues monthly by increasing principal at a rate of 7.5% per annum. The interest rate shall increase to 12% in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event of default (an “Event of Default”).</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Notes are convertible into 36,000,000 shares of Common Stock at the option of each holder at an initial conversion price of $0.25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Notes shall convert mandatorily into Common Stock at the then prevailing conversion price immediately prior to (a) a Restructuring Transaction, and (b) a Change of Control Transaction with a financial investor. For these purposes:</w:t>
      </w:r>
    </w:p>
    <w:p>
      <w:pPr>
        <w:spacing w:after="0" w:line="162" w:lineRule="exact"/>
        <w:rPr>
          <w:sz w:val="20"/>
          <w:szCs w:val="20"/>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Transaction” is any transaction or series of transactions which has the effect of (i) forgiving, reducing, or modifying the principal balance of, or otherwise adjusting the amount of, the indebtedness (the “Senior Indebtedness”) outstanding under the Credit Agreement (“Credit Agreement”) dated as of September 21, 2022, as amended on March 31, 2023 and May 22, 2023, with the Agent, Metropolitan Levered Partners Fund VII, LP, Metropolitan Partners Fund VII, LP, Metropolitan Offshore Partners Fund VII, LP and CEOF Holdings LP (collectively, the “Lenders”) with Metropolitan Partners Group Administration, LLC, as agent (the “Agent”), and the other parties thereto, (ii) exchanging all or any portion of the Senior Indebtedness for any other instrument or security, (iii) the exercise of any rights or remedies by the administrative agent or any lender under the Credit Agreement and related documents, or (iv) replacing or refinancing the Senior Indebtedness, in whole or in part.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(i) consolidations, mergers and reorganizations in which a majority of the voting power of the Company after the transaction changes, (ii) the transfer to a person or group of 20% of the voting power of the Company, (iii) the acquisition of beneficial ownership of 25% of the voting power or economic interests of the Company on a fully diluted basis or the acquisition of the power to elect a majority of the board, or (iv) the sale of transact of all or substantially all of the assets of the Company. A Change of Control is not triggered if the transaction is to or involves a strategic investor as opposed to a financial investor.</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Full Ratchet Anti-dilution Protection. </w:t>
      </w:r>
      <w:r>
        <w:rPr>
          <w:rFonts w:ascii="Times New Roman" w:cs="Times New Roman" w:eastAsia="Times New Roman" w:hAnsi="Times New Roman"/>
          <w:sz w:val="18"/>
          <w:szCs w:val="18"/>
          <w:color w:val="auto"/>
        </w:rPr>
        <w:t>The Notes benefit from “full ratchet” anti-dilution protection through September 30, 2024. As a result, in the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issuance of any Common Stock or securities convertible into or exchangeable for Common Stock at a price that is less than the initial Conversion Price, the Conversion Price shall be reduced to that lower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Conversion Cap</w:t>
      </w:r>
      <w:r>
        <w:rPr>
          <w:rFonts w:ascii="Times New Roman" w:cs="Times New Roman" w:eastAsia="Times New Roman" w:hAnsi="Times New Roman"/>
          <w:sz w:val="18"/>
          <w:szCs w:val="18"/>
          <w:color w:val="auto"/>
        </w:rPr>
        <w:t>. Pursuant to Nasdaq Listing Rule 5635(d), the total number of shares of Common Stock that can be issued upon conversion of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upon exercise of the Fifth Amendment Warrants (as defined below) is limited to 19.99% of the outstanding shares of the Company (the “January Offering Share Cap”) at the time of the closing of the Offering absent shareholder approval. Absent the January Offering Share Cap, the total number of shares issuable under the Note is 36,000,000 and pursuant to the Fifth Amendment Warrants is 5,323,298 shares. The January Offering Share Cap is 14,190,042.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The Notes are subject to the terms and conditions of the Senior Indebtedness and addition provisions set forth in the Notes,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(i) the Notes are subordinated to the prior payment in cash in full of the Senior Indebtedness, (ii) no principal or interest may be paid in cash on the Notes prior to the repayment in cash in full of the Senior Indebtedness, (iii) each note holder authorizes the Agent to file any claim on its behalf, to vote its interest, and not to support and not impede any plan or other steps proposed by the Agent in connection with any insolvency proceeding.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Triggering and Partial Waiver of Anti-dilution Protection Associated with Previously Issues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triggered anti-dilution adjustment provisions in the CA Purchase Agreement, the Third Amendment Conversion Warrants and the November 2023 Purchase Agreements (each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10, 2023, the Company entered into a Securities Purchase Agreement (the “CA Purchase Agreement”) with Presto CA LLC (“CA”), pursuant to which the Company sold 1,500,000 shares of Common Stock, at a purchase price of $2.00 per share, for an aggregate purchase price of $3.0 million (the “Private Placement”). CA is affiliated with Cleveland Avenue LLC, and Keith Kravcik, a director of Presto, is the Chief Investment Officer of Cleveland Avenue’s various Investment Funds, including the funds invested in CA.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on October 10, 2023, the Company entered into a Third Amendment (the “Third Amendment”) to the Credit Agreement. 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originally at a price per share below $2.00, upon the terms and subject to the conditions contained in the Third Amendment Conversion Warrants.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November 17, 2023, the Company entered into Common Stock purchase agreements (the “November 2023 Purchase Agreements”) with several investors (the “November 2023 Purchasers”) relating to the issuance and sale of an aggregate of 7,750,000 shares of the Company’s Common Stock (the “November 2023 Offering”). The November 2023 Offering closed on November 21, 2023. Of those shares, 3,000,000 were issued to the Lead Investor at a price of $1.00 per share together with an additional 750,000 shares issued to an entity affiliated with the Lead Investor for zero consideration (resulting in an average purchase price of $0.80 per share) and the 4,000,000 shares were issued to other investors.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Notes Offering, the Lenders, CA and the holders of 3,000,000 out of the 4,000,000 shares issued in the November 2023 Offering that were not being forfeited agreed that the “New Issuance Price” for the purpose of anti-dilution protection regarding the Notes Offering would be $0.40 and not $0.25. A summary of the impact of the anti-dilution protection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4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418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Impact of November 17 Offering</w:t>
            </w:r>
          </w:p>
        </w:tc>
        <w:tc>
          <w:tcPr>
            <w:tcW w:w="4220" w:type="dxa"/>
            <w:vAlign w:val="bottom"/>
            <w:tcBorders>
              <w:top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Impact of Current Note Offering</w:t>
            </w:r>
          </w:p>
        </w:tc>
      </w:tr>
      <w:tr>
        <w:trPr>
          <w:trHeight w:val="191"/>
        </w:trPr>
        <w:tc>
          <w:tcPr>
            <w:tcW w:w="14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Lenders</w:t>
            </w:r>
          </w:p>
        </w:tc>
        <w:tc>
          <w:tcPr>
            <w:tcW w:w="14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Third</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 the Third</w:t>
            </w:r>
          </w:p>
        </w:tc>
        <w:tc>
          <w:tcPr>
            <w:tcW w:w="42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Increase in the number of shares underlying the Third</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Amendment Conversion Warrants from 3,000,000 to</w:t>
            </w: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Amendment Conversion Warrants from 6,000,000 to</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Conversion</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6,000,000 shares.</w:t>
            </w: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15,000,000 shares.</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(as defined in the</w:t>
            </w: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Reduction in the Applicable Price to from $1.00 to</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Third  Amendment  Conversion  Warrants)  to  from</w:t>
            </w: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$0.40.</w:t>
            </w: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$2.00 to $1.00.</w:t>
            </w:r>
          </w:p>
        </w:tc>
        <w:tc>
          <w:tcPr>
            <w:tcW w:w="4220" w:type="dxa"/>
            <w:vAlign w:val="bottom"/>
            <w:tcBorders>
              <w:right w:val="single" w:sz="8" w:color="auto"/>
            </w:tcBorders>
          </w:tcPr>
          <w:p>
            <w:pPr>
              <w:spacing w:after="0"/>
              <w:rPr>
                <w:sz w:val="20"/>
                <w:szCs w:val="20"/>
                <w:color w:val="auto"/>
              </w:rPr>
            </w:pPr>
          </w:p>
        </w:tc>
      </w:tr>
      <w:tr>
        <w:trPr>
          <w:trHeight w:val="94"/>
        </w:trPr>
        <w:tc>
          <w:tcPr>
            <w:tcW w:w="142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180" w:type="dxa"/>
            <w:vAlign w:val="bottom"/>
            <w:tcBorders>
              <w:bottom w:val="single" w:sz="8" w:color="auto"/>
              <w:right w:val="single" w:sz="8" w:color="auto"/>
            </w:tcBorders>
          </w:tcPr>
          <w:p>
            <w:pPr>
              <w:spacing w:after="0"/>
              <w:rPr>
                <w:sz w:val="8"/>
                <w:szCs w:val="8"/>
                <w:color w:val="auto"/>
              </w:rPr>
            </w:pPr>
          </w:p>
        </w:tc>
        <w:tc>
          <w:tcPr>
            <w:tcW w:w="4220" w:type="dxa"/>
            <w:vAlign w:val="bottom"/>
            <w:tcBorders>
              <w:bottom w:val="single" w:sz="8" w:color="auto"/>
              <w:right w:val="single" w:sz="8" w:color="auto"/>
            </w:tcBorders>
          </w:tcPr>
          <w:p>
            <w:pPr>
              <w:spacing w:after="0"/>
              <w:rPr>
                <w:sz w:val="8"/>
                <w:szCs w:val="8"/>
                <w:color w:val="auto"/>
              </w:rPr>
            </w:pPr>
          </w:p>
        </w:tc>
      </w:tr>
      <w:tr>
        <w:trPr>
          <w:trHeight w:val="191"/>
        </w:trPr>
        <w:tc>
          <w:tcPr>
            <w:tcW w:w="14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CA</w:t>
            </w:r>
          </w:p>
        </w:tc>
        <w:tc>
          <w:tcPr>
            <w:tcW w:w="14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in New Issuance Price from $2.00 to $1.00.</w:t>
            </w:r>
          </w:p>
        </w:tc>
        <w:tc>
          <w:tcPr>
            <w:tcW w:w="42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 to $0.40.</w:t>
            </w: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4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1,500,000 additional shares</w:t>
            </w: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4,500,000 additional shares</w:t>
            </w:r>
          </w:p>
        </w:tc>
      </w:tr>
      <w:tr>
        <w:trPr>
          <w:trHeight w:val="94"/>
        </w:trPr>
        <w:tc>
          <w:tcPr>
            <w:tcW w:w="142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180" w:type="dxa"/>
            <w:vAlign w:val="bottom"/>
            <w:tcBorders>
              <w:bottom w:val="single" w:sz="8" w:color="auto"/>
              <w:right w:val="single" w:sz="8" w:color="auto"/>
            </w:tcBorders>
          </w:tcPr>
          <w:p>
            <w:pPr>
              <w:spacing w:after="0"/>
              <w:rPr>
                <w:sz w:val="8"/>
                <w:szCs w:val="8"/>
                <w:color w:val="auto"/>
              </w:rPr>
            </w:pPr>
          </w:p>
        </w:tc>
        <w:tc>
          <w:tcPr>
            <w:tcW w:w="4220" w:type="dxa"/>
            <w:vAlign w:val="bottom"/>
            <w:tcBorders>
              <w:bottom w:val="single" w:sz="8" w:color="auto"/>
              <w:right w:val="single" w:sz="8" w:color="auto"/>
            </w:tcBorders>
          </w:tcPr>
          <w:p>
            <w:pPr>
              <w:spacing w:after="0"/>
              <w:rPr>
                <w:sz w:val="8"/>
                <w:szCs w:val="8"/>
                <w:color w:val="auto"/>
              </w:rPr>
            </w:pPr>
          </w:p>
        </w:tc>
      </w:tr>
      <w:tr>
        <w:trPr>
          <w:trHeight w:val="191"/>
        </w:trPr>
        <w:tc>
          <w:tcPr>
            <w:tcW w:w="14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November 2023</w:t>
            </w:r>
          </w:p>
        </w:tc>
        <w:tc>
          <w:tcPr>
            <w:tcW w:w="14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42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 to $0.40.</w:t>
            </w:r>
          </w:p>
        </w:tc>
      </w:tr>
      <w:tr>
        <w:trPr>
          <w:trHeight w:val="216"/>
        </w:trPr>
        <w:tc>
          <w:tcPr>
            <w:tcW w:w="1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Purchasers</w:t>
            </w: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(3,000,000</w:t>
            </w:r>
          </w:p>
        </w:tc>
        <w:tc>
          <w:tcPr>
            <w:tcW w:w="418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4,500,000 additional shares</w:t>
            </w: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41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spacing w:after="0"/>
              <w:rPr>
                <w:sz w:val="20"/>
                <w:szCs w:val="20"/>
                <w:color w:val="auto"/>
              </w:rPr>
            </w:pPr>
          </w:p>
        </w:tc>
      </w:tr>
      <w:tr>
        <w:trPr>
          <w:trHeight w:val="94"/>
        </w:trPr>
        <w:tc>
          <w:tcPr>
            <w:tcW w:w="142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180" w:type="dxa"/>
            <w:vAlign w:val="bottom"/>
            <w:tcBorders>
              <w:bottom w:val="single" w:sz="8" w:color="auto"/>
              <w:right w:val="single" w:sz="8" w:color="auto"/>
            </w:tcBorders>
          </w:tcPr>
          <w:p>
            <w:pPr>
              <w:spacing w:after="0"/>
              <w:rPr>
                <w:sz w:val="8"/>
                <w:szCs w:val="8"/>
                <w:color w:val="auto"/>
              </w:rPr>
            </w:pPr>
          </w:p>
        </w:tc>
        <w:tc>
          <w:tcPr>
            <w:tcW w:w="4220" w:type="dxa"/>
            <w:vAlign w:val="bottom"/>
            <w:tcBorders>
              <w:bottom w:val="single" w:sz="8" w:color="auto"/>
              <w:right w:val="single" w:sz="8" w:color="auto"/>
            </w:tcBorders>
          </w:tcPr>
          <w:p>
            <w:pPr>
              <w:spacing w:after="0"/>
              <w:rPr>
                <w:sz w:val="8"/>
                <w:szCs w:val="8"/>
                <w:color w:val="auto"/>
              </w:rPr>
            </w:pPr>
          </w:p>
        </w:tc>
      </w:tr>
      <w:tr>
        <w:trPr>
          <w:trHeight w:val="191"/>
        </w:trPr>
        <w:tc>
          <w:tcPr>
            <w:tcW w:w="142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4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w:t>
            </w:r>
          </w:p>
        </w:tc>
        <w:tc>
          <w:tcPr>
            <w:tcW w:w="42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Reduction of New Issuance Price from $1.00 to $0.25.</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(1,000,000</w:t>
            </w:r>
          </w:p>
        </w:tc>
        <w:tc>
          <w:tcPr>
            <w:tcW w:w="418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Issuance of 3,000,000 additional shares</w:t>
            </w:r>
          </w:p>
        </w:tc>
      </w:tr>
      <w:tr>
        <w:trPr>
          <w:trHeight w:val="234"/>
        </w:trPr>
        <w:tc>
          <w:tcPr>
            <w:tcW w:w="14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4180" w:type="dxa"/>
            <w:vAlign w:val="bottom"/>
            <w:tcBorders>
              <w:right w:val="single" w:sz="8" w:color="auto"/>
            </w:tcBorders>
          </w:tcPr>
          <w:p>
            <w:pPr>
              <w:spacing w:after="0"/>
              <w:rPr>
                <w:sz w:val="20"/>
                <w:szCs w:val="20"/>
                <w:color w:val="auto"/>
              </w:rPr>
            </w:pPr>
          </w:p>
        </w:tc>
        <w:tc>
          <w:tcPr>
            <w:tcW w:w="4220" w:type="dxa"/>
            <w:vAlign w:val="bottom"/>
            <w:tcBorders>
              <w:right w:val="single" w:sz="8" w:color="auto"/>
            </w:tcBorders>
          </w:tcPr>
          <w:p>
            <w:pPr>
              <w:spacing w:after="0"/>
              <w:rPr>
                <w:sz w:val="20"/>
                <w:szCs w:val="20"/>
                <w:color w:val="auto"/>
              </w:rPr>
            </w:pPr>
          </w:p>
        </w:tc>
      </w:tr>
      <w:tr>
        <w:trPr>
          <w:trHeight w:val="94"/>
        </w:trPr>
        <w:tc>
          <w:tcPr>
            <w:tcW w:w="142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4180" w:type="dxa"/>
            <w:vAlign w:val="bottom"/>
            <w:tcBorders>
              <w:bottom w:val="single" w:sz="8" w:color="auto"/>
              <w:right w:val="single" w:sz="8" w:color="auto"/>
            </w:tcBorders>
          </w:tcPr>
          <w:p>
            <w:pPr>
              <w:spacing w:after="0"/>
              <w:rPr>
                <w:sz w:val="8"/>
                <w:szCs w:val="8"/>
                <w:color w:val="auto"/>
              </w:rPr>
            </w:pPr>
          </w:p>
        </w:tc>
        <w:tc>
          <w:tcPr>
            <w:tcW w:w="422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issuances and the forfeiture of 3.0 million shares by the Lead Investor for $3.0 million principal amount of subordinated notes, the following changes in the Company’s share capital will occur.</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322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Upon Closing</w:t>
            </w:r>
          </w:p>
        </w:tc>
        <w:tc>
          <w:tcPr>
            <w:tcW w:w="48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Following Receipt of Shareholder Approval</w:t>
            </w:r>
          </w:p>
        </w:tc>
      </w:tr>
      <w:tr>
        <w:trPr>
          <w:trHeight w:val="209"/>
        </w:trPr>
        <w:tc>
          <w:tcPr>
            <w:tcW w:w="3840" w:type="dxa"/>
            <w:vAlign w:val="bottom"/>
            <w:tcBorders>
              <w:left w:val="single" w:sz="8" w:color="auto"/>
              <w:bottom w:val="single" w:sz="8" w:color="auto"/>
              <w:right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418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(millions)</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Additional shares</w:t>
            </w:r>
          </w:p>
        </w:tc>
        <w:tc>
          <w:tcPr>
            <w:tcW w:w="3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7.1</w:t>
            </w:r>
          </w:p>
        </w:tc>
      </w:tr>
      <w:tr>
        <w:trPr>
          <w:trHeight w:val="191"/>
        </w:trPr>
        <w:tc>
          <w:tcPr>
            <w:tcW w:w="3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Additional  shares  issuable  upon  the  exercise</w:t>
            </w:r>
          </w:p>
        </w:tc>
        <w:tc>
          <w:tcPr>
            <w:tcW w:w="3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1.6</w:t>
            </w:r>
          </w:p>
        </w:tc>
        <w:tc>
          <w:tcPr>
            <w:tcW w:w="48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7.4</w:t>
            </w:r>
          </w:p>
        </w:tc>
      </w:tr>
      <w:tr>
        <w:trPr>
          <w:trHeight w:val="234"/>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 warrants with a $0.01 exercise price</w:t>
            </w:r>
          </w:p>
        </w:tc>
        <w:tc>
          <w:tcPr>
            <w:tcW w:w="32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r>
        <w:trPr>
          <w:trHeight w:val="191"/>
        </w:trPr>
        <w:tc>
          <w:tcPr>
            <w:tcW w:w="384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Shares issuable upon the conversion of the Notes</w:t>
            </w:r>
          </w:p>
        </w:tc>
        <w:tc>
          <w:tcPr>
            <w:tcW w:w="322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36.0</w:t>
            </w:r>
          </w:p>
        </w:tc>
      </w:tr>
      <w:tr>
        <w:trPr>
          <w:trHeight w:val="216"/>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Shares issuable upon the exercise of warrants</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14.2 (combined cap for both instruments)</w:t>
            </w:r>
          </w:p>
        </w:tc>
        <w:tc>
          <w:tcPr>
            <w:tcW w:w="4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a $0.01 exercise price.</w:t>
            </w:r>
          </w:p>
        </w:tc>
        <w:tc>
          <w:tcPr>
            <w:tcW w:w="322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number of shares issued or reserved for issuance out of the Company’s 180 million authorized shares of Common Stock will be approximately 175 million shares. There were 62.8 million shares outstanding immediately before the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Registration Rights Agreement with each Note holder (the “Registration Rights Agreement”). Under the Registration Rights Agreement, the Company will file a registration statement (“Registration Statement”) with the Securities and Exchange Commission (the “SEC”) within 30 days following the date of the Registration Rights Agreement for purposes of registering the resale of the shares of Common Stock issuable upon conversion of the Notes in the Private Placement. The Company will also use commercially reasonable efforts to cause the SEC to declare the Registration Statement effective as promptly as possible after the filing of the Registration Statement and no later than the earlier of (i) the 90th calendar day following the date on which an additional Registration Statement is required to be filed under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effectiveness of the Fifth Amendment, the Company issued to the Agent warrants to purchase 5,323,298 shares of Common Stock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Warrants may be exercised for cash or pursuant to a net exercise at any time on or before the date that is the five year anniversary of the date of the issuance of the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Conversion Warrants to April 1, 2024 at a price per share below $0.40, upon the terms and subject to the conditions contained in the Fifth Amendment Conversion Warrants.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parties agreed that the shares of Common Stock underlying the Warrants constitute “Registerable Securities” as defined in the registration rights agreement, dated as of March 31, 2023, by and among the Company and the Lenders (the “Metropolitan Registration Rights Agreement”). Under the Metropolitan Registration Rights Agreement, the Company has agreed to file a Registration Statement with the SEC within 30 days following the date of the issuance of the Warrants for purposes of registering the resale of the shares of Common Stock underlying the Warrants. The Company has also agreed to use its reasonable best efforts to cause the SEC to declare the Registration Statement effective as soon as possible after the filing of the Registration Statement and no later than the earlier of (i) the 60th calendar day following the date on which an additional Registration Statement is required to be filed under the Registration Rights Agreement (or, in the event of a “full review” by the Securities and Exchange Commission (the Commission”), the 90th calendar day following the date such additional Registration Statement is required to be filed under the Registration Rights Agreement) and (ii) the 3rd business day after the date the Company is notified by the SEC that the Registration Statement will not be “reviewed” or will not be subject to further review.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Credit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30, 2024, the Company and its wholly owned subsidiary Presto Automation LLC, entered into a Fifth Amendment to Credit Agreement and Acknowledgment (the “Fifth Amendment”) with Metropolitan Partners Group Administration, LLC (the “Agent”), as administrative agent on behalf of the lenders (the “Lenders”) party to the Credit Agreement, dated September 21, 2022 (as subsequently amended, restated, modified or supplemented prior to January 30, 2024,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terms of the Fifth Amendment are as follows:</w:t>
      </w:r>
    </w:p>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confirmed that the Offering satisfied the requirements of the Forbearance Agreement in order for the Lenders to grant continued forbearance with respect to events of default under the Credit Agreement.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until which initial forbearance is granted was extended from the original date of February 29, 2024 in the Forbearance Agreement until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that on or prior to March 6, 2024, it will hold a shareholder meeting, among other things, to (i) approve the issuance of certain shares issuable in connection with any securities subject to the 19.99% cap imposed by Nasdaq rules, including, without limitation, the Third Amendment Warrants, the Fifth Amendment Warrants and the Convertible Notes, and (ii) amend its certificate of incorporation to increase the authorized shares of Common Stock to not less than 100,000,000,000 shares. The failure of such meeting of the shareholders of the Company to occur on or before March 6, 2024 shall constitute an immediate event of default under the Credit Agreement.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that its cash payments in February will result in a reduction in its operating cash that breaches the permitted “Net Adjusted Decrease in Operating Cash” covenant under the Credit Agreement. This anticipated event of default under the Credit Agreement is made subject to the Forbearance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together with its past, present and future successors, assigns, managers, members, officers, directors, agents, employees, professionals and other representatives (in their capacities as such and not in any other capacity), and entities affiliated with Remus Capital and Presto CA LLC (an affiliate of Cleveland Avenue, LLC) together with their respective past, present and future successors, assigns released the Agent, the Lenders and certain other parties affiliated or related thereto from any claims related to the Forbearance Agreement, the Credit Agreement and any loan documents.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summaries do not purport to be complete and are subject to, and qualified in its entirety by, the full text of the agreements filed as exhibits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hereby incorporated by reference into this Item 3.02 in its entirety. The Notes and the Fifth Amendment Warrants were issued pursuant to the exemption from registration provided by Section 4(a)(2)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Update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projects that the net proceeds from the Offering, together with the Company’s other cash resources and projected revenues, are sufficient for the Company to sustain its operations through the end of February. The Company is currently exploring alternatives and in discussions with potential investors to raise capital. The Company is required to raise at least $6 million on or before March 8, 2024 pursuant to the terms of the Forbearance Agreement in order to receive additional forbearance from the Lenders.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provided as part of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r:id="rId18">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of Securities Purchase Agreement, dated as of January 30, 2024, by and between Presto Automation Inc. and the buyers thereto.*</w:t>
              </w:r>
            </w:hyperlink>
          </w:p>
        </w:tc>
      </w:tr>
      <w:tr>
        <w:trPr>
          <w:trHeight w:val="196"/>
        </w:trPr>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7"/>
          </w:tcPr>
          <w:p>
            <w:pPr>
              <w:ind w:left="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of Subordinated Convertible Note, dated as of January 30, 2024.*</w:t>
              </w:r>
            </w:hyperlink>
          </w:p>
        </w:tc>
        <w:tc>
          <w:tcPr>
            <w:tcW w:w="4560" w:type="dxa"/>
            <w:vAlign w:val="bottom"/>
            <w:tcBorders>
              <w:top w:val="single" w:sz="8" w:color="0000EE"/>
            </w:tcBorders>
            <w:gridSpan w:val="3"/>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r:id="rId2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Registration Rights Agreement, dated as of January 30, 2024, by and between Presto Automation Inc. and the holders thereto.*</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r:id="rId2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Fifth Amendment to Credit Agreement, dated as of January 31, 2024, by and among Presto Automation LLC, Presto Automation Inc.,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lenders party thereto and Metropolitan Partners Group Administration, LLC.*</w:t>
              </w:r>
            </w:hyperlink>
          </w:p>
        </w:tc>
        <w:tc>
          <w:tcPr>
            <w:tcW w:w="43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Warrant to Purchase Common Stock, dated January 30, 2024, by and between Presto Automation Inc. and Metropolitan Levered Partners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Fund VII, LP.*</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6</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Warrant to Purchase Common Stock, dated January 30, 2024, by and between Presto Automation Inc. and Metropolitan Partners Fund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3"/>
              </w:rPr>
            </w:pPr>
            <w:hyperlink r:id="rId23">
              <w:r>
                <w:rPr>
                  <w:rFonts w:ascii="Times New Roman" w:cs="Times New Roman" w:eastAsia="Times New Roman" w:hAnsi="Times New Roman"/>
                  <w:sz w:val="18"/>
                  <w:szCs w:val="18"/>
                  <w:color w:val="0000EE"/>
                  <w:w w:val="93"/>
                </w:rPr>
                <w:t>VII, LP.*</w:t>
              </w:r>
            </w:hyperlink>
          </w:p>
        </w:tc>
        <w:tc>
          <w:tcPr>
            <w:tcW w:w="9320" w:type="dxa"/>
            <w:vAlign w:val="bottom"/>
            <w:gridSpan w:val="1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7</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Warrant to Purchase Common Stock, dated January 30, 2024, by and between Presto Automation Inc. and Metropolitan Offshore Partners</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Fund VII, LP.*</w:t>
              </w:r>
            </w:hyperlink>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8</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Warrant to Purchase Common Stock, dated January 30, 2024, by and between Presto Automation Inc. and CEOF Holdings, LP.*</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8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Warrant to Purchase Common Stock, dated January 30, 2024, by and between Presto Automation Inc. and</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Metropolitan Levered Partners Fund VII, LP.*</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Warrant to Purchase Common Stock, dated January 30, 2024, by and between Presto Automation Inc.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top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Metropolitan Partners Fund VII, LP.*</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Warrant to Purchase Common Stock, dated January 30, 2024, by and between Presto Automation Inc. 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tcBorders>
              <w:top w:val="single" w:sz="8" w:color="0000EE"/>
            </w:tcBorders>
            <w:gridSpan w:val="13"/>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Metropolitan Offshore Partners Fund VII, LP.*</w:t>
              </w:r>
            </w:hyperlink>
          </w:p>
        </w:tc>
      </w:tr>
      <w:tr>
        <w:trPr>
          <w:trHeight w:val="20"/>
        </w:trPr>
        <w:tc>
          <w:tcPr>
            <w:tcW w:w="8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0" w:type="dxa"/>
            <w:vAlign w:val="bottom"/>
            <w:gridSpan w:val="13"/>
          </w:tcPr>
          <w:p>
            <w:pPr>
              <w:ind w:left="20"/>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Warrant to Purchase Common Stock, dated January 30, 2024, by and between Presto Automation Inc. and CEOF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Holdings, LP*</w:t>
              </w:r>
            </w:hyperlink>
          </w:p>
        </w:tc>
        <w:tc>
          <w:tcPr>
            <w:tcW w:w="89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 to the identically numbered exhibit in Company’s Form 8-K filed on February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18" Type="http://schemas.openxmlformats.org/officeDocument/2006/relationships/hyperlink" Target="https://www.sec.gov/Archives/edgar/data/1822145/000110465924010183/tm244871d1_ex10-1.htm" TargetMode="External"/><Relationship Id="rId19" Type="http://schemas.openxmlformats.org/officeDocument/2006/relationships/hyperlink" Target="https://www.sec.gov/Archives/edgar/data/1822145/000110465924010183/tm244871d1_ex10-2.htm" TargetMode="External"/><Relationship Id="rId20" Type="http://schemas.openxmlformats.org/officeDocument/2006/relationships/hyperlink" Target="https://www.sec.gov/Archives/edgar/data/1822145/000110465924010183/tm244871d1_ex10-3.htm" TargetMode="External"/><Relationship Id="rId21" Type="http://schemas.openxmlformats.org/officeDocument/2006/relationships/hyperlink" Target="https://www.sec.gov/Archives/edgar/data/1822145/000110465924010183/tm244871d1_ex10-4.htm" TargetMode="External"/><Relationship Id="rId22" Type="http://schemas.openxmlformats.org/officeDocument/2006/relationships/hyperlink" Target="https://www.sec.gov/Archives/edgar/data/1822145/000110465924010183/tm244871d1_ex10-5.htm" TargetMode="External"/><Relationship Id="rId23" Type="http://schemas.openxmlformats.org/officeDocument/2006/relationships/hyperlink" Target="https://www.sec.gov/Archives/edgar/data/1822145/000110465924010183/tm244871d1_ex10-6.htm" TargetMode="External"/><Relationship Id="rId24" Type="http://schemas.openxmlformats.org/officeDocument/2006/relationships/hyperlink" Target="https://www.sec.gov/Archives/edgar/data/1822145/000110465924010183/tm244871d1_ex10-7.htm" TargetMode="External"/><Relationship Id="rId25" Type="http://schemas.openxmlformats.org/officeDocument/2006/relationships/hyperlink" Target="https://www.sec.gov/Archives/edgar/data/1822145/000110465924010183/tm244871d1_ex10-8.htm" TargetMode="External"/><Relationship Id="rId26" Type="http://schemas.openxmlformats.org/officeDocument/2006/relationships/hyperlink" Target="https://www.sec.gov/Archives/edgar/data/1822145/000110465924010183/tm244871d1_ex10-9.htm" TargetMode="External"/><Relationship Id="rId27" Type="http://schemas.openxmlformats.org/officeDocument/2006/relationships/hyperlink" Target="https://www.sec.gov/Archives/edgar/data/1822145/000110465924010183/tm244871d1_ex10-10.htm" TargetMode="External"/><Relationship Id="rId28" Type="http://schemas.openxmlformats.org/officeDocument/2006/relationships/hyperlink" Target="https://www.sec.gov/Archives/edgar/data/1822145/000110465924010183/tm244871d1_ex10-11.htm" TargetMode="External"/><Relationship Id="rId29" Type="http://schemas.openxmlformats.org/officeDocument/2006/relationships/hyperlink" Target="https://www.sec.gov/Archives/edgar/data/1822145/000110465924010183/tm244871d1_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2024-02-20T16:29:08Z</dcterms:created>
  <dcterms:modified xsi:type="dcterms:W3CDTF">2024-02-20T16:29:08Z</dcterms:modified>
</cp:coreProperties>
</file>