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182880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8-K</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 THE</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EXCHANGE ACT OF 1934</w:t>
      </w:r>
    </w:p>
    <w:p>
      <w:pPr>
        <w:spacing w:after="0" w:line="21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Date of Report (Date of earliest event reported): May 22, 2023</w:t>
      </w:r>
    </w:p>
    <w:p>
      <w:pPr>
        <w:spacing w:after="0" w:line="22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Presto Automation Inc.</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20" w:lineRule="exact"/>
        <w:rPr>
          <w:sz w:val="24"/>
          <w:szCs w:val="24"/>
          <w:color w:val="auto"/>
        </w:rPr>
      </w:pPr>
    </w:p>
    <w:tbl>
      <w:tblPr>
        <w:tblLayout w:type="fixed"/>
        <w:tblInd w:w="0" w:type="dxa"/>
        <w:tblCellMar>
          <w:top w:w="0" w:type="dxa"/>
          <w:left w:w="0" w:type="dxa"/>
          <w:bottom w:w="0" w:type="dxa"/>
          <w:right w:w="0" w:type="dxa"/>
        </w:tblCellMar>
      </w:tblPr>
      <w:tr>
        <w:trPr>
          <w:trHeight w:val="241"/>
        </w:trPr>
        <w:tc>
          <w:tcPr>
            <w:tcW w:w="4460" w:type="dxa"/>
            <w:vAlign w:val="bottom"/>
            <w:gridSpan w:val="4"/>
          </w:tcPr>
          <w:p>
            <w:pPr>
              <w:jc w:val="center"/>
              <w:ind w:right="620"/>
              <w:spacing w:after="0"/>
              <w:rPr>
                <w:sz w:val="20"/>
                <w:szCs w:val="20"/>
                <w:color w:val="auto"/>
              </w:rPr>
            </w:pPr>
            <w:r>
              <w:rPr>
                <w:rFonts w:ascii="Arial" w:cs="Arial" w:eastAsia="Arial" w:hAnsi="Arial"/>
                <w:sz w:val="18"/>
                <w:szCs w:val="18"/>
                <w:b w:val="1"/>
                <w:bCs w:val="1"/>
                <w:color w:val="auto"/>
                <w:w w:val="91"/>
              </w:rPr>
              <w:t>Delaware</w:t>
            </w:r>
          </w:p>
        </w:tc>
        <w:tc>
          <w:tcPr>
            <w:tcW w:w="2960" w:type="dxa"/>
            <w:vAlign w:val="bottom"/>
          </w:tcPr>
          <w:p>
            <w:pPr>
              <w:jc w:val="right"/>
              <w:ind w:right="1150"/>
              <w:spacing w:after="0"/>
              <w:rPr>
                <w:sz w:val="20"/>
                <w:szCs w:val="20"/>
                <w:color w:val="auto"/>
              </w:rPr>
            </w:pPr>
            <w:r>
              <w:rPr>
                <w:rFonts w:ascii="Arial" w:cs="Arial" w:eastAsia="Arial" w:hAnsi="Arial"/>
                <w:sz w:val="18"/>
                <w:szCs w:val="18"/>
                <w:b w:val="1"/>
                <w:bCs w:val="1"/>
                <w:color w:val="auto"/>
              </w:rPr>
              <w:t>001-39830</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120" w:type="dxa"/>
            <w:vAlign w:val="bottom"/>
          </w:tcPr>
          <w:p>
            <w:pPr>
              <w:jc w:val="center"/>
              <w:ind w:right="270"/>
              <w:spacing w:after="0"/>
              <w:rPr>
                <w:sz w:val="20"/>
                <w:szCs w:val="20"/>
                <w:color w:val="auto"/>
              </w:rPr>
            </w:pPr>
            <w:r>
              <w:rPr>
                <w:rFonts w:ascii="Arial" w:cs="Arial" w:eastAsia="Arial" w:hAnsi="Arial"/>
                <w:sz w:val="18"/>
                <w:szCs w:val="18"/>
                <w:b w:val="1"/>
                <w:bCs w:val="1"/>
                <w:color w:val="auto"/>
                <w:w w:val="91"/>
              </w:rPr>
              <w:t>84-2968594</w:t>
            </w:r>
          </w:p>
        </w:tc>
      </w:tr>
      <w:tr>
        <w:trPr>
          <w:trHeight w:val="202"/>
        </w:trPr>
        <w:tc>
          <w:tcPr>
            <w:tcW w:w="3820" w:type="dxa"/>
            <w:vAlign w:val="bottom"/>
            <w:tcBorders>
              <w:top w:val="single" w:sz="8" w:color="auto"/>
            </w:tcBorders>
            <w:gridSpan w:val="2"/>
          </w:tcPr>
          <w:p>
            <w:pPr>
              <w:jc w:val="center"/>
              <w:spacing w:after="0" w:line="201" w:lineRule="exact"/>
              <w:rPr>
                <w:sz w:val="20"/>
                <w:szCs w:val="20"/>
                <w:color w:val="auto"/>
              </w:rPr>
            </w:pPr>
            <w:r>
              <w:rPr>
                <w:rFonts w:ascii="Arial" w:cs="Arial" w:eastAsia="Arial" w:hAnsi="Arial"/>
                <w:sz w:val="18"/>
                <w:szCs w:val="18"/>
                <w:color w:val="auto"/>
                <w:w w:val="91"/>
              </w:rPr>
              <w:t>(State or other jurisdiction</w:t>
            </w:r>
          </w:p>
        </w:tc>
        <w:tc>
          <w:tcPr>
            <w:tcW w:w="240" w:type="dxa"/>
            <w:vAlign w:val="bottom"/>
          </w:tcPr>
          <w:p>
            <w:pPr>
              <w:spacing w:after="0"/>
              <w:rPr>
                <w:sz w:val="17"/>
                <w:szCs w:val="17"/>
                <w:color w:val="auto"/>
              </w:rPr>
            </w:pPr>
          </w:p>
        </w:tc>
        <w:tc>
          <w:tcPr>
            <w:tcW w:w="400" w:type="dxa"/>
            <w:vAlign w:val="bottom"/>
            <w:tcBorders>
              <w:top w:val="single" w:sz="8" w:color="auto"/>
            </w:tcBorders>
          </w:tcPr>
          <w:p>
            <w:pPr>
              <w:spacing w:after="0"/>
              <w:rPr>
                <w:sz w:val="17"/>
                <w:szCs w:val="17"/>
                <w:color w:val="auto"/>
              </w:rPr>
            </w:pPr>
          </w:p>
        </w:tc>
        <w:tc>
          <w:tcPr>
            <w:tcW w:w="3060" w:type="dxa"/>
            <w:vAlign w:val="bottom"/>
            <w:tcBorders>
              <w:top w:val="single" w:sz="8" w:color="auto"/>
            </w:tcBorders>
            <w:gridSpan w:val="2"/>
          </w:tcPr>
          <w:p>
            <w:pPr>
              <w:jc w:val="center"/>
              <w:ind w:right="400"/>
              <w:spacing w:after="0" w:line="201" w:lineRule="exact"/>
              <w:rPr>
                <w:sz w:val="20"/>
                <w:szCs w:val="20"/>
                <w:color w:val="auto"/>
              </w:rPr>
            </w:pPr>
            <w:r>
              <w:rPr>
                <w:rFonts w:ascii="Arial" w:cs="Arial" w:eastAsia="Arial" w:hAnsi="Arial"/>
                <w:sz w:val="18"/>
                <w:szCs w:val="18"/>
                <w:color w:val="auto"/>
                <w:w w:val="92"/>
              </w:rPr>
              <w:t>(Commission File Number)</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3120" w:type="dxa"/>
            <w:vAlign w:val="bottom"/>
            <w:tcBorders>
              <w:top w:val="single" w:sz="8" w:color="auto"/>
            </w:tcBorders>
          </w:tcPr>
          <w:p>
            <w:pPr>
              <w:jc w:val="center"/>
              <w:ind w:right="270"/>
              <w:spacing w:after="0" w:line="201" w:lineRule="exact"/>
              <w:rPr>
                <w:sz w:val="20"/>
                <w:szCs w:val="20"/>
                <w:color w:val="auto"/>
              </w:rPr>
            </w:pPr>
            <w:r>
              <w:rPr>
                <w:rFonts w:ascii="Arial" w:cs="Arial" w:eastAsia="Arial" w:hAnsi="Arial"/>
                <w:sz w:val="18"/>
                <w:szCs w:val="18"/>
                <w:color w:val="auto"/>
                <w:w w:val="92"/>
              </w:rPr>
              <w:t>(IRS Employer</w:t>
            </w:r>
          </w:p>
        </w:tc>
      </w:tr>
      <w:tr>
        <w:trPr>
          <w:trHeight w:val="230"/>
        </w:trPr>
        <w:tc>
          <w:tcPr>
            <w:tcW w:w="4460" w:type="dxa"/>
            <w:vAlign w:val="bottom"/>
            <w:gridSpan w:val="4"/>
          </w:tcPr>
          <w:p>
            <w:pPr>
              <w:jc w:val="center"/>
              <w:ind w:right="640"/>
              <w:spacing w:after="0"/>
              <w:rPr>
                <w:sz w:val="20"/>
                <w:szCs w:val="20"/>
                <w:color w:val="auto"/>
              </w:rPr>
            </w:pPr>
            <w:r>
              <w:rPr>
                <w:rFonts w:ascii="Arial" w:cs="Arial" w:eastAsia="Arial" w:hAnsi="Arial"/>
                <w:sz w:val="18"/>
                <w:szCs w:val="18"/>
                <w:color w:val="auto"/>
                <w:w w:val="93"/>
              </w:rPr>
              <w:t>of incorporation)</w:t>
            </w:r>
          </w:p>
        </w:tc>
        <w:tc>
          <w:tcPr>
            <w:tcW w:w="2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120" w:type="dxa"/>
            <w:vAlign w:val="bottom"/>
          </w:tcPr>
          <w:p>
            <w:pPr>
              <w:jc w:val="center"/>
              <w:ind w:right="290"/>
              <w:spacing w:after="0"/>
              <w:rPr>
                <w:sz w:val="20"/>
                <w:szCs w:val="20"/>
                <w:color w:val="auto"/>
              </w:rPr>
            </w:pPr>
            <w:r>
              <w:rPr>
                <w:rFonts w:ascii="Arial" w:cs="Arial" w:eastAsia="Arial" w:hAnsi="Arial"/>
                <w:sz w:val="18"/>
                <w:szCs w:val="18"/>
                <w:color w:val="auto"/>
                <w:w w:val="95"/>
              </w:rPr>
              <w:t>Identification No.)</w:t>
            </w:r>
          </w:p>
        </w:tc>
      </w:tr>
      <w:tr>
        <w:trPr>
          <w:trHeight w:val="414"/>
        </w:trPr>
        <w:tc>
          <w:tcPr>
            <w:tcW w:w="3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660" w:type="dxa"/>
            <w:vAlign w:val="bottom"/>
            <w:gridSpan w:val="5"/>
          </w:tcPr>
          <w:p>
            <w:pPr>
              <w:jc w:val="center"/>
              <w:ind w:right="1320"/>
              <w:spacing w:after="0"/>
              <w:rPr>
                <w:sz w:val="20"/>
                <w:szCs w:val="20"/>
                <w:color w:val="auto"/>
              </w:rPr>
            </w:pPr>
            <w:r>
              <w:rPr>
                <w:rFonts w:ascii="Arial" w:cs="Arial" w:eastAsia="Arial" w:hAnsi="Arial"/>
                <w:sz w:val="18"/>
                <w:szCs w:val="18"/>
                <w:b w:val="1"/>
                <w:bCs w:val="1"/>
                <w:color w:val="auto"/>
                <w:w w:val="92"/>
              </w:rPr>
              <w:t>985 Industrial Road</w:t>
            </w:r>
          </w:p>
        </w:tc>
        <w:tc>
          <w:tcPr>
            <w:tcW w:w="3120" w:type="dxa"/>
            <w:vAlign w:val="bottom"/>
          </w:tcPr>
          <w:p>
            <w:pPr>
              <w:spacing w:after="0"/>
              <w:rPr>
                <w:sz w:val="24"/>
                <w:szCs w:val="24"/>
                <w:color w:val="auto"/>
              </w:rPr>
            </w:pPr>
          </w:p>
        </w:tc>
      </w:tr>
      <w:tr>
        <w:trPr>
          <w:trHeight w:val="220"/>
        </w:trPr>
        <w:tc>
          <w:tcPr>
            <w:tcW w:w="36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660" w:type="dxa"/>
            <w:vAlign w:val="bottom"/>
            <w:gridSpan w:val="5"/>
          </w:tcPr>
          <w:p>
            <w:pPr>
              <w:jc w:val="center"/>
              <w:ind w:right="1340"/>
              <w:spacing w:after="0"/>
              <w:rPr>
                <w:sz w:val="20"/>
                <w:szCs w:val="20"/>
                <w:color w:val="auto"/>
              </w:rPr>
            </w:pPr>
            <w:r>
              <w:rPr>
                <w:rFonts w:ascii="Arial" w:cs="Arial" w:eastAsia="Arial" w:hAnsi="Arial"/>
                <w:sz w:val="18"/>
                <w:szCs w:val="18"/>
                <w:b w:val="1"/>
                <w:bCs w:val="1"/>
                <w:color w:val="auto"/>
                <w:w w:val="90"/>
              </w:rPr>
              <w:t>San Carlos, CA 94070</w:t>
            </w:r>
          </w:p>
        </w:tc>
        <w:tc>
          <w:tcPr>
            <w:tcW w:w="3120" w:type="dxa"/>
            <w:vAlign w:val="bottom"/>
          </w:tcPr>
          <w:p>
            <w:pPr>
              <w:spacing w:after="0"/>
              <w:rPr>
                <w:sz w:val="19"/>
                <w:szCs w:val="19"/>
                <w:color w:val="auto"/>
              </w:rPr>
            </w:pPr>
          </w:p>
        </w:tc>
      </w:tr>
      <w:tr>
        <w:trPr>
          <w:trHeight w:val="230"/>
        </w:trPr>
        <w:tc>
          <w:tcPr>
            <w:tcW w:w="8120" w:type="dxa"/>
            <w:vAlign w:val="bottom"/>
            <w:gridSpan w:val="9"/>
          </w:tcPr>
          <w:p>
            <w:pPr>
              <w:jc w:val="center"/>
              <w:ind w:left="3030"/>
              <w:spacing w:after="0"/>
              <w:rPr>
                <w:sz w:val="20"/>
                <w:szCs w:val="20"/>
                <w:color w:val="auto"/>
              </w:rPr>
            </w:pPr>
            <w:r>
              <w:rPr>
                <w:rFonts w:ascii="Arial" w:cs="Arial" w:eastAsia="Arial" w:hAnsi="Arial"/>
                <w:sz w:val="18"/>
                <w:szCs w:val="18"/>
                <w:color w:val="auto"/>
                <w:w w:val="92"/>
              </w:rPr>
              <w:t>(Address of principal executive offices, including zip code)</w:t>
            </w:r>
          </w:p>
        </w:tc>
        <w:tc>
          <w:tcPr>
            <w:tcW w:w="3120" w:type="dxa"/>
            <w:vAlign w:val="bottom"/>
          </w:tcPr>
          <w:p>
            <w:pPr>
              <w:spacing w:after="0"/>
              <w:rPr>
                <w:sz w:val="20"/>
                <w:szCs w:val="20"/>
                <w:color w:val="auto"/>
              </w:rPr>
            </w:pPr>
          </w:p>
        </w:tc>
      </w:tr>
      <w:tr>
        <w:trPr>
          <w:trHeight w:val="432"/>
        </w:trPr>
        <w:tc>
          <w:tcPr>
            <w:tcW w:w="8120" w:type="dxa"/>
            <w:vAlign w:val="bottom"/>
            <w:gridSpan w:val="9"/>
          </w:tcPr>
          <w:p>
            <w:pPr>
              <w:jc w:val="center"/>
              <w:ind w:left="3030"/>
              <w:spacing w:after="0"/>
              <w:rPr>
                <w:sz w:val="20"/>
                <w:szCs w:val="20"/>
                <w:color w:val="auto"/>
              </w:rPr>
            </w:pPr>
            <w:r>
              <w:rPr>
                <w:rFonts w:ascii="Arial" w:cs="Arial" w:eastAsia="Arial" w:hAnsi="Arial"/>
                <w:sz w:val="18"/>
                <w:szCs w:val="18"/>
                <w:color w:val="auto"/>
                <w:w w:val="90"/>
              </w:rPr>
              <w:t>Registrant’s telephone number, including area code</w:t>
            </w:r>
            <w:r>
              <w:rPr>
                <w:rFonts w:ascii="Arial" w:cs="Arial" w:eastAsia="Arial" w:hAnsi="Arial"/>
                <w:sz w:val="18"/>
                <w:szCs w:val="18"/>
                <w:b w:val="1"/>
                <w:bCs w:val="1"/>
                <w:color w:val="auto"/>
                <w:w w:val="90"/>
              </w:rPr>
              <w:t>: (650) 817-9012</w:t>
            </w:r>
          </w:p>
        </w:tc>
        <w:tc>
          <w:tcPr>
            <w:tcW w:w="3120" w:type="dxa"/>
            <w:vAlign w:val="bottom"/>
          </w:tcPr>
          <w:p>
            <w:pPr>
              <w:spacing w:after="0"/>
              <w:rPr>
                <w:sz w:val="24"/>
                <w:szCs w:val="24"/>
                <w:color w:val="auto"/>
              </w:rPr>
            </w:pPr>
          </w:p>
        </w:tc>
      </w:tr>
      <w:tr>
        <w:trPr>
          <w:trHeight w:val="418"/>
        </w:trPr>
        <w:tc>
          <w:tcPr>
            <w:tcW w:w="3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660" w:type="dxa"/>
            <w:vAlign w:val="bottom"/>
            <w:gridSpan w:val="5"/>
          </w:tcPr>
          <w:p>
            <w:pPr>
              <w:jc w:val="center"/>
              <w:ind w:right="1320"/>
              <w:spacing w:after="0"/>
              <w:rPr>
                <w:sz w:val="20"/>
                <w:szCs w:val="20"/>
                <w:color w:val="auto"/>
              </w:rPr>
            </w:pPr>
            <w:r>
              <w:rPr>
                <w:rFonts w:ascii="Arial" w:cs="Arial" w:eastAsia="Arial" w:hAnsi="Arial"/>
                <w:sz w:val="18"/>
                <w:szCs w:val="18"/>
                <w:b w:val="1"/>
                <w:bCs w:val="1"/>
                <w:color w:val="auto"/>
                <w:w w:val="90"/>
              </w:rPr>
              <w:t>Not Applicable</w:t>
            </w:r>
          </w:p>
        </w:tc>
        <w:tc>
          <w:tcPr>
            <w:tcW w:w="3120" w:type="dxa"/>
            <w:vAlign w:val="bottom"/>
          </w:tcPr>
          <w:p>
            <w:pPr>
              <w:spacing w:after="0"/>
              <w:rPr>
                <w:sz w:val="24"/>
                <w:szCs w:val="24"/>
                <w:color w:val="auto"/>
              </w:rPr>
            </w:pPr>
          </w:p>
        </w:tc>
      </w:tr>
      <w:tr>
        <w:trPr>
          <w:trHeight w:val="230"/>
        </w:trPr>
        <w:tc>
          <w:tcPr>
            <w:tcW w:w="8120" w:type="dxa"/>
            <w:vAlign w:val="bottom"/>
            <w:gridSpan w:val="9"/>
          </w:tcPr>
          <w:p>
            <w:pPr>
              <w:jc w:val="center"/>
              <w:ind w:left="3050"/>
              <w:spacing w:after="0"/>
              <w:rPr>
                <w:sz w:val="20"/>
                <w:szCs w:val="20"/>
                <w:color w:val="auto"/>
              </w:rPr>
            </w:pPr>
            <w:r>
              <w:rPr>
                <w:rFonts w:ascii="Arial" w:cs="Arial" w:eastAsia="Arial" w:hAnsi="Arial"/>
                <w:sz w:val="18"/>
                <w:szCs w:val="18"/>
                <w:color w:val="auto"/>
                <w:w w:val="89"/>
              </w:rPr>
              <w:t>(Former name or former address, if changed since last report)</w:t>
            </w:r>
          </w:p>
        </w:tc>
        <w:tc>
          <w:tcPr>
            <w:tcW w:w="3120" w:type="dxa"/>
            <w:vAlign w:val="bottom"/>
          </w:tcPr>
          <w:p>
            <w:pPr>
              <w:spacing w:after="0"/>
              <w:rPr>
                <w:sz w:val="20"/>
                <w:szCs w:val="20"/>
                <w:color w:val="auto"/>
              </w:rPr>
            </w:pPr>
          </w:p>
        </w:tc>
      </w:tr>
      <w:tr>
        <w:trPr>
          <w:trHeight w:val="432"/>
        </w:trPr>
        <w:tc>
          <w:tcPr>
            <w:tcW w:w="4460" w:type="dxa"/>
            <w:vAlign w:val="bottom"/>
            <w:gridSpan w:val="4"/>
          </w:tcPr>
          <w:p>
            <w:pPr>
              <w:spacing w:after="0"/>
              <w:rPr>
                <w:sz w:val="20"/>
                <w:szCs w:val="20"/>
                <w:color w:val="auto"/>
              </w:rPr>
            </w:pPr>
            <w:r>
              <w:rPr>
                <w:rFonts w:ascii="Arial" w:cs="Arial" w:eastAsia="Arial" w:hAnsi="Arial"/>
                <w:sz w:val="18"/>
                <w:szCs w:val="18"/>
                <w:color w:val="auto"/>
                <w:w w:val="97"/>
              </w:rPr>
              <w:t>Securities registered pursuant to Section 12(b) of the Act:</w:t>
            </w:r>
          </w:p>
        </w:tc>
        <w:tc>
          <w:tcPr>
            <w:tcW w:w="2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120" w:type="dxa"/>
            <w:vAlign w:val="bottom"/>
          </w:tcPr>
          <w:p>
            <w:pPr>
              <w:spacing w:after="0"/>
              <w:rPr>
                <w:sz w:val="24"/>
                <w:szCs w:val="24"/>
                <w:color w:val="auto"/>
              </w:rPr>
            </w:pPr>
          </w:p>
        </w:tc>
      </w:tr>
      <w:tr>
        <w:trPr>
          <w:trHeight w:val="414"/>
        </w:trPr>
        <w:tc>
          <w:tcPr>
            <w:tcW w:w="3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120" w:type="dxa"/>
            <w:vAlign w:val="bottom"/>
          </w:tcPr>
          <w:p>
            <w:pPr>
              <w:jc w:val="center"/>
              <w:ind w:right="390"/>
              <w:spacing w:after="0"/>
              <w:rPr>
                <w:sz w:val="20"/>
                <w:szCs w:val="20"/>
                <w:color w:val="auto"/>
              </w:rPr>
            </w:pPr>
            <w:r>
              <w:rPr>
                <w:rFonts w:ascii="Arial" w:cs="Arial" w:eastAsia="Arial" w:hAnsi="Arial"/>
                <w:sz w:val="18"/>
                <w:szCs w:val="18"/>
                <w:b w:val="1"/>
                <w:bCs w:val="1"/>
                <w:color w:val="auto"/>
                <w:w w:val="87"/>
              </w:rPr>
              <w:t>Name of each exchange on which</w:t>
            </w:r>
          </w:p>
        </w:tc>
      </w:tr>
      <w:tr>
        <w:trPr>
          <w:trHeight w:val="241"/>
        </w:trPr>
        <w:tc>
          <w:tcPr>
            <w:tcW w:w="4460" w:type="dxa"/>
            <w:vAlign w:val="bottom"/>
            <w:gridSpan w:val="4"/>
          </w:tcPr>
          <w:p>
            <w:pPr>
              <w:jc w:val="center"/>
              <w:ind w:right="860"/>
              <w:spacing w:after="0"/>
              <w:rPr>
                <w:sz w:val="20"/>
                <w:szCs w:val="20"/>
                <w:color w:val="auto"/>
              </w:rPr>
            </w:pPr>
            <w:r>
              <w:rPr>
                <w:rFonts w:ascii="Arial" w:cs="Arial" w:eastAsia="Arial" w:hAnsi="Arial"/>
                <w:sz w:val="18"/>
                <w:szCs w:val="18"/>
                <w:b w:val="1"/>
                <w:bCs w:val="1"/>
                <w:color w:val="auto"/>
                <w:w w:val="87"/>
              </w:rPr>
              <w:t>Title of each class</w:t>
            </w:r>
          </w:p>
        </w:tc>
        <w:tc>
          <w:tcPr>
            <w:tcW w:w="3660" w:type="dxa"/>
            <w:vAlign w:val="bottom"/>
            <w:gridSpan w:val="5"/>
          </w:tcPr>
          <w:p>
            <w:pPr>
              <w:jc w:val="center"/>
              <w:ind w:right="1340"/>
              <w:spacing w:after="0"/>
              <w:rPr>
                <w:sz w:val="20"/>
                <w:szCs w:val="20"/>
                <w:color w:val="auto"/>
              </w:rPr>
            </w:pPr>
            <w:r>
              <w:rPr>
                <w:rFonts w:ascii="Arial" w:cs="Arial" w:eastAsia="Arial" w:hAnsi="Arial"/>
                <w:sz w:val="18"/>
                <w:szCs w:val="18"/>
                <w:b w:val="1"/>
                <w:bCs w:val="1"/>
                <w:color w:val="auto"/>
                <w:w w:val="91"/>
              </w:rPr>
              <w:t>Trading Symbol(s)</w:t>
            </w:r>
          </w:p>
        </w:tc>
        <w:tc>
          <w:tcPr>
            <w:tcW w:w="3120" w:type="dxa"/>
            <w:vAlign w:val="bottom"/>
          </w:tcPr>
          <w:p>
            <w:pPr>
              <w:jc w:val="center"/>
              <w:ind w:right="390"/>
              <w:spacing w:after="0"/>
              <w:rPr>
                <w:sz w:val="20"/>
                <w:szCs w:val="20"/>
                <w:color w:val="auto"/>
              </w:rPr>
            </w:pPr>
            <w:r>
              <w:rPr>
                <w:rFonts w:ascii="Arial" w:cs="Arial" w:eastAsia="Arial" w:hAnsi="Arial"/>
                <w:sz w:val="18"/>
                <w:szCs w:val="18"/>
                <w:b w:val="1"/>
                <w:bCs w:val="1"/>
                <w:color w:val="auto"/>
                <w:w w:val="87"/>
              </w:rPr>
              <w:t>registered</w:t>
            </w:r>
          </w:p>
        </w:tc>
      </w:tr>
      <w:tr>
        <w:trPr>
          <w:trHeight w:val="216"/>
        </w:trPr>
        <w:tc>
          <w:tcPr>
            <w:tcW w:w="36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Common stock, par value $0.0001 per share</w:t>
            </w:r>
          </w:p>
        </w:tc>
        <w:tc>
          <w:tcPr>
            <w:tcW w:w="22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gridSpan w:val="2"/>
            <w:shd w:val="clear" w:color="auto" w:fill="CCEEFF"/>
          </w:tcPr>
          <w:p>
            <w:pPr>
              <w:spacing w:after="0"/>
              <w:rPr>
                <w:sz w:val="18"/>
                <w:szCs w:val="18"/>
                <w:color w:val="auto"/>
              </w:rPr>
            </w:pPr>
          </w:p>
        </w:tc>
        <w:tc>
          <w:tcPr>
            <w:tcW w:w="2960" w:type="dxa"/>
            <w:vAlign w:val="bottom"/>
            <w:tcBorders>
              <w:top w:val="single" w:sz="8" w:color="auto"/>
            </w:tcBorders>
            <w:shd w:val="clear" w:color="auto" w:fill="CCEEFF"/>
          </w:tcPr>
          <w:p>
            <w:pPr>
              <w:jc w:val="center"/>
              <w:ind w:right="550"/>
              <w:spacing w:after="0"/>
              <w:rPr>
                <w:sz w:val="20"/>
                <w:szCs w:val="20"/>
                <w:color w:val="auto"/>
              </w:rPr>
            </w:pPr>
            <w:r>
              <w:rPr>
                <w:rFonts w:ascii="Arial" w:cs="Arial" w:eastAsia="Arial" w:hAnsi="Arial"/>
                <w:sz w:val="18"/>
                <w:szCs w:val="18"/>
                <w:color w:val="auto"/>
                <w:w w:val="91"/>
              </w:rPr>
              <w:t>PRST</w:t>
            </w:r>
          </w:p>
        </w:tc>
        <w:tc>
          <w:tcPr>
            <w:tcW w:w="220" w:type="dxa"/>
            <w:vAlign w:val="bottom"/>
            <w:tcBorders>
              <w:top w:val="single" w:sz="8" w:color="CCEEFF"/>
            </w:tcBorders>
            <w:gridSpan w:val="2"/>
            <w:shd w:val="clear" w:color="auto" w:fill="CCEEFF"/>
          </w:tcPr>
          <w:p>
            <w:pPr>
              <w:spacing w:after="0"/>
              <w:rPr>
                <w:sz w:val="18"/>
                <w:szCs w:val="18"/>
                <w:color w:val="auto"/>
              </w:rPr>
            </w:pPr>
          </w:p>
        </w:tc>
        <w:tc>
          <w:tcPr>
            <w:tcW w:w="480" w:type="dxa"/>
            <w:vAlign w:val="bottom"/>
            <w:tcBorders>
              <w:top w:val="single" w:sz="8" w:color="auto"/>
            </w:tcBorders>
            <w:gridSpan w:val="2"/>
            <w:shd w:val="clear" w:color="auto" w:fill="CCEEFF"/>
          </w:tcPr>
          <w:p>
            <w:pPr>
              <w:spacing w:after="0"/>
              <w:rPr>
                <w:sz w:val="18"/>
                <w:szCs w:val="18"/>
                <w:color w:val="auto"/>
              </w:rPr>
            </w:pPr>
          </w:p>
        </w:tc>
        <w:tc>
          <w:tcPr>
            <w:tcW w:w="3120" w:type="dxa"/>
            <w:vAlign w:val="bottom"/>
            <w:tcBorders>
              <w:top w:val="single" w:sz="8" w:color="auto"/>
            </w:tcBorders>
            <w:shd w:val="clear" w:color="auto" w:fill="CCEEFF"/>
          </w:tcPr>
          <w:p>
            <w:pPr>
              <w:jc w:val="center"/>
              <w:ind w:right="390"/>
              <w:spacing w:after="0"/>
              <w:rPr>
                <w:sz w:val="20"/>
                <w:szCs w:val="20"/>
                <w:color w:val="auto"/>
              </w:rPr>
            </w:pPr>
            <w:r>
              <w:rPr>
                <w:rFonts w:ascii="Arial" w:cs="Arial" w:eastAsia="Arial" w:hAnsi="Arial"/>
                <w:sz w:val="18"/>
                <w:szCs w:val="18"/>
                <w:color w:val="auto"/>
                <w:w w:val="92"/>
              </w:rPr>
              <w:t>The Nasdaq Stock Market LLC</w:t>
            </w:r>
          </w:p>
        </w:tc>
      </w:tr>
      <w:tr>
        <w:trPr>
          <w:trHeight w:val="202"/>
        </w:trPr>
        <w:tc>
          <w:tcPr>
            <w:tcW w:w="4460" w:type="dxa"/>
            <w:vAlign w:val="bottom"/>
            <w:gridSpan w:val="4"/>
          </w:tcPr>
          <w:p>
            <w:pPr>
              <w:jc w:val="center"/>
              <w:ind w:right="860"/>
              <w:spacing w:after="0" w:line="201" w:lineRule="exact"/>
              <w:rPr>
                <w:sz w:val="20"/>
                <w:szCs w:val="20"/>
                <w:color w:val="auto"/>
              </w:rPr>
            </w:pPr>
            <w:r>
              <w:rPr>
                <w:rFonts w:ascii="Arial" w:cs="Arial" w:eastAsia="Arial" w:hAnsi="Arial"/>
                <w:sz w:val="18"/>
                <w:szCs w:val="18"/>
                <w:color w:val="auto"/>
                <w:w w:val="89"/>
              </w:rPr>
              <w:t>Warrants, each whole warrant exercisable for one</w:t>
            </w:r>
          </w:p>
        </w:tc>
        <w:tc>
          <w:tcPr>
            <w:tcW w:w="3660" w:type="dxa"/>
            <w:vAlign w:val="bottom"/>
            <w:gridSpan w:val="5"/>
          </w:tcPr>
          <w:p>
            <w:pPr>
              <w:jc w:val="center"/>
              <w:ind w:right="1340"/>
              <w:spacing w:after="0" w:line="201" w:lineRule="exact"/>
              <w:rPr>
                <w:sz w:val="20"/>
                <w:szCs w:val="20"/>
                <w:color w:val="auto"/>
              </w:rPr>
            </w:pPr>
            <w:r>
              <w:rPr>
                <w:rFonts w:ascii="Arial" w:cs="Arial" w:eastAsia="Arial" w:hAnsi="Arial"/>
                <w:sz w:val="18"/>
                <w:szCs w:val="18"/>
                <w:color w:val="auto"/>
                <w:w w:val="92"/>
              </w:rPr>
              <w:t>PRSTW</w:t>
            </w:r>
          </w:p>
        </w:tc>
        <w:tc>
          <w:tcPr>
            <w:tcW w:w="3120" w:type="dxa"/>
            <w:vAlign w:val="bottom"/>
          </w:tcPr>
          <w:p>
            <w:pPr>
              <w:jc w:val="center"/>
              <w:ind w:right="390"/>
              <w:spacing w:after="0" w:line="201" w:lineRule="exact"/>
              <w:rPr>
                <w:sz w:val="20"/>
                <w:szCs w:val="20"/>
                <w:color w:val="auto"/>
              </w:rPr>
            </w:pPr>
            <w:r>
              <w:rPr>
                <w:rFonts w:ascii="Arial" w:cs="Arial" w:eastAsia="Arial" w:hAnsi="Arial"/>
                <w:sz w:val="18"/>
                <w:szCs w:val="18"/>
                <w:color w:val="auto"/>
                <w:w w:val="92"/>
              </w:rPr>
              <w:t>The Nasdaq Stock Market LLC</w:t>
            </w:r>
          </w:p>
        </w:tc>
      </w:tr>
      <w:tr>
        <w:trPr>
          <w:trHeight w:val="230"/>
        </w:trPr>
        <w:tc>
          <w:tcPr>
            <w:tcW w:w="4460" w:type="dxa"/>
            <w:vAlign w:val="bottom"/>
            <w:gridSpan w:val="4"/>
          </w:tcPr>
          <w:p>
            <w:pPr>
              <w:jc w:val="center"/>
              <w:ind w:right="860"/>
              <w:spacing w:after="0"/>
              <w:rPr>
                <w:sz w:val="20"/>
                <w:szCs w:val="20"/>
                <w:color w:val="auto"/>
              </w:rPr>
            </w:pPr>
            <w:r>
              <w:rPr>
                <w:rFonts w:ascii="Arial" w:cs="Arial" w:eastAsia="Arial" w:hAnsi="Arial"/>
                <w:sz w:val="18"/>
                <w:szCs w:val="18"/>
                <w:color w:val="auto"/>
                <w:w w:val="90"/>
              </w:rPr>
              <w:t>share of common stock</w:t>
            </w:r>
          </w:p>
        </w:tc>
        <w:tc>
          <w:tcPr>
            <w:tcW w:w="2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120" w:type="dxa"/>
            <w:vAlign w:val="bottom"/>
          </w:tcPr>
          <w:p>
            <w:pPr>
              <w:spacing w:after="0"/>
              <w:rPr>
                <w:sz w:val="20"/>
                <w:szCs w:val="20"/>
                <w:color w:val="auto"/>
              </w:rPr>
            </w:pPr>
          </w:p>
        </w:tc>
      </w:tr>
    </w:tbl>
    <w:p>
      <w:pPr>
        <w:spacing w:after="0" w:line="202" w:lineRule="exact"/>
        <w:rPr>
          <w:sz w:val="24"/>
          <w:szCs w:val="24"/>
          <w:color w:val="auto"/>
        </w:rPr>
      </w:pPr>
    </w:p>
    <w:p>
      <w:pPr>
        <w:jc w:val="both"/>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340" w:hanging="328"/>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38" w:lineRule="exact"/>
        <w:rPr>
          <w:rFonts w:ascii="MS PGothic" w:cs="MS PGothic" w:eastAsia="MS PGothic" w:hAnsi="MS PGothic"/>
          <w:sz w:val="18"/>
          <w:szCs w:val="18"/>
          <w:color w:val="auto"/>
        </w:rPr>
      </w:pPr>
    </w:p>
    <w:p>
      <w:pPr>
        <w:ind w:left="340" w:hanging="328"/>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38" w:lineRule="exact"/>
        <w:rPr>
          <w:rFonts w:ascii="MS PGothic" w:cs="MS PGothic" w:eastAsia="MS PGothic" w:hAnsi="MS PGothic"/>
          <w:sz w:val="18"/>
          <w:szCs w:val="18"/>
          <w:color w:val="auto"/>
        </w:rPr>
      </w:pPr>
    </w:p>
    <w:p>
      <w:pPr>
        <w:ind w:left="340" w:hanging="328"/>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340" w:hanging="328"/>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5"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6"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70" w:lineRule="exact"/>
        <w:rPr>
          <w:sz w:val="24"/>
          <w:szCs w:val="24"/>
          <w:color w:val="auto"/>
        </w:rPr>
      </w:pPr>
    </w:p>
    <w:p>
      <w:pPr>
        <w:spacing w:after="0" w:line="238"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136525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582295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26" w:right="3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1.01. Entry into a Material Definitive Agreement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Purchase Agreement</w:t>
      </w:r>
    </w:p>
    <w:p>
      <w:pPr>
        <w:spacing w:after="0" w:line="225"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On May 22, 2023, Presto Automation Inc. (“Presto” or the “Company”) entered into a Securities Purchase Agreement (the “Purchase Agreement”) with certain accredited investors named in the Purchase Agreement (collectively, the “Purchasers”), pursuant to which the Company agreed to sell an aggregate of 4,760,500 newly issued shares of the Company’s common stock, $0.0001 par value per share (the “Common Stock”), at a purchase price of $2.00 per share (the “Private Placement”) for an aggregate purchase price of approximately $9.5 million. The Purchasers include existing shareholders of the Company and new investors. The Purchase Agreement contains customary representations, warranties and covenants of the parties, and the closing is subject to customary closing conditions. The Private Placement is expected to close on or around May 24, 2023.</w:t>
      </w:r>
    </w:p>
    <w:p>
      <w:pPr>
        <w:spacing w:after="0" w:line="164"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The foregoing summary of the Purchase Agreement does not purport to be complete and is subject to, and qualified in its entirety by, the full text of the Form of Purchase Agreement filed as Exhibit 10.1 to this Current Report on Form 8-K and incorporated herein by reference.</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Registration Rights Agreement</w:t>
      </w:r>
    </w:p>
    <w:p>
      <w:pPr>
        <w:spacing w:after="0" w:line="225"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6"/>
          <w:szCs w:val="16"/>
          <w:color w:val="auto"/>
        </w:rPr>
        <w:t>In connection with the Purchase Agreement and the Private Placement, on May 22, 2023, the Company also entered into a Registration Rights Agreement with the Purchasers (the “Registration Rights Agreement”). Under the Registration Rights Agreement, the Company has agreed to file a registration statement (“Registration Statement”) with the Securities and Exchange Commission (the “SEC”) within 30 days following the date of the Registration Rights Agreement for purposes of registering the resale of the shares of Common Stock issued in the Private Placement. The Company has also agreed to use commercially reasonable efforts to cause the SEC to declare the Registration Statement effective as promptly as possible after the filing</w:t>
      </w:r>
    </w:p>
    <w:p>
      <w:pPr>
        <w:spacing w:after="0" w:line="2"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auto"/>
        </w:rPr>
        <w:t>of the Registration Statement and no later than the earlier of (i) the 60</w:t>
      </w:r>
      <w:r>
        <w:rPr>
          <w:rFonts w:ascii="Arial" w:cs="Arial" w:eastAsia="Arial" w:hAnsi="Arial"/>
          <w:sz w:val="26"/>
          <w:szCs w:val="26"/>
          <w:color w:val="auto"/>
          <w:vertAlign w:val="superscript"/>
        </w:rPr>
        <w:t>th</w:t>
      </w:r>
      <w:r>
        <w:rPr>
          <w:rFonts w:ascii="Arial" w:cs="Arial" w:eastAsia="Arial" w:hAnsi="Arial"/>
          <w:sz w:val="16"/>
          <w:szCs w:val="16"/>
          <w:color w:val="auto"/>
        </w:rPr>
        <w:t xml:space="preserve"> calendar day following the date on which an additional Registration Statement is required to be filed under the Registration Rights Agreement (or, in the event of a “full review” by the Securities and Exchange Commission (the</w:t>
      </w:r>
    </w:p>
    <w:p>
      <w:pPr>
        <w:spacing w:after="0" w:line="2" w:lineRule="exact"/>
        <w:rPr>
          <w:sz w:val="20"/>
          <w:szCs w:val="20"/>
          <w:color w:val="auto"/>
        </w:rPr>
      </w:pPr>
    </w:p>
    <w:p>
      <w:pPr>
        <w:jc w:val="both"/>
        <w:spacing w:after="0" w:line="273" w:lineRule="auto"/>
        <w:rPr>
          <w:sz w:val="20"/>
          <w:szCs w:val="20"/>
          <w:color w:val="auto"/>
        </w:rPr>
      </w:pPr>
      <w:r>
        <w:rPr>
          <w:rFonts w:ascii="Arial" w:cs="Arial" w:eastAsia="Arial" w:hAnsi="Arial"/>
          <w:sz w:val="16"/>
          <w:szCs w:val="16"/>
          <w:color w:val="auto"/>
        </w:rPr>
        <w:t>Commission”), the 90</w:t>
      </w:r>
      <w:r>
        <w:rPr>
          <w:rFonts w:ascii="Arial" w:cs="Arial" w:eastAsia="Arial" w:hAnsi="Arial"/>
          <w:sz w:val="26"/>
          <w:szCs w:val="26"/>
          <w:color w:val="auto"/>
          <w:vertAlign w:val="superscript"/>
        </w:rPr>
        <w:t>th</w:t>
      </w:r>
      <w:r>
        <w:rPr>
          <w:rFonts w:ascii="Arial" w:cs="Arial" w:eastAsia="Arial" w:hAnsi="Arial"/>
          <w:sz w:val="16"/>
          <w:szCs w:val="16"/>
          <w:color w:val="auto"/>
        </w:rPr>
        <w:t xml:space="preserve"> calendar day following the date such additional Registration Statement is required to be filed under the Registration Rights Agreement) and (ii) the 5th trading day after the date the Company is notified by the SEC that the Registration Statement will not be “reviewed” or will not be subject to further review. The Company also agreed to use its commercially reasonable efforts to keep each Registration Statement continuously effective under the Securities Act of 1933, as amended, (the “Securities Act”) until the earlier of (i) such time as all of the registrable securities covered by such Registration Statement have been sold by the holders publicly or sold pursuant to Rule 144 or (ii) the date that all registrable securities covered by such Registration Statement may be sold by non-affiliates of the Company without volume or manner-of-sale restrictions under Rule 144, and without the requirement for the Company to be in compliance with the current public information requirements under Rule 144, as determined by counsel to the Company pursuant to a written opinion letter to such effect, addressed and acceptable to the Company’s transfer agent and the affected holders.</w:t>
      </w:r>
    </w:p>
    <w:p>
      <w:pPr>
        <w:spacing w:after="0" w:line="179"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The foregoing summary of the Registration Rights Agreement does not purport to be complete and is subject to, and qualified in its entirety by, the full text of the Registration Rights Agreement filed as Exhibit 10.2 to this Current Report on Form 8-K and incorporated herein by reference.</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Second Amendment to Credit Agreement</w:t>
      </w:r>
    </w:p>
    <w:p>
      <w:pPr>
        <w:spacing w:after="0" w:line="225"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On May 22, 2023, the Company entered into a Second Amendment to Credit Agreement (the “Second Amendment”) with Metropolitan Partners Group Administration, LLC (“Metropolitan”), the administrative, payment and collateral agent for Metropolitan Levered Partners Fund VII, LP, Metropolitan Partners Fund VII, LP, Metropolitan Offshore Partners Fund VII, LP and CEOF Holdings LP (collectively, the “Lenders”), pursuant to which the parties amended certain covenants of the existing credit agreement, dated as of September 21, 2022 and as amended on March 31, 2023 (the “Credit Agreement”), and the Lenders agreed to the exchange of an aggregate of $1,000,000 of accrued and previously capitalized interest for warrants to purchase 500,000 shares of Common Stock at a purchase price of $0.01 per share (the “Conversion Warrants”). The effectiveness of the Second Amendment is conditioned, in part, upon evidence of a gross amount of additional equity investments of $9 million, to be used for working capital purposes, which the Company expects to receive upon closing of the Private Placement.</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 w:name="page3"/>
    <w:bookmarkEnd w:id="2"/>
    <w:p>
      <w:pPr>
        <w:jc w:val="both"/>
        <w:ind w:firstLine="648"/>
        <w:spacing w:after="0" w:line="257" w:lineRule="auto"/>
        <w:rPr>
          <w:sz w:val="20"/>
          <w:szCs w:val="20"/>
          <w:color w:val="auto"/>
        </w:rPr>
      </w:pPr>
      <w:r>
        <w:rPr>
          <w:rFonts w:ascii="Arial" w:cs="Arial" w:eastAsia="Arial" w:hAnsi="Arial"/>
          <w:sz w:val="18"/>
          <w:szCs w:val="18"/>
          <w:color w:val="auto"/>
        </w:rPr>
        <w:t>The amendments to the covenants in the Credit Agreement include: (i) revising the definition of “minimum unrestricted cash” from (A) an amount equal to the operating expenses of the Company determined on a consolidated basis for the prior six months plus $1,100,000 to (B) $10,000,000, to be held in a separate and blocked cash collateral account and (ii) adding a new financial covenant beginning for the month ending June 30, 2023, that restricts the decrease in the Company’s operating cash to no more than $10,000,000 for each rolling three month period, subject to certain customary operating fluctuations and adjustments.</w:t>
      </w:r>
    </w:p>
    <w:p>
      <w:pPr>
        <w:spacing w:after="0" w:line="18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foregoing summary of the Second Amendment does not purport to be complete and is subject to, and qualified in its entirety by, the full text of the Second Amendment filed as Exhibit 10.3 to this Current Report on Form 8-K and incorporated herein by reference.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Second Amended and Restated Fee Letter</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connection with the effectiveness of the Second Amendment and in consideration for Metropolitan’s entering into the Second Amendment, the Company intends to enter into the Second Amended and Restated Fee Letter (the “Fee Letter”) with Metropolitan, pursuant to which the Company issued warrants to purchase 2,000,000 shares of Common Stock, with an exercise price of $0.01 per share (the “Second Amendment Warrants” and, together with the Conversion Warrants, the “Warrants”), to the Lenders as an amendment fee.</w:t>
      </w:r>
    </w:p>
    <w:p>
      <w:pPr>
        <w:spacing w:after="0" w:line="18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foregoing summary of the Fee Letter does not purport to be complete and is subject to, and qualified in its entirety by, the full text of the Fee Letter filed as Exhibit 10.4 to this Current Report on Form 8-K and incorporated herein by reference.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Warrants to Purchase Common Stock</w:t>
      </w:r>
    </w:p>
    <w:p>
      <w:pPr>
        <w:spacing w:after="0" w:line="225"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 xml:space="preserve">In connection with the effectiveness of the Second Amendment, the Company will issue the Warrants. The Warrants may be exercised for cash or pursuant to a net exercise at any time on or before the date that is the five year anniversary of the date of the issuance of the Warrants; </w:t>
      </w:r>
      <w:r>
        <w:rPr>
          <w:rFonts w:ascii="Arial" w:cs="Arial" w:eastAsia="Arial" w:hAnsi="Arial"/>
          <w:sz w:val="16"/>
          <w:szCs w:val="16"/>
          <w:i w:val="1"/>
          <w:iCs w:val="1"/>
          <w:color w:val="auto"/>
        </w:rPr>
        <w:t>provided</w:t>
      </w:r>
      <w:r>
        <w:rPr>
          <w:rFonts w:ascii="Arial" w:cs="Arial" w:eastAsia="Arial" w:hAnsi="Arial"/>
          <w:sz w:val="16"/>
          <w:szCs w:val="16"/>
          <w:color w:val="auto"/>
        </w:rPr>
        <w:t>, that the Company shall not effect the exercise of any portion of the warrant to the extent that giving effect to such exercise, the holder thereof, together with its affiliates collectively would beneficially own in excess of 4.99% of the Common Stock outstanding immediately after giving effect to such exercise.</w:t>
      </w:r>
    </w:p>
    <w:p>
      <w:pPr>
        <w:spacing w:after="0" w:line="157"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6"/>
          <w:szCs w:val="16"/>
          <w:color w:val="auto"/>
        </w:rPr>
        <w:t>In connection with the issuance of the Warrants, the Company granted the Lenders customary registration rights with respect to the shares of Common Stock issuable upon exercise of the Warrants described above, pursuant to the registration rights agreement, dated as of March 31, 2023, by and among the Company and the Lenders (the “Metropolitan Registration Rights Agreement”). Under the Metropolitan Registration Rights Agreement, the Company has agreed to file a Registration Statement with the SEC within 30 days following the date of the issuance of the Warrants for purposes of registering the resale of the shares of Common Stock underlying the Warrants. The Company has also agreed to use its reasonable best efforts to cause the SEC to declare the Registration Statement effective as soon as possible after the filing of the Registration Statement and no later than the earlier of (i) the 60</w:t>
      </w:r>
      <w:r>
        <w:rPr>
          <w:rFonts w:ascii="Arial" w:cs="Arial" w:eastAsia="Arial" w:hAnsi="Arial"/>
          <w:sz w:val="26"/>
          <w:szCs w:val="26"/>
          <w:color w:val="auto"/>
          <w:vertAlign w:val="superscript"/>
        </w:rPr>
        <w:t>th</w:t>
      </w:r>
      <w:r>
        <w:rPr>
          <w:rFonts w:ascii="Arial" w:cs="Arial" w:eastAsia="Arial" w:hAnsi="Arial"/>
          <w:sz w:val="16"/>
          <w:szCs w:val="16"/>
          <w:color w:val="auto"/>
        </w:rPr>
        <w:t xml:space="preserve"> calendar day following the date on which an additional Registration Statement is required to be filed under the Registration Rights Agreement (or, in</w:t>
      </w:r>
    </w:p>
    <w:p>
      <w:pPr>
        <w:spacing w:after="0" w:line="2" w:lineRule="exact"/>
        <w:rPr>
          <w:sz w:val="20"/>
          <w:szCs w:val="20"/>
          <w:color w:val="auto"/>
        </w:rPr>
      </w:pPr>
    </w:p>
    <w:p>
      <w:pPr>
        <w:jc w:val="both"/>
        <w:spacing w:after="0" w:line="224" w:lineRule="auto"/>
        <w:rPr>
          <w:sz w:val="20"/>
          <w:szCs w:val="20"/>
          <w:color w:val="auto"/>
        </w:rPr>
      </w:pPr>
      <w:r>
        <w:rPr>
          <w:rFonts w:ascii="Arial" w:cs="Arial" w:eastAsia="Arial" w:hAnsi="Arial"/>
          <w:sz w:val="18"/>
          <w:szCs w:val="18"/>
          <w:color w:val="auto"/>
        </w:rPr>
        <w:t>the event of a “full review” by the Securities and Exchange Commission (the Commission”), the 90</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calendar day following the date such additional Registration Statement is required to be filed under the Registration Rights Agreement) and (ii) the 3rd business day after the date the Company is notified by the SEC that the Registration Statement will not be “reviewed” or will not be subject to further review.</w:t>
      </w:r>
    </w:p>
    <w:p>
      <w:pPr>
        <w:spacing w:after="0" w:line="20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foregoing summary of the Warrants and the Metropolitan Registration Rights Agreement does not purport to be complete and is subject to, and qualified in its entirety by, the full text of the Warrants and the Metropolitan Registration Rights Agreement filed as Exhibits 10.5, 10.6, 10.7, 10.8 and 10.9 to this Current Report on Form 8-K and incorporated herein by reference.</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color w:val="auto"/>
        </w:rPr>
        <w:t>Item 3.02. Unregistered Sales of Equity Securities.</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information regarding the Company’s issuance of Common Stock, the Conversion Warrants and the Second Amendment Warrants set forth in Item 1.01 of this Current Report on Form 8-K is incorporated by reference into this Item 3.02. The Common Stock to be issued pursuant to the Purchase Agreement, the Conversion Warrants issued pursuant to the Second Amendment and the Second Amendment Warrants issued pursuant to the Second Amendment and Fee Letter have not been registered under the Securities Act, and will be or were issued, in each case, in reliance upon the exemption provided in Section 4(a)(2) of the Securities Act.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7.01</w:t>
      </w:r>
    </w:p>
    <w:p>
      <w:pPr>
        <w:spacing w:after="0" w:line="229"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On May 22, 2023, Presto issued a press release announcing that it had entered into commitments for an approximately $10 million common equity PIPE and that, in parallel, it has negotiated certain changes to its credit facility with Metropolitan, including a decrease of the minimum cash covenant to $10 million effective upon the closing of the PIPE. The press release is attached hereto as Exhibit 99.1 and incorporated herein by reference.</w:t>
      </w:r>
    </w:p>
    <w:p>
      <w:pPr>
        <w:spacing w:after="0" w:line="14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information in this Item 7.01, including Exhibit 99.1, is furnished and shall not be deemed “filed” for purposes of Section 18 of the Securities Exchange Act of 1934, as amended (the “</w:t>
      </w:r>
      <w:r>
        <w:rPr>
          <w:rFonts w:ascii="Arial" w:cs="Arial" w:eastAsia="Arial" w:hAnsi="Arial"/>
          <w:sz w:val="18"/>
          <w:szCs w:val="18"/>
          <w:b w:val="1"/>
          <w:bCs w:val="1"/>
          <w:color w:val="auto"/>
        </w:rPr>
        <w:t>Exchange Act</w:t>
      </w:r>
      <w:r>
        <w:rPr>
          <w:rFonts w:ascii="Arial" w:cs="Arial" w:eastAsia="Arial" w:hAnsi="Arial"/>
          <w:sz w:val="18"/>
          <w:szCs w:val="18"/>
          <w:color w:val="auto"/>
        </w:rPr>
        <w:t>”), or otherwise subject to liabilities under that section, and shall not be deemed to be incorporated by reference into the filings of the Company under the Securities Act or the Exchange Act, regardless of any general incorporation language in such filings. This Current Report on Form 8-K will not be deemed an admission as to the materiality of any information of the information in this Item 7.01, including Exhibit 99.1.</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020" w:type="dxa"/>
            <w:vAlign w:val="bottom"/>
          </w:tcPr>
          <w:p>
            <w:pPr>
              <w:spacing w:after="0"/>
              <w:rPr>
                <w:sz w:val="20"/>
                <w:szCs w:val="20"/>
                <w:color w:val="auto"/>
              </w:rPr>
            </w:pPr>
            <w:r>
              <w:rPr>
                <w:rFonts w:ascii="Arial" w:cs="Arial" w:eastAsia="Arial" w:hAnsi="Arial"/>
                <w:sz w:val="18"/>
                <w:szCs w:val="18"/>
                <w:color w:val="auto"/>
              </w:rPr>
              <w:t>(d) Exhibits.</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26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14"/>
        </w:trPr>
        <w:tc>
          <w:tcPr>
            <w:tcW w:w="1020" w:type="dxa"/>
            <w:vAlign w:val="bottom"/>
          </w:tcPr>
          <w:p>
            <w:pPr>
              <w:spacing w:after="0"/>
              <w:rPr>
                <w:sz w:val="20"/>
                <w:szCs w:val="20"/>
                <w:color w:val="auto"/>
              </w:rPr>
            </w:pPr>
            <w:r>
              <w:rPr>
                <w:rFonts w:ascii="Arial" w:cs="Arial" w:eastAsia="Arial" w:hAnsi="Arial"/>
                <w:sz w:val="18"/>
                <w:szCs w:val="18"/>
                <w:b w:val="1"/>
                <w:bCs w:val="1"/>
                <w:color w:val="auto"/>
              </w:rPr>
              <w:t>Exhibit</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41"/>
        </w:trPr>
        <w:tc>
          <w:tcPr>
            <w:tcW w:w="10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Number</w:t>
            </w:r>
          </w:p>
        </w:tc>
        <w:tc>
          <w:tcPr>
            <w:tcW w:w="10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0100" w:type="dxa"/>
            <w:vAlign w:val="bottom"/>
            <w:tcBorders>
              <w:bottom w:val="single" w:sz="8" w:color="auto"/>
            </w:tcBorders>
            <w:gridSpan w:val="10"/>
          </w:tcPr>
          <w:p>
            <w:pPr>
              <w:spacing w:after="0"/>
              <w:rPr>
                <w:sz w:val="20"/>
                <w:szCs w:val="20"/>
                <w:color w:val="auto"/>
              </w:rPr>
            </w:pPr>
            <w:r>
              <w:rPr>
                <w:rFonts w:ascii="Arial" w:cs="Arial" w:eastAsia="Arial" w:hAnsi="Arial"/>
                <w:sz w:val="18"/>
                <w:szCs w:val="18"/>
                <w:b w:val="1"/>
                <w:bCs w:val="1"/>
                <w:color w:val="auto"/>
              </w:rPr>
              <w:t>Description</w:t>
            </w:r>
          </w:p>
        </w:tc>
      </w:tr>
      <w:tr>
        <w:trPr>
          <w:trHeight w:val="230"/>
        </w:trPr>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26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176"/>
        </w:trPr>
        <w:tc>
          <w:tcPr>
            <w:tcW w:w="1020" w:type="dxa"/>
            <w:vAlign w:val="bottom"/>
            <w:tcBorders>
              <w:bottom w:val="single" w:sz="8" w:color="CCEEFF"/>
            </w:tcBorders>
            <w:shd w:val="clear" w:color="auto" w:fill="CCEEFF"/>
          </w:tcPr>
          <w:p>
            <w:pPr>
              <w:spacing w:after="0" w:line="176" w:lineRule="exact"/>
              <w:rPr>
                <w:sz w:val="20"/>
                <w:szCs w:val="20"/>
                <w:color w:val="auto"/>
              </w:rPr>
            </w:pPr>
            <w:r>
              <w:rPr>
                <w:rFonts w:ascii="Arial" w:cs="Arial" w:eastAsia="Arial" w:hAnsi="Arial"/>
                <w:sz w:val="18"/>
                <w:szCs w:val="18"/>
                <w:color w:val="auto"/>
              </w:rPr>
              <w:t>10.1*</w:t>
            </w:r>
          </w:p>
        </w:tc>
        <w:tc>
          <w:tcPr>
            <w:tcW w:w="10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10100" w:type="dxa"/>
            <w:vAlign w:val="bottom"/>
            <w:tcBorders>
              <w:bottom w:val="single" w:sz="8" w:color="0000EE"/>
            </w:tcBorders>
            <w:gridSpan w:val="10"/>
            <w:shd w:val="clear" w:color="auto" w:fill="CCEEFF"/>
          </w:tcPr>
          <w:p>
            <w:pPr>
              <w:spacing w:after="0" w:line="176" w:lineRule="exact"/>
              <w:rPr>
                <w:sz w:val="20"/>
                <w:szCs w:val="20"/>
                <w:color w:val="auto"/>
              </w:rPr>
            </w:pPr>
            <w:r>
              <w:rPr>
                <w:rFonts w:ascii="Arial" w:cs="Arial" w:eastAsia="Arial" w:hAnsi="Arial"/>
                <w:sz w:val="18"/>
                <w:szCs w:val="18"/>
                <w:color w:val="0000EE"/>
                <w:w w:val="90"/>
              </w:rPr>
              <w:t>Form of Securities Purchase Agreement, dated May 22, 2023 by an among Presto Automation Inc and each purchaser listed in the signature</w:t>
            </w:r>
          </w:p>
        </w:tc>
      </w:tr>
      <w:tr>
        <w:trPr>
          <w:trHeight w:val="196"/>
        </w:trPr>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100" w:type="dxa"/>
            <w:vAlign w:val="bottom"/>
            <w:gridSpan w:val="10"/>
            <w:shd w:val="clear" w:color="auto" w:fill="CCEEFF"/>
          </w:tcPr>
          <w:p>
            <w:pPr>
              <w:spacing w:after="0" w:line="196" w:lineRule="exact"/>
              <w:rPr>
                <w:sz w:val="20"/>
                <w:szCs w:val="20"/>
                <w:color w:val="auto"/>
              </w:rPr>
            </w:pPr>
            <w:r>
              <w:rPr>
                <w:rFonts w:ascii="Arial" w:cs="Arial" w:eastAsia="Arial" w:hAnsi="Arial"/>
                <w:sz w:val="18"/>
                <w:szCs w:val="18"/>
                <w:color w:val="0000EE"/>
              </w:rPr>
              <w:t>page thereto.</w:t>
            </w:r>
          </w:p>
        </w:tc>
      </w:tr>
      <w:tr>
        <w:trPr>
          <w:trHeight w:val="20"/>
        </w:trPr>
        <w:tc>
          <w:tcPr>
            <w:tcW w:w="10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1560" w:type="dxa"/>
            <w:vAlign w:val="bottom"/>
            <w:tcBorders>
              <w:top w:val="single" w:sz="8" w:color="CCEEFF"/>
            </w:tcBorders>
            <w:shd w:val="clear" w:color="auto" w:fill="CCEEFF"/>
          </w:tcPr>
          <w:p>
            <w:pPr>
              <w:spacing w:after="0" w:line="20" w:lineRule="exact"/>
              <w:rPr>
                <w:sz w:val="1"/>
                <w:szCs w:val="1"/>
                <w:color w:val="auto"/>
              </w:rPr>
            </w:pPr>
          </w:p>
        </w:tc>
        <w:tc>
          <w:tcPr>
            <w:tcW w:w="268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1920" w:type="dxa"/>
            <w:vAlign w:val="bottom"/>
            <w:tcBorders>
              <w:top w:val="single" w:sz="8" w:color="CCEEFF"/>
            </w:tcBorders>
            <w:shd w:val="clear" w:color="auto" w:fill="CCEEFF"/>
          </w:tcPr>
          <w:p>
            <w:pPr>
              <w:spacing w:after="0" w:line="20" w:lineRule="exact"/>
              <w:rPr>
                <w:sz w:val="1"/>
                <w:szCs w:val="1"/>
                <w:color w:val="auto"/>
              </w:rPr>
            </w:pPr>
          </w:p>
        </w:tc>
        <w:tc>
          <w:tcPr>
            <w:tcW w:w="1280" w:type="dxa"/>
            <w:vAlign w:val="bottom"/>
            <w:tcBorders>
              <w:top w:val="single" w:sz="8" w:color="CCEEFF"/>
            </w:tcBorders>
            <w:shd w:val="clear" w:color="auto" w:fill="CCEEFF"/>
          </w:tcPr>
          <w:p>
            <w:pPr>
              <w:spacing w:after="0" w:line="20" w:lineRule="exact"/>
              <w:rPr>
                <w:sz w:val="1"/>
                <w:szCs w:val="1"/>
                <w:color w:val="auto"/>
              </w:rPr>
            </w:pPr>
          </w:p>
        </w:tc>
        <w:tc>
          <w:tcPr>
            <w:tcW w:w="10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1020" w:type="dxa"/>
            <w:vAlign w:val="bottom"/>
          </w:tcPr>
          <w:p>
            <w:pPr>
              <w:spacing w:after="0" w:line="176" w:lineRule="exact"/>
              <w:rPr>
                <w:sz w:val="20"/>
                <w:szCs w:val="20"/>
                <w:color w:val="auto"/>
              </w:rPr>
            </w:pPr>
            <w:r>
              <w:rPr>
                <w:rFonts w:ascii="Arial" w:cs="Arial" w:eastAsia="Arial" w:hAnsi="Arial"/>
                <w:sz w:val="18"/>
                <w:szCs w:val="18"/>
                <w:color w:val="auto"/>
              </w:rPr>
              <w:t>10.2</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100" w:type="dxa"/>
            <w:vAlign w:val="bottom"/>
            <w:gridSpan w:val="10"/>
          </w:tcPr>
          <w:p>
            <w:pPr>
              <w:spacing w:after="0" w:line="176" w:lineRule="exact"/>
              <w:rPr>
                <w:sz w:val="20"/>
                <w:szCs w:val="20"/>
                <w:color w:val="auto"/>
              </w:rPr>
            </w:pPr>
            <w:r>
              <w:rPr>
                <w:rFonts w:ascii="Arial" w:cs="Arial" w:eastAsia="Arial" w:hAnsi="Arial"/>
                <w:sz w:val="18"/>
                <w:szCs w:val="18"/>
                <w:color w:val="0000EE"/>
                <w:w w:val="91"/>
              </w:rPr>
              <w:t>Form of Registration Rights Agreement, dated as of May 22, 2023, by and among Presto Automation Inc and certain persons listed therein.</w:t>
            </w:r>
          </w:p>
        </w:tc>
      </w:tr>
      <w:tr>
        <w:trPr>
          <w:trHeight w:val="21"/>
        </w:trPr>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1560" w:type="dxa"/>
            <w:vAlign w:val="bottom"/>
            <w:tcBorders>
              <w:top w:val="single" w:sz="8" w:color="0000EE"/>
            </w:tcBorders>
          </w:tcPr>
          <w:p>
            <w:pPr>
              <w:spacing w:after="0" w:line="20" w:lineRule="exact"/>
              <w:rPr>
                <w:sz w:val="1"/>
                <w:szCs w:val="1"/>
                <w:color w:val="auto"/>
              </w:rPr>
            </w:pPr>
          </w:p>
        </w:tc>
        <w:tc>
          <w:tcPr>
            <w:tcW w:w="268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1920" w:type="dxa"/>
            <w:vAlign w:val="bottom"/>
            <w:tcBorders>
              <w:top w:val="single" w:sz="8" w:color="0000EE"/>
            </w:tcBorders>
          </w:tcPr>
          <w:p>
            <w:pPr>
              <w:spacing w:after="0" w:line="20" w:lineRule="exact"/>
              <w:rPr>
                <w:sz w:val="1"/>
                <w:szCs w:val="1"/>
                <w:color w:val="auto"/>
              </w:rPr>
            </w:pPr>
          </w:p>
        </w:tc>
        <w:tc>
          <w:tcPr>
            <w:tcW w:w="1280" w:type="dxa"/>
            <w:vAlign w:val="bottom"/>
            <w:tcBorders>
              <w:top w:val="single" w:sz="8" w:color="0000EE"/>
            </w:tcBorders>
          </w:tcPr>
          <w:p>
            <w:pPr>
              <w:spacing w:after="0" w:line="20" w:lineRule="exact"/>
              <w:rPr>
                <w:sz w:val="1"/>
                <w:szCs w:val="1"/>
                <w:color w:val="auto"/>
              </w:rPr>
            </w:pPr>
          </w:p>
        </w:tc>
        <w:tc>
          <w:tcPr>
            <w:tcW w:w="108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75"/>
        </w:trPr>
        <w:tc>
          <w:tcPr>
            <w:tcW w:w="1020" w:type="dxa"/>
            <w:vAlign w:val="bottom"/>
            <w:tcBorders>
              <w:bottom w:val="single" w:sz="8" w:color="CCEEFF"/>
            </w:tcBorders>
            <w:shd w:val="clear" w:color="auto" w:fill="CCEEFF"/>
          </w:tcPr>
          <w:p>
            <w:pPr>
              <w:spacing w:after="0" w:line="176" w:lineRule="exact"/>
              <w:rPr>
                <w:sz w:val="20"/>
                <w:szCs w:val="20"/>
                <w:color w:val="auto"/>
              </w:rPr>
            </w:pPr>
            <w:r>
              <w:rPr>
                <w:rFonts w:ascii="Arial" w:cs="Arial" w:eastAsia="Arial" w:hAnsi="Arial"/>
                <w:sz w:val="18"/>
                <w:szCs w:val="18"/>
                <w:color w:val="auto"/>
              </w:rPr>
              <w:t>10.3*</w:t>
            </w:r>
          </w:p>
        </w:tc>
        <w:tc>
          <w:tcPr>
            <w:tcW w:w="10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10100" w:type="dxa"/>
            <w:vAlign w:val="bottom"/>
            <w:tcBorders>
              <w:bottom w:val="single" w:sz="8" w:color="0000EE"/>
            </w:tcBorders>
            <w:gridSpan w:val="10"/>
            <w:shd w:val="clear" w:color="auto" w:fill="CCEEFF"/>
          </w:tcPr>
          <w:p>
            <w:pPr>
              <w:spacing w:after="0" w:line="176" w:lineRule="exact"/>
              <w:rPr>
                <w:sz w:val="20"/>
                <w:szCs w:val="20"/>
                <w:color w:val="auto"/>
              </w:rPr>
            </w:pPr>
            <w:r>
              <w:rPr>
                <w:rFonts w:ascii="Arial" w:cs="Arial" w:eastAsia="Arial" w:hAnsi="Arial"/>
                <w:sz w:val="18"/>
                <w:szCs w:val="18"/>
                <w:color w:val="0000EE"/>
                <w:w w:val="94"/>
              </w:rPr>
              <w:t>Second Amendment to Credit Agreement, dated as of May 22, 2023 by and among E la Carte, LLC (f/k/a Ventoux Merger Sub II LLC),</w:t>
            </w:r>
          </w:p>
        </w:tc>
      </w:tr>
      <w:tr>
        <w:trPr>
          <w:trHeight w:val="196"/>
        </w:trPr>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100" w:type="dxa"/>
            <w:vAlign w:val="bottom"/>
            <w:gridSpan w:val="10"/>
            <w:shd w:val="clear" w:color="auto" w:fill="CCEEFF"/>
          </w:tcPr>
          <w:p>
            <w:pPr>
              <w:spacing w:after="0" w:line="196" w:lineRule="exact"/>
              <w:rPr>
                <w:sz w:val="20"/>
                <w:szCs w:val="20"/>
                <w:color w:val="auto"/>
              </w:rPr>
            </w:pPr>
            <w:r>
              <w:rPr>
                <w:rFonts w:ascii="Arial" w:cs="Arial" w:eastAsia="Arial" w:hAnsi="Arial"/>
                <w:sz w:val="18"/>
                <w:szCs w:val="18"/>
                <w:color w:val="0000EE"/>
              </w:rPr>
              <w:t>Presto Automation Inc. and Metropolitan Partners Group Administration, LLC..</w:t>
            </w:r>
          </w:p>
        </w:tc>
      </w:tr>
      <w:tr>
        <w:trPr>
          <w:trHeight w:val="20"/>
        </w:trPr>
        <w:tc>
          <w:tcPr>
            <w:tcW w:w="10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1560" w:type="dxa"/>
            <w:vAlign w:val="bottom"/>
            <w:tcBorders>
              <w:top w:val="single" w:sz="8" w:color="0000EE"/>
            </w:tcBorders>
            <w:shd w:val="clear" w:color="auto" w:fill="CCEEFF"/>
          </w:tcPr>
          <w:p>
            <w:pPr>
              <w:spacing w:after="0" w:line="20" w:lineRule="exact"/>
              <w:rPr>
                <w:sz w:val="1"/>
                <w:szCs w:val="1"/>
                <w:color w:val="auto"/>
              </w:rPr>
            </w:pPr>
          </w:p>
        </w:tc>
        <w:tc>
          <w:tcPr>
            <w:tcW w:w="2680" w:type="dxa"/>
            <w:vAlign w:val="bottom"/>
            <w:tcBorders>
              <w:top w:val="single" w:sz="8" w:color="0000EE"/>
            </w:tcBorders>
            <w:shd w:val="clear" w:color="auto" w:fill="CCEEFF"/>
          </w:tcPr>
          <w:p>
            <w:pPr>
              <w:spacing w:after="0" w:line="20" w:lineRule="exact"/>
              <w:rPr>
                <w:sz w:val="1"/>
                <w:szCs w:val="1"/>
                <w:color w:val="auto"/>
              </w:rPr>
            </w:pPr>
          </w:p>
        </w:tc>
        <w:tc>
          <w:tcPr>
            <w:tcW w:w="560" w:type="dxa"/>
            <w:vAlign w:val="bottom"/>
            <w:tcBorders>
              <w:top w:val="single" w:sz="8" w:color="0000EE"/>
            </w:tcBorders>
            <w:shd w:val="clear" w:color="auto" w:fill="CCEEFF"/>
          </w:tcPr>
          <w:p>
            <w:pPr>
              <w:spacing w:after="0" w:line="20" w:lineRule="exact"/>
              <w:rPr>
                <w:sz w:val="1"/>
                <w:szCs w:val="1"/>
                <w:color w:val="auto"/>
              </w:rPr>
            </w:pPr>
          </w:p>
        </w:tc>
        <w:tc>
          <w:tcPr>
            <w:tcW w:w="1920" w:type="dxa"/>
            <w:vAlign w:val="bottom"/>
            <w:tcBorders>
              <w:top w:val="single" w:sz="8" w:color="CCEEFF"/>
            </w:tcBorders>
            <w:shd w:val="clear" w:color="auto" w:fill="CCEEFF"/>
          </w:tcPr>
          <w:p>
            <w:pPr>
              <w:spacing w:after="0" w:line="20" w:lineRule="exact"/>
              <w:rPr>
                <w:sz w:val="1"/>
                <w:szCs w:val="1"/>
                <w:color w:val="auto"/>
              </w:rPr>
            </w:pPr>
          </w:p>
        </w:tc>
        <w:tc>
          <w:tcPr>
            <w:tcW w:w="1280" w:type="dxa"/>
            <w:vAlign w:val="bottom"/>
            <w:tcBorders>
              <w:top w:val="single" w:sz="8" w:color="CCEEFF"/>
            </w:tcBorders>
            <w:shd w:val="clear" w:color="auto" w:fill="CCEEFF"/>
          </w:tcPr>
          <w:p>
            <w:pPr>
              <w:spacing w:after="0" w:line="20" w:lineRule="exact"/>
              <w:rPr>
                <w:sz w:val="1"/>
                <w:szCs w:val="1"/>
                <w:color w:val="auto"/>
              </w:rPr>
            </w:pPr>
          </w:p>
        </w:tc>
        <w:tc>
          <w:tcPr>
            <w:tcW w:w="10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1020" w:type="dxa"/>
            <w:vAlign w:val="bottom"/>
          </w:tcPr>
          <w:p>
            <w:pPr>
              <w:spacing w:after="0" w:line="176" w:lineRule="exact"/>
              <w:rPr>
                <w:sz w:val="20"/>
                <w:szCs w:val="20"/>
                <w:color w:val="auto"/>
              </w:rPr>
            </w:pPr>
            <w:r>
              <w:rPr>
                <w:rFonts w:ascii="Arial" w:cs="Arial" w:eastAsia="Arial" w:hAnsi="Arial"/>
                <w:sz w:val="18"/>
                <w:szCs w:val="18"/>
                <w:color w:val="auto"/>
              </w:rPr>
              <w:t>10.4</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100" w:type="dxa"/>
            <w:vAlign w:val="bottom"/>
            <w:tcBorders>
              <w:bottom w:val="single" w:sz="8" w:color="0000EE"/>
            </w:tcBorders>
            <w:gridSpan w:val="10"/>
          </w:tcPr>
          <w:p>
            <w:pPr>
              <w:spacing w:after="0" w:line="176" w:lineRule="exact"/>
              <w:rPr>
                <w:sz w:val="20"/>
                <w:szCs w:val="20"/>
                <w:color w:val="auto"/>
              </w:rPr>
            </w:pPr>
            <w:r>
              <w:rPr>
                <w:rFonts w:ascii="Arial" w:cs="Arial" w:eastAsia="Arial" w:hAnsi="Arial"/>
                <w:sz w:val="18"/>
                <w:szCs w:val="18"/>
                <w:color w:val="0000EE"/>
                <w:w w:val="97"/>
              </w:rPr>
              <w:t>Amended and Restated Fee Letter, dated May 22, 2023 by and among E la Carte, LLC (f/k/a Ventoux Merger Sub II LLC), Presto</w:t>
            </w:r>
          </w:p>
        </w:tc>
      </w:tr>
      <w:tr>
        <w:trPr>
          <w:trHeight w:val="196"/>
        </w:trPr>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100" w:type="dxa"/>
            <w:vAlign w:val="bottom"/>
            <w:gridSpan w:val="10"/>
          </w:tcPr>
          <w:p>
            <w:pPr>
              <w:spacing w:after="0" w:line="196" w:lineRule="exact"/>
              <w:rPr>
                <w:sz w:val="20"/>
                <w:szCs w:val="20"/>
                <w:color w:val="auto"/>
              </w:rPr>
            </w:pPr>
            <w:r>
              <w:rPr>
                <w:rFonts w:ascii="Arial" w:cs="Arial" w:eastAsia="Arial" w:hAnsi="Arial"/>
                <w:sz w:val="18"/>
                <w:szCs w:val="18"/>
                <w:color w:val="0000EE"/>
              </w:rPr>
              <w:t>Automation Inc. and Metropolitan Partners Group Administration LLC.</w:t>
            </w:r>
          </w:p>
        </w:tc>
      </w:tr>
      <w:tr>
        <w:trPr>
          <w:trHeight w:val="20"/>
        </w:trPr>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1560" w:type="dxa"/>
            <w:vAlign w:val="bottom"/>
            <w:tcBorders>
              <w:top w:val="single" w:sz="8" w:color="0000EE"/>
            </w:tcBorders>
          </w:tcPr>
          <w:p>
            <w:pPr>
              <w:spacing w:after="0" w:line="20" w:lineRule="exact"/>
              <w:rPr>
                <w:sz w:val="1"/>
                <w:szCs w:val="1"/>
                <w:color w:val="auto"/>
              </w:rPr>
            </w:pPr>
          </w:p>
        </w:tc>
        <w:tc>
          <w:tcPr>
            <w:tcW w:w="2680" w:type="dxa"/>
            <w:vAlign w:val="bottom"/>
            <w:tcBorders>
              <w:top w:val="single" w:sz="8" w:color="0000EE"/>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75"/>
        </w:trPr>
        <w:tc>
          <w:tcPr>
            <w:tcW w:w="1020" w:type="dxa"/>
            <w:vAlign w:val="bottom"/>
            <w:tcBorders>
              <w:bottom w:val="single" w:sz="8" w:color="CCEEFF"/>
            </w:tcBorders>
            <w:shd w:val="clear" w:color="auto" w:fill="CCEEFF"/>
          </w:tcPr>
          <w:p>
            <w:pPr>
              <w:spacing w:after="0" w:line="176" w:lineRule="exact"/>
              <w:rPr>
                <w:sz w:val="20"/>
                <w:szCs w:val="20"/>
                <w:color w:val="auto"/>
              </w:rPr>
            </w:pPr>
            <w:r>
              <w:rPr>
                <w:rFonts w:ascii="Arial" w:cs="Arial" w:eastAsia="Arial" w:hAnsi="Arial"/>
                <w:sz w:val="18"/>
                <w:szCs w:val="18"/>
                <w:color w:val="auto"/>
              </w:rPr>
              <w:t>10.5</w:t>
            </w:r>
          </w:p>
        </w:tc>
        <w:tc>
          <w:tcPr>
            <w:tcW w:w="10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10100" w:type="dxa"/>
            <w:vAlign w:val="bottom"/>
            <w:tcBorders>
              <w:bottom w:val="single" w:sz="8" w:color="0000EE"/>
            </w:tcBorders>
            <w:gridSpan w:val="10"/>
            <w:shd w:val="clear" w:color="auto" w:fill="CCEEFF"/>
          </w:tcPr>
          <w:p>
            <w:pPr>
              <w:spacing w:after="0" w:line="176" w:lineRule="exact"/>
              <w:rPr>
                <w:sz w:val="20"/>
                <w:szCs w:val="20"/>
                <w:color w:val="auto"/>
              </w:rPr>
            </w:pPr>
            <w:r>
              <w:rPr>
                <w:rFonts w:ascii="Arial" w:cs="Arial" w:eastAsia="Arial" w:hAnsi="Arial"/>
                <w:sz w:val="18"/>
                <w:szCs w:val="18"/>
                <w:color w:val="0000EE"/>
                <w:w w:val="90"/>
              </w:rPr>
              <w:t>Warrant to Purchase Common Stock, dated May 22, 2023, by and between Presto Automation Inc. and Metropolitan Levered Partners Fund</w:t>
            </w:r>
          </w:p>
        </w:tc>
      </w:tr>
      <w:tr>
        <w:trPr>
          <w:trHeight w:val="196"/>
        </w:trPr>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100" w:type="dxa"/>
            <w:vAlign w:val="bottom"/>
            <w:gridSpan w:val="10"/>
            <w:shd w:val="clear" w:color="auto" w:fill="CCEEFF"/>
          </w:tcPr>
          <w:p>
            <w:pPr>
              <w:spacing w:after="0" w:line="196" w:lineRule="exact"/>
              <w:rPr>
                <w:sz w:val="20"/>
                <w:szCs w:val="20"/>
                <w:color w:val="auto"/>
              </w:rPr>
            </w:pPr>
            <w:r>
              <w:rPr>
                <w:rFonts w:ascii="Arial" w:cs="Arial" w:eastAsia="Arial" w:hAnsi="Arial"/>
                <w:sz w:val="18"/>
                <w:szCs w:val="18"/>
                <w:color w:val="0000EE"/>
              </w:rPr>
              <w:t>VII, LP.</w:t>
            </w:r>
          </w:p>
        </w:tc>
      </w:tr>
      <w:tr>
        <w:trPr>
          <w:trHeight w:val="20"/>
        </w:trPr>
        <w:tc>
          <w:tcPr>
            <w:tcW w:w="10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1560" w:type="dxa"/>
            <w:vAlign w:val="bottom"/>
            <w:tcBorders>
              <w:top w:val="single" w:sz="8" w:color="CCEEFF"/>
            </w:tcBorders>
            <w:shd w:val="clear" w:color="auto" w:fill="CCEEFF"/>
          </w:tcPr>
          <w:p>
            <w:pPr>
              <w:spacing w:after="0" w:line="20" w:lineRule="exact"/>
              <w:rPr>
                <w:sz w:val="1"/>
                <w:szCs w:val="1"/>
                <w:color w:val="auto"/>
              </w:rPr>
            </w:pPr>
          </w:p>
        </w:tc>
        <w:tc>
          <w:tcPr>
            <w:tcW w:w="268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1920" w:type="dxa"/>
            <w:vAlign w:val="bottom"/>
            <w:tcBorders>
              <w:top w:val="single" w:sz="8" w:color="CCEEFF"/>
            </w:tcBorders>
            <w:shd w:val="clear" w:color="auto" w:fill="CCEEFF"/>
          </w:tcPr>
          <w:p>
            <w:pPr>
              <w:spacing w:after="0" w:line="20" w:lineRule="exact"/>
              <w:rPr>
                <w:sz w:val="1"/>
                <w:szCs w:val="1"/>
                <w:color w:val="auto"/>
              </w:rPr>
            </w:pPr>
          </w:p>
        </w:tc>
        <w:tc>
          <w:tcPr>
            <w:tcW w:w="1280" w:type="dxa"/>
            <w:vAlign w:val="bottom"/>
            <w:tcBorders>
              <w:top w:val="single" w:sz="8" w:color="CCEEFF"/>
            </w:tcBorders>
            <w:shd w:val="clear" w:color="auto" w:fill="CCEEFF"/>
          </w:tcPr>
          <w:p>
            <w:pPr>
              <w:spacing w:after="0" w:line="20" w:lineRule="exact"/>
              <w:rPr>
                <w:sz w:val="1"/>
                <w:szCs w:val="1"/>
                <w:color w:val="auto"/>
              </w:rPr>
            </w:pPr>
          </w:p>
        </w:tc>
        <w:tc>
          <w:tcPr>
            <w:tcW w:w="10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1020" w:type="dxa"/>
            <w:vAlign w:val="bottom"/>
          </w:tcPr>
          <w:p>
            <w:pPr>
              <w:spacing w:after="0" w:line="176" w:lineRule="exact"/>
              <w:rPr>
                <w:sz w:val="20"/>
                <w:szCs w:val="20"/>
                <w:color w:val="auto"/>
              </w:rPr>
            </w:pPr>
            <w:r>
              <w:rPr>
                <w:rFonts w:ascii="Arial" w:cs="Arial" w:eastAsia="Arial" w:hAnsi="Arial"/>
                <w:sz w:val="18"/>
                <w:szCs w:val="18"/>
                <w:color w:val="auto"/>
              </w:rPr>
              <w:t>10.6</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100" w:type="dxa"/>
            <w:vAlign w:val="bottom"/>
            <w:gridSpan w:val="10"/>
          </w:tcPr>
          <w:p>
            <w:pPr>
              <w:spacing w:after="0" w:line="176" w:lineRule="exact"/>
              <w:rPr>
                <w:sz w:val="20"/>
                <w:szCs w:val="20"/>
                <w:color w:val="auto"/>
              </w:rPr>
            </w:pPr>
            <w:r>
              <w:rPr>
                <w:rFonts w:ascii="Arial" w:cs="Arial" w:eastAsia="Arial" w:hAnsi="Arial"/>
                <w:sz w:val="18"/>
                <w:szCs w:val="18"/>
                <w:color w:val="0000EE"/>
                <w:w w:val="90"/>
              </w:rPr>
              <w:t>Warrant to Purchase Common Stock, dated May 22, 2023, by and between Presto Automation Inc. and Metropolitan Partners Fund VII, LP.</w:t>
            </w:r>
          </w:p>
        </w:tc>
      </w:tr>
      <w:tr>
        <w:trPr>
          <w:trHeight w:val="20"/>
        </w:trPr>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1560" w:type="dxa"/>
            <w:vAlign w:val="bottom"/>
            <w:tcBorders>
              <w:top w:val="single" w:sz="8" w:color="0000EE"/>
            </w:tcBorders>
          </w:tcPr>
          <w:p>
            <w:pPr>
              <w:spacing w:after="0" w:line="20" w:lineRule="exact"/>
              <w:rPr>
                <w:sz w:val="1"/>
                <w:szCs w:val="1"/>
                <w:color w:val="auto"/>
              </w:rPr>
            </w:pPr>
          </w:p>
        </w:tc>
        <w:tc>
          <w:tcPr>
            <w:tcW w:w="268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1920" w:type="dxa"/>
            <w:vAlign w:val="bottom"/>
            <w:tcBorders>
              <w:top w:val="single" w:sz="8" w:color="0000EE"/>
            </w:tcBorders>
          </w:tcPr>
          <w:p>
            <w:pPr>
              <w:spacing w:after="0" w:line="20" w:lineRule="exact"/>
              <w:rPr>
                <w:sz w:val="1"/>
                <w:szCs w:val="1"/>
                <w:color w:val="auto"/>
              </w:rPr>
            </w:pPr>
          </w:p>
        </w:tc>
        <w:tc>
          <w:tcPr>
            <w:tcW w:w="1280" w:type="dxa"/>
            <w:vAlign w:val="bottom"/>
            <w:tcBorders>
              <w:top w:val="single" w:sz="8" w:color="0000EE"/>
            </w:tcBorders>
          </w:tcPr>
          <w:p>
            <w:pPr>
              <w:spacing w:after="0" w:line="20" w:lineRule="exact"/>
              <w:rPr>
                <w:sz w:val="1"/>
                <w:szCs w:val="1"/>
                <w:color w:val="auto"/>
              </w:rPr>
            </w:pPr>
          </w:p>
        </w:tc>
        <w:tc>
          <w:tcPr>
            <w:tcW w:w="10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75"/>
        </w:trPr>
        <w:tc>
          <w:tcPr>
            <w:tcW w:w="1020" w:type="dxa"/>
            <w:vAlign w:val="bottom"/>
            <w:tcBorders>
              <w:bottom w:val="single" w:sz="8" w:color="CCEEFF"/>
            </w:tcBorders>
            <w:shd w:val="clear" w:color="auto" w:fill="CCEEFF"/>
          </w:tcPr>
          <w:p>
            <w:pPr>
              <w:spacing w:after="0" w:line="176" w:lineRule="exact"/>
              <w:rPr>
                <w:sz w:val="20"/>
                <w:szCs w:val="20"/>
                <w:color w:val="auto"/>
              </w:rPr>
            </w:pPr>
            <w:r>
              <w:rPr>
                <w:rFonts w:ascii="Arial" w:cs="Arial" w:eastAsia="Arial" w:hAnsi="Arial"/>
                <w:sz w:val="18"/>
                <w:szCs w:val="18"/>
                <w:color w:val="auto"/>
              </w:rPr>
              <w:t>10.7</w:t>
            </w:r>
          </w:p>
        </w:tc>
        <w:tc>
          <w:tcPr>
            <w:tcW w:w="10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10100" w:type="dxa"/>
            <w:vAlign w:val="bottom"/>
            <w:tcBorders>
              <w:bottom w:val="single" w:sz="8" w:color="0000EE"/>
            </w:tcBorders>
            <w:gridSpan w:val="10"/>
            <w:shd w:val="clear" w:color="auto" w:fill="CCEEFF"/>
          </w:tcPr>
          <w:p>
            <w:pPr>
              <w:spacing w:after="0" w:line="176" w:lineRule="exact"/>
              <w:rPr>
                <w:sz w:val="20"/>
                <w:szCs w:val="20"/>
                <w:color w:val="auto"/>
              </w:rPr>
            </w:pPr>
            <w:r>
              <w:rPr>
                <w:rFonts w:ascii="Arial" w:cs="Arial" w:eastAsia="Arial" w:hAnsi="Arial"/>
                <w:sz w:val="18"/>
                <w:szCs w:val="18"/>
                <w:color w:val="0000EE"/>
                <w:w w:val="90"/>
              </w:rPr>
              <w:t>Warrant to Purchase Common Stock, dated May 22, 2023, by and between Presto Automation Inc. and Metropolitan Offshore Partners Fund</w:t>
            </w:r>
          </w:p>
        </w:tc>
      </w:tr>
      <w:tr>
        <w:trPr>
          <w:trHeight w:val="196"/>
        </w:trPr>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100" w:type="dxa"/>
            <w:vAlign w:val="bottom"/>
            <w:gridSpan w:val="10"/>
            <w:shd w:val="clear" w:color="auto" w:fill="CCEEFF"/>
          </w:tcPr>
          <w:p>
            <w:pPr>
              <w:spacing w:after="0" w:line="196" w:lineRule="exact"/>
              <w:rPr>
                <w:sz w:val="20"/>
                <w:szCs w:val="20"/>
                <w:color w:val="auto"/>
              </w:rPr>
            </w:pPr>
            <w:r>
              <w:rPr>
                <w:rFonts w:ascii="Arial" w:cs="Arial" w:eastAsia="Arial" w:hAnsi="Arial"/>
                <w:sz w:val="18"/>
                <w:szCs w:val="18"/>
                <w:color w:val="0000EE"/>
              </w:rPr>
              <w:t>VII, LP.</w:t>
            </w:r>
          </w:p>
        </w:tc>
      </w:tr>
      <w:tr>
        <w:trPr>
          <w:trHeight w:val="20"/>
        </w:trPr>
        <w:tc>
          <w:tcPr>
            <w:tcW w:w="10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1560" w:type="dxa"/>
            <w:vAlign w:val="bottom"/>
            <w:tcBorders>
              <w:top w:val="single" w:sz="8" w:color="CCEEFF"/>
            </w:tcBorders>
            <w:shd w:val="clear" w:color="auto" w:fill="CCEEFF"/>
          </w:tcPr>
          <w:p>
            <w:pPr>
              <w:spacing w:after="0" w:line="20" w:lineRule="exact"/>
              <w:rPr>
                <w:sz w:val="1"/>
                <w:szCs w:val="1"/>
                <w:color w:val="auto"/>
              </w:rPr>
            </w:pPr>
          </w:p>
        </w:tc>
        <w:tc>
          <w:tcPr>
            <w:tcW w:w="268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1920" w:type="dxa"/>
            <w:vAlign w:val="bottom"/>
            <w:tcBorders>
              <w:top w:val="single" w:sz="8" w:color="CCEEFF"/>
            </w:tcBorders>
            <w:shd w:val="clear" w:color="auto" w:fill="CCEEFF"/>
          </w:tcPr>
          <w:p>
            <w:pPr>
              <w:spacing w:after="0" w:line="20" w:lineRule="exact"/>
              <w:rPr>
                <w:sz w:val="1"/>
                <w:szCs w:val="1"/>
                <w:color w:val="auto"/>
              </w:rPr>
            </w:pPr>
          </w:p>
        </w:tc>
        <w:tc>
          <w:tcPr>
            <w:tcW w:w="1280" w:type="dxa"/>
            <w:vAlign w:val="bottom"/>
            <w:tcBorders>
              <w:top w:val="single" w:sz="8" w:color="CCEEFF"/>
            </w:tcBorders>
            <w:shd w:val="clear" w:color="auto" w:fill="CCEEFF"/>
          </w:tcPr>
          <w:p>
            <w:pPr>
              <w:spacing w:after="0" w:line="20" w:lineRule="exact"/>
              <w:rPr>
                <w:sz w:val="1"/>
                <w:szCs w:val="1"/>
                <w:color w:val="auto"/>
              </w:rPr>
            </w:pPr>
          </w:p>
        </w:tc>
        <w:tc>
          <w:tcPr>
            <w:tcW w:w="10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1020" w:type="dxa"/>
            <w:vAlign w:val="bottom"/>
          </w:tcPr>
          <w:p>
            <w:pPr>
              <w:spacing w:after="0" w:line="176" w:lineRule="exact"/>
              <w:rPr>
                <w:sz w:val="20"/>
                <w:szCs w:val="20"/>
                <w:color w:val="auto"/>
              </w:rPr>
            </w:pPr>
            <w:r>
              <w:rPr>
                <w:rFonts w:ascii="Arial" w:cs="Arial" w:eastAsia="Arial" w:hAnsi="Arial"/>
                <w:sz w:val="18"/>
                <w:szCs w:val="18"/>
                <w:color w:val="auto"/>
              </w:rPr>
              <w:t>10.8</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100" w:type="dxa"/>
            <w:vAlign w:val="bottom"/>
            <w:gridSpan w:val="10"/>
          </w:tcPr>
          <w:p>
            <w:pPr>
              <w:spacing w:after="0" w:line="176" w:lineRule="exact"/>
              <w:rPr>
                <w:sz w:val="20"/>
                <w:szCs w:val="20"/>
                <w:color w:val="auto"/>
              </w:rPr>
            </w:pPr>
            <w:r>
              <w:rPr>
                <w:rFonts w:ascii="Arial" w:cs="Arial" w:eastAsia="Arial" w:hAnsi="Arial"/>
                <w:sz w:val="18"/>
                <w:szCs w:val="18"/>
                <w:color w:val="0000EE"/>
              </w:rPr>
              <w:t>Warrant to Purchase Common Stock, dated May 22, 2023, by and between Presto Automation Inc. and CEOF Holdings, LP.</w:t>
            </w:r>
          </w:p>
        </w:tc>
      </w:tr>
      <w:tr>
        <w:trPr>
          <w:trHeight w:val="20"/>
        </w:trPr>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1560" w:type="dxa"/>
            <w:vAlign w:val="bottom"/>
            <w:tcBorders>
              <w:top w:val="single" w:sz="8" w:color="0000EE"/>
            </w:tcBorders>
          </w:tcPr>
          <w:p>
            <w:pPr>
              <w:spacing w:after="0" w:line="20" w:lineRule="exact"/>
              <w:rPr>
                <w:sz w:val="1"/>
                <w:szCs w:val="1"/>
                <w:color w:val="auto"/>
              </w:rPr>
            </w:pPr>
          </w:p>
        </w:tc>
        <w:tc>
          <w:tcPr>
            <w:tcW w:w="268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1920" w:type="dxa"/>
            <w:vAlign w:val="bottom"/>
            <w:tcBorders>
              <w:top w:val="single" w:sz="8" w:color="0000EE"/>
            </w:tcBorders>
          </w:tcPr>
          <w:p>
            <w:pPr>
              <w:spacing w:after="0" w:line="20" w:lineRule="exact"/>
              <w:rPr>
                <w:sz w:val="1"/>
                <w:szCs w:val="1"/>
                <w:color w:val="auto"/>
              </w:rPr>
            </w:pPr>
          </w:p>
        </w:tc>
        <w:tc>
          <w:tcPr>
            <w:tcW w:w="1280" w:type="dxa"/>
            <w:vAlign w:val="bottom"/>
            <w:tcBorders>
              <w:top w:val="single" w:sz="8" w:color="0000EE"/>
            </w:tcBorders>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76"/>
        </w:trPr>
        <w:tc>
          <w:tcPr>
            <w:tcW w:w="1020" w:type="dxa"/>
            <w:vAlign w:val="bottom"/>
            <w:tcBorders>
              <w:bottom w:val="single" w:sz="8" w:color="CCEEFF"/>
            </w:tcBorders>
            <w:shd w:val="clear" w:color="auto" w:fill="CCEEFF"/>
          </w:tcPr>
          <w:p>
            <w:pPr>
              <w:spacing w:after="0" w:line="176" w:lineRule="exact"/>
              <w:rPr>
                <w:sz w:val="20"/>
                <w:szCs w:val="20"/>
                <w:color w:val="auto"/>
              </w:rPr>
            </w:pPr>
            <w:r>
              <w:rPr>
                <w:rFonts w:ascii="Arial" w:cs="Arial" w:eastAsia="Arial" w:hAnsi="Arial"/>
                <w:sz w:val="18"/>
                <w:szCs w:val="18"/>
                <w:color w:val="auto"/>
              </w:rPr>
              <w:t>10.9</w:t>
            </w:r>
          </w:p>
        </w:tc>
        <w:tc>
          <w:tcPr>
            <w:tcW w:w="10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10100" w:type="dxa"/>
            <w:vAlign w:val="bottom"/>
            <w:tcBorders>
              <w:bottom w:val="single" w:sz="8" w:color="0000EE"/>
            </w:tcBorders>
            <w:gridSpan w:val="10"/>
            <w:shd w:val="clear" w:color="auto" w:fill="CCEEFF"/>
          </w:tcPr>
          <w:p>
            <w:pPr>
              <w:spacing w:after="0" w:line="176" w:lineRule="exact"/>
              <w:rPr>
                <w:rFonts w:ascii="Arial" w:cs="Arial" w:eastAsia="Arial" w:hAnsi="Arial"/>
                <w:sz w:val="18"/>
                <w:szCs w:val="18"/>
                <w:color w:val="0000EE"/>
                <w:w w:val="95"/>
              </w:rPr>
            </w:pPr>
            <w:hyperlink r:id="rId15">
              <w:r>
                <w:rPr>
                  <w:rFonts w:ascii="Arial" w:cs="Arial" w:eastAsia="Arial" w:hAnsi="Arial"/>
                  <w:sz w:val="18"/>
                  <w:szCs w:val="18"/>
                  <w:color w:val="0000EE"/>
                  <w:w w:val="95"/>
                </w:rPr>
                <w:t>Registration Rights Agreement, dated as of March 31, 2023, by and among Presto Automation Inc. and certain persons listed therein</w:t>
              </w:r>
            </w:hyperlink>
          </w:p>
        </w:tc>
      </w:tr>
      <w:tr>
        <w:trPr>
          <w:trHeight w:val="216"/>
        </w:trPr>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100" w:type="dxa"/>
            <w:vAlign w:val="bottom"/>
            <w:gridSpan w:val="10"/>
            <w:shd w:val="clear" w:color="auto" w:fill="CCEEFF"/>
          </w:tcPr>
          <w:p>
            <w:pPr>
              <w:spacing w:after="0" w:line="196" w:lineRule="exact"/>
              <w:rPr>
                <w:rFonts w:ascii="Arial" w:cs="Arial" w:eastAsia="Arial" w:hAnsi="Arial"/>
                <w:sz w:val="18"/>
                <w:szCs w:val="18"/>
                <w:color w:val="0000EE"/>
              </w:rPr>
            </w:pPr>
            <w:hyperlink r:id="rId15">
              <w:r>
                <w:rPr>
                  <w:rFonts w:ascii="Arial" w:cs="Arial" w:eastAsia="Arial" w:hAnsi="Arial"/>
                  <w:sz w:val="18"/>
                  <w:szCs w:val="18"/>
                  <w:color w:val="0000EE"/>
                </w:rPr>
                <w:t>(incorporated by reference to Exhibit 10.7 of Presto’s Current Report on Form 8-K filed on April 6, 2023).</w:t>
              </w:r>
            </w:hyperlink>
          </w:p>
        </w:tc>
      </w:tr>
      <w:tr>
        <w:trPr>
          <w:trHeight w:val="175"/>
        </w:trPr>
        <w:tc>
          <w:tcPr>
            <w:tcW w:w="1020" w:type="dxa"/>
            <w:vAlign w:val="bottom"/>
            <w:tcBorders>
              <w:top w:val="single" w:sz="8" w:color="CCEEFF"/>
            </w:tcBorders>
          </w:tcPr>
          <w:p>
            <w:pPr>
              <w:spacing w:after="0" w:line="176" w:lineRule="exact"/>
              <w:rPr>
                <w:sz w:val="20"/>
                <w:szCs w:val="20"/>
                <w:color w:val="auto"/>
              </w:rPr>
            </w:pPr>
            <w:r>
              <w:rPr>
                <w:rFonts w:ascii="Arial" w:cs="Arial" w:eastAsia="Arial" w:hAnsi="Arial"/>
                <w:sz w:val="18"/>
                <w:szCs w:val="18"/>
                <w:color w:val="auto"/>
              </w:rPr>
              <w:t>99.1</w:t>
            </w:r>
          </w:p>
        </w:tc>
        <w:tc>
          <w:tcPr>
            <w:tcW w:w="100" w:type="dxa"/>
            <w:vAlign w:val="bottom"/>
            <w:tcBorders>
              <w:top w:val="single" w:sz="8" w:color="CCEEFF"/>
            </w:tcBorders>
          </w:tcPr>
          <w:p>
            <w:pPr>
              <w:spacing w:after="0"/>
              <w:rPr>
                <w:sz w:val="15"/>
                <w:szCs w:val="15"/>
                <w:color w:val="auto"/>
              </w:rPr>
            </w:pPr>
          </w:p>
        </w:tc>
        <w:tc>
          <w:tcPr>
            <w:tcW w:w="20" w:type="dxa"/>
            <w:vAlign w:val="bottom"/>
            <w:tcBorders>
              <w:top w:val="single" w:sz="8" w:color="CCEEFF"/>
            </w:tcBorders>
          </w:tcPr>
          <w:p>
            <w:pPr>
              <w:spacing w:after="0"/>
              <w:rPr>
                <w:sz w:val="15"/>
                <w:szCs w:val="15"/>
                <w:color w:val="auto"/>
              </w:rPr>
            </w:pPr>
          </w:p>
        </w:tc>
        <w:tc>
          <w:tcPr>
            <w:tcW w:w="7640" w:type="dxa"/>
            <w:vAlign w:val="bottom"/>
            <w:tcBorders>
              <w:top w:val="single" w:sz="8" w:color="0000EE"/>
            </w:tcBorders>
            <w:gridSpan w:val="6"/>
          </w:tcPr>
          <w:p>
            <w:pPr>
              <w:spacing w:after="0" w:line="176" w:lineRule="exact"/>
              <w:rPr>
                <w:sz w:val="20"/>
                <w:szCs w:val="20"/>
                <w:color w:val="auto"/>
              </w:rPr>
            </w:pPr>
            <w:r>
              <w:rPr>
                <w:rFonts w:ascii="Arial" w:cs="Arial" w:eastAsia="Arial" w:hAnsi="Arial"/>
                <w:sz w:val="18"/>
                <w:szCs w:val="18"/>
                <w:color w:val="0000EE"/>
              </w:rPr>
              <w:t>Press release, dated May 22, 2023.</w:t>
            </w:r>
          </w:p>
        </w:tc>
        <w:tc>
          <w:tcPr>
            <w:tcW w:w="2460" w:type="dxa"/>
            <w:vAlign w:val="bottom"/>
            <w:tcBorders>
              <w:top w:val="single" w:sz="8" w:color="CCEEFF"/>
            </w:tcBorders>
            <w:gridSpan w:val="4"/>
          </w:tcPr>
          <w:p>
            <w:pPr>
              <w:spacing w:after="0"/>
              <w:rPr>
                <w:sz w:val="15"/>
                <w:szCs w:val="15"/>
                <w:color w:val="auto"/>
              </w:rPr>
            </w:pPr>
          </w:p>
        </w:tc>
      </w:tr>
      <w:tr>
        <w:trPr>
          <w:trHeight w:val="21"/>
        </w:trPr>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1560" w:type="dxa"/>
            <w:vAlign w:val="bottom"/>
            <w:tcBorders>
              <w:top w:val="single" w:sz="8" w:color="0000EE"/>
            </w:tcBorders>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16"/>
        </w:trPr>
        <w:tc>
          <w:tcPr>
            <w:tcW w:w="1020" w:type="dxa"/>
            <w:vAlign w:val="bottom"/>
            <w:shd w:val="clear" w:color="auto" w:fill="CCEEFF"/>
          </w:tcPr>
          <w:p>
            <w:pPr>
              <w:spacing w:after="0"/>
              <w:rPr>
                <w:sz w:val="20"/>
                <w:szCs w:val="20"/>
                <w:color w:val="auto"/>
              </w:rPr>
            </w:pPr>
            <w:r>
              <w:rPr>
                <w:rFonts w:ascii="Arial" w:cs="Arial" w:eastAsia="Arial" w:hAnsi="Arial"/>
                <w:sz w:val="18"/>
                <w:szCs w:val="18"/>
                <w:color w:val="auto"/>
              </w:rPr>
              <w:t>104</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100" w:type="dxa"/>
            <w:vAlign w:val="bottom"/>
            <w:gridSpan w:val="10"/>
            <w:shd w:val="clear" w:color="auto" w:fill="CCEEFF"/>
          </w:tcPr>
          <w:p>
            <w:pPr>
              <w:spacing w:after="0"/>
              <w:rPr>
                <w:sz w:val="20"/>
                <w:szCs w:val="20"/>
                <w:color w:val="auto"/>
              </w:rPr>
            </w:pPr>
            <w:r>
              <w:rPr>
                <w:rFonts w:ascii="Arial" w:cs="Arial" w:eastAsia="Arial" w:hAnsi="Arial"/>
                <w:sz w:val="18"/>
                <w:szCs w:val="18"/>
                <w:color w:val="auto"/>
              </w:rPr>
              <w:t>Cover Page Interactive Data File (embedded with the Inline XBRL document)</w:t>
            </w:r>
          </w:p>
        </w:tc>
      </w:tr>
    </w:tbl>
    <w:p>
      <w:pPr>
        <w:spacing w:after="0" w:line="229" w:lineRule="exact"/>
        <w:rPr>
          <w:sz w:val="20"/>
          <w:szCs w:val="20"/>
          <w:color w:val="auto"/>
        </w:rPr>
      </w:pPr>
    </w:p>
    <w:p>
      <w:pPr>
        <w:ind w:left="340" w:hanging="332"/>
        <w:spacing w:after="0" w:line="277" w:lineRule="auto"/>
        <w:tabs>
          <w:tab w:leader="none" w:pos="340" w:val="left"/>
        </w:tabs>
        <w:numPr>
          <w:ilvl w:val="0"/>
          <w:numId w:val="2"/>
        </w:numPr>
        <w:rPr>
          <w:rFonts w:ascii="Arial" w:cs="Arial" w:eastAsia="Arial" w:hAnsi="Arial"/>
          <w:sz w:val="18"/>
          <w:szCs w:val="18"/>
          <w:color w:val="auto"/>
        </w:rPr>
      </w:pPr>
      <w:r>
        <w:rPr>
          <w:rFonts w:ascii="Arial" w:cs="Arial" w:eastAsia="Arial" w:hAnsi="Arial"/>
          <w:sz w:val="18"/>
          <w:szCs w:val="18"/>
          <w:color w:val="auto"/>
        </w:rPr>
        <w:t>Certain information has been omitted pursuant to Item 601(a)(5) of Regulation S-K. A copy of the omitted information will be furnished to the SEC upon request.</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p>
      <w:pPr>
        <w:ind w:left="6740"/>
        <w:spacing w:after="0"/>
        <w:rPr>
          <w:sz w:val="20"/>
          <w:szCs w:val="20"/>
          <w:color w:val="auto"/>
        </w:rPr>
      </w:pPr>
      <w:r>
        <w:rPr>
          <w:rFonts w:ascii="Arial" w:cs="Arial" w:eastAsia="Arial" w:hAnsi="Arial"/>
          <w:sz w:val="18"/>
          <w:szCs w:val="18"/>
          <w:b w:val="1"/>
          <w:bCs w:val="1"/>
          <w:color w:val="auto"/>
        </w:rPr>
        <w:t>PRESTO AUTOMATION INC.</w:t>
      </w:r>
    </w:p>
    <w:p>
      <w:pPr>
        <w:spacing w:after="0" w:line="229" w:lineRule="exact"/>
        <w:rPr>
          <w:sz w:val="20"/>
          <w:szCs w:val="20"/>
          <w:color w:val="auto"/>
        </w:rPr>
      </w:pPr>
    </w:p>
    <w:p>
      <w:pPr>
        <w:ind w:left="6740"/>
        <w:spacing w:after="0"/>
        <w:tabs>
          <w:tab w:leader="none" w:pos="7180" w:val="left"/>
        </w:tabs>
        <w:rPr>
          <w:sz w:val="20"/>
          <w:szCs w:val="20"/>
          <w:color w:val="auto"/>
        </w:rPr>
      </w:pPr>
      <w:r>
        <w:rPr>
          <w:rFonts w:ascii="Arial" w:cs="Arial" w:eastAsia="Arial" w:hAnsi="Arial"/>
          <w:sz w:val="18"/>
          <w:szCs w:val="18"/>
          <w:color w:val="auto"/>
        </w:rPr>
        <w:t>By:</w:t>
        <w:tab/>
        <w:t>/s/ Ashish Gupta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4565650</wp:posOffset>
            </wp:positionH>
            <wp:positionV relativeFrom="paragraph">
              <wp:posOffset>23495</wp:posOffset>
            </wp:positionV>
            <wp:extent cx="257175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7">
                      <a:extLst>
                        <a:ext uri="{28A0092B-C50C-407E-A947-70E740481C1C}"/>
                      </a:extLst>
                    </a:blip>
                    <a:srcRect/>
                    <a:stretch>
                      <a:fillRect/>
                    </a:stretch>
                  </pic:blipFill>
                  <pic:spPr bwMode="auto">
                    <a:xfrm>
                      <a:off x="0" y="0"/>
                      <a:ext cx="2571750" cy="17145"/>
                    </a:xfrm>
                    <a:prstGeom prst="rect">
                      <a:avLst/>
                    </a:prstGeom>
                    <a:noFill/>
                  </pic:spPr>
                </pic:pic>
              </a:graphicData>
            </a:graphic>
          </wp:anchor>
        </w:drawing>
      </w:r>
    </w:p>
    <w:p>
      <w:pPr>
        <w:spacing w:after="0" w:line="30"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Name: Ashish Gupta</w:t>
      </w:r>
    </w:p>
    <w:p>
      <w:pPr>
        <w:spacing w:after="0" w:line="23" w:lineRule="exact"/>
        <w:rPr>
          <w:sz w:val="20"/>
          <w:szCs w:val="20"/>
          <w:color w:val="auto"/>
        </w:rPr>
      </w:pPr>
    </w:p>
    <w:p>
      <w:pPr>
        <w:ind w:left="7200"/>
        <w:spacing w:after="0"/>
        <w:tabs>
          <w:tab w:leader="none" w:pos="774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Principal Financial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Dated: May 22, 2023</w:t>
      </w: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 w:name="page6"/>
    <w:bookmarkEnd w:id="5"/>
    <w:p>
      <w:pPr>
        <w:ind w:left="10120"/>
        <w:spacing w:after="0"/>
        <w:rPr>
          <w:sz w:val="20"/>
          <w:szCs w:val="20"/>
          <w:color w:val="auto"/>
        </w:rPr>
      </w:pPr>
      <w:r>
        <w:rPr>
          <w:rFonts w:ascii="Arial" w:cs="Arial" w:eastAsia="Arial" w:hAnsi="Arial"/>
          <w:sz w:val="18"/>
          <w:szCs w:val="18"/>
          <w:b w:val="1"/>
          <w:bCs w:val="1"/>
          <w:color w:val="auto"/>
        </w:rPr>
        <w:t>EXHIBIT 10.1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SECURITIES PURCHASE AGREEMENT</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This Securities Purchase Agreement (this “</w:t>
      </w:r>
      <w:r>
        <w:rPr>
          <w:rFonts w:ascii="Arial" w:cs="Arial" w:eastAsia="Arial" w:hAnsi="Arial"/>
          <w:sz w:val="18"/>
          <w:szCs w:val="18"/>
          <w:u w:val="single" w:color="auto"/>
          <w:color w:val="auto"/>
        </w:rPr>
        <w:t>Agreement</w:t>
      </w:r>
      <w:r>
        <w:rPr>
          <w:rFonts w:ascii="Arial" w:cs="Arial" w:eastAsia="Arial" w:hAnsi="Arial"/>
          <w:sz w:val="18"/>
          <w:szCs w:val="18"/>
          <w:color w:val="auto"/>
        </w:rPr>
        <w:t>”) is dated as of May 22, 2023, between Presto Automation Inc., a Delaware corporation (the “</w:t>
      </w:r>
      <w:r>
        <w:rPr>
          <w:rFonts w:ascii="Arial" w:cs="Arial" w:eastAsia="Arial" w:hAnsi="Arial"/>
          <w:sz w:val="18"/>
          <w:szCs w:val="18"/>
          <w:u w:val="single" w:color="auto"/>
          <w:color w:val="auto"/>
        </w:rPr>
        <w:t>Company</w:t>
      </w:r>
      <w:r>
        <w:rPr>
          <w:rFonts w:ascii="Arial" w:cs="Arial" w:eastAsia="Arial" w:hAnsi="Arial"/>
          <w:sz w:val="18"/>
          <w:szCs w:val="18"/>
          <w:color w:val="auto"/>
        </w:rPr>
        <w:t>”), and each purchaser identified on the signature pages hereto (each, including its successors and assigns, a “</w:t>
      </w:r>
      <w:r>
        <w:rPr>
          <w:rFonts w:ascii="Arial" w:cs="Arial" w:eastAsia="Arial" w:hAnsi="Arial"/>
          <w:sz w:val="18"/>
          <w:szCs w:val="18"/>
          <w:u w:val="single" w:color="auto"/>
          <w:color w:val="auto"/>
        </w:rPr>
        <w:t>Purchaser</w:t>
      </w:r>
      <w:r>
        <w:rPr>
          <w:rFonts w:ascii="Arial" w:cs="Arial" w:eastAsia="Arial" w:hAnsi="Arial"/>
          <w:sz w:val="18"/>
          <w:szCs w:val="18"/>
          <w:color w:val="auto"/>
        </w:rPr>
        <w:t>” and collectively, the “</w:t>
      </w:r>
      <w:r>
        <w:rPr>
          <w:rFonts w:ascii="Arial" w:cs="Arial" w:eastAsia="Arial" w:hAnsi="Arial"/>
          <w:sz w:val="18"/>
          <w:szCs w:val="18"/>
          <w:u w:val="single" w:color="auto"/>
          <w:color w:val="auto"/>
        </w:rPr>
        <w:t>Purchasers</w:t>
      </w:r>
      <w:r>
        <w:rPr>
          <w:rFonts w:ascii="Arial" w:cs="Arial" w:eastAsia="Arial" w:hAnsi="Arial"/>
          <w:sz w:val="18"/>
          <w:szCs w:val="18"/>
          <w:color w:val="auto"/>
        </w:rPr>
        <w:t>”).</w:t>
      </w:r>
    </w:p>
    <w:p>
      <w:pPr>
        <w:spacing w:after="0" w:line="18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WHEREAS, subject to the terms and conditions set forth in this Agreement and pursuant to Section 4(a)(2) of the Securities Act (as defined below), and Rule 506 promulgated thereunder, the Company desires to issue and sell to each Purchaser, and each Purchaser, severally and not jointly, desires to purchase from the Company, securities of the Company as more fully described in this Agreement.</w:t>
      </w:r>
    </w:p>
    <w:p>
      <w:pPr>
        <w:spacing w:after="0" w:line="18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NOW, THEREFORE, IN CONSIDERATION of the mutual covenants contained in this Agreement, and for other good and valuable consideration, the receipt and adequacy of which are hereby acknowledged, the Company and each Purchaser agree as follows: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DEFINITIONS</w:t>
      </w:r>
    </w:p>
    <w:p>
      <w:pPr>
        <w:spacing w:after="0" w:line="21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 xml:space="preserve">1.1 </w:t>
      </w:r>
      <w:r>
        <w:rPr>
          <w:rFonts w:ascii="Arial" w:cs="Arial" w:eastAsia="Arial" w:hAnsi="Arial"/>
          <w:sz w:val="18"/>
          <w:szCs w:val="18"/>
          <w:u w:val="single" w:color="auto"/>
          <w:color w:val="auto"/>
        </w:rPr>
        <w:t>Definitions</w:t>
      </w:r>
      <w:r>
        <w:rPr>
          <w:rFonts w:ascii="Arial" w:cs="Arial" w:eastAsia="Arial" w:hAnsi="Arial"/>
          <w:sz w:val="18"/>
          <w:szCs w:val="18"/>
          <w:color w:val="auto"/>
        </w:rPr>
        <w:t>. In addition to the terms defined elsewhere in this Agreement, for all purposes of this Agreement, the following terms have the meanings set forth in this Section 1.1:</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Acquiring Person</w:t>
      </w:r>
      <w:r>
        <w:rPr>
          <w:rFonts w:ascii="Arial" w:cs="Arial" w:eastAsia="Arial" w:hAnsi="Arial"/>
          <w:sz w:val="18"/>
          <w:szCs w:val="18"/>
          <w:color w:val="auto"/>
        </w:rPr>
        <w:t>” shall have the meaning ascribed to such term in Section 4.5.</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Action</w:t>
      </w:r>
      <w:r>
        <w:rPr>
          <w:rFonts w:ascii="Arial" w:cs="Arial" w:eastAsia="Arial" w:hAnsi="Arial"/>
          <w:sz w:val="18"/>
          <w:szCs w:val="18"/>
          <w:color w:val="auto"/>
        </w:rPr>
        <w:t>” shall have the meaning ascribed to such term in Section 3.1(j).</w:t>
      </w:r>
    </w:p>
    <w:p>
      <w:pPr>
        <w:spacing w:after="0" w:line="225" w:lineRule="exact"/>
        <w:rPr>
          <w:sz w:val="20"/>
          <w:szCs w:val="20"/>
          <w:color w:val="auto"/>
        </w:rPr>
      </w:pPr>
    </w:p>
    <w:p>
      <w:pPr>
        <w:jc w:val="both"/>
        <w:ind w:left="66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Affiliate</w:t>
      </w:r>
      <w:r>
        <w:rPr>
          <w:rFonts w:ascii="Arial" w:cs="Arial" w:eastAsia="Arial" w:hAnsi="Arial"/>
          <w:sz w:val="18"/>
          <w:szCs w:val="18"/>
          <w:color w:val="auto"/>
        </w:rPr>
        <w:t>” means any Person that, directly or indirectly through one or more intermediaries, controls or is controlled by or is under common control with a Person, as such terms are used in and construed under Rule 405 under the Securities Act.</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Board of Directors</w:t>
      </w:r>
      <w:r>
        <w:rPr>
          <w:rFonts w:ascii="Arial" w:cs="Arial" w:eastAsia="Arial" w:hAnsi="Arial"/>
          <w:sz w:val="18"/>
          <w:szCs w:val="18"/>
          <w:color w:val="auto"/>
        </w:rPr>
        <w:t>” means the board of directors of the Company.</w:t>
      </w:r>
    </w:p>
    <w:p>
      <w:pPr>
        <w:spacing w:after="0" w:line="225" w:lineRule="exact"/>
        <w:rPr>
          <w:sz w:val="20"/>
          <w:szCs w:val="20"/>
          <w:color w:val="auto"/>
        </w:rPr>
      </w:pPr>
    </w:p>
    <w:p>
      <w:pPr>
        <w:jc w:val="both"/>
        <w:ind w:left="660" w:firstLine="648"/>
        <w:spacing w:after="0" w:line="29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Business Day</w:t>
      </w:r>
      <w:r>
        <w:rPr>
          <w:rFonts w:ascii="Arial" w:cs="Arial" w:eastAsia="Arial" w:hAnsi="Arial"/>
          <w:sz w:val="16"/>
          <w:szCs w:val="16"/>
          <w:color w:val="auto"/>
        </w:rPr>
        <w:t xml:space="preserve">” means any day other than Saturday, Sunday or other day on which commercial banks in The City of New York are authorized or required by law to remain closed;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for clarification, commercial banks shall not be deemed to be authorized or required by law to remain closed due to “stay at home”, “shelter-in-place”, “non-essential employee” or any other similar orders or restrictions or the closure of any physical branch locations at the direction of any governmental authority so long as the electronic funds transfer systems (including for wire transfers) of commercial banks in The City of New York are generally open for use by customers on such day.</w:t>
      </w:r>
    </w:p>
    <w:p>
      <w:pPr>
        <w:spacing w:after="0" w:line="16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Closing</w:t>
      </w:r>
      <w:r>
        <w:rPr>
          <w:rFonts w:ascii="Arial" w:cs="Arial" w:eastAsia="Arial" w:hAnsi="Arial"/>
          <w:sz w:val="18"/>
          <w:szCs w:val="18"/>
          <w:color w:val="auto"/>
        </w:rPr>
        <w:t>” means the closing of the purchase and sale of the Shares pursuant to Section 2.1.</w:t>
      </w:r>
    </w:p>
    <w:p>
      <w:pPr>
        <w:spacing w:after="0" w:line="225" w:lineRule="exact"/>
        <w:rPr>
          <w:sz w:val="20"/>
          <w:szCs w:val="20"/>
          <w:color w:val="auto"/>
        </w:rPr>
      </w:pPr>
    </w:p>
    <w:p>
      <w:pPr>
        <w:jc w:val="both"/>
        <w:ind w:left="660" w:firstLine="648"/>
        <w:spacing w:after="0" w:line="31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Closing Date</w:t>
      </w:r>
      <w:r>
        <w:rPr>
          <w:rFonts w:ascii="Arial" w:cs="Arial" w:eastAsia="Arial" w:hAnsi="Arial"/>
          <w:sz w:val="16"/>
          <w:szCs w:val="16"/>
          <w:color w:val="auto"/>
        </w:rPr>
        <w:t>” means the Trading Day on, or at the election of the Company, immediately following, the date on which all of the Transaction Documents have been executed and delivered by the applicable parties thereto, and all conditions precedent to (i) the Purchasers’ obligations to pay the Subscription Amount and (ii) the Company’s obligations to deliver the Shares, in each case, have been satisfied or waived.</w:t>
      </w: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 w:name="page7"/>
    <w:bookmarkEnd w:id="6"/>
    <w:p>
      <w:pPr>
        <w:ind w:left="6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Commission</w:t>
      </w:r>
      <w:r>
        <w:rPr>
          <w:rFonts w:ascii="Arial" w:cs="Arial" w:eastAsia="Arial" w:hAnsi="Arial"/>
          <w:sz w:val="18"/>
          <w:szCs w:val="18"/>
          <w:color w:val="auto"/>
        </w:rPr>
        <w:t>” means the United States Securities and Exchange Commission.</w:t>
      </w:r>
    </w:p>
    <w:p>
      <w:pPr>
        <w:spacing w:after="0" w:line="225" w:lineRule="exact"/>
        <w:rPr>
          <w:sz w:val="20"/>
          <w:szCs w:val="20"/>
          <w:color w:val="auto"/>
        </w:rPr>
      </w:pPr>
    </w:p>
    <w:p>
      <w:pPr>
        <w:jc w:val="both"/>
        <w:ind w:left="4"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Common Stock</w:t>
      </w:r>
      <w:r>
        <w:rPr>
          <w:rFonts w:ascii="Arial" w:cs="Arial" w:eastAsia="Arial" w:hAnsi="Arial"/>
          <w:sz w:val="18"/>
          <w:szCs w:val="18"/>
          <w:color w:val="auto"/>
        </w:rPr>
        <w:t>” means the common stock of the Company, par value $0.0001 per share, and any other class of securities into which such securities may hereafter be reclassified or changed.</w:t>
      </w:r>
    </w:p>
    <w:p>
      <w:pPr>
        <w:spacing w:after="0" w:line="170" w:lineRule="exact"/>
        <w:rPr>
          <w:sz w:val="20"/>
          <w:szCs w:val="20"/>
          <w:color w:val="auto"/>
        </w:rPr>
      </w:pPr>
    </w:p>
    <w:p>
      <w:pPr>
        <w:jc w:val="both"/>
        <w:ind w:left="4" w:firstLine="648"/>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Common Stock Equivalents</w:t>
      </w:r>
      <w:r>
        <w:rPr>
          <w:rFonts w:ascii="Arial" w:cs="Arial" w:eastAsia="Arial" w:hAnsi="Arial"/>
          <w:sz w:val="17"/>
          <w:szCs w:val="17"/>
          <w:color w:val="auto"/>
        </w:rPr>
        <w:t>” means any securities of the Company or the Subsidiaries which would entitle the holder thereof to acquire at any time Common Stock, including, without limitation, any debt, preferred stock, right, option, warrant or other instrument that is at any time convertible into or exercisable or exchangeable for, or otherwise entitles the holder thereof to receive, Common Stock.</w:t>
      </w:r>
    </w:p>
    <w:p>
      <w:pPr>
        <w:spacing w:after="0" w:line="165" w:lineRule="exact"/>
        <w:rPr>
          <w:sz w:val="20"/>
          <w:szCs w:val="20"/>
          <w:color w:val="auto"/>
        </w:rPr>
      </w:pPr>
    </w:p>
    <w:p>
      <w:pPr>
        <w:ind w:left="6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 Counsel</w:t>
      </w:r>
      <w:r>
        <w:rPr>
          <w:rFonts w:ascii="Arial" w:cs="Arial" w:eastAsia="Arial" w:hAnsi="Arial"/>
          <w:sz w:val="18"/>
          <w:szCs w:val="18"/>
          <w:color w:val="auto"/>
        </w:rPr>
        <w:t>” means White &amp; Case LLP, with offices located at 1221 Avenue of the Americas, New York, NY 10020.</w:t>
      </w:r>
    </w:p>
    <w:p>
      <w:pPr>
        <w:spacing w:after="0" w:line="225" w:lineRule="exact"/>
        <w:rPr>
          <w:sz w:val="20"/>
          <w:szCs w:val="20"/>
          <w:color w:val="auto"/>
        </w:rPr>
      </w:pPr>
    </w:p>
    <w:p>
      <w:pPr>
        <w:jc w:val="both"/>
        <w:ind w:left="4"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Credit Agreement</w:t>
      </w:r>
      <w:r>
        <w:rPr>
          <w:rFonts w:ascii="Arial" w:cs="Arial" w:eastAsia="Arial" w:hAnsi="Arial"/>
          <w:sz w:val="18"/>
          <w:szCs w:val="18"/>
          <w:color w:val="auto"/>
        </w:rPr>
        <w:t>” means the credit agreement, dated as of September 21, 2022, with Metropolitan Partners Group Administration, LLC, as administrative, payment and collateral agent for the lenders, as amended by the First Amendment to Credit Agreement, dated March 31, 2023.</w:t>
      </w:r>
    </w:p>
    <w:p>
      <w:pPr>
        <w:spacing w:after="0" w:line="184" w:lineRule="exact"/>
        <w:rPr>
          <w:sz w:val="20"/>
          <w:szCs w:val="20"/>
          <w:color w:val="auto"/>
        </w:rPr>
      </w:pPr>
    </w:p>
    <w:p>
      <w:pPr>
        <w:ind w:left="6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Disclosure Schedules</w:t>
      </w:r>
      <w:r>
        <w:rPr>
          <w:rFonts w:ascii="Arial" w:cs="Arial" w:eastAsia="Arial" w:hAnsi="Arial"/>
          <w:sz w:val="18"/>
          <w:szCs w:val="18"/>
          <w:color w:val="auto"/>
        </w:rPr>
        <w:t>” means the Disclosure Schedules of the Company delivered concurrently herewith.</w:t>
      </w:r>
    </w:p>
    <w:p>
      <w:pPr>
        <w:spacing w:after="0" w:line="225" w:lineRule="exact"/>
        <w:rPr>
          <w:sz w:val="20"/>
          <w:szCs w:val="20"/>
          <w:color w:val="auto"/>
        </w:rPr>
      </w:pPr>
    </w:p>
    <w:p>
      <w:pPr>
        <w:jc w:val="both"/>
        <w:ind w:left="4"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Disclosure Time</w:t>
      </w:r>
      <w:r>
        <w:rPr>
          <w:rFonts w:ascii="Arial" w:cs="Arial" w:eastAsia="Arial" w:hAnsi="Arial"/>
          <w:sz w:val="18"/>
          <w:szCs w:val="18"/>
          <w:color w:val="auto"/>
        </w:rPr>
        <w:t>” means, (i) if this Agreement is signed on a day that is not a Trading Day or after 9:00 a.m. (New York City time) and before midnight (New York City time) on any Trading Day, 9:01 a.m. (New York City time) on the Trading Day immediately following the date hereof, and (ii) if this Agreement is signed between midnight (New York City time) and 9:00 a.m. (New York City time) on any Trading Day, no later than 9:01 a.m. (New York City time) on the date hereof.</w:t>
      </w:r>
    </w:p>
    <w:p>
      <w:pPr>
        <w:spacing w:after="0" w:line="187" w:lineRule="exact"/>
        <w:rPr>
          <w:sz w:val="20"/>
          <w:szCs w:val="20"/>
          <w:color w:val="auto"/>
        </w:rPr>
      </w:pPr>
    </w:p>
    <w:p>
      <w:pPr>
        <w:ind w:left="644"/>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Effective Date</w:t>
      </w:r>
      <w:r>
        <w:rPr>
          <w:rFonts w:ascii="Arial" w:cs="Arial" w:eastAsia="Arial" w:hAnsi="Arial"/>
          <w:sz w:val="16"/>
          <w:szCs w:val="16"/>
          <w:color w:val="auto"/>
        </w:rPr>
        <w:t>” means the earliest of the date that (a) the initial Registration Statement has been declared effective by the Commission,</w:t>
      </w:r>
    </w:p>
    <w:p>
      <w:pPr>
        <w:spacing w:after="0" w:line="46" w:lineRule="exact"/>
        <w:rPr>
          <w:sz w:val="20"/>
          <w:szCs w:val="20"/>
          <w:color w:val="auto"/>
        </w:rPr>
      </w:pPr>
    </w:p>
    <w:p>
      <w:pPr>
        <w:jc w:val="both"/>
        <w:ind w:left="4" w:hanging="4"/>
        <w:spacing w:after="0" w:line="281" w:lineRule="auto"/>
        <w:tabs>
          <w:tab w:leader="none" w:pos="275" w:val="left"/>
        </w:tabs>
        <w:numPr>
          <w:ilvl w:val="0"/>
          <w:numId w:val="3"/>
        </w:numPr>
        <w:rPr>
          <w:rFonts w:ascii="Arial" w:cs="Arial" w:eastAsia="Arial" w:hAnsi="Arial"/>
          <w:sz w:val="16"/>
          <w:szCs w:val="16"/>
          <w:color w:val="auto"/>
        </w:rPr>
      </w:pPr>
      <w:r>
        <w:rPr>
          <w:rFonts w:ascii="Arial" w:cs="Arial" w:eastAsia="Arial" w:hAnsi="Arial"/>
          <w:sz w:val="16"/>
          <w:szCs w:val="16"/>
          <w:color w:val="auto"/>
        </w:rPr>
        <w:t>all of the Shares have been sold pursuant to Rule 144 or may be sold by a non-Affiliate of the Company pursuant to Rule 144 without the requirement for the Company to be in compliance with the current public information required under Rule 144 and without volume or manner-of-sale restrictions, (c) following the one year anniversary of the Closing Date provided that a holder of Shares is not an Affiliate of the Company, or</w:t>
      </w:r>
    </w:p>
    <w:p>
      <w:pPr>
        <w:spacing w:after="0" w:line="1" w:lineRule="exact"/>
        <w:rPr>
          <w:rFonts w:ascii="Arial" w:cs="Arial" w:eastAsia="Arial" w:hAnsi="Arial"/>
          <w:sz w:val="16"/>
          <w:szCs w:val="16"/>
          <w:color w:val="auto"/>
        </w:rPr>
      </w:pPr>
    </w:p>
    <w:p>
      <w:pPr>
        <w:jc w:val="both"/>
        <w:ind w:left="4" w:hanging="4"/>
        <w:spacing w:after="0" w:line="302" w:lineRule="auto"/>
        <w:tabs>
          <w:tab w:leader="none" w:pos="259" w:val="left"/>
        </w:tabs>
        <w:numPr>
          <w:ilvl w:val="0"/>
          <w:numId w:val="4"/>
        </w:numPr>
        <w:rPr>
          <w:rFonts w:ascii="Arial" w:cs="Arial" w:eastAsia="Arial" w:hAnsi="Arial"/>
          <w:sz w:val="16"/>
          <w:szCs w:val="16"/>
          <w:color w:val="auto"/>
        </w:rPr>
      </w:pPr>
      <w:r>
        <w:rPr>
          <w:rFonts w:ascii="Arial" w:cs="Arial" w:eastAsia="Arial" w:hAnsi="Arial"/>
          <w:sz w:val="16"/>
          <w:szCs w:val="16"/>
          <w:color w:val="auto"/>
        </w:rPr>
        <w:t>all of the Shares may be sold pursuant to an exemption from registration under Section 4(a)(1) of the Securities Act without volume or manner-of-sale restrictions and Company Counsel has delivered to such holders a standing written unqualified opinion that resales may then be made by such holders of the Shares pursuant to such exemption which opinion shall be in form and substance reasonably acceptable to such holders.</w:t>
      </w:r>
    </w:p>
    <w:p>
      <w:pPr>
        <w:spacing w:after="0" w:line="371" w:lineRule="exact"/>
        <w:rPr>
          <w:sz w:val="20"/>
          <w:szCs w:val="20"/>
          <w:color w:val="auto"/>
        </w:rPr>
      </w:pPr>
    </w:p>
    <w:p>
      <w:pPr>
        <w:ind w:left="4924"/>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14605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908" w:right="339" w:bottom="1440" w:gutter="0" w:footer="0" w:header="0"/>
        </w:sectPr>
      </w:pPr>
    </w:p>
    <w:bookmarkStart w:id="7" w:name="page8"/>
    <w:bookmarkEnd w:id="7"/>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Evaluation Date</w:t>
      </w:r>
      <w:r>
        <w:rPr>
          <w:rFonts w:ascii="Arial" w:cs="Arial" w:eastAsia="Arial" w:hAnsi="Arial"/>
          <w:sz w:val="18"/>
          <w:szCs w:val="18"/>
          <w:color w:val="auto"/>
        </w:rPr>
        <w:t>” shall have the meaning ascribed to such term in Section 3.1(s).</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Exchange Act</w:t>
      </w:r>
      <w:r>
        <w:rPr>
          <w:rFonts w:ascii="Arial" w:cs="Arial" w:eastAsia="Arial" w:hAnsi="Arial"/>
          <w:sz w:val="17"/>
          <w:szCs w:val="17"/>
          <w:color w:val="auto"/>
        </w:rPr>
        <w:t>” means the Securities Exchange Act of 1934, as amended, and the rules and regulations promulgated thereunder.</w:t>
      </w:r>
    </w:p>
    <w:p>
      <w:pPr>
        <w:spacing w:after="0" w:line="237"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Exempt Issuance</w:t>
      </w:r>
      <w:r>
        <w:rPr>
          <w:rFonts w:ascii="Arial" w:cs="Arial" w:eastAsia="Arial" w:hAnsi="Arial"/>
          <w:sz w:val="16"/>
          <w:szCs w:val="16"/>
          <w:color w:val="auto"/>
        </w:rPr>
        <w:t>” means the issuance of (a) shares of Common Stock, options, restricted stock units or equity awards to employees, officers, or directors or consultants of the Company pursuant to any equity incentive plan duly adopted for such purpose, by a majority of the non-employee members of the Board of Directors or a majority of the members of a committee of non-employee directors established for such purpose for services rendered to the Company, (b) securities upon the exercise or exchange of or conversion of any Shares issued hereunder and/or other securities exercisable or exchangeable for or convertible into shares of Common Stock issued and outstanding on the date of this Agreement, provided that such securities have not been amended since the date of this Agreement to increase the number of such securities or to decrease the exercise price, exchange price or conversion price of such securities (other than in connection with stock splits or combinations) or to extend the term of such securities, and (c) securities issued pursuant to acquisitions or strategic transactions approved by a majority of the disinterested directors of the Company, provided that such securities are issued as “restricted securities” (as defined in Rule 144) and carry no registration rights that require or permit the filing of any registration statement in connection therewith during the prohibition period in Section 4.11 herein, and provided that any such issuance shall only be to a Person (or to the equityholders of a Person) which is, itself or through its subsidiaries, an operating company or an owner of an asset in a business synergistic with the business of the Company, as determined by the Board of Directors in good faith, and shall provide to the Company additional benefits in addition to the investment of funds, but shall not include a transaction in which the Company is issuing securities primarily for the purpose of raising capital or to an entity whose primary business is investing in securities.</w:t>
      </w:r>
    </w:p>
    <w:p>
      <w:pPr>
        <w:spacing w:after="0" w:line="17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Financial Advisor</w:t>
      </w:r>
      <w:r>
        <w:rPr>
          <w:rFonts w:ascii="Arial" w:cs="Arial" w:eastAsia="Arial" w:hAnsi="Arial"/>
          <w:sz w:val="18"/>
          <w:szCs w:val="18"/>
          <w:color w:val="auto"/>
        </w:rPr>
        <w:t>” means Chardan Capital Markets LLC.</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FCPA</w:t>
      </w:r>
      <w:r>
        <w:rPr>
          <w:rFonts w:ascii="Arial" w:cs="Arial" w:eastAsia="Arial" w:hAnsi="Arial"/>
          <w:sz w:val="18"/>
          <w:szCs w:val="18"/>
          <w:color w:val="auto"/>
        </w:rPr>
        <w:t>” means the Foreign Corrupt Practices Act of 1977, as amended.</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GAAP</w:t>
      </w:r>
      <w:r>
        <w:rPr>
          <w:rFonts w:ascii="Arial" w:cs="Arial" w:eastAsia="Arial" w:hAnsi="Arial"/>
          <w:sz w:val="18"/>
          <w:szCs w:val="18"/>
          <w:color w:val="auto"/>
        </w:rPr>
        <w:t>” shall have the meaning ascribed to such term in Section 3.1(h).</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Indebtedness</w:t>
      </w:r>
      <w:r>
        <w:rPr>
          <w:rFonts w:ascii="Arial" w:cs="Arial" w:eastAsia="Arial" w:hAnsi="Arial"/>
          <w:sz w:val="18"/>
          <w:szCs w:val="18"/>
          <w:color w:val="auto"/>
        </w:rPr>
        <w:t>” shall have the meaning ascribed to such term in Section 3.1(bb).</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Intellectual Property Rights</w:t>
      </w:r>
      <w:r>
        <w:rPr>
          <w:rFonts w:ascii="Arial" w:cs="Arial" w:eastAsia="Arial" w:hAnsi="Arial"/>
          <w:sz w:val="18"/>
          <w:szCs w:val="18"/>
          <w:color w:val="auto"/>
        </w:rPr>
        <w:t>” shall have the meaning ascribed to such term in Section 3.1(p).</w:t>
      </w:r>
    </w:p>
    <w:p>
      <w:pPr>
        <w:spacing w:after="0" w:line="200" w:lineRule="exact"/>
        <w:rPr>
          <w:sz w:val="20"/>
          <w:szCs w:val="20"/>
          <w:color w:val="auto"/>
        </w:rPr>
      </w:pPr>
    </w:p>
    <w:p>
      <w:pPr>
        <w:spacing w:after="0" w:line="241"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14605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908" w:right="339" w:bottom="1440" w:gutter="0" w:footer="0" w:header="0"/>
        </w:sectPr>
      </w:pPr>
    </w:p>
    <w:bookmarkStart w:id="8" w:name="page9"/>
    <w:bookmarkEnd w:id="8"/>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Legend Removal Date</w:t>
      </w:r>
      <w:r>
        <w:rPr>
          <w:rFonts w:ascii="Arial" w:cs="Arial" w:eastAsia="Arial" w:hAnsi="Arial"/>
          <w:sz w:val="18"/>
          <w:szCs w:val="18"/>
          <w:color w:val="auto"/>
        </w:rPr>
        <w:t>” shall have the meaning ascribed to such term in Section 4.1(c).</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Liens</w:t>
      </w:r>
      <w:r>
        <w:rPr>
          <w:rFonts w:ascii="Arial" w:cs="Arial" w:eastAsia="Arial" w:hAnsi="Arial"/>
          <w:sz w:val="18"/>
          <w:szCs w:val="18"/>
          <w:color w:val="auto"/>
        </w:rPr>
        <w:t>” means a lien, charge pledge, security interest, encumbrance, right of first refusal, preemptive right or other restriction.</w:t>
      </w:r>
    </w:p>
    <w:p>
      <w:pPr>
        <w:spacing w:after="0" w:line="22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Lock-Up Agreement</w:t>
      </w:r>
      <w:r>
        <w:rPr>
          <w:rFonts w:ascii="Arial" w:cs="Arial" w:eastAsia="Arial" w:hAnsi="Arial"/>
          <w:sz w:val="18"/>
          <w:szCs w:val="18"/>
          <w:color w:val="auto"/>
        </w:rPr>
        <w:t xml:space="preserve">” means the Lock-Up Agreement, dated as of the date hereof, by and among the Company and the Company’s directors and officers and Cleveland Avenue, LLC, in the form of </w:t>
      </w:r>
      <w:r>
        <w:rPr>
          <w:rFonts w:ascii="Arial" w:cs="Arial" w:eastAsia="Arial" w:hAnsi="Arial"/>
          <w:sz w:val="18"/>
          <w:szCs w:val="18"/>
          <w:u w:val="single" w:color="auto"/>
          <w:color w:val="auto"/>
        </w:rPr>
        <w:t>Exhibit B</w:t>
      </w:r>
      <w:r>
        <w:rPr>
          <w:rFonts w:ascii="Arial" w:cs="Arial" w:eastAsia="Arial" w:hAnsi="Arial"/>
          <w:sz w:val="18"/>
          <w:szCs w:val="18"/>
          <w:color w:val="auto"/>
        </w:rPr>
        <w:t xml:space="preserve"> attached hereto.</w:t>
      </w:r>
    </w:p>
    <w:p>
      <w:pPr>
        <w:spacing w:after="0" w:line="17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Material Adverse Effect</w:t>
      </w:r>
      <w:r>
        <w:rPr>
          <w:rFonts w:ascii="Arial" w:cs="Arial" w:eastAsia="Arial" w:hAnsi="Arial"/>
          <w:sz w:val="18"/>
          <w:szCs w:val="18"/>
          <w:color w:val="auto"/>
        </w:rPr>
        <w:t>” shall have the meaning assigned to such term in Section 3.1(b).</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Material Permits</w:t>
      </w:r>
      <w:r>
        <w:rPr>
          <w:rFonts w:ascii="Arial" w:cs="Arial" w:eastAsia="Arial" w:hAnsi="Arial"/>
          <w:sz w:val="18"/>
          <w:szCs w:val="18"/>
          <w:color w:val="auto"/>
        </w:rPr>
        <w:t>” shall have the meaning ascribed to such term in Section 3.1(n).</w:t>
      </w:r>
    </w:p>
    <w:p>
      <w:pPr>
        <w:spacing w:after="0" w:line="225" w:lineRule="exact"/>
        <w:rPr>
          <w:sz w:val="20"/>
          <w:szCs w:val="20"/>
          <w:color w:val="auto"/>
        </w:rPr>
      </w:pPr>
    </w:p>
    <w:p>
      <w:pPr>
        <w:ind w:firstLine="648"/>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Per Share Purchase Price</w:t>
      </w:r>
      <w:r>
        <w:rPr>
          <w:rFonts w:ascii="Arial" w:cs="Arial" w:eastAsia="Arial" w:hAnsi="Arial"/>
          <w:sz w:val="17"/>
          <w:szCs w:val="17"/>
          <w:color w:val="auto"/>
        </w:rPr>
        <w:t>” equals $2.00, subject to adjustment for reverse and forward stock splits, stock dividends, stock combinations and other similar transactions of the Common Stock that occur after the date of this Agreement and prior to the Closing Date.</w:t>
      </w:r>
    </w:p>
    <w:p>
      <w:pPr>
        <w:spacing w:after="0" w:line="146"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Person</w:t>
      </w:r>
      <w:r>
        <w:rPr>
          <w:rFonts w:ascii="Arial" w:cs="Arial" w:eastAsia="Arial" w:hAnsi="Arial"/>
          <w:sz w:val="18"/>
          <w:szCs w:val="18"/>
          <w:color w:val="auto"/>
        </w:rPr>
        <w:t>” means an individual or corporation, partnership, trust, incorporated or unincorporated association, joint venture, limited liability company, joint stock company, government (or an agency or subdivision thereof) or other entity of any kind.</w:t>
      </w:r>
    </w:p>
    <w:p>
      <w:pPr>
        <w:spacing w:after="0" w:line="170"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Proceeding</w:t>
      </w:r>
      <w:r>
        <w:rPr>
          <w:rFonts w:ascii="Arial" w:cs="Arial" w:eastAsia="Arial" w:hAnsi="Arial"/>
          <w:sz w:val="18"/>
          <w:szCs w:val="18"/>
          <w:color w:val="auto"/>
        </w:rPr>
        <w:t>” means an action, claim, suit, investigation or proceeding (including, without limitation, an informal investigation or partial proceeding, such as a deposition), whether commenced or threatened in writing.</w:t>
      </w:r>
    </w:p>
    <w:p>
      <w:pPr>
        <w:spacing w:after="0" w:line="17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Public Information Failure</w:t>
      </w:r>
      <w:r>
        <w:rPr>
          <w:rFonts w:ascii="Arial" w:cs="Arial" w:eastAsia="Arial" w:hAnsi="Arial"/>
          <w:sz w:val="18"/>
          <w:szCs w:val="18"/>
          <w:color w:val="auto"/>
        </w:rPr>
        <w:t>” shall have the meaning ascribed to such term in Section 4.2(b).</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Public Information Failure Payments</w:t>
      </w:r>
      <w:r>
        <w:rPr>
          <w:rFonts w:ascii="Arial" w:cs="Arial" w:eastAsia="Arial" w:hAnsi="Arial"/>
          <w:sz w:val="18"/>
          <w:szCs w:val="18"/>
          <w:color w:val="auto"/>
        </w:rPr>
        <w:t>” shall have the meaning ascribed to such term in Section 4.2(b).</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Purchaser Party</w:t>
      </w:r>
      <w:r>
        <w:rPr>
          <w:rFonts w:ascii="Arial" w:cs="Arial" w:eastAsia="Arial" w:hAnsi="Arial"/>
          <w:sz w:val="18"/>
          <w:szCs w:val="18"/>
          <w:color w:val="auto"/>
        </w:rPr>
        <w:t>” shall have the meaning ascribed to such term in Section 4.8.</w:t>
      </w:r>
    </w:p>
    <w:p>
      <w:pPr>
        <w:spacing w:after="0" w:line="22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Registration Rights Agreement</w:t>
      </w:r>
      <w:r>
        <w:rPr>
          <w:rFonts w:ascii="Arial" w:cs="Arial" w:eastAsia="Arial" w:hAnsi="Arial"/>
          <w:sz w:val="18"/>
          <w:szCs w:val="18"/>
          <w:color w:val="auto"/>
        </w:rPr>
        <w:t xml:space="preserve">” means the Registration Rights Agreement, dated on or about the date hereof, among the Company and the Purchasers, in the form of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attached hereto.</w:t>
      </w:r>
    </w:p>
    <w:p>
      <w:pPr>
        <w:spacing w:after="0" w:line="386"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14605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908" w:right="339" w:bottom="1440" w:gutter="0" w:footer="0" w:header="0"/>
        </w:sectPr>
      </w:pPr>
    </w:p>
    <w:bookmarkStart w:id="9" w:name="page10"/>
    <w:bookmarkEnd w:id="9"/>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Registration Statement</w:t>
      </w:r>
      <w:r>
        <w:rPr>
          <w:rFonts w:ascii="Arial" w:cs="Arial" w:eastAsia="Arial" w:hAnsi="Arial"/>
          <w:sz w:val="18"/>
          <w:szCs w:val="18"/>
          <w:color w:val="auto"/>
        </w:rPr>
        <w:t>” means a registration statement meeting the requirements set forth in the Registration Rights Agreement and covering the resale by the Purchasers of the Shares.</w:t>
      </w:r>
    </w:p>
    <w:p>
      <w:pPr>
        <w:spacing w:after="0" w:line="17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Required Approvals</w:t>
      </w:r>
      <w:r>
        <w:rPr>
          <w:rFonts w:ascii="Arial" w:cs="Arial" w:eastAsia="Arial" w:hAnsi="Arial"/>
          <w:sz w:val="18"/>
          <w:szCs w:val="18"/>
          <w:color w:val="auto"/>
        </w:rPr>
        <w:t>” shall have the meaning ascribed to such term in Section 3.1(e).</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Rule 144</w:t>
      </w:r>
      <w:r>
        <w:rPr>
          <w:rFonts w:ascii="Arial" w:cs="Arial" w:eastAsia="Arial" w:hAnsi="Arial"/>
          <w:sz w:val="18"/>
          <w:szCs w:val="18"/>
          <w:color w:val="auto"/>
        </w:rPr>
        <w:t>” means Rule 144 promulgated by the Commission pursuant to the Securities Act, as such Rule may be amended or interpreted from time to time, or any similar rule or regulation hereafter adopted by the Commission having substantially the same purpose and effect as such Rule.</w:t>
      </w:r>
    </w:p>
    <w:p>
      <w:pPr>
        <w:spacing w:after="0" w:line="18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Rule 424</w:t>
      </w:r>
      <w:r>
        <w:rPr>
          <w:rFonts w:ascii="Arial" w:cs="Arial" w:eastAsia="Arial" w:hAnsi="Arial"/>
          <w:sz w:val="18"/>
          <w:szCs w:val="18"/>
          <w:color w:val="auto"/>
        </w:rPr>
        <w:t>” means Rule 424 promulgated by the Commission pursuant to the Securities Act, as such Rule may be amended or interpreted from time to time, or any similar rule or regulation hereafter adopted by the Commission having substantially the same purpose and effect as such Rule.</w:t>
      </w:r>
    </w:p>
    <w:p>
      <w:pPr>
        <w:spacing w:after="0" w:line="184"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 Reports</w:t>
      </w:r>
      <w:r>
        <w:rPr>
          <w:rFonts w:ascii="Arial" w:cs="Arial" w:eastAsia="Arial" w:hAnsi="Arial"/>
          <w:sz w:val="18"/>
          <w:szCs w:val="18"/>
          <w:color w:val="auto"/>
        </w:rPr>
        <w:t>” shall have the meaning ascribed to such term in Section 3.1(h).</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Securities Act</w:t>
      </w:r>
      <w:r>
        <w:rPr>
          <w:rFonts w:ascii="Arial" w:cs="Arial" w:eastAsia="Arial" w:hAnsi="Arial"/>
          <w:sz w:val="18"/>
          <w:szCs w:val="18"/>
          <w:color w:val="auto"/>
        </w:rPr>
        <w:t>” means the Securities Act of 1933, as amended, and the rules and regulations promulgated thereunder.</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Shares</w:t>
      </w:r>
      <w:r>
        <w:rPr>
          <w:rFonts w:ascii="Arial" w:cs="Arial" w:eastAsia="Arial" w:hAnsi="Arial"/>
          <w:sz w:val="18"/>
          <w:szCs w:val="18"/>
          <w:color w:val="auto"/>
        </w:rPr>
        <w:t>” means the shares of Common Stock issued or issuable to each Purchaser pursuant to this Agreement.</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Short Sales</w:t>
      </w:r>
      <w:r>
        <w:rPr>
          <w:rFonts w:ascii="Arial" w:cs="Arial" w:eastAsia="Arial" w:hAnsi="Arial"/>
          <w:sz w:val="18"/>
          <w:szCs w:val="18"/>
          <w:color w:val="auto"/>
        </w:rPr>
        <w:t>” means all “short sales” as defined in Rule 200 of Regulation SHO under the Exchange Act (but shall not be deemed to include locating and/or borrowing shares of Common Stock).</w:t>
      </w:r>
    </w:p>
    <w:p>
      <w:pPr>
        <w:spacing w:after="0" w:line="17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Subscription Amount</w:t>
      </w:r>
      <w:r>
        <w:rPr>
          <w:rFonts w:ascii="Arial" w:cs="Arial" w:eastAsia="Arial" w:hAnsi="Arial"/>
          <w:sz w:val="18"/>
          <w:szCs w:val="18"/>
          <w:color w:val="auto"/>
        </w:rPr>
        <w:t>” means, as to each Purchaser, the aggregate amount to be paid for Shares purchased hereunder as specified below such Purchaser’s name on the signature page of this Agreement and next to the heading “Subscription Amount,” in United States dollars and in immediately available funds.</w:t>
      </w:r>
    </w:p>
    <w:p>
      <w:pPr>
        <w:spacing w:after="0" w:line="18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Subsidiary</w:t>
      </w:r>
      <w:r>
        <w:rPr>
          <w:rFonts w:ascii="Arial" w:cs="Arial" w:eastAsia="Arial" w:hAnsi="Arial"/>
          <w:sz w:val="18"/>
          <w:szCs w:val="18"/>
          <w:color w:val="auto"/>
        </w:rPr>
        <w:t>” means any subsidiary of the Company shall, where applicable, also include any direct or indirect subsidiary of the Company formed or acquired after the date hereof.</w:t>
      </w:r>
    </w:p>
    <w:p>
      <w:pPr>
        <w:spacing w:after="0" w:line="17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Trading Day</w:t>
      </w:r>
      <w:r>
        <w:rPr>
          <w:rFonts w:ascii="Arial" w:cs="Arial" w:eastAsia="Arial" w:hAnsi="Arial"/>
          <w:sz w:val="18"/>
          <w:szCs w:val="18"/>
          <w:color w:val="auto"/>
        </w:rPr>
        <w:t>” means a day on which the principal Trading Market is open for trading.</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Trading Market</w:t>
      </w:r>
      <w:r>
        <w:rPr>
          <w:rFonts w:ascii="Arial" w:cs="Arial" w:eastAsia="Arial" w:hAnsi="Arial"/>
          <w:sz w:val="18"/>
          <w:szCs w:val="18"/>
          <w:color w:val="auto"/>
        </w:rPr>
        <w:t>” means any of the following markets or exchanges on which the Common Stock is listed or quoted for trading on the date in question: the NYSE American, the Nasdaq Capital Market, the Nasdaq Global Market, the Nasdaq Global Select Market, or the New York Stock Exchange (or any successors to any of the foregoing).</w:t>
      </w:r>
    </w:p>
    <w:p>
      <w:pPr>
        <w:spacing w:after="0" w:line="400"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14605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908" w:right="339" w:bottom="1440" w:gutter="0" w:footer="0" w:header="0"/>
        </w:sectPr>
      </w:pPr>
    </w:p>
    <w:bookmarkStart w:id="10" w:name="page11"/>
    <w:bookmarkEnd w:id="10"/>
    <w:p>
      <w:pPr>
        <w:jc w:val="both"/>
        <w:ind w:left="660" w:firstLine="648"/>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Transaction Documents</w:t>
      </w:r>
      <w:r>
        <w:rPr>
          <w:rFonts w:ascii="Arial" w:cs="Arial" w:eastAsia="Arial" w:hAnsi="Arial"/>
          <w:sz w:val="16"/>
          <w:szCs w:val="16"/>
          <w:color w:val="auto"/>
        </w:rPr>
        <w:t>” means this Agreement, the Registration Rights Agreement, the Lock-Up Agreement, all exhibits and schedules thereto and hereto and any other documents or agreements executed in connection with the transactions contemplated hereunder.</w:t>
      </w:r>
    </w:p>
    <w:p>
      <w:pPr>
        <w:spacing w:after="0" w:line="124" w:lineRule="exact"/>
        <w:rPr>
          <w:sz w:val="20"/>
          <w:szCs w:val="20"/>
          <w:color w:val="auto"/>
        </w:rPr>
      </w:pPr>
    </w:p>
    <w:p>
      <w:pPr>
        <w:jc w:val="both"/>
        <w:ind w:left="66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Transfer Agent</w:t>
      </w:r>
      <w:r>
        <w:rPr>
          <w:rFonts w:ascii="Arial" w:cs="Arial" w:eastAsia="Arial" w:hAnsi="Arial"/>
          <w:sz w:val="18"/>
          <w:szCs w:val="18"/>
          <w:color w:val="auto"/>
        </w:rPr>
        <w:t>” means Continental Stock Transfer &amp; Trust Company, the current transfer agent of the Company, with a mailing address of 1 State Street, 30th Floor, New York, New York 10004 , and any successor transfer agent of the Company.</w:t>
      </w:r>
    </w:p>
    <w:p>
      <w:pPr>
        <w:spacing w:after="0" w:line="170" w:lineRule="exact"/>
        <w:rPr>
          <w:sz w:val="20"/>
          <w:szCs w:val="20"/>
          <w:color w:val="auto"/>
        </w:rPr>
      </w:pPr>
    </w:p>
    <w:p>
      <w:pPr>
        <w:jc w:val="both"/>
        <w:ind w:left="660" w:firstLine="648"/>
        <w:spacing w:after="0" w:line="26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VWAP</w:t>
      </w:r>
      <w:r>
        <w:rPr>
          <w:rFonts w:ascii="Arial" w:cs="Arial" w:eastAsia="Arial" w:hAnsi="Arial"/>
          <w:sz w:val="17"/>
          <w:szCs w:val="17"/>
          <w:color w:val="auto"/>
        </w:rPr>
        <w:t>” means, for any date, the price determined by the first of the following clauses that applies: (a) if the Common Stock is then listed or quoted on a Trading Market, the daily volume weighted average price of the Common Stock for such date (or the nearest preceding date) on the Trading Market on which the Common Stock is then listed or quoted as reported by Bloomberg L.P. (based on a Trading Day from 9:30 a.m. (New York City time) to 4:02 p.m. (New York City time)), (b) if OTCQB or OTCQX is not a Trading Market, the volume weighted average price of the Common Stock for such date (or the nearest preceding date) on OTCQB or OTCQX as applicable, (c) if the Common Stock is not then listed or quoted for trading on OTCQB or OTCQX and if prices for the Common Stock are then reported on the Pink Open Market (or a similar organization or agency succeeding to its functions of reporting prices), the most recent bid price per share of the Common Stock so reported, or (d) in all other cases, the fair market value of a share of Common Stock as determined by an independent appraiser selected in good faith by the Purchasers of a majority in interest of the Shares then outstanding and reasonably acceptable to the Company, the fees and expenses of which shall be paid by the Company.</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PURCHASE AND SALE</w:t>
      </w:r>
    </w:p>
    <w:p>
      <w:pPr>
        <w:spacing w:after="0" w:line="211"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 xml:space="preserve">2.1 </w:t>
      </w:r>
      <w:r>
        <w:rPr>
          <w:rFonts w:ascii="Arial" w:cs="Arial" w:eastAsia="Arial" w:hAnsi="Arial"/>
          <w:sz w:val="18"/>
          <w:szCs w:val="18"/>
          <w:u w:val="single" w:color="auto"/>
          <w:color w:val="auto"/>
        </w:rPr>
        <w:t>Closing</w:t>
      </w:r>
      <w:r>
        <w:rPr>
          <w:rFonts w:ascii="Arial" w:cs="Arial" w:eastAsia="Arial" w:hAnsi="Arial"/>
          <w:sz w:val="18"/>
          <w:szCs w:val="18"/>
          <w:color w:val="auto"/>
        </w:rPr>
        <w:t>. On the Closing Date, upon the terms and subject to the conditions set forth herein, substantially concurrent with the execution and delivery of this Agreement by the parties hereto, the Company agrees to sell, and the Purchasers, severally and not jointly, agree to purchase, up to an aggregate of $9,521,000 of Shares. Each Purchaser shall deliver to the Company, via wire transfer, immediately available funds equal to such Purchaser’s Subscription Amount as set forth on the signature page hereto executed by such Purchaser, and the Company shall deliver to each Purchaser its respective Shares as determined pursuant to Section 2.2(a), and the Company and each Purchaser shall deliver the other items set forth in Section 2.2 deliverable at the Closing. Upon satisfaction or waiver of the covenants and conditions set forth in Sections 2.2 and 2.3, the Closing shall take place remotely by electronic transfer of the Closing documentation.</w:t>
      </w:r>
    </w:p>
    <w:p>
      <w:pPr>
        <w:spacing w:after="0" w:line="19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2.2 </w:t>
      </w:r>
      <w:r>
        <w:rPr>
          <w:rFonts w:ascii="Arial" w:cs="Arial" w:eastAsia="Arial" w:hAnsi="Arial"/>
          <w:sz w:val="18"/>
          <w:szCs w:val="18"/>
          <w:u w:val="single" w:color="auto"/>
          <w:color w:val="auto"/>
        </w:rPr>
        <w:t>Deliveries</w:t>
      </w:r>
      <w:r>
        <w:rPr>
          <w:rFonts w:ascii="Arial" w:cs="Arial" w:eastAsia="Arial" w:hAnsi="Arial"/>
          <w:sz w:val="18"/>
          <w:szCs w:val="18"/>
          <w:color w:val="auto"/>
        </w:rPr>
        <w:t>.</w:t>
      </w:r>
    </w:p>
    <w:p>
      <w:pPr>
        <w:spacing w:after="0" w:line="225" w:lineRule="exact"/>
        <w:rPr>
          <w:sz w:val="20"/>
          <w:szCs w:val="20"/>
          <w:color w:val="auto"/>
        </w:rPr>
      </w:pPr>
    </w:p>
    <w:p>
      <w:pPr>
        <w:ind w:left="1540" w:hanging="236"/>
        <w:spacing w:after="0"/>
        <w:tabs>
          <w:tab w:leader="none" w:pos="1540" w:val="left"/>
        </w:tabs>
        <w:numPr>
          <w:ilvl w:val="0"/>
          <w:numId w:val="5"/>
        </w:numPr>
        <w:rPr>
          <w:rFonts w:ascii="Arial" w:cs="Arial" w:eastAsia="Arial" w:hAnsi="Arial"/>
          <w:sz w:val="18"/>
          <w:szCs w:val="18"/>
          <w:color w:val="auto"/>
        </w:rPr>
      </w:pPr>
      <w:r>
        <w:rPr>
          <w:rFonts w:ascii="Arial" w:cs="Arial" w:eastAsia="Arial" w:hAnsi="Arial"/>
          <w:sz w:val="18"/>
          <w:szCs w:val="18"/>
          <w:color w:val="auto"/>
        </w:rPr>
        <w:t>On or prior to the Closing Date, the Company shall deliver or cause to be delivered to each Purchaser the following:</w:t>
      </w:r>
    </w:p>
    <w:p>
      <w:pPr>
        <w:spacing w:after="0" w:line="225" w:lineRule="exact"/>
        <w:rPr>
          <w:rFonts w:ascii="Arial" w:cs="Arial" w:eastAsia="Arial" w:hAnsi="Arial"/>
          <w:sz w:val="18"/>
          <w:szCs w:val="18"/>
          <w:color w:val="auto"/>
        </w:rPr>
      </w:pPr>
    </w:p>
    <w:p>
      <w:pPr>
        <w:ind w:left="2160" w:hanging="208"/>
        <w:spacing w:after="0"/>
        <w:tabs>
          <w:tab w:leader="none" w:pos="2160" w:val="left"/>
        </w:tabs>
        <w:numPr>
          <w:ilvl w:val="1"/>
          <w:numId w:val="5"/>
        </w:numPr>
        <w:rPr>
          <w:rFonts w:ascii="Arial" w:cs="Arial" w:eastAsia="Arial" w:hAnsi="Arial"/>
          <w:sz w:val="18"/>
          <w:szCs w:val="18"/>
          <w:color w:val="auto"/>
        </w:rPr>
      </w:pPr>
      <w:r>
        <w:rPr>
          <w:rFonts w:ascii="Arial" w:cs="Arial" w:eastAsia="Arial" w:hAnsi="Arial"/>
          <w:sz w:val="18"/>
          <w:szCs w:val="18"/>
          <w:color w:val="auto"/>
        </w:rPr>
        <w:t>this Agreement duly executed by the Company;</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1" w:name="page12"/>
    <w:bookmarkEnd w:id="11"/>
    <w:p>
      <w:pPr>
        <w:jc w:val="both"/>
        <w:ind w:left="640" w:firstLine="652"/>
        <w:spacing w:after="0" w:line="257" w:lineRule="auto"/>
        <w:tabs>
          <w:tab w:leader="none" w:pos="1555" w:val="left"/>
        </w:tabs>
        <w:numPr>
          <w:ilvl w:val="1"/>
          <w:numId w:val="6"/>
        </w:numPr>
        <w:rPr>
          <w:rFonts w:ascii="Arial" w:cs="Arial" w:eastAsia="Arial" w:hAnsi="Arial"/>
          <w:sz w:val="18"/>
          <w:szCs w:val="18"/>
          <w:color w:val="auto"/>
        </w:rPr>
      </w:pPr>
      <w:r>
        <w:rPr>
          <w:rFonts w:ascii="Arial" w:cs="Arial" w:eastAsia="Arial" w:hAnsi="Arial"/>
          <w:sz w:val="18"/>
          <w:szCs w:val="18"/>
          <w:color w:val="auto"/>
        </w:rPr>
        <w:t>a copy of the irrevocable instructions to the Transfer Agent instructing the Transfer Agent to deliver, on an expedited basis, a certificate evidencing a number of Shares equal to such Purchaser’s Subscription Amount divided by the Per Share Purchase Price, registered in the name of such Purchaser, or, at the election of such Purchaser, evidence of the issuance of such Purchaser’s Shares hereunder as held in DRS book-entry form by the Transfer Agent and registered in the name of such Purchaser, which evidence shall be reasonably satisfactory to such Purchaser;</w:t>
      </w:r>
    </w:p>
    <w:p>
      <w:pPr>
        <w:spacing w:after="0" w:line="187" w:lineRule="exact"/>
        <w:rPr>
          <w:rFonts w:ascii="Arial" w:cs="Arial" w:eastAsia="Arial" w:hAnsi="Arial"/>
          <w:sz w:val="18"/>
          <w:szCs w:val="18"/>
          <w:color w:val="auto"/>
        </w:rPr>
      </w:pPr>
    </w:p>
    <w:p>
      <w:pPr>
        <w:ind w:left="640" w:firstLine="652"/>
        <w:spacing w:after="0" w:line="277" w:lineRule="auto"/>
        <w:tabs>
          <w:tab w:leader="none" w:pos="1609" w:val="left"/>
        </w:tabs>
        <w:numPr>
          <w:ilvl w:val="1"/>
          <w:numId w:val="6"/>
        </w:numPr>
        <w:rPr>
          <w:rFonts w:ascii="Arial" w:cs="Arial" w:eastAsia="Arial" w:hAnsi="Arial"/>
          <w:sz w:val="18"/>
          <w:szCs w:val="18"/>
          <w:color w:val="auto"/>
        </w:rPr>
      </w:pPr>
      <w:r>
        <w:rPr>
          <w:rFonts w:ascii="Arial" w:cs="Arial" w:eastAsia="Arial" w:hAnsi="Arial"/>
          <w:sz w:val="18"/>
          <w:szCs w:val="18"/>
          <w:color w:val="auto"/>
        </w:rPr>
        <w:t>the Company shall have provided each Purchaser with wire instructions, on Company letterhead and executed by the Chief Executive Officer or Chief Financial Officer;</w:t>
      </w:r>
    </w:p>
    <w:p>
      <w:pPr>
        <w:spacing w:after="0" w:line="170" w:lineRule="exact"/>
        <w:rPr>
          <w:rFonts w:ascii="Arial" w:cs="Arial" w:eastAsia="Arial" w:hAnsi="Arial"/>
          <w:sz w:val="18"/>
          <w:szCs w:val="18"/>
          <w:color w:val="auto"/>
        </w:rPr>
      </w:pPr>
    </w:p>
    <w:p>
      <w:pPr>
        <w:ind w:left="1600" w:hanging="308"/>
        <w:spacing w:after="0"/>
        <w:tabs>
          <w:tab w:leader="none" w:pos="1600" w:val="left"/>
        </w:tabs>
        <w:numPr>
          <w:ilvl w:val="1"/>
          <w:numId w:val="6"/>
        </w:numPr>
        <w:rPr>
          <w:rFonts w:ascii="Arial" w:cs="Arial" w:eastAsia="Arial" w:hAnsi="Arial"/>
          <w:sz w:val="18"/>
          <w:szCs w:val="18"/>
          <w:color w:val="auto"/>
        </w:rPr>
      </w:pPr>
      <w:r>
        <w:rPr>
          <w:rFonts w:ascii="Arial" w:cs="Arial" w:eastAsia="Arial" w:hAnsi="Arial"/>
          <w:sz w:val="18"/>
          <w:szCs w:val="18"/>
          <w:color w:val="auto"/>
        </w:rPr>
        <w:t>the Lock-Up Agreements;</w:t>
      </w:r>
    </w:p>
    <w:p>
      <w:pPr>
        <w:spacing w:after="0" w:line="225" w:lineRule="exact"/>
        <w:rPr>
          <w:rFonts w:ascii="Arial" w:cs="Arial" w:eastAsia="Arial" w:hAnsi="Arial"/>
          <w:sz w:val="18"/>
          <w:szCs w:val="18"/>
          <w:color w:val="auto"/>
        </w:rPr>
      </w:pPr>
    </w:p>
    <w:p>
      <w:pPr>
        <w:ind w:left="1540" w:hanging="248"/>
        <w:spacing w:after="0"/>
        <w:tabs>
          <w:tab w:leader="none" w:pos="1540" w:val="left"/>
        </w:tabs>
        <w:numPr>
          <w:ilvl w:val="1"/>
          <w:numId w:val="6"/>
        </w:numPr>
        <w:rPr>
          <w:rFonts w:ascii="Arial" w:cs="Arial" w:eastAsia="Arial" w:hAnsi="Arial"/>
          <w:sz w:val="18"/>
          <w:szCs w:val="18"/>
          <w:color w:val="auto"/>
        </w:rPr>
      </w:pPr>
      <w:r>
        <w:rPr>
          <w:rFonts w:ascii="Arial" w:cs="Arial" w:eastAsia="Arial" w:hAnsi="Arial"/>
          <w:sz w:val="18"/>
          <w:szCs w:val="18"/>
          <w:color w:val="auto"/>
        </w:rPr>
        <w:t>the Registration Rights Agreement duly executed by the Company.</w:t>
      </w:r>
    </w:p>
    <w:p>
      <w:pPr>
        <w:spacing w:after="0" w:line="225" w:lineRule="exact"/>
        <w:rPr>
          <w:rFonts w:ascii="Arial" w:cs="Arial" w:eastAsia="Arial" w:hAnsi="Arial"/>
          <w:sz w:val="18"/>
          <w:szCs w:val="18"/>
          <w:color w:val="auto"/>
        </w:rPr>
      </w:pPr>
    </w:p>
    <w:p>
      <w:pPr>
        <w:ind w:firstLine="644"/>
        <w:spacing w:after="0" w:line="277" w:lineRule="auto"/>
        <w:tabs>
          <w:tab w:leader="none" w:pos="917" w:val="left"/>
        </w:tabs>
        <w:numPr>
          <w:ilvl w:val="0"/>
          <w:numId w:val="7"/>
        </w:numPr>
        <w:rPr>
          <w:rFonts w:ascii="Arial" w:cs="Arial" w:eastAsia="Arial" w:hAnsi="Arial"/>
          <w:sz w:val="18"/>
          <w:szCs w:val="18"/>
          <w:color w:val="auto"/>
        </w:rPr>
      </w:pPr>
      <w:r>
        <w:rPr>
          <w:rFonts w:ascii="Arial" w:cs="Arial" w:eastAsia="Arial" w:hAnsi="Arial"/>
          <w:sz w:val="18"/>
          <w:szCs w:val="18"/>
          <w:color w:val="auto"/>
        </w:rPr>
        <w:t>On or prior to the Closing Date, each Purchaser shall deliver or cause to be delivered to the Company, to the extent not previously delivered, the following:</w:t>
      </w:r>
    </w:p>
    <w:p>
      <w:pPr>
        <w:spacing w:after="0" w:line="170" w:lineRule="exact"/>
        <w:rPr>
          <w:rFonts w:ascii="Arial" w:cs="Arial" w:eastAsia="Arial" w:hAnsi="Arial"/>
          <w:sz w:val="18"/>
          <w:szCs w:val="18"/>
          <w:color w:val="auto"/>
        </w:rPr>
      </w:pPr>
    </w:p>
    <w:p>
      <w:pPr>
        <w:ind w:left="1500" w:hanging="208"/>
        <w:spacing w:after="0"/>
        <w:tabs>
          <w:tab w:leader="none" w:pos="1500" w:val="left"/>
        </w:tabs>
        <w:numPr>
          <w:ilvl w:val="1"/>
          <w:numId w:val="7"/>
        </w:numPr>
        <w:rPr>
          <w:rFonts w:ascii="Arial" w:cs="Arial" w:eastAsia="Arial" w:hAnsi="Arial"/>
          <w:sz w:val="18"/>
          <w:szCs w:val="18"/>
          <w:color w:val="auto"/>
        </w:rPr>
      </w:pPr>
      <w:r>
        <w:rPr>
          <w:rFonts w:ascii="Arial" w:cs="Arial" w:eastAsia="Arial" w:hAnsi="Arial"/>
          <w:sz w:val="18"/>
          <w:szCs w:val="18"/>
          <w:color w:val="auto"/>
        </w:rPr>
        <w:t>such Purchaser’s Subscription Amount by wire transfer to the account specified by the Company; and</w:t>
      </w:r>
    </w:p>
    <w:p>
      <w:pPr>
        <w:spacing w:after="0" w:line="225" w:lineRule="exact"/>
        <w:rPr>
          <w:rFonts w:ascii="Arial" w:cs="Arial" w:eastAsia="Arial" w:hAnsi="Arial"/>
          <w:sz w:val="18"/>
          <w:szCs w:val="18"/>
          <w:color w:val="auto"/>
        </w:rPr>
      </w:pPr>
    </w:p>
    <w:p>
      <w:pPr>
        <w:ind w:left="1560" w:hanging="268"/>
        <w:spacing w:after="0"/>
        <w:tabs>
          <w:tab w:leader="none" w:pos="1560" w:val="left"/>
        </w:tabs>
        <w:numPr>
          <w:ilvl w:val="1"/>
          <w:numId w:val="7"/>
        </w:numPr>
        <w:rPr>
          <w:rFonts w:ascii="Arial" w:cs="Arial" w:eastAsia="Arial" w:hAnsi="Arial"/>
          <w:sz w:val="18"/>
          <w:szCs w:val="18"/>
          <w:color w:val="auto"/>
        </w:rPr>
      </w:pPr>
      <w:r>
        <w:rPr>
          <w:rFonts w:ascii="Arial" w:cs="Arial" w:eastAsia="Arial" w:hAnsi="Arial"/>
          <w:sz w:val="18"/>
          <w:szCs w:val="18"/>
          <w:color w:val="auto"/>
        </w:rPr>
        <w:t>the Registration Rights Agreement duly executed by such Purchaser.</w:t>
      </w:r>
    </w:p>
    <w:p>
      <w:pPr>
        <w:spacing w:after="0" w:line="225" w:lineRule="exact"/>
        <w:rPr>
          <w:rFonts w:ascii="Arial" w:cs="Arial" w:eastAsia="Arial" w:hAnsi="Arial"/>
          <w:sz w:val="18"/>
          <w:szCs w:val="18"/>
          <w:color w:val="auto"/>
        </w:rPr>
      </w:pPr>
    </w:p>
    <w:p>
      <w:pPr>
        <w:ind w:firstLine="644"/>
        <w:spacing w:after="0" w:line="277" w:lineRule="auto"/>
        <w:tabs>
          <w:tab w:leader="none" w:pos="902" w:val="left"/>
        </w:tabs>
        <w:numPr>
          <w:ilvl w:val="0"/>
          <w:numId w:val="7"/>
        </w:numPr>
        <w:rPr>
          <w:rFonts w:ascii="Arial" w:cs="Arial" w:eastAsia="Arial" w:hAnsi="Arial"/>
          <w:sz w:val="18"/>
          <w:szCs w:val="18"/>
          <w:color w:val="auto"/>
        </w:rPr>
      </w:pPr>
      <w:r>
        <w:rPr>
          <w:rFonts w:ascii="Arial" w:cs="Arial" w:eastAsia="Arial" w:hAnsi="Arial"/>
          <w:sz w:val="18"/>
          <w:szCs w:val="18"/>
          <w:color w:val="auto"/>
        </w:rPr>
        <w:t xml:space="preserve">On or prior to the Closing Date, the Company shall deliver or cause to be delivered to each Purchaser set forth on Schedule 2.2(c) a legal opinion of Company Counsel, substantially in the form of </w:t>
      </w:r>
      <w:r>
        <w:rPr>
          <w:rFonts w:ascii="Arial" w:cs="Arial" w:eastAsia="Arial" w:hAnsi="Arial"/>
          <w:sz w:val="18"/>
          <w:szCs w:val="18"/>
          <w:u w:val="single" w:color="auto"/>
          <w:color w:val="auto"/>
        </w:rPr>
        <w:t>Exhibit C</w:t>
      </w:r>
      <w:r>
        <w:rPr>
          <w:rFonts w:ascii="Arial" w:cs="Arial" w:eastAsia="Arial" w:hAnsi="Arial"/>
          <w:sz w:val="18"/>
          <w:szCs w:val="18"/>
          <w:color w:val="auto"/>
        </w:rPr>
        <w:t xml:space="preserve"> attached hereto.</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2.3 </w:t>
      </w:r>
      <w:r>
        <w:rPr>
          <w:rFonts w:ascii="Arial" w:cs="Arial" w:eastAsia="Arial" w:hAnsi="Arial"/>
          <w:sz w:val="18"/>
          <w:szCs w:val="18"/>
          <w:u w:val="single" w:color="auto"/>
          <w:color w:val="auto"/>
        </w:rPr>
        <w:t>Closing Conditions</w:t>
      </w:r>
      <w:r>
        <w:rPr>
          <w:rFonts w:ascii="Arial" w:cs="Arial" w:eastAsia="Arial" w:hAnsi="Arial"/>
          <w:sz w:val="18"/>
          <w:szCs w:val="18"/>
          <w:color w:val="auto"/>
        </w:rPr>
        <w:t>.</w:t>
      </w:r>
    </w:p>
    <w:p>
      <w:pPr>
        <w:spacing w:after="0" w:line="225" w:lineRule="exact"/>
        <w:rPr>
          <w:sz w:val="20"/>
          <w:szCs w:val="20"/>
          <w:color w:val="auto"/>
        </w:rPr>
      </w:pPr>
    </w:p>
    <w:p>
      <w:pPr>
        <w:ind w:left="880" w:hanging="236"/>
        <w:spacing w:after="0"/>
        <w:tabs>
          <w:tab w:leader="none" w:pos="880" w:val="left"/>
        </w:tabs>
        <w:numPr>
          <w:ilvl w:val="0"/>
          <w:numId w:val="8"/>
        </w:numPr>
        <w:rPr>
          <w:rFonts w:ascii="Arial" w:cs="Arial" w:eastAsia="Arial" w:hAnsi="Arial"/>
          <w:sz w:val="17"/>
          <w:szCs w:val="17"/>
          <w:color w:val="auto"/>
        </w:rPr>
      </w:pPr>
      <w:r>
        <w:rPr>
          <w:rFonts w:ascii="Arial" w:cs="Arial" w:eastAsia="Arial" w:hAnsi="Arial"/>
          <w:sz w:val="17"/>
          <w:szCs w:val="17"/>
          <w:color w:val="auto"/>
        </w:rPr>
        <w:t>The obligations of the Company hereunder in connection with the Closing are subject to the following conditions being met:</w:t>
      </w:r>
    </w:p>
    <w:p>
      <w:pPr>
        <w:spacing w:after="0" w:line="236" w:lineRule="exact"/>
        <w:rPr>
          <w:rFonts w:ascii="Arial" w:cs="Arial" w:eastAsia="Arial" w:hAnsi="Arial"/>
          <w:sz w:val="17"/>
          <w:szCs w:val="17"/>
          <w:color w:val="auto"/>
        </w:rPr>
      </w:pPr>
    </w:p>
    <w:p>
      <w:pPr>
        <w:jc w:val="both"/>
        <w:ind w:left="640" w:firstLine="652"/>
        <w:spacing w:after="0" w:line="279" w:lineRule="auto"/>
        <w:tabs>
          <w:tab w:leader="none" w:pos="1519" w:val="left"/>
        </w:tabs>
        <w:numPr>
          <w:ilvl w:val="1"/>
          <w:numId w:val="8"/>
        </w:numPr>
        <w:rPr>
          <w:rFonts w:ascii="Arial" w:cs="Arial" w:eastAsia="Arial" w:hAnsi="Arial"/>
          <w:sz w:val="17"/>
          <w:szCs w:val="17"/>
          <w:color w:val="auto"/>
        </w:rPr>
      </w:pPr>
      <w:r>
        <w:rPr>
          <w:rFonts w:ascii="Arial" w:cs="Arial" w:eastAsia="Arial" w:hAnsi="Arial"/>
          <w:sz w:val="17"/>
          <w:szCs w:val="17"/>
          <w:color w:val="auto"/>
        </w:rPr>
        <w:t>the accuracy in all material respects (or, to the extent representations or warranties are qualified by materiality or Material Adverse Effect, in all respects) when made and on the Closing Date of the representations and warranties of the Purchasers contained herein (unless as of a specific date therein in which case they shall be accurate in all material respects (or, to the extent representations or warranties are qualified by materiality or Material Adverse Effect, in all respects) as of such date);</w:t>
      </w:r>
    </w:p>
    <w:p>
      <w:pPr>
        <w:spacing w:after="0" w:line="387"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14605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908" w:right="339" w:bottom="1440" w:gutter="0" w:footer="0" w:header="0"/>
        </w:sectPr>
      </w:pPr>
    </w:p>
    <w:bookmarkStart w:id="12" w:name="page13"/>
    <w:bookmarkEnd w:id="12"/>
    <w:p>
      <w:pPr>
        <w:ind w:left="640" w:firstLine="652"/>
        <w:spacing w:after="0" w:line="277" w:lineRule="auto"/>
        <w:tabs>
          <w:tab w:leader="none" w:pos="1566" w:val="left"/>
        </w:tabs>
        <w:numPr>
          <w:ilvl w:val="1"/>
          <w:numId w:val="9"/>
        </w:numPr>
        <w:rPr>
          <w:rFonts w:ascii="Arial" w:cs="Arial" w:eastAsia="Arial" w:hAnsi="Arial"/>
          <w:sz w:val="18"/>
          <w:szCs w:val="18"/>
          <w:color w:val="auto"/>
        </w:rPr>
      </w:pPr>
      <w:r>
        <w:rPr>
          <w:rFonts w:ascii="Arial" w:cs="Arial" w:eastAsia="Arial" w:hAnsi="Arial"/>
          <w:sz w:val="18"/>
          <w:szCs w:val="18"/>
          <w:color w:val="auto"/>
        </w:rPr>
        <w:t>all obligations, covenants and agreements of each Purchaser required to be performed at or prior to the Closing Date shall have been performed; and</w:t>
      </w:r>
    </w:p>
    <w:p>
      <w:pPr>
        <w:spacing w:after="0" w:line="170" w:lineRule="exact"/>
        <w:rPr>
          <w:rFonts w:ascii="Arial" w:cs="Arial" w:eastAsia="Arial" w:hAnsi="Arial"/>
          <w:sz w:val="18"/>
          <w:szCs w:val="18"/>
          <w:color w:val="auto"/>
        </w:rPr>
      </w:pPr>
    </w:p>
    <w:p>
      <w:pPr>
        <w:ind w:left="1600" w:hanging="308"/>
        <w:spacing w:after="0"/>
        <w:tabs>
          <w:tab w:leader="none" w:pos="1600" w:val="left"/>
        </w:tabs>
        <w:numPr>
          <w:ilvl w:val="1"/>
          <w:numId w:val="9"/>
        </w:numPr>
        <w:rPr>
          <w:rFonts w:ascii="Arial" w:cs="Arial" w:eastAsia="Arial" w:hAnsi="Arial"/>
          <w:sz w:val="18"/>
          <w:szCs w:val="18"/>
          <w:color w:val="auto"/>
        </w:rPr>
      </w:pPr>
      <w:r>
        <w:rPr>
          <w:rFonts w:ascii="Arial" w:cs="Arial" w:eastAsia="Arial" w:hAnsi="Arial"/>
          <w:sz w:val="18"/>
          <w:szCs w:val="18"/>
          <w:color w:val="auto"/>
        </w:rPr>
        <w:t>the delivery by each Purchaser of the items set forth in Section 2.2(b) of this Agreement.</w:t>
      </w:r>
    </w:p>
    <w:p>
      <w:pPr>
        <w:spacing w:after="0" w:line="225" w:lineRule="exact"/>
        <w:rPr>
          <w:rFonts w:ascii="Arial" w:cs="Arial" w:eastAsia="Arial" w:hAnsi="Arial"/>
          <w:sz w:val="18"/>
          <w:szCs w:val="18"/>
          <w:color w:val="auto"/>
        </w:rPr>
      </w:pPr>
    </w:p>
    <w:p>
      <w:pPr>
        <w:ind w:left="900" w:hanging="256"/>
        <w:spacing w:after="0"/>
        <w:tabs>
          <w:tab w:leader="none" w:pos="900" w:val="left"/>
        </w:tabs>
        <w:numPr>
          <w:ilvl w:val="0"/>
          <w:numId w:val="10"/>
        </w:numPr>
        <w:rPr>
          <w:rFonts w:ascii="Arial" w:cs="Arial" w:eastAsia="Arial" w:hAnsi="Arial"/>
          <w:sz w:val="16"/>
          <w:szCs w:val="16"/>
          <w:color w:val="auto"/>
        </w:rPr>
      </w:pPr>
      <w:r>
        <w:rPr>
          <w:rFonts w:ascii="Arial" w:cs="Arial" w:eastAsia="Arial" w:hAnsi="Arial"/>
          <w:sz w:val="16"/>
          <w:szCs w:val="16"/>
          <w:color w:val="auto"/>
        </w:rPr>
        <w:t>The respective obligations of the Purchasers hereunder in connection with the Closing are subject to the following conditions being</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met:</w:t>
      </w:r>
    </w:p>
    <w:p>
      <w:pPr>
        <w:spacing w:after="0" w:line="211" w:lineRule="exact"/>
        <w:rPr>
          <w:sz w:val="20"/>
          <w:szCs w:val="20"/>
          <w:color w:val="auto"/>
        </w:rPr>
      </w:pPr>
    </w:p>
    <w:p>
      <w:pPr>
        <w:jc w:val="both"/>
        <w:ind w:left="640" w:firstLine="652"/>
        <w:spacing w:after="0" w:line="279" w:lineRule="auto"/>
        <w:tabs>
          <w:tab w:leader="none" w:pos="1519" w:val="left"/>
        </w:tabs>
        <w:numPr>
          <w:ilvl w:val="0"/>
          <w:numId w:val="11"/>
        </w:numPr>
        <w:rPr>
          <w:rFonts w:ascii="Arial" w:cs="Arial" w:eastAsia="Arial" w:hAnsi="Arial"/>
          <w:sz w:val="17"/>
          <w:szCs w:val="17"/>
          <w:color w:val="auto"/>
        </w:rPr>
      </w:pPr>
      <w:r>
        <w:rPr>
          <w:rFonts w:ascii="Arial" w:cs="Arial" w:eastAsia="Arial" w:hAnsi="Arial"/>
          <w:sz w:val="17"/>
          <w:szCs w:val="17"/>
          <w:color w:val="auto"/>
        </w:rPr>
        <w:t>the accuracy in all material respects (or, to the extent representations or warranties are qualified by materiality or Material Adverse Effect, in all respects) when made and on the Closing Date of the representations and warranties of the Company contained herein (unless as of a specific date therein in which case they shall be accurate in all material respects or, to the extent representations or warranties are qualified by materiality or Material Adverse Effect, in all respects) as of such date);</w:t>
      </w:r>
    </w:p>
    <w:p>
      <w:pPr>
        <w:spacing w:after="0" w:line="171" w:lineRule="exact"/>
        <w:rPr>
          <w:rFonts w:ascii="Arial" w:cs="Arial" w:eastAsia="Arial" w:hAnsi="Arial"/>
          <w:sz w:val="17"/>
          <w:szCs w:val="17"/>
          <w:color w:val="auto"/>
        </w:rPr>
      </w:pPr>
    </w:p>
    <w:p>
      <w:pPr>
        <w:ind w:left="640" w:firstLine="652"/>
        <w:spacing w:after="0" w:line="277" w:lineRule="auto"/>
        <w:tabs>
          <w:tab w:leader="none" w:pos="1553" w:val="left"/>
        </w:tabs>
        <w:numPr>
          <w:ilvl w:val="0"/>
          <w:numId w:val="11"/>
        </w:numPr>
        <w:rPr>
          <w:rFonts w:ascii="Arial" w:cs="Arial" w:eastAsia="Arial" w:hAnsi="Arial"/>
          <w:sz w:val="18"/>
          <w:szCs w:val="18"/>
          <w:color w:val="auto"/>
        </w:rPr>
      </w:pPr>
      <w:r>
        <w:rPr>
          <w:rFonts w:ascii="Arial" w:cs="Arial" w:eastAsia="Arial" w:hAnsi="Arial"/>
          <w:sz w:val="18"/>
          <w:szCs w:val="18"/>
          <w:color w:val="auto"/>
        </w:rPr>
        <w:t>all obligations, covenants and agreements of the Company required to be performed at or prior to the Closing Date shall have been performed;</w:t>
      </w:r>
    </w:p>
    <w:p>
      <w:pPr>
        <w:spacing w:after="0" w:line="170" w:lineRule="exact"/>
        <w:rPr>
          <w:rFonts w:ascii="Arial" w:cs="Arial" w:eastAsia="Arial" w:hAnsi="Arial"/>
          <w:sz w:val="18"/>
          <w:szCs w:val="18"/>
          <w:color w:val="auto"/>
        </w:rPr>
      </w:pPr>
    </w:p>
    <w:p>
      <w:pPr>
        <w:ind w:left="1600" w:hanging="308"/>
        <w:spacing w:after="0"/>
        <w:tabs>
          <w:tab w:leader="none" w:pos="16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delivery by the Company of the items set forth in Section 2.2(a) of this Agreement;</w:t>
      </w:r>
    </w:p>
    <w:p>
      <w:pPr>
        <w:spacing w:after="0" w:line="225" w:lineRule="exact"/>
        <w:rPr>
          <w:rFonts w:ascii="Arial" w:cs="Arial" w:eastAsia="Arial" w:hAnsi="Arial"/>
          <w:sz w:val="18"/>
          <w:szCs w:val="18"/>
          <w:color w:val="auto"/>
        </w:rPr>
      </w:pPr>
    </w:p>
    <w:p>
      <w:pPr>
        <w:ind w:left="1600" w:hanging="308"/>
        <w:spacing w:after="0"/>
        <w:tabs>
          <w:tab w:leader="none" w:pos="1600" w:val="left"/>
        </w:tabs>
        <w:numPr>
          <w:ilvl w:val="0"/>
          <w:numId w:val="11"/>
        </w:numPr>
        <w:rPr>
          <w:rFonts w:ascii="Arial" w:cs="Arial" w:eastAsia="Arial" w:hAnsi="Arial"/>
          <w:sz w:val="16"/>
          <w:szCs w:val="16"/>
          <w:color w:val="auto"/>
        </w:rPr>
      </w:pPr>
      <w:r>
        <w:rPr>
          <w:rFonts w:ascii="Arial" w:cs="Arial" w:eastAsia="Arial" w:hAnsi="Arial"/>
          <w:sz w:val="16"/>
          <w:szCs w:val="16"/>
          <w:color w:val="auto"/>
        </w:rPr>
        <w:t>there shall have been no Material Adverse Effect with respect to the Company from the date hereof to the Closing Date;</w:t>
      </w:r>
    </w:p>
    <w:p>
      <w:pPr>
        <w:spacing w:after="0" w:line="248" w:lineRule="exact"/>
        <w:rPr>
          <w:rFonts w:ascii="Arial" w:cs="Arial" w:eastAsia="Arial" w:hAnsi="Arial"/>
          <w:sz w:val="16"/>
          <w:szCs w:val="16"/>
          <w:color w:val="auto"/>
        </w:rPr>
      </w:pPr>
    </w:p>
    <w:p>
      <w:pPr>
        <w:jc w:val="both"/>
        <w:ind w:left="640" w:firstLine="652"/>
        <w:spacing w:after="0" w:line="291" w:lineRule="auto"/>
        <w:tabs>
          <w:tab w:leader="none" w:pos="1545" w:val="left"/>
        </w:tabs>
        <w:numPr>
          <w:ilvl w:val="0"/>
          <w:numId w:val="11"/>
        </w:numPr>
        <w:rPr>
          <w:rFonts w:ascii="Arial" w:cs="Arial" w:eastAsia="Arial" w:hAnsi="Arial"/>
          <w:sz w:val="16"/>
          <w:szCs w:val="16"/>
          <w:color w:val="auto"/>
        </w:rPr>
      </w:pPr>
      <w:r>
        <w:rPr>
          <w:rFonts w:ascii="Arial" w:cs="Arial" w:eastAsia="Arial" w:hAnsi="Arial"/>
          <w:sz w:val="16"/>
          <w:szCs w:val="16"/>
          <w:color w:val="auto"/>
        </w:rPr>
        <w:t>from the date hereof to the Closing Date, trading in the Common Stock shall not have been suspended by the Commission or the Company’s principal Trading Market, and, at any time prior to the Closing Date, trading in securities generally as reported by Bloomberg L.P. shall not have been suspended or limited, or minimum prices shall not have been established on securities whose trades are reported by such service, or on any Trading Market, nor shall a banking moratorium have been declared either by the United States or New York State authorities nor shall there have occurred any material outbreak or escalation of hostilities or other national or international calamity of such magnitude in its effect on, or any material adverse change in, any financial market which, in each case, in the reasonable judgment of such Purchaser, makes it impracticable or inadvisable to purchase the Shares at the Closing; and</w:t>
      </w:r>
    </w:p>
    <w:p>
      <w:pPr>
        <w:spacing w:after="0" w:line="166" w:lineRule="exact"/>
        <w:rPr>
          <w:rFonts w:ascii="Arial" w:cs="Arial" w:eastAsia="Arial" w:hAnsi="Arial"/>
          <w:sz w:val="16"/>
          <w:szCs w:val="16"/>
          <w:color w:val="auto"/>
        </w:rPr>
      </w:pPr>
    </w:p>
    <w:p>
      <w:pPr>
        <w:ind w:left="640" w:firstLine="652"/>
        <w:spacing w:after="0" w:line="277" w:lineRule="auto"/>
        <w:tabs>
          <w:tab w:leader="none" w:pos="1594"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that certain Second Amendment to Credit Agreement with Metropolitan Partners Group Administration, LLC, as provided to the Purchasers in summary form, shall have become effective concurrently with the Closing.</w:t>
      </w:r>
    </w:p>
    <w:p>
      <w:pPr>
        <w:spacing w:after="0" w:line="386"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14605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908" w:right="339" w:bottom="1440" w:gutter="0" w:footer="0" w:header="0"/>
        </w:sectPr>
      </w:pPr>
    </w:p>
    <w:bookmarkStart w:id="13" w:name="page14"/>
    <w:bookmarkEnd w:id="13"/>
    <w:p>
      <w:pPr>
        <w:jc w:val="center"/>
        <w:spacing w:after="0"/>
        <w:rPr>
          <w:sz w:val="20"/>
          <w:szCs w:val="20"/>
          <w:color w:val="auto"/>
        </w:rPr>
      </w:pPr>
      <w:r>
        <w:rPr>
          <w:rFonts w:ascii="Arial" w:cs="Arial" w:eastAsia="Arial" w:hAnsi="Arial"/>
          <w:sz w:val="18"/>
          <w:szCs w:val="18"/>
          <w:b w:val="1"/>
          <w:bCs w:val="1"/>
          <w:color w:val="auto"/>
        </w:rPr>
        <w:t>ARTICLE III.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REPRESENTATIONS AND WARRANTIES</w:t>
      </w:r>
    </w:p>
    <w:p>
      <w:pPr>
        <w:spacing w:after="0" w:line="211"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 xml:space="preserve">3.1 </w:t>
      </w:r>
      <w:r>
        <w:rPr>
          <w:rFonts w:ascii="Arial" w:cs="Arial" w:eastAsia="Arial" w:hAnsi="Arial"/>
          <w:sz w:val="16"/>
          <w:szCs w:val="16"/>
          <w:u w:val="single" w:color="auto"/>
          <w:color w:val="auto"/>
        </w:rPr>
        <w:t>Representations and Warranties of the Company</w:t>
      </w:r>
      <w:r>
        <w:rPr>
          <w:rFonts w:ascii="Arial" w:cs="Arial" w:eastAsia="Arial" w:hAnsi="Arial"/>
          <w:sz w:val="16"/>
          <w:szCs w:val="16"/>
          <w:color w:val="auto"/>
        </w:rPr>
        <w:t>. Except as set forth in the Disclosure Schedules, which Disclosure Schedules shall be deemed a part hereof and shall qualify any representation or otherwise made herein to the extent of the disclosure contained in the corresponding section of the Disclosure Schedule, or as set forth in the SEC Reports, the Company hereby makes the following representations and warranties to each Purchaser:</w:t>
      </w:r>
    </w:p>
    <w:p>
      <w:pPr>
        <w:spacing w:after="0" w:line="149" w:lineRule="exact"/>
        <w:rPr>
          <w:sz w:val="20"/>
          <w:szCs w:val="20"/>
          <w:color w:val="auto"/>
        </w:rPr>
      </w:pPr>
    </w:p>
    <w:p>
      <w:pPr>
        <w:jc w:val="both"/>
        <w:ind w:left="660" w:firstLine="644"/>
        <w:spacing w:after="0" w:line="275" w:lineRule="auto"/>
        <w:tabs>
          <w:tab w:leader="none" w:pos="1570" w:val="left"/>
        </w:tabs>
        <w:numPr>
          <w:ilvl w:val="0"/>
          <w:numId w:val="12"/>
        </w:numPr>
        <w:rPr>
          <w:rFonts w:ascii="Arial" w:cs="Arial" w:eastAsia="Arial" w:hAnsi="Arial"/>
          <w:sz w:val="17"/>
          <w:szCs w:val="17"/>
          <w:color w:val="auto"/>
        </w:rPr>
      </w:pPr>
      <w:r>
        <w:rPr>
          <w:rFonts w:ascii="Arial" w:cs="Arial" w:eastAsia="Arial" w:hAnsi="Arial"/>
          <w:sz w:val="17"/>
          <w:szCs w:val="17"/>
          <w:u w:val="single" w:color="auto"/>
          <w:color w:val="auto"/>
        </w:rPr>
        <w:t>Subsidiaries</w:t>
      </w:r>
      <w:r>
        <w:rPr>
          <w:rFonts w:ascii="Arial" w:cs="Arial" w:eastAsia="Arial" w:hAnsi="Arial"/>
          <w:sz w:val="17"/>
          <w:szCs w:val="17"/>
          <w:color w:val="auto"/>
        </w:rPr>
        <w:t>. All of the direct and indirect subsidiaries of the Company are set forth on Exhibit 8.1 of the Company’s Registration Statement on Form S-1 filed with the SEC on May 1, 2023 (the “</w:t>
      </w:r>
      <w:r>
        <w:rPr>
          <w:rFonts w:ascii="Arial" w:cs="Arial" w:eastAsia="Arial" w:hAnsi="Arial"/>
          <w:sz w:val="17"/>
          <w:szCs w:val="17"/>
          <w:u w:val="single" w:color="auto"/>
          <w:color w:val="auto"/>
        </w:rPr>
        <w:t>May Registration Statement</w:t>
      </w:r>
      <w:r>
        <w:rPr>
          <w:rFonts w:ascii="Arial" w:cs="Arial" w:eastAsia="Arial" w:hAnsi="Arial"/>
          <w:sz w:val="17"/>
          <w:szCs w:val="17"/>
          <w:color w:val="auto"/>
        </w:rPr>
        <w:t>”). The Company owns, directly or indirectly, all of the capital stock or other equity interests of each Subsidiary free and clear of any Liens except as disclosed in the SEC Reports and Liens imposed under the Credit Agreement, and all of the issued and outstanding shares of capital stock of each Subsidiary are validly issued and are fully paid, non-assessable and free of preemptive and similar rights to subscribe for or purchase securities.</w:t>
      </w:r>
    </w:p>
    <w:p>
      <w:pPr>
        <w:spacing w:after="0" w:line="176" w:lineRule="exact"/>
        <w:rPr>
          <w:rFonts w:ascii="Arial" w:cs="Arial" w:eastAsia="Arial" w:hAnsi="Arial"/>
          <w:sz w:val="17"/>
          <w:szCs w:val="17"/>
          <w:color w:val="auto"/>
        </w:rPr>
      </w:pPr>
    </w:p>
    <w:p>
      <w:pPr>
        <w:jc w:val="both"/>
        <w:ind w:left="660" w:firstLine="644"/>
        <w:spacing w:after="0" w:line="286" w:lineRule="auto"/>
        <w:tabs>
          <w:tab w:leader="none" w:pos="1584" w:val="left"/>
        </w:tabs>
        <w:numPr>
          <w:ilvl w:val="0"/>
          <w:numId w:val="12"/>
        </w:numPr>
        <w:rPr>
          <w:rFonts w:ascii="Arial" w:cs="Arial" w:eastAsia="Arial" w:hAnsi="Arial"/>
          <w:sz w:val="16"/>
          <w:szCs w:val="16"/>
          <w:color w:val="auto"/>
        </w:rPr>
      </w:pPr>
      <w:r>
        <w:rPr>
          <w:rFonts w:ascii="Arial" w:cs="Arial" w:eastAsia="Arial" w:hAnsi="Arial"/>
          <w:sz w:val="16"/>
          <w:szCs w:val="16"/>
          <w:u w:val="single" w:color="auto"/>
          <w:color w:val="auto"/>
        </w:rPr>
        <w:t>Organization and Qualification</w:t>
      </w:r>
      <w:r>
        <w:rPr>
          <w:rFonts w:ascii="Arial" w:cs="Arial" w:eastAsia="Arial" w:hAnsi="Arial"/>
          <w:sz w:val="16"/>
          <w:szCs w:val="16"/>
          <w:color w:val="auto"/>
        </w:rPr>
        <w:t>. The Company and each of the Subsidiaries is an entity duly incorporated or otherwise organized, validly existing and in good standing under the laws of the jurisdiction of its incorporation or organization, with the requisite power and authority to own and use its properties and assets and to carry on its business as currently conducted. Neither the Company nor any Subsidiary is in violation nor default of any of the provisions of its respective certificate or articles of incorporation, bylaws or other organizational or charter documents. Each of the Company and the Subsidiaries is duly qualified to conduct business and is in good standing as a foreign corporation or other entity in each jurisdiction in which the nature of the business conducted or property owned by it makes such qualification necessary, except where the failure to be so qualified or in good standing, as the case may be, could not have or reasonably be expected to result in: (i) a material adverse effect on the legality, validity or enforceability of any Transaction Document, (ii) a material adverse effect on the results of operations, assets, business or condition (financial or otherwise) of the Company and the Subsidiaries, taken as a whole, or (iii) a material adverse effect on the Company’s ability to perform in any material respect on a timely basis its obligations under any Transaction Document (any of (i), (ii) or (iii), a “</w:t>
      </w:r>
      <w:r>
        <w:rPr>
          <w:rFonts w:ascii="Arial" w:cs="Arial" w:eastAsia="Arial" w:hAnsi="Arial"/>
          <w:sz w:val="16"/>
          <w:szCs w:val="16"/>
          <w:u w:val="single" w:color="auto"/>
          <w:color w:val="auto"/>
        </w:rPr>
        <w:t>Material</w:t>
      </w:r>
      <w:r>
        <w:rPr>
          <w:rFonts w:ascii="Arial" w:cs="Arial" w:eastAsia="Arial" w:hAnsi="Arial"/>
          <w:sz w:val="16"/>
          <w:szCs w:val="16"/>
          <w:color w:val="auto"/>
        </w:rPr>
        <w:t xml:space="preserve"> </w:t>
      </w:r>
      <w:r>
        <w:rPr>
          <w:rFonts w:ascii="Arial" w:cs="Arial" w:eastAsia="Arial" w:hAnsi="Arial"/>
          <w:sz w:val="16"/>
          <w:szCs w:val="16"/>
          <w:u w:val="single" w:color="auto"/>
          <w:color w:val="auto"/>
        </w:rPr>
        <w:t>Adverse Effect</w:t>
      </w:r>
      <w:r>
        <w:rPr>
          <w:rFonts w:ascii="Arial" w:cs="Arial" w:eastAsia="Arial" w:hAnsi="Arial"/>
          <w:sz w:val="16"/>
          <w:szCs w:val="16"/>
          <w:color w:val="auto"/>
        </w:rPr>
        <w:t>”; provided, however, that changes in the market price or trading volume of the Common Stock shall not alone, in and of itself, constitute a Material Adverse Effect). No Proceeding has been instituted in any such jurisdiction revoking, limiting or curtailing or seeking to revoke, limit or curtail such power and authority or qualification.</w:t>
      </w:r>
    </w:p>
    <w:p>
      <w:pPr>
        <w:spacing w:after="0" w:line="173" w:lineRule="exact"/>
        <w:rPr>
          <w:rFonts w:ascii="Arial" w:cs="Arial" w:eastAsia="Arial" w:hAnsi="Arial"/>
          <w:sz w:val="16"/>
          <w:szCs w:val="16"/>
          <w:color w:val="auto"/>
        </w:rPr>
      </w:pPr>
    </w:p>
    <w:p>
      <w:pPr>
        <w:jc w:val="both"/>
        <w:ind w:left="660" w:firstLine="644"/>
        <w:spacing w:after="0" w:line="287" w:lineRule="auto"/>
        <w:tabs>
          <w:tab w:leader="none" w:pos="1571" w:val="left"/>
        </w:tabs>
        <w:numPr>
          <w:ilvl w:val="0"/>
          <w:numId w:val="12"/>
        </w:numPr>
        <w:rPr>
          <w:rFonts w:ascii="Arial" w:cs="Arial" w:eastAsia="Arial" w:hAnsi="Arial"/>
          <w:sz w:val="16"/>
          <w:szCs w:val="16"/>
          <w:color w:val="auto"/>
        </w:rPr>
      </w:pPr>
      <w:r>
        <w:rPr>
          <w:rFonts w:ascii="Arial" w:cs="Arial" w:eastAsia="Arial" w:hAnsi="Arial"/>
          <w:sz w:val="16"/>
          <w:szCs w:val="16"/>
          <w:u w:val="single" w:color="auto"/>
          <w:color w:val="auto"/>
        </w:rPr>
        <w:t>Authorization; Enforcement</w:t>
      </w:r>
      <w:r>
        <w:rPr>
          <w:rFonts w:ascii="Arial" w:cs="Arial" w:eastAsia="Arial" w:hAnsi="Arial"/>
          <w:sz w:val="16"/>
          <w:szCs w:val="16"/>
          <w:color w:val="auto"/>
        </w:rPr>
        <w:t>. The Company has the requisite corporate power and authority to enter into and to consummate the transactions contemplated by this Agreement and each of the other Transaction Documents and otherwise to carry out its obligations hereunder and thereunder. The execution and delivery of this Agreement and each of the other Transaction Documents by the Company and the consummation by it of the transactions contemplated hereby and thereby have been duly authorized by all necessary action on the part of the Company and no further action is required by the Company, the Board of Directors or the Company’s stockholders in connection herewith or therewith other than in connection with the Required Approvals. This Agreement and each other Transaction Document to which it is a party has been (or upon delivery will have been) duly executed by the Company and, when delivered in accordance with the terms hereof and thereof, will constitute the valid and binding obligation of the Company enforceable against the Company in accordance with its terms, except (i) as limited by general equitable principles and applicable bankruptcy, insolvency, reorganization, moratorium and other laws of general application affecting enforcement of creditors’ rights generally, (ii) as limited by laws relating to the availability of specific performance, injunctive relief or other equitable remedies and (iii) insofar as indemnification and contribution provisions may be limited by applicable law.</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14" w:name="page15"/>
    <w:bookmarkEnd w:id="14"/>
    <w:p>
      <w:pPr>
        <w:jc w:val="both"/>
        <w:ind w:left="4" w:firstLine="644"/>
        <w:spacing w:after="0" w:line="283" w:lineRule="auto"/>
        <w:tabs>
          <w:tab w:leader="none" w:pos="918" w:val="left"/>
        </w:tabs>
        <w:numPr>
          <w:ilvl w:val="1"/>
          <w:numId w:val="13"/>
        </w:numPr>
        <w:rPr>
          <w:rFonts w:ascii="Arial" w:cs="Arial" w:eastAsia="Arial" w:hAnsi="Arial"/>
          <w:sz w:val="16"/>
          <w:szCs w:val="16"/>
          <w:color w:val="auto"/>
        </w:rPr>
      </w:pPr>
      <w:r>
        <w:rPr>
          <w:rFonts w:ascii="Arial" w:cs="Arial" w:eastAsia="Arial" w:hAnsi="Arial"/>
          <w:sz w:val="16"/>
          <w:szCs w:val="16"/>
          <w:u w:val="single" w:color="auto"/>
          <w:color w:val="auto"/>
        </w:rPr>
        <w:t>No Conflicts</w:t>
      </w:r>
      <w:r>
        <w:rPr>
          <w:rFonts w:ascii="Arial" w:cs="Arial" w:eastAsia="Arial" w:hAnsi="Arial"/>
          <w:sz w:val="16"/>
          <w:szCs w:val="16"/>
          <w:color w:val="auto"/>
        </w:rPr>
        <w:t>. The execution, delivery and performance by the Company of this Agreement and the other Transaction Documents to which it is a party, the issuance and sale of the Shares and the consummation by it of the transactions contemplated hereby and thereby do not and will not (i) conflict with or violate any provision of the Company’s or any Subsidiary’s certificate or articles of incorporation, bylaws or other organizational or charter documents, or (ii) conflict with, or constitute a default (or an event that with notice or lapse of time or both would become a default) under, result in the creation of any material Lien upon any of the properties or assets of the Company or any Subsidiary, or give to others any rights of termination, amendment, anti-dilution or similar adjustments, acceleration or cancellation (with or without notice, lapse of time or both) of, any agreement, credit facility, debt or other instrument (evidencing a Company or Subsidiary debt or otherwise) or other understanding to which the Company or any Subsidiary is a party or by which any property or asset of the Company or any Subsidiary is bound or affected (except for such conflicts or defaults as have been waived or for which consent has been obtained prior to the Closing Date), or (iii) subject to receipt of the Required Approvals, conflict with or result in a violation of any law, rule, regulation, order, judgment, injunction, decree or other restriction of any court or governmental authority to which the Company or a Subsidiary is subject (including federal and state securities laws and regulations), or by which any property or asset of the Company or a Subsidiary is bound or affected; except in the case of each of clauses</w:t>
      </w:r>
    </w:p>
    <w:p>
      <w:pPr>
        <w:spacing w:after="0" w:line="2" w:lineRule="exact"/>
        <w:rPr>
          <w:rFonts w:ascii="Arial" w:cs="Arial" w:eastAsia="Arial" w:hAnsi="Arial"/>
          <w:sz w:val="16"/>
          <w:szCs w:val="16"/>
          <w:color w:val="auto"/>
        </w:rPr>
      </w:pPr>
    </w:p>
    <w:p>
      <w:pPr>
        <w:ind w:left="264" w:hanging="264"/>
        <w:spacing w:after="0"/>
        <w:tabs>
          <w:tab w:leader="none" w:pos="264" w:val="left"/>
        </w:tabs>
        <w:numPr>
          <w:ilvl w:val="0"/>
          <w:numId w:val="14"/>
        </w:numPr>
        <w:rPr>
          <w:rFonts w:ascii="Arial" w:cs="Arial" w:eastAsia="Arial" w:hAnsi="Arial"/>
          <w:sz w:val="18"/>
          <w:szCs w:val="18"/>
          <w:color w:val="auto"/>
        </w:rPr>
      </w:pPr>
      <w:r>
        <w:rPr>
          <w:rFonts w:ascii="Arial" w:cs="Arial" w:eastAsia="Arial" w:hAnsi="Arial"/>
          <w:sz w:val="18"/>
          <w:szCs w:val="18"/>
          <w:color w:val="auto"/>
        </w:rPr>
        <w:t>and (iii), such as could not have or reasonably be expected to result in a Material Adverse Effect.</w:t>
      </w:r>
    </w:p>
    <w:p>
      <w:pPr>
        <w:spacing w:after="0" w:line="210" w:lineRule="exact"/>
        <w:rPr>
          <w:rFonts w:ascii="Arial" w:cs="Arial" w:eastAsia="Arial" w:hAnsi="Arial"/>
          <w:sz w:val="18"/>
          <w:szCs w:val="18"/>
          <w:color w:val="auto"/>
        </w:rPr>
      </w:pPr>
    </w:p>
    <w:p>
      <w:pPr>
        <w:jc w:val="both"/>
        <w:ind w:left="4" w:firstLine="644"/>
        <w:spacing w:after="0" w:line="254" w:lineRule="auto"/>
        <w:tabs>
          <w:tab w:leader="none" w:pos="919" w:val="left"/>
        </w:tabs>
        <w:numPr>
          <w:ilvl w:val="1"/>
          <w:numId w:val="14"/>
        </w:numPr>
        <w:rPr>
          <w:rFonts w:ascii="Arial" w:cs="Arial" w:eastAsia="Arial" w:hAnsi="Arial"/>
          <w:sz w:val="18"/>
          <w:szCs w:val="18"/>
          <w:color w:val="auto"/>
        </w:rPr>
      </w:pPr>
      <w:r>
        <w:rPr>
          <w:rFonts w:ascii="Arial" w:cs="Arial" w:eastAsia="Arial" w:hAnsi="Arial"/>
          <w:sz w:val="18"/>
          <w:szCs w:val="18"/>
          <w:u w:val="single" w:color="auto"/>
          <w:color w:val="auto"/>
        </w:rPr>
        <w:t>Filings, Consents and Approvals</w:t>
      </w:r>
      <w:r>
        <w:rPr>
          <w:rFonts w:ascii="Arial" w:cs="Arial" w:eastAsia="Arial" w:hAnsi="Arial"/>
          <w:sz w:val="18"/>
          <w:szCs w:val="18"/>
          <w:color w:val="auto"/>
        </w:rPr>
        <w:t>. The Company is not required to obtain any consent, waiver, authorization or order of, give any notice to, or make any filing or registration with, any court or other federal, state, local or other governmental authority or other Person in connection with the execution, delivery and performance by the Company of the Transaction Documents, other than: (i) the filings required pursuant to Section 4.4 of this Agreement, (ii) the filing with the Commission pursuant to the Registration Rights Agreement, (iii) the notice and/or application(s) to each applicable Trading Market for the issuance and sale of the Shares and the listing of the Shares for trading thereon in the time and manner required thereby, (iv) the filing of Form D with the Commission and such filings as are required to be made under applicable state securities laws and (v) such consents or waivers that shall have been obtained prior to the Closing Date (collectively, the “</w:t>
      </w:r>
      <w:r>
        <w:rPr>
          <w:rFonts w:ascii="Arial" w:cs="Arial" w:eastAsia="Arial" w:hAnsi="Arial"/>
          <w:sz w:val="18"/>
          <w:szCs w:val="18"/>
          <w:u w:val="single" w:color="auto"/>
          <w:color w:val="auto"/>
        </w:rPr>
        <w:t>Required</w:t>
      </w:r>
      <w:r>
        <w:rPr>
          <w:rFonts w:ascii="Arial" w:cs="Arial" w:eastAsia="Arial" w:hAnsi="Arial"/>
          <w:sz w:val="18"/>
          <w:szCs w:val="18"/>
          <w:color w:val="auto"/>
        </w:rPr>
        <w:t xml:space="preserve"> </w:t>
      </w:r>
      <w:r>
        <w:rPr>
          <w:rFonts w:ascii="Arial" w:cs="Arial" w:eastAsia="Arial" w:hAnsi="Arial"/>
          <w:sz w:val="18"/>
          <w:szCs w:val="18"/>
          <w:u w:val="single" w:color="auto"/>
          <w:color w:val="auto"/>
        </w:rPr>
        <w:t>Approvals</w:t>
      </w:r>
      <w:r>
        <w:rPr>
          <w:rFonts w:ascii="Arial" w:cs="Arial" w:eastAsia="Arial" w:hAnsi="Arial"/>
          <w:sz w:val="18"/>
          <w:szCs w:val="18"/>
          <w:color w:val="auto"/>
        </w:rPr>
        <w:t>”).</w:t>
      </w:r>
    </w:p>
    <w:p>
      <w:pPr>
        <w:spacing w:after="0" w:line="191" w:lineRule="exact"/>
        <w:rPr>
          <w:rFonts w:ascii="Arial" w:cs="Arial" w:eastAsia="Arial" w:hAnsi="Arial"/>
          <w:sz w:val="18"/>
          <w:szCs w:val="18"/>
          <w:color w:val="auto"/>
        </w:rPr>
      </w:pPr>
    </w:p>
    <w:p>
      <w:pPr>
        <w:jc w:val="both"/>
        <w:ind w:left="4" w:firstLine="644"/>
        <w:spacing w:after="0" w:line="259" w:lineRule="auto"/>
        <w:tabs>
          <w:tab w:leader="none" w:pos="889" w:val="left"/>
        </w:tabs>
        <w:numPr>
          <w:ilvl w:val="1"/>
          <w:numId w:val="14"/>
        </w:numPr>
        <w:rPr>
          <w:rFonts w:ascii="Arial" w:cs="Arial" w:eastAsia="Arial" w:hAnsi="Arial"/>
          <w:sz w:val="18"/>
          <w:szCs w:val="18"/>
          <w:color w:val="auto"/>
        </w:rPr>
      </w:pPr>
      <w:r>
        <w:rPr>
          <w:rFonts w:ascii="Arial" w:cs="Arial" w:eastAsia="Arial" w:hAnsi="Arial"/>
          <w:sz w:val="18"/>
          <w:szCs w:val="18"/>
          <w:u w:val="single" w:color="auto"/>
          <w:color w:val="auto"/>
        </w:rPr>
        <w:t>Issuance of the Shares</w:t>
      </w:r>
      <w:r>
        <w:rPr>
          <w:rFonts w:ascii="Arial" w:cs="Arial" w:eastAsia="Arial" w:hAnsi="Arial"/>
          <w:sz w:val="18"/>
          <w:szCs w:val="18"/>
          <w:color w:val="auto"/>
        </w:rPr>
        <w:t>. The Shares are duly authorized and, when issued and paid for in accordance with the applicable Transaction Documents, will be duly and validly issued, fully paid and nonassessable, free and clear of all Liens imposed by the Company other than restrictions on transfer provided for in the Transaction Documents. The Company has reserved from its duly authorized capital stock the maximum number of shares of Common Stock issuable pursuant to this Agreement.</w:t>
      </w:r>
    </w:p>
    <w:p>
      <w:pPr>
        <w:spacing w:after="0" w:line="200" w:lineRule="exact"/>
        <w:rPr>
          <w:sz w:val="20"/>
          <w:szCs w:val="20"/>
          <w:color w:val="auto"/>
        </w:rPr>
      </w:pPr>
    </w:p>
    <w:p>
      <w:pPr>
        <w:spacing w:after="0" w:line="203" w:lineRule="exact"/>
        <w:rPr>
          <w:sz w:val="20"/>
          <w:szCs w:val="20"/>
          <w:color w:val="auto"/>
        </w:rPr>
      </w:pPr>
    </w:p>
    <w:p>
      <w:pPr>
        <w:ind w:left="4884"/>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14605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908" w:right="339" w:bottom="1440" w:gutter="0" w:footer="0" w:header="0"/>
        </w:sectPr>
      </w:pPr>
    </w:p>
    <w:bookmarkStart w:id="15" w:name="page16"/>
    <w:bookmarkEnd w:id="15"/>
    <w:p>
      <w:pPr>
        <w:jc w:val="both"/>
        <w:ind w:left="-460" w:firstLine="644"/>
        <w:spacing w:after="0" w:line="284" w:lineRule="auto"/>
        <w:tabs>
          <w:tab w:leader="none" w:pos="464" w:val="left"/>
        </w:tabs>
        <w:numPr>
          <w:ilvl w:val="0"/>
          <w:numId w:val="15"/>
        </w:numPr>
        <w:rPr>
          <w:rFonts w:ascii="Arial" w:cs="Arial" w:eastAsia="Arial" w:hAnsi="Arial"/>
          <w:sz w:val="16"/>
          <w:szCs w:val="16"/>
          <w:color w:val="auto"/>
        </w:rPr>
      </w:pPr>
      <w:r>
        <w:rPr>
          <w:rFonts w:ascii="Arial" w:cs="Arial" w:eastAsia="Arial" w:hAnsi="Arial"/>
          <w:sz w:val="16"/>
          <w:szCs w:val="16"/>
          <w:u w:val="single" w:color="auto"/>
          <w:color w:val="auto"/>
        </w:rPr>
        <w:t>Capitalization</w:t>
      </w:r>
      <w:r>
        <w:rPr>
          <w:rFonts w:ascii="Arial" w:cs="Arial" w:eastAsia="Arial" w:hAnsi="Arial"/>
          <w:sz w:val="16"/>
          <w:szCs w:val="16"/>
          <w:color w:val="auto"/>
        </w:rPr>
        <w:t>. The capitalization of the Company as of the date hereof is as set forth in the SEC Reports. The Company has not issued any capital stock since its most recently filed periodic report under the Exchange Act, other than pursuant to the exercise of employee stock options under the Company’s stock option plans, the issuance of shares of Common Stock to employees pursuant to the Company’s employee stock purchase plans and pursuant to the conversion and/or exercise of Common Stock Equivalents outstanding as of the date of the most recently filed periodic report under the Exchange Act. No Person has any right of first refusal, preemptive right, right of participation, or any similar right to participate in the transactions contemplated by the Transaction Documents. There are no outstanding options, warrants, scrip rights to subscribe to, calls or commitments of any character whatsoever relating to, or securities, rights or obligations convertible into or exercisable or exchangeable for, or giving any Person any right to subscribe for or acquire, any shares of Common Stock or the capital stock of any Subsidiary, or contracts, commitments, understandings or arrangements by which the Company or any Subsidiary is or may become bound to issue additional shares of Common Stock or Common Stock Equivalents or capital stock of any Subsidiary. The issuance and sale of the Shares will not obligate the Company or any Subsidiary to issue shares of Common Stock or other securities to any Person (other than the Purchasers). There are no outstanding securities or instruments of the Company or any Subsidiary with any provision that adjusts the exercise, conversion, exchange or reset price of such security or instrument upon an issuance of securities by the Company or any Subsidiary. There are no outstanding securities or instruments of the Company or any Subsidiary that contain any redemption or similar provisions, and there are no contracts, commitments, understandings or arrangements by which the Company or any Subsidiary is or may become bound to redeem a security of the Company or such Subsidiary. The Company does not have any stock appreciation rights or “phantom stock” plans or agreements or any similar plan or agreement. All of the outstanding shares of capital stock of the Company are duly authorized, validly issued, fully paid and nonassessable, have been issued in compliance with all applicable federal and state securities laws, and none of such outstanding shares was issued in violation of any preemptive rights or similar rights to subscribe for or purchase securities. Except for the Required Approvals, no further approval or authorization of any stockholder, the Board of Directors or others is required for the issuance and sale of the Shares. There are no stockholders agreements, voting agreements or other similar agreements with respect to the Company’s capital stock to which the Company is a party or, to the knowledge of the Company, between or among any of the Company’s stockholders.</w:t>
      </w:r>
    </w:p>
    <w:p>
      <w:pPr>
        <w:spacing w:after="0" w:line="178" w:lineRule="exact"/>
        <w:rPr>
          <w:rFonts w:ascii="Arial" w:cs="Arial" w:eastAsia="Arial" w:hAnsi="Arial"/>
          <w:sz w:val="16"/>
          <w:szCs w:val="16"/>
          <w:color w:val="auto"/>
        </w:rPr>
      </w:pPr>
    </w:p>
    <w:p>
      <w:pPr>
        <w:jc w:val="both"/>
        <w:ind w:left="-460" w:firstLine="644"/>
        <w:spacing w:after="0" w:line="286" w:lineRule="auto"/>
        <w:tabs>
          <w:tab w:leader="none" w:pos="448" w:val="left"/>
        </w:tabs>
        <w:numPr>
          <w:ilvl w:val="0"/>
          <w:numId w:val="15"/>
        </w:numPr>
        <w:rPr>
          <w:rFonts w:ascii="Arial" w:cs="Arial" w:eastAsia="Arial" w:hAnsi="Arial"/>
          <w:sz w:val="16"/>
          <w:szCs w:val="16"/>
          <w:color w:val="auto"/>
        </w:rPr>
      </w:pPr>
      <w:r>
        <w:rPr>
          <w:rFonts w:ascii="Arial" w:cs="Arial" w:eastAsia="Arial" w:hAnsi="Arial"/>
          <w:sz w:val="16"/>
          <w:szCs w:val="16"/>
          <w:u w:val="single" w:color="auto"/>
          <w:color w:val="auto"/>
        </w:rPr>
        <w:t>SEC Reports; Financial Statements</w:t>
      </w:r>
      <w:r>
        <w:rPr>
          <w:rFonts w:ascii="Arial" w:cs="Arial" w:eastAsia="Arial" w:hAnsi="Arial"/>
          <w:sz w:val="16"/>
          <w:szCs w:val="16"/>
          <w:color w:val="auto"/>
        </w:rPr>
        <w:t>. The Company has filed all reports, schedules, forms, statements and other documents required to be filed by the Company under the Securities Act and the Exchange Act, including pursuant to Section 13(a) or 15(d) thereof, for the two years preceding the date hereof (or such shorter period as the Company was required by law or regulation to file such material) (the foregoing materials, including the exhibits thereto and documents incorporated by reference therein, being collectively referred to herein as the “</w:t>
      </w:r>
      <w:r>
        <w:rPr>
          <w:rFonts w:ascii="Arial" w:cs="Arial" w:eastAsia="Arial" w:hAnsi="Arial"/>
          <w:sz w:val="16"/>
          <w:szCs w:val="16"/>
          <w:u w:val="single" w:color="auto"/>
          <w:color w:val="auto"/>
        </w:rPr>
        <w:t>SEC Reports</w:t>
      </w:r>
      <w:r>
        <w:rPr>
          <w:rFonts w:ascii="Arial" w:cs="Arial" w:eastAsia="Arial" w:hAnsi="Arial"/>
          <w:sz w:val="16"/>
          <w:szCs w:val="16"/>
          <w:color w:val="auto"/>
        </w:rPr>
        <w:t>”) on a timely basis or has received a valid extension of such time of filing and has filed any such SEC Reports prior to the expiration of any such extension. As of their respective dates, the SEC Reports complied in all material respects with the requirements of the Securities Act and the Exchange Act, as applicable, and none of the SEC Reports, when filed, contained any untrue statement of a material fact or omitted to state a material fact required to be stated therein or necessary in order to make the statements therein, in the light of the circumstances under which they were made, not misleading. The financial statements of the Company included in the SEC Reports comply in all material respects with applicable accounting requirements and the rules and regulations of the Commission with respect thereto as in effect at the time of filing. Such financial statements have been prepared in all material respects in accordance with United States generally accepted accounting principles applied on a consistent basis during the periods involved (“</w:t>
      </w:r>
      <w:r>
        <w:rPr>
          <w:rFonts w:ascii="Arial" w:cs="Arial" w:eastAsia="Arial" w:hAnsi="Arial"/>
          <w:sz w:val="16"/>
          <w:szCs w:val="16"/>
          <w:u w:val="single" w:color="auto"/>
          <w:color w:val="auto"/>
        </w:rPr>
        <w:t>GAAP</w:t>
      </w:r>
      <w:r>
        <w:rPr>
          <w:rFonts w:ascii="Arial" w:cs="Arial" w:eastAsia="Arial" w:hAnsi="Arial"/>
          <w:sz w:val="16"/>
          <w:szCs w:val="16"/>
          <w:color w:val="auto"/>
        </w:rPr>
        <w:t>”), except as may be otherwise specified in such financial statements or the notes thereto and except that unaudited financial statements may not contain all footnotes required by GAAP, and fairly present in all material respects the financial position of the Company and its consolidated Subsidiaries as of and for the dates thereof and the results of operations and cash flows for the periods then ended, subject, in the case of unaudited statements, to normal, immaterial, year-end audit adjustments.</w:t>
      </w:r>
    </w:p>
    <w:p>
      <w:pPr>
        <w:spacing w:after="0" w:line="383"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14605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908" w:right="339" w:bottom="1440" w:gutter="0" w:footer="0" w:header="0"/>
        </w:sectPr>
      </w:pPr>
    </w:p>
    <w:bookmarkStart w:id="16" w:name="page17"/>
    <w:bookmarkEnd w:id="16"/>
    <w:p>
      <w:pPr>
        <w:jc w:val="both"/>
        <w:ind w:left="-460" w:firstLine="644"/>
        <w:spacing w:after="0" w:line="286" w:lineRule="auto"/>
        <w:tabs>
          <w:tab w:leader="none" w:pos="410" w:val="left"/>
        </w:tabs>
        <w:numPr>
          <w:ilvl w:val="0"/>
          <w:numId w:val="16"/>
        </w:numPr>
        <w:rPr>
          <w:rFonts w:ascii="Arial" w:cs="Arial" w:eastAsia="Arial" w:hAnsi="Arial"/>
          <w:sz w:val="16"/>
          <w:szCs w:val="16"/>
          <w:color w:val="auto"/>
        </w:rPr>
      </w:pPr>
      <w:r>
        <w:rPr>
          <w:rFonts w:ascii="Arial" w:cs="Arial" w:eastAsia="Arial" w:hAnsi="Arial"/>
          <w:sz w:val="16"/>
          <w:szCs w:val="16"/>
          <w:u w:val="single" w:color="auto"/>
          <w:color w:val="auto"/>
        </w:rPr>
        <w:t>Material Changes; Undisclosed Events, Liabilities or Developments</w:t>
      </w:r>
      <w:r>
        <w:rPr>
          <w:rFonts w:ascii="Arial" w:cs="Arial" w:eastAsia="Arial" w:hAnsi="Arial"/>
          <w:sz w:val="16"/>
          <w:szCs w:val="16"/>
          <w:color w:val="auto"/>
        </w:rPr>
        <w:t xml:space="preserve">. Since the date of the latest audited financial statements included within the SEC Reports, (i) there has been no event, occurrence or development that has had or that could reasonably be expected to result in a Material Adverse Effect, (ii) the Company has not incurred any liabilities (contingent or otherwise) other than (A) trade payables and accrued expenses incurred in the ordinary course of business consistent with past practice and (B) liabilities not required to be reflected in the Company’s financial statements pursuant to GAAP or disclosed in filings made with the Commission, (iii) the Company has not altered its method of accounting, (iv) the Company has not declared or made any dividend or distribution of cash or other property to its stockholders or purchased, redeemed or made any agreements to purchase or redeem any shares of its capital stock and (v) the Company has not issued any equity securities to any officer, director or Affiliate, except pursuant to existing Company stock option plans or other equity plans. The Company does not have pending before the Commission any request for confidential treatment of information. Except for the issuance of the Shares contemplated by this Agreement or as set forth on </w:t>
      </w:r>
      <w:r>
        <w:rPr>
          <w:rFonts w:ascii="Arial" w:cs="Arial" w:eastAsia="Arial" w:hAnsi="Arial"/>
          <w:sz w:val="16"/>
          <w:szCs w:val="16"/>
          <w:u w:val="single" w:color="auto"/>
          <w:color w:val="auto"/>
        </w:rPr>
        <w:t>Schedule 3.1(i)</w:t>
      </w:r>
      <w:r>
        <w:rPr>
          <w:rFonts w:ascii="Arial" w:cs="Arial" w:eastAsia="Arial" w:hAnsi="Arial"/>
          <w:sz w:val="16"/>
          <w:szCs w:val="16"/>
          <w:color w:val="auto"/>
        </w:rPr>
        <w:t>, no event, liability, fact, circumstance, occurrence or development has occurred or exists or is reasonably expected to occur or exist with respect to the Company or its Subsidiaries or their respective businesses, properties, operations, assets or financial condition that would be required to be disclosed by the Company under applicable securities laws at the time this representation is made or deemed made that has not been publicly disclosed at least one Trading Day prior to the date that this representation is made.</w:t>
      </w:r>
    </w:p>
    <w:p>
      <w:pPr>
        <w:spacing w:after="0" w:line="173" w:lineRule="exact"/>
        <w:rPr>
          <w:rFonts w:ascii="Arial" w:cs="Arial" w:eastAsia="Arial" w:hAnsi="Arial"/>
          <w:sz w:val="16"/>
          <w:szCs w:val="16"/>
          <w:color w:val="auto"/>
        </w:rPr>
      </w:pPr>
    </w:p>
    <w:p>
      <w:pPr>
        <w:jc w:val="both"/>
        <w:ind w:left="-460" w:firstLine="644"/>
        <w:spacing w:after="0" w:line="269" w:lineRule="auto"/>
        <w:tabs>
          <w:tab w:leader="none" w:pos="415" w:val="left"/>
        </w:tabs>
        <w:numPr>
          <w:ilvl w:val="0"/>
          <w:numId w:val="16"/>
        </w:numPr>
        <w:rPr>
          <w:rFonts w:ascii="Arial" w:cs="Arial" w:eastAsia="Arial" w:hAnsi="Arial"/>
          <w:sz w:val="17"/>
          <w:szCs w:val="17"/>
          <w:color w:val="auto"/>
        </w:rPr>
      </w:pPr>
      <w:r>
        <w:rPr>
          <w:rFonts w:ascii="Arial" w:cs="Arial" w:eastAsia="Arial" w:hAnsi="Arial"/>
          <w:sz w:val="17"/>
          <w:szCs w:val="17"/>
          <w:u w:val="single" w:color="auto"/>
          <w:color w:val="auto"/>
        </w:rPr>
        <w:t>Litigation</w:t>
      </w:r>
      <w:r>
        <w:rPr>
          <w:rFonts w:ascii="Arial" w:cs="Arial" w:eastAsia="Arial" w:hAnsi="Arial"/>
          <w:sz w:val="17"/>
          <w:szCs w:val="17"/>
          <w:color w:val="auto"/>
        </w:rPr>
        <w:t>. There is no material action, suit, inquiry, notice of violation, proceeding or investigation pending or, to the knowledge of the Company, threatened against or affecting the Company, any Subsidiary or any of their respective properties before or by any court, arbitrator, governmental or administrative agency or regulatory authority (federal, state, county, local or foreign) (collectively, an “</w:t>
      </w:r>
      <w:r>
        <w:rPr>
          <w:rFonts w:ascii="Arial" w:cs="Arial" w:eastAsia="Arial" w:hAnsi="Arial"/>
          <w:sz w:val="17"/>
          <w:szCs w:val="17"/>
          <w:u w:val="single" w:color="auto"/>
          <w:color w:val="auto"/>
        </w:rPr>
        <w:t>Action</w:t>
      </w:r>
      <w:r>
        <w:rPr>
          <w:rFonts w:ascii="Arial" w:cs="Arial" w:eastAsia="Arial" w:hAnsi="Arial"/>
          <w:sz w:val="17"/>
          <w:szCs w:val="17"/>
          <w:color w:val="auto"/>
        </w:rPr>
        <w:t>”), which (i) adversely affects or challenges the legality, validity or enforceability of any of the Transaction Documents or the Shares or (ii) could, if there were an unfavorable decision, have or reasonably be expected to result in a Material Adverse Effect. Neither the Company nor any Subsidiary, nor any director or officer thereof, is or has been the subject of any Action involving a claim of violation of or liability under federal or state securities laws or a claim of breach of fiduciary duty. There has not been, and to the knowledge of the Company, there is not pending or contemplated, any investigation by the Commission involving the Company or any current or former director or officer of the Company. The Commission has not issued any stop order or other order suspending the effectiveness of any registration statement filed by the Company or any Subsidiary under the Exchange Act or the Securities Act.</w:t>
      </w:r>
    </w:p>
    <w:p>
      <w:pPr>
        <w:spacing w:after="0" w:line="200" w:lineRule="exact"/>
        <w:rPr>
          <w:sz w:val="20"/>
          <w:szCs w:val="20"/>
          <w:color w:val="auto"/>
        </w:rPr>
      </w:pPr>
    </w:p>
    <w:p>
      <w:pPr>
        <w:spacing w:after="0" w:line="201"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14605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908" w:right="339" w:bottom="1440" w:gutter="0" w:footer="0" w:header="0"/>
        </w:sectPr>
      </w:pPr>
    </w:p>
    <w:bookmarkStart w:id="17" w:name="page18"/>
    <w:bookmarkEnd w:id="17"/>
    <w:p>
      <w:pPr>
        <w:jc w:val="both"/>
        <w:ind w:left="-460" w:firstLine="644"/>
        <w:spacing w:after="0" w:line="269" w:lineRule="auto"/>
        <w:tabs>
          <w:tab w:leader="none" w:pos="454" w:val="left"/>
        </w:tabs>
        <w:numPr>
          <w:ilvl w:val="0"/>
          <w:numId w:val="17"/>
        </w:numPr>
        <w:rPr>
          <w:rFonts w:ascii="Arial" w:cs="Arial" w:eastAsia="Arial" w:hAnsi="Arial"/>
          <w:sz w:val="17"/>
          <w:szCs w:val="17"/>
          <w:color w:val="auto"/>
        </w:rPr>
      </w:pPr>
      <w:r>
        <w:rPr>
          <w:rFonts w:ascii="Arial" w:cs="Arial" w:eastAsia="Arial" w:hAnsi="Arial"/>
          <w:sz w:val="17"/>
          <w:szCs w:val="17"/>
          <w:u w:val="single" w:color="auto"/>
          <w:color w:val="auto"/>
        </w:rPr>
        <w:t>Labor Relations</w:t>
      </w:r>
      <w:r>
        <w:rPr>
          <w:rFonts w:ascii="Arial" w:cs="Arial" w:eastAsia="Arial" w:hAnsi="Arial"/>
          <w:sz w:val="17"/>
          <w:szCs w:val="17"/>
          <w:color w:val="auto"/>
        </w:rPr>
        <w:t>. No labor dispute exists or, to the knowledge of the Company, is imminent with respect to any of the employees of the Company, which could reasonably be expected to result in a Material Adverse Effect. None of the Company’s or its Subsidiaries’ employees is a member of a union that relates to such employee’s relationship with the Company or such Subsidiary, and neither the Company nor any of its Subsidiaries is a party to a collective bargaining agreement, and the Company and its Subsidiaries believe that their relationships with their employees are good. To the knowledge of the Company, no executive officer of the Company or any Subsidiary is, or is now expected to be, in violation of any material term of any employment contract, confidentiality, disclosure or proprietary information agreement or non-competition agreement, or any other contract or agreement or any restrictive covenant in favor of any third party, and the continued employment of each such executive officer does not subject the Company or any of its Subsidiaries to any liability with respect to any of the foregoing matters that would reasonably be expected to have a Material Adverse Effect. The Company and its Subsidiaries are in compliance with all applicable U.S. federal, state, local and foreign laws and regulations relating to employment and employment practices, terms and conditions of employment and wages and hours, except where the failure to be in compliance could not, individually or in the aggregate, reasonably be expected to have a Material Adverse Effect.</w:t>
      </w:r>
    </w:p>
    <w:p>
      <w:pPr>
        <w:spacing w:after="0" w:line="178" w:lineRule="exact"/>
        <w:rPr>
          <w:rFonts w:ascii="Arial" w:cs="Arial" w:eastAsia="Arial" w:hAnsi="Arial"/>
          <w:sz w:val="17"/>
          <w:szCs w:val="17"/>
          <w:color w:val="auto"/>
        </w:rPr>
      </w:pPr>
    </w:p>
    <w:p>
      <w:pPr>
        <w:jc w:val="both"/>
        <w:ind w:left="-460" w:firstLine="644"/>
        <w:spacing w:after="0" w:line="270" w:lineRule="auto"/>
        <w:tabs>
          <w:tab w:leader="none" w:pos="406" w:val="left"/>
        </w:tabs>
        <w:numPr>
          <w:ilvl w:val="0"/>
          <w:numId w:val="17"/>
        </w:numPr>
        <w:rPr>
          <w:rFonts w:ascii="Arial" w:cs="Arial" w:eastAsia="Arial" w:hAnsi="Arial"/>
          <w:sz w:val="17"/>
          <w:szCs w:val="17"/>
          <w:color w:val="auto"/>
        </w:rPr>
      </w:pPr>
      <w:r>
        <w:rPr>
          <w:rFonts w:ascii="Arial" w:cs="Arial" w:eastAsia="Arial" w:hAnsi="Arial"/>
          <w:sz w:val="17"/>
          <w:szCs w:val="17"/>
          <w:u w:val="single" w:color="auto"/>
          <w:color w:val="auto"/>
        </w:rPr>
        <w:t>Compliance</w:t>
      </w:r>
      <w:r>
        <w:rPr>
          <w:rFonts w:ascii="Arial" w:cs="Arial" w:eastAsia="Arial" w:hAnsi="Arial"/>
          <w:sz w:val="17"/>
          <w:szCs w:val="17"/>
          <w:color w:val="auto"/>
        </w:rPr>
        <w:t>. Neither the Company nor any Subsidiary: (i) is in default under or in violation of (and no event has occurred that has not been waived that, with notice or lapse of time or both, would result in a default by the Company or any Subsidiary under), nor has the Company or any Subsidiary received notice of a claim that it is in default under or that it is in violation of, any indenture, loan or credit agreement or any other material agreement or instrument to which it is a party or by which it or any of its material properties is bound (except for such breaches, violations or defaults as have been waived or for which consent has been obtained prior to the Closing Date), (ii) is in violation of any judgment, decree, or order of any court, arbitrator or other governmental authority or (iii) is or has been in violation of any statute, rule, ordinance or regulation of any governmental authority, including without limitation all foreign, federal, state and local laws relating to taxes, environmental protection, occupational health and safety, product quality and safety and employment and labor matters, except in each case as could not have or reasonably be expected to result in a Material Adverse Effect.</w:t>
      </w:r>
    </w:p>
    <w:p>
      <w:pPr>
        <w:spacing w:after="0" w:line="180" w:lineRule="exact"/>
        <w:rPr>
          <w:rFonts w:ascii="Arial" w:cs="Arial" w:eastAsia="Arial" w:hAnsi="Arial"/>
          <w:sz w:val="17"/>
          <w:szCs w:val="17"/>
          <w:color w:val="auto"/>
        </w:rPr>
      </w:pPr>
    </w:p>
    <w:p>
      <w:pPr>
        <w:jc w:val="both"/>
        <w:ind w:left="-460" w:firstLine="644"/>
        <w:spacing w:after="0" w:line="269" w:lineRule="auto"/>
        <w:tabs>
          <w:tab w:leader="none" w:pos="493" w:val="left"/>
        </w:tabs>
        <w:numPr>
          <w:ilvl w:val="0"/>
          <w:numId w:val="17"/>
        </w:numPr>
        <w:rPr>
          <w:rFonts w:ascii="Arial" w:cs="Arial" w:eastAsia="Arial" w:hAnsi="Arial"/>
          <w:sz w:val="17"/>
          <w:szCs w:val="17"/>
          <w:color w:val="auto"/>
        </w:rPr>
      </w:pPr>
      <w:r>
        <w:rPr>
          <w:rFonts w:ascii="Arial" w:cs="Arial" w:eastAsia="Arial" w:hAnsi="Arial"/>
          <w:sz w:val="17"/>
          <w:szCs w:val="17"/>
          <w:u w:val="single" w:color="auto"/>
          <w:color w:val="auto"/>
        </w:rPr>
        <w:t>Environmental Laws</w:t>
      </w:r>
      <w:r>
        <w:rPr>
          <w:rFonts w:ascii="Arial" w:cs="Arial" w:eastAsia="Arial" w:hAnsi="Arial"/>
          <w:sz w:val="17"/>
          <w:szCs w:val="17"/>
          <w:color w:val="auto"/>
        </w:rPr>
        <w:t>. The Company and its Subsidiaries (i) are in compliance with all applicable federal, state, local and foreign laws relating to pollution or protection of human health or the environment (including ambient air, surface water, groundwater, land surface or subsurface strata), including laws relating to emissions, discharges, releases or threatened releases of chemicals, pollutants, contaminants, or toxic or hazardous substances or wastes (collectively, “</w:t>
      </w:r>
      <w:r>
        <w:rPr>
          <w:rFonts w:ascii="Arial" w:cs="Arial" w:eastAsia="Arial" w:hAnsi="Arial"/>
          <w:sz w:val="17"/>
          <w:szCs w:val="17"/>
          <w:u w:val="single" w:color="auto"/>
          <w:color w:val="auto"/>
        </w:rPr>
        <w:t>Hazardous Materials</w:t>
      </w:r>
      <w:r>
        <w:rPr>
          <w:rFonts w:ascii="Arial" w:cs="Arial" w:eastAsia="Arial" w:hAnsi="Arial"/>
          <w:sz w:val="17"/>
          <w:szCs w:val="17"/>
          <w:color w:val="auto"/>
        </w:rPr>
        <w:t>”) into the environment, or otherwise relating to the manufacture, processing, distribution, use, treatment, storage, disposal, transport or handling of Hazardous Materials, as well as all authorizations, codes, decrees, demands, or demand letters, injunctions, judgments, licenses, notices or notice letters, orders, permits, plans or regulations, issued, entered, promulgated or approved thereunder (“</w:t>
      </w:r>
      <w:r>
        <w:rPr>
          <w:rFonts w:ascii="Arial" w:cs="Arial" w:eastAsia="Arial" w:hAnsi="Arial"/>
          <w:sz w:val="17"/>
          <w:szCs w:val="17"/>
          <w:u w:val="single" w:color="auto"/>
          <w:color w:val="auto"/>
        </w:rPr>
        <w:t>Environmental Laws</w:t>
      </w:r>
      <w:r>
        <w:rPr>
          <w:rFonts w:ascii="Arial" w:cs="Arial" w:eastAsia="Arial" w:hAnsi="Arial"/>
          <w:sz w:val="17"/>
          <w:szCs w:val="17"/>
          <w:color w:val="auto"/>
        </w:rPr>
        <w:t>”); (ii) have received all permits licenses or other approvals required of them under applicable Environmental Laws to conduct their respective businesses; and (iii) are in compliance with all terms and conditions of any such permit, license or approval where in each clause (i), (ii) and (iii), the failure to so comply could be reasonably expected to have, individually or in the aggregate, a Material Adverse Effect.</w:t>
      </w:r>
    </w:p>
    <w:p>
      <w:pPr>
        <w:spacing w:after="0" w:line="185" w:lineRule="exact"/>
        <w:rPr>
          <w:rFonts w:ascii="Arial" w:cs="Arial" w:eastAsia="Arial" w:hAnsi="Arial"/>
          <w:sz w:val="17"/>
          <w:szCs w:val="17"/>
          <w:color w:val="auto"/>
        </w:rPr>
      </w:pPr>
    </w:p>
    <w:p>
      <w:pPr>
        <w:jc w:val="both"/>
        <w:ind w:left="-460" w:firstLine="644"/>
        <w:spacing w:after="0" w:line="301" w:lineRule="auto"/>
        <w:tabs>
          <w:tab w:leader="none" w:pos="454" w:val="left"/>
        </w:tabs>
        <w:numPr>
          <w:ilvl w:val="0"/>
          <w:numId w:val="17"/>
        </w:numPr>
        <w:rPr>
          <w:rFonts w:ascii="Arial" w:cs="Arial" w:eastAsia="Arial" w:hAnsi="Arial"/>
          <w:sz w:val="16"/>
          <w:szCs w:val="16"/>
          <w:color w:val="auto"/>
        </w:rPr>
      </w:pPr>
      <w:r>
        <w:rPr>
          <w:rFonts w:ascii="Arial" w:cs="Arial" w:eastAsia="Arial" w:hAnsi="Arial"/>
          <w:sz w:val="16"/>
          <w:szCs w:val="16"/>
          <w:u w:val="single" w:color="auto"/>
          <w:color w:val="auto"/>
        </w:rPr>
        <w:t>Regulatory Permits</w:t>
      </w:r>
      <w:r>
        <w:rPr>
          <w:rFonts w:ascii="Arial" w:cs="Arial" w:eastAsia="Arial" w:hAnsi="Arial"/>
          <w:sz w:val="16"/>
          <w:szCs w:val="16"/>
          <w:color w:val="auto"/>
        </w:rPr>
        <w:t>. The Company and the Subsidiaries possess all certificates, authorizations and permits issued by the appropriate federal, state, local or foreign regulatory authorities necessary to conduct their respective businesses as described in the SEC Reports, except where the failure to possess such permits could not reasonably be expected to result in a Material Adverse Effect (“</w:t>
      </w:r>
      <w:r>
        <w:rPr>
          <w:rFonts w:ascii="Arial" w:cs="Arial" w:eastAsia="Arial" w:hAnsi="Arial"/>
          <w:sz w:val="16"/>
          <w:szCs w:val="16"/>
          <w:u w:val="single" w:color="auto"/>
          <w:color w:val="auto"/>
        </w:rPr>
        <w:t>Material Permits</w:t>
      </w:r>
      <w:r>
        <w:rPr>
          <w:rFonts w:ascii="Arial" w:cs="Arial" w:eastAsia="Arial" w:hAnsi="Arial"/>
          <w:sz w:val="16"/>
          <w:szCs w:val="16"/>
          <w:color w:val="auto"/>
        </w:rPr>
        <w:t>”), and neither the Company nor any Subsidiary has received any notice of proceedings relating to the revocation or modification of any Material Permit.</w:t>
      </w:r>
    </w:p>
    <w:p>
      <w:pPr>
        <w:spacing w:after="0" w:line="373"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14605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908" w:right="339" w:bottom="1440" w:gutter="0" w:footer="0" w:header="0"/>
        </w:sectPr>
      </w:pPr>
    </w:p>
    <w:bookmarkStart w:id="18" w:name="page19"/>
    <w:bookmarkEnd w:id="18"/>
    <w:p>
      <w:pPr>
        <w:jc w:val="both"/>
        <w:ind w:left="-460" w:firstLine="644"/>
        <w:spacing w:after="0" w:line="291" w:lineRule="auto"/>
        <w:tabs>
          <w:tab w:leader="none" w:pos="452" w:val="left"/>
        </w:tabs>
        <w:numPr>
          <w:ilvl w:val="0"/>
          <w:numId w:val="18"/>
        </w:numPr>
        <w:rPr>
          <w:rFonts w:ascii="Arial" w:cs="Arial" w:eastAsia="Arial" w:hAnsi="Arial"/>
          <w:sz w:val="16"/>
          <w:szCs w:val="16"/>
          <w:color w:val="auto"/>
        </w:rPr>
      </w:pPr>
      <w:r>
        <w:rPr>
          <w:rFonts w:ascii="Arial" w:cs="Arial" w:eastAsia="Arial" w:hAnsi="Arial"/>
          <w:sz w:val="16"/>
          <w:szCs w:val="16"/>
          <w:u w:val="single" w:color="auto"/>
          <w:color w:val="auto"/>
        </w:rPr>
        <w:t>Title to Assets</w:t>
      </w:r>
      <w:r>
        <w:rPr>
          <w:rFonts w:ascii="Arial" w:cs="Arial" w:eastAsia="Arial" w:hAnsi="Arial"/>
          <w:sz w:val="16"/>
          <w:szCs w:val="16"/>
          <w:color w:val="auto"/>
        </w:rPr>
        <w:t>. The Company and the Subsidiaries have good and marketable title in fee simple to all real property owned by them and good and marketable title in all personal property owned by them that is material to the business of the Company and the Subsidiaries, in each case free and clear of all Liens, except for (i) Liens as do not materially affect the value of such property and do not materially interfere with the use made and proposed to be made of such property by the Company and the Subsidiaries and (ii) Liens for the payment of federal, state or other taxes, for which appropriate reserves have been made therefor in accordance with GAAP and the payment of which is neither delinquent nor subject to penalties. Any real property and facilities held under lease by the Company and the Subsidiaries are held by them under valid, subsisting and enforceable leases with which the Company and the Subsidiaries are in compliance in all material respects.</w:t>
      </w:r>
    </w:p>
    <w:p>
      <w:pPr>
        <w:spacing w:after="0" w:line="166" w:lineRule="exact"/>
        <w:rPr>
          <w:rFonts w:ascii="Arial" w:cs="Arial" w:eastAsia="Arial" w:hAnsi="Arial"/>
          <w:sz w:val="16"/>
          <w:szCs w:val="16"/>
          <w:color w:val="auto"/>
        </w:rPr>
      </w:pPr>
    </w:p>
    <w:p>
      <w:pPr>
        <w:jc w:val="both"/>
        <w:ind w:left="-460" w:firstLine="644"/>
        <w:spacing w:after="0" w:line="287" w:lineRule="auto"/>
        <w:tabs>
          <w:tab w:leader="none" w:pos="457" w:val="left"/>
        </w:tabs>
        <w:numPr>
          <w:ilvl w:val="0"/>
          <w:numId w:val="18"/>
        </w:numPr>
        <w:rPr>
          <w:rFonts w:ascii="Arial" w:cs="Arial" w:eastAsia="Arial" w:hAnsi="Arial"/>
          <w:sz w:val="16"/>
          <w:szCs w:val="16"/>
          <w:color w:val="auto"/>
        </w:rPr>
      </w:pPr>
      <w:r>
        <w:rPr>
          <w:rFonts w:ascii="Arial" w:cs="Arial" w:eastAsia="Arial" w:hAnsi="Arial"/>
          <w:sz w:val="16"/>
          <w:szCs w:val="16"/>
          <w:u w:val="single" w:color="auto"/>
          <w:color w:val="auto"/>
        </w:rPr>
        <w:t>Intellectual Property</w:t>
      </w:r>
      <w:r>
        <w:rPr>
          <w:rFonts w:ascii="Arial" w:cs="Arial" w:eastAsia="Arial" w:hAnsi="Arial"/>
          <w:sz w:val="16"/>
          <w:szCs w:val="16"/>
          <w:color w:val="auto"/>
        </w:rPr>
        <w:t>. To the knowledge of the Company, the Company and the Subsidiaries have, or have rights to use, all patents, patent applications, trademarks, trademark applications, service marks, trade names, trade secrets, inventions, copyrights, licenses and other intellectual property rights and similar rights necessary or required for use in connection with their respective businesses as described in the SEC Reports and which the failure to so have could have a Material Adverse Effect (collectively, the “</w:t>
      </w:r>
      <w:r>
        <w:rPr>
          <w:rFonts w:ascii="Arial" w:cs="Arial" w:eastAsia="Arial" w:hAnsi="Arial"/>
          <w:sz w:val="16"/>
          <w:szCs w:val="16"/>
          <w:u w:val="single" w:color="auto"/>
          <w:color w:val="auto"/>
        </w:rPr>
        <w:t>Intellectual Property Rights</w:t>
      </w:r>
      <w:r>
        <w:rPr>
          <w:rFonts w:ascii="Arial" w:cs="Arial" w:eastAsia="Arial" w:hAnsi="Arial"/>
          <w:sz w:val="16"/>
          <w:szCs w:val="16"/>
          <w:color w:val="auto"/>
        </w:rPr>
        <w:t>”). None of, and neither the Company nor any Subsidiary has received a written notice that any of, the Intellectual Property Rights that are material to the Company have expired, terminated or been abandoned, or is expected to expire or terminate or be abandoned, within two (2) years from the date of this Agreement. Neither the Company nor any Subsidiary has received, since the date of the latest audited financial statements included within the SEC Reports, a written notice of a claim or otherwise has any knowledge that the Intellectual Property Rights violate or infringe upon the rights of any Person, except as could not have or reasonably be expected to not have a Material Adverse Effect. To the knowledge of the Company, all such Intellectual Property Rights are enforceable and there is no existing infringement by another Person of any of the Intellectual Property Rights. The Company and its Subsidiaries have taken reasonable security measures to protect the secrecy, confidentiality and value of all of their intellectual properties, except where failure to do so could not, individually or in the aggregate, reasonably be expected to have a Material Adverse Effect.</w:t>
      </w:r>
    </w:p>
    <w:p>
      <w:pPr>
        <w:spacing w:after="0" w:line="167" w:lineRule="exact"/>
        <w:rPr>
          <w:rFonts w:ascii="Arial" w:cs="Arial" w:eastAsia="Arial" w:hAnsi="Arial"/>
          <w:sz w:val="16"/>
          <w:szCs w:val="16"/>
          <w:color w:val="auto"/>
        </w:rPr>
      </w:pPr>
    </w:p>
    <w:p>
      <w:pPr>
        <w:jc w:val="both"/>
        <w:ind w:left="-460" w:firstLine="644"/>
        <w:spacing w:after="0" w:line="301" w:lineRule="auto"/>
        <w:tabs>
          <w:tab w:leader="none" w:pos="457" w:val="left"/>
        </w:tabs>
        <w:numPr>
          <w:ilvl w:val="0"/>
          <w:numId w:val="18"/>
        </w:numPr>
        <w:rPr>
          <w:rFonts w:ascii="Arial" w:cs="Arial" w:eastAsia="Arial" w:hAnsi="Arial"/>
          <w:sz w:val="16"/>
          <w:szCs w:val="16"/>
          <w:color w:val="auto"/>
        </w:rPr>
      </w:pPr>
      <w:r>
        <w:rPr>
          <w:rFonts w:ascii="Arial" w:cs="Arial" w:eastAsia="Arial" w:hAnsi="Arial"/>
          <w:sz w:val="16"/>
          <w:szCs w:val="16"/>
          <w:u w:val="single" w:color="auto"/>
          <w:color w:val="auto"/>
        </w:rPr>
        <w:t>Insurance</w:t>
      </w:r>
      <w:r>
        <w:rPr>
          <w:rFonts w:ascii="Arial" w:cs="Arial" w:eastAsia="Arial" w:hAnsi="Arial"/>
          <w:sz w:val="16"/>
          <w:szCs w:val="16"/>
          <w:color w:val="auto"/>
        </w:rPr>
        <w:t>. The Company and the Subsidiaries are insured by insurers of recognized financial responsibility against such losses and risks and in such amounts as are prudent and customary in the businesses in which the Company and the Subsidiaries are engaged. Neither the Company nor any Subsidiary has any reason to believe that it will not be able to renew its existing insurance coverage as and when such coverage expires or to obtain similar coverage from similar insurers as may be necessary to continue its business without a significant increase in cost.</w:t>
      </w:r>
    </w:p>
    <w:p>
      <w:pPr>
        <w:spacing w:after="0" w:line="157" w:lineRule="exact"/>
        <w:rPr>
          <w:rFonts w:ascii="Arial" w:cs="Arial" w:eastAsia="Arial" w:hAnsi="Arial"/>
          <w:sz w:val="16"/>
          <w:szCs w:val="16"/>
          <w:color w:val="auto"/>
        </w:rPr>
      </w:pPr>
    </w:p>
    <w:p>
      <w:pPr>
        <w:jc w:val="both"/>
        <w:ind w:left="-460" w:firstLine="644"/>
        <w:spacing w:after="0" w:line="270" w:lineRule="auto"/>
        <w:tabs>
          <w:tab w:leader="none" w:pos="411" w:val="left"/>
        </w:tabs>
        <w:numPr>
          <w:ilvl w:val="0"/>
          <w:numId w:val="18"/>
        </w:numPr>
        <w:rPr>
          <w:rFonts w:ascii="Arial" w:cs="Arial" w:eastAsia="Arial" w:hAnsi="Arial"/>
          <w:sz w:val="17"/>
          <w:szCs w:val="17"/>
          <w:color w:val="auto"/>
        </w:rPr>
      </w:pPr>
      <w:r>
        <w:rPr>
          <w:rFonts w:ascii="Arial" w:cs="Arial" w:eastAsia="Arial" w:hAnsi="Arial"/>
          <w:sz w:val="17"/>
          <w:szCs w:val="17"/>
          <w:u w:val="single" w:color="auto"/>
          <w:color w:val="auto"/>
        </w:rPr>
        <w:t>Transactions with Affiliates and Employees</w:t>
      </w:r>
      <w:r>
        <w:rPr>
          <w:rFonts w:ascii="Arial" w:cs="Arial" w:eastAsia="Arial" w:hAnsi="Arial"/>
          <w:sz w:val="17"/>
          <w:szCs w:val="17"/>
          <w:color w:val="auto"/>
        </w:rPr>
        <w:t>. None of the officers or directors of the Company or any Subsidiary and, to the knowledge of the Company, none of the employees of the Company or any Subsidiary is presently a party to any transaction with the Company or any Subsidiary (other than for services as employees, officers and directors), including any contract, agreement or other arrangement providing for the furnishing of services to or by, providing for rental of real or personal property to or from, providing for the borrowing of money from or lending of money to or otherwise requiring payments to or from any officer, director or such employee or, to the knowledge of the Company, any entity in which any officer, director, or any such employee has a substantial interest or is an officer, director, trustee, stockholder, member or partner, in each case in excess of $120,000 other than for (i) payment of salary or consulting fees for services rendered, (ii) reimbursement for expenses incurred on behalf of the Company and (iii) other employee benefits, including stock option agreements or other equity awards under any stock option plan or other equity plan of the Company.</w:t>
      </w:r>
    </w:p>
    <w:p>
      <w:pPr>
        <w:spacing w:after="0" w:line="397"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14605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908" w:right="339" w:bottom="1440" w:gutter="0" w:footer="0" w:header="0"/>
        </w:sectPr>
      </w:pPr>
    </w:p>
    <w:bookmarkStart w:id="19" w:name="page20"/>
    <w:bookmarkEnd w:id="19"/>
    <w:p>
      <w:pPr>
        <w:jc w:val="both"/>
        <w:ind w:left="-460" w:firstLine="644"/>
        <w:spacing w:after="0" w:line="285" w:lineRule="auto"/>
        <w:tabs>
          <w:tab w:leader="none" w:pos="428" w:val="left"/>
        </w:tabs>
        <w:numPr>
          <w:ilvl w:val="0"/>
          <w:numId w:val="19"/>
        </w:numPr>
        <w:rPr>
          <w:rFonts w:ascii="Arial" w:cs="Arial" w:eastAsia="Arial" w:hAnsi="Arial"/>
          <w:sz w:val="16"/>
          <w:szCs w:val="16"/>
          <w:color w:val="auto"/>
        </w:rPr>
      </w:pPr>
      <w:r>
        <w:rPr>
          <w:rFonts w:ascii="Arial" w:cs="Arial" w:eastAsia="Arial" w:hAnsi="Arial"/>
          <w:sz w:val="16"/>
          <w:szCs w:val="16"/>
          <w:u w:val="single" w:color="auto"/>
          <w:color w:val="auto"/>
        </w:rPr>
        <w:t>Sarbanes-Oxley; Internal Accounting Controls</w:t>
      </w:r>
      <w:r>
        <w:rPr>
          <w:rFonts w:ascii="Arial" w:cs="Arial" w:eastAsia="Arial" w:hAnsi="Arial"/>
          <w:sz w:val="16"/>
          <w:szCs w:val="16"/>
          <w:color w:val="auto"/>
        </w:rPr>
        <w:t>. The Company and the Subsidiaries are in compliance in all material respects with any and all applicable requirements of the Sarbanes-Oxley Act of 2002, as amended, that are effective as of the date hereof, and any and all applicable rules and regulations promulgated by the Commission thereunder that are effective as of the date hereof and as of the Closing Date. The Company and the Subsidiaries maintain a system of internal accounting controls designed to provide reasonable assurance that: (i) transactions are executed in accordance with management’s general or specific authorizations, (ii) transactions are recorded as necessary to permit preparation of financial statements in conformity with GAAP and to maintain asset accountability, (iii) access to assets is permitted only in accordance with management’s general or specific authorization, and (iv) the recorded accountability for assets is compared with the existing assets at reasonable intervals and appropriate action is taken with respect to any differences. The Company and the Subsidiaries have established disclosure controls and procedures (as defined in Exchange Act Rules 13a-15(e) and 15d-15(e)) for the Company and the Subsidiaries and designed such disclosure controls and procedures to ensure that information required to be disclosed by the Company in the reports it files or submits under the Exchange Act is recorded, processed, summarized and reported, within the time periods specified in the Commission’s rules and forms. The Company’s certifying officers have evaluated the effectiveness of the disclosure controls and procedures of the Company and the Subsidiaries as of the end of the period covered by the most recently filed periodic report under the Exchange Act (such date, the “Evaluation Date”). The Company presented in its most recently filed periodic report under the Exchange Act the conclusions of the certifying officers about the effectiveness of the disclosure controls and procedures based on their evaluations as of the Evaluation Date. Since the Evaluation Date, there have been no changes in the internal control over financial reporting (as such term is defined in the Exchange Act) of the Company and its Subsidiaries that have materially affected, or is reasonably likely to materially affect, the internal control over financial reporting of the Company and its Subsidiaries.</w:t>
      </w:r>
    </w:p>
    <w:p>
      <w:pPr>
        <w:spacing w:after="0" w:line="173" w:lineRule="exact"/>
        <w:rPr>
          <w:rFonts w:ascii="Arial" w:cs="Arial" w:eastAsia="Arial" w:hAnsi="Arial"/>
          <w:sz w:val="16"/>
          <w:szCs w:val="16"/>
          <w:color w:val="auto"/>
        </w:rPr>
      </w:pPr>
    </w:p>
    <w:p>
      <w:pPr>
        <w:jc w:val="both"/>
        <w:ind w:left="-460" w:firstLine="644"/>
        <w:spacing w:after="0" w:line="296" w:lineRule="auto"/>
        <w:tabs>
          <w:tab w:leader="none" w:pos="413" w:val="left"/>
        </w:tabs>
        <w:numPr>
          <w:ilvl w:val="0"/>
          <w:numId w:val="19"/>
        </w:numPr>
        <w:rPr>
          <w:rFonts w:ascii="Arial" w:cs="Arial" w:eastAsia="Arial" w:hAnsi="Arial"/>
          <w:sz w:val="16"/>
          <w:szCs w:val="16"/>
          <w:color w:val="auto"/>
        </w:rPr>
      </w:pPr>
      <w:r>
        <w:rPr>
          <w:rFonts w:ascii="Arial" w:cs="Arial" w:eastAsia="Arial" w:hAnsi="Arial"/>
          <w:sz w:val="16"/>
          <w:szCs w:val="16"/>
          <w:u w:val="single" w:color="auto"/>
          <w:color w:val="auto"/>
        </w:rPr>
        <w:t>Certain Fees</w:t>
      </w:r>
      <w:r>
        <w:rPr>
          <w:rFonts w:ascii="Arial" w:cs="Arial" w:eastAsia="Arial" w:hAnsi="Arial"/>
          <w:sz w:val="16"/>
          <w:szCs w:val="16"/>
          <w:color w:val="auto"/>
        </w:rPr>
        <w:t>. Except for fees payable by the Company to the Financial Advisor, no brokerage or finder’s fees or commissions are or will be payable by the Company or any Subsidiary to any broker, financial advisor or consultant, finder, placement agent, investment banker, bank or other Person with respect to the transactions contemplated by the Transaction Documents. The Purchasers shall have no obligation with respect to any fees or with respect to any claims made by or on behalf of other Persons for fees of a type contemplated in this Section that may be due in connection with the transactions contemplated by the Transaction Documents due to an arrangement or agreement made by the Company.</w:t>
      </w:r>
    </w:p>
    <w:p>
      <w:pPr>
        <w:spacing w:after="0" w:line="161" w:lineRule="exact"/>
        <w:rPr>
          <w:rFonts w:ascii="Arial" w:cs="Arial" w:eastAsia="Arial" w:hAnsi="Arial"/>
          <w:sz w:val="16"/>
          <w:szCs w:val="16"/>
          <w:color w:val="auto"/>
        </w:rPr>
      </w:pPr>
    </w:p>
    <w:p>
      <w:pPr>
        <w:jc w:val="both"/>
        <w:ind w:left="-460" w:firstLine="644"/>
        <w:spacing w:after="0" w:line="286" w:lineRule="auto"/>
        <w:tabs>
          <w:tab w:leader="none" w:pos="456" w:val="left"/>
        </w:tabs>
        <w:numPr>
          <w:ilvl w:val="0"/>
          <w:numId w:val="19"/>
        </w:numPr>
        <w:rPr>
          <w:rFonts w:ascii="Arial" w:cs="Arial" w:eastAsia="Arial" w:hAnsi="Arial"/>
          <w:sz w:val="17"/>
          <w:szCs w:val="17"/>
          <w:color w:val="auto"/>
        </w:rPr>
      </w:pPr>
      <w:r>
        <w:rPr>
          <w:rFonts w:ascii="Arial" w:cs="Arial" w:eastAsia="Arial" w:hAnsi="Arial"/>
          <w:sz w:val="17"/>
          <w:szCs w:val="17"/>
          <w:u w:val="single" w:color="auto"/>
          <w:color w:val="auto"/>
        </w:rPr>
        <w:t>Private Placement</w:t>
      </w:r>
      <w:r>
        <w:rPr>
          <w:rFonts w:ascii="Arial" w:cs="Arial" w:eastAsia="Arial" w:hAnsi="Arial"/>
          <w:sz w:val="17"/>
          <w:szCs w:val="17"/>
          <w:color w:val="auto"/>
        </w:rPr>
        <w:t>. Assuming the accuracy of the Purchasers’ representations and warranties set forth in Section 3.2, no registration under the Securities Act is required for the offer and sale of the Shares by the Company to the Purchasers as contemplated hereby. The issuance and sale of the Shares hereunder does not contravene the rules and regulations of the Trading Market.</w:t>
      </w:r>
    </w:p>
    <w:p>
      <w:pPr>
        <w:spacing w:after="0" w:line="165" w:lineRule="exact"/>
        <w:rPr>
          <w:rFonts w:ascii="Arial" w:cs="Arial" w:eastAsia="Arial" w:hAnsi="Arial"/>
          <w:sz w:val="17"/>
          <w:szCs w:val="17"/>
          <w:color w:val="auto"/>
        </w:rPr>
      </w:pPr>
    </w:p>
    <w:p>
      <w:pPr>
        <w:jc w:val="both"/>
        <w:ind w:left="-460" w:firstLine="644"/>
        <w:spacing w:after="0" w:line="286" w:lineRule="auto"/>
        <w:tabs>
          <w:tab w:leader="none" w:pos="473" w:val="left"/>
        </w:tabs>
        <w:numPr>
          <w:ilvl w:val="0"/>
          <w:numId w:val="19"/>
        </w:numPr>
        <w:rPr>
          <w:rFonts w:ascii="Arial" w:cs="Arial" w:eastAsia="Arial" w:hAnsi="Arial"/>
          <w:sz w:val="17"/>
          <w:szCs w:val="17"/>
          <w:color w:val="auto"/>
        </w:rPr>
      </w:pPr>
      <w:r>
        <w:rPr>
          <w:rFonts w:ascii="Arial" w:cs="Arial" w:eastAsia="Arial" w:hAnsi="Arial"/>
          <w:sz w:val="17"/>
          <w:szCs w:val="17"/>
          <w:u w:val="single" w:color="auto"/>
          <w:color w:val="auto"/>
        </w:rPr>
        <w:t>Investment Company</w:t>
      </w:r>
      <w:r>
        <w:rPr>
          <w:rFonts w:ascii="Arial" w:cs="Arial" w:eastAsia="Arial" w:hAnsi="Arial"/>
          <w:sz w:val="17"/>
          <w:szCs w:val="17"/>
          <w:color w:val="auto"/>
        </w:rPr>
        <w:t>. The Company is not and immediately after receipt of payment for the Shares will not be an “investment company” required to register under the Investment Company Act of 1940, as amended. The Company shall conduct its business in a manner so that it will not become an “investment company” subject to registration under the Investment Company Act of 1940, as amended.</w:t>
      </w:r>
    </w:p>
    <w:p>
      <w:pPr>
        <w:spacing w:after="0" w:line="381"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14605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908" w:right="339" w:bottom="1440" w:gutter="0" w:footer="0" w:header="0"/>
        </w:sectPr>
      </w:pPr>
    </w:p>
    <w:bookmarkStart w:id="20" w:name="page21"/>
    <w:bookmarkEnd w:id="20"/>
    <w:p>
      <w:pPr>
        <w:jc w:val="both"/>
        <w:ind w:left="-460" w:firstLine="644"/>
        <w:spacing w:after="0" w:line="263" w:lineRule="auto"/>
        <w:tabs>
          <w:tab w:leader="none" w:pos="505" w:val="left"/>
        </w:tabs>
        <w:numPr>
          <w:ilvl w:val="0"/>
          <w:numId w:val="20"/>
        </w:numPr>
        <w:rPr>
          <w:rFonts w:ascii="Arial" w:cs="Arial" w:eastAsia="Arial" w:hAnsi="Arial"/>
          <w:sz w:val="18"/>
          <w:szCs w:val="18"/>
          <w:color w:val="auto"/>
        </w:rPr>
      </w:pPr>
      <w:r>
        <w:rPr>
          <w:rFonts w:ascii="Arial" w:cs="Arial" w:eastAsia="Arial" w:hAnsi="Arial"/>
          <w:sz w:val="18"/>
          <w:szCs w:val="18"/>
          <w:u w:val="single" w:color="auto"/>
          <w:color w:val="auto"/>
        </w:rPr>
        <w:t>Registration Rights</w:t>
      </w:r>
      <w:r>
        <w:rPr>
          <w:rFonts w:ascii="Arial" w:cs="Arial" w:eastAsia="Arial" w:hAnsi="Arial"/>
          <w:sz w:val="18"/>
          <w:szCs w:val="18"/>
          <w:color w:val="auto"/>
        </w:rPr>
        <w:t>. Other than each of the Purchasers pursuant to the Registration Rights Agreement and other than pursuant to agreements filed as exhibits to the May Registration Statement, no Person has any right to cause the Company or any Subsidiary to effect the registration under the Securities Act of any securities of the Company or any Subsidiary.</w:t>
      </w:r>
    </w:p>
    <w:p>
      <w:pPr>
        <w:spacing w:after="0" w:line="183" w:lineRule="exact"/>
        <w:rPr>
          <w:rFonts w:ascii="Arial" w:cs="Arial" w:eastAsia="Arial" w:hAnsi="Arial"/>
          <w:sz w:val="18"/>
          <w:szCs w:val="18"/>
          <w:color w:val="auto"/>
        </w:rPr>
      </w:pPr>
    </w:p>
    <w:p>
      <w:pPr>
        <w:jc w:val="both"/>
        <w:ind w:left="-460" w:firstLine="644"/>
        <w:spacing w:after="0" w:line="270" w:lineRule="auto"/>
        <w:tabs>
          <w:tab w:leader="none" w:pos="445" w:val="left"/>
        </w:tabs>
        <w:numPr>
          <w:ilvl w:val="0"/>
          <w:numId w:val="20"/>
        </w:numPr>
        <w:rPr>
          <w:rFonts w:ascii="Arial" w:cs="Arial" w:eastAsia="Arial" w:hAnsi="Arial"/>
          <w:sz w:val="17"/>
          <w:szCs w:val="17"/>
          <w:color w:val="auto"/>
        </w:rPr>
      </w:pPr>
      <w:r>
        <w:rPr>
          <w:rFonts w:ascii="Arial" w:cs="Arial" w:eastAsia="Arial" w:hAnsi="Arial"/>
          <w:sz w:val="17"/>
          <w:szCs w:val="17"/>
          <w:u w:val="single" w:color="auto"/>
          <w:color w:val="auto"/>
        </w:rPr>
        <w:t>Listing and Maintenance Requirements</w:t>
      </w:r>
      <w:r>
        <w:rPr>
          <w:rFonts w:ascii="Arial" w:cs="Arial" w:eastAsia="Arial" w:hAnsi="Arial"/>
          <w:sz w:val="17"/>
          <w:szCs w:val="17"/>
          <w:color w:val="auto"/>
        </w:rPr>
        <w:t>. The Common Stock is registered pursuant to Section 12(b) or 12(g) of the Exchange Act, and the Company has taken no action designed to, or which to its knowledge is likely to have the effect of, terminating the registration of the Common Stock under the Exchange Act nor has the Company received any notification that the Commission is contemplating terminating such registration. The Company has not, in the 12 months preceding the date hereof, received notice from any Trading Market on which the Common Stock is or has been listed or quoted to the effect that the Company is not in compliance with the listing or maintenance requirements of such Trading Market. The Company is, and has no reason to believe that it will not in the foreseeable future continue to be, in compliance with all such listing and maintenance requirements. The Common Stock is currently eligible for electronic transfer through the Depository Trust Company or another established clearing corporation and the Company is current in payment of the fees to the Depository Trust Company (or such other established clearing corporation) in connection with such electronic transfer.</w:t>
      </w:r>
    </w:p>
    <w:p>
      <w:pPr>
        <w:spacing w:after="0" w:line="180" w:lineRule="exact"/>
        <w:rPr>
          <w:rFonts w:ascii="Arial" w:cs="Arial" w:eastAsia="Arial" w:hAnsi="Arial"/>
          <w:sz w:val="17"/>
          <w:szCs w:val="17"/>
          <w:color w:val="auto"/>
        </w:rPr>
      </w:pPr>
    </w:p>
    <w:p>
      <w:pPr>
        <w:jc w:val="both"/>
        <w:ind w:left="-460" w:firstLine="644"/>
        <w:spacing w:after="0" w:line="255" w:lineRule="auto"/>
        <w:tabs>
          <w:tab w:leader="none" w:pos="452" w:val="left"/>
        </w:tabs>
        <w:numPr>
          <w:ilvl w:val="0"/>
          <w:numId w:val="20"/>
        </w:numPr>
        <w:rPr>
          <w:rFonts w:ascii="Arial" w:cs="Arial" w:eastAsia="Arial" w:hAnsi="Arial"/>
          <w:sz w:val="18"/>
          <w:szCs w:val="18"/>
          <w:color w:val="auto"/>
        </w:rPr>
      </w:pPr>
      <w:r>
        <w:rPr>
          <w:rFonts w:ascii="Arial" w:cs="Arial" w:eastAsia="Arial" w:hAnsi="Arial"/>
          <w:sz w:val="18"/>
          <w:szCs w:val="18"/>
          <w:u w:val="single" w:color="auto"/>
          <w:color w:val="auto"/>
        </w:rPr>
        <w:t>Application of Takeover Protections</w:t>
      </w:r>
      <w:r>
        <w:rPr>
          <w:rFonts w:ascii="Arial" w:cs="Arial" w:eastAsia="Arial" w:hAnsi="Arial"/>
          <w:sz w:val="18"/>
          <w:szCs w:val="18"/>
          <w:color w:val="auto"/>
        </w:rPr>
        <w:t>. The Company and the Board of Directors have taken all necessary action, if any, in order to render inapplicable any control share acquisition, business combination, poison pill (including any distribution under a rights agreement) or other similar anti-takeover provision under the Company’s certificate of incorporation (or similar charter documents) or the laws of its state of incorporation that is or could become applicable to the Purchasers as a result of the Purchasers and the Company fulfilling their obligations or exercising their rights under the Transaction Documents, including without limitation as a result of the Company’s issuance of the Shares and the Purchasers’ ownership of the Shares.</w:t>
      </w:r>
    </w:p>
    <w:p>
      <w:pPr>
        <w:spacing w:after="0" w:line="192" w:lineRule="exact"/>
        <w:rPr>
          <w:rFonts w:ascii="Arial" w:cs="Arial" w:eastAsia="Arial" w:hAnsi="Arial"/>
          <w:sz w:val="18"/>
          <w:szCs w:val="18"/>
          <w:color w:val="auto"/>
        </w:rPr>
      </w:pPr>
    </w:p>
    <w:p>
      <w:pPr>
        <w:jc w:val="both"/>
        <w:ind w:left="-460" w:firstLine="644"/>
        <w:spacing w:after="0" w:line="288" w:lineRule="auto"/>
        <w:tabs>
          <w:tab w:leader="none" w:pos="442" w:val="left"/>
        </w:tabs>
        <w:numPr>
          <w:ilvl w:val="0"/>
          <w:numId w:val="20"/>
        </w:numPr>
        <w:rPr>
          <w:rFonts w:ascii="Arial" w:cs="Arial" w:eastAsia="Arial" w:hAnsi="Arial"/>
          <w:sz w:val="16"/>
          <w:szCs w:val="16"/>
          <w:color w:val="auto"/>
        </w:rPr>
      </w:pPr>
      <w:r>
        <w:rPr>
          <w:rFonts w:ascii="Arial" w:cs="Arial" w:eastAsia="Arial" w:hAnsi="Arial"/>
          <w:sz w:val="16"/>
          <w:szCs w:val="16"/>
          <w:u w:val="single" w:color="auto"/>
          <w:color w:val="auto"/>
        </w:rPr>
        <w:t>Disclosure</w:t>
      </w:r>
      <w:r>
        <w:rPr>
          <w:rFonts w:ascii="Arial" w:cs="Arial" w:eastAsia="Arial" w:hAnsi="Arial"/>
          <w:sz w:val="16"/>
          <w:szCs w:val="16"/>
          <w:color w:val="auto"/>
        </w:rPr>
        <w:t xml:space="preserve">. Except with respect to the material terms and conditions of the transactions contemplated by the Transaction Documents and the information, if any, set forth on </w:t>
      </w:r>
      <w:r>
        <w:rPr>
          <w:rFonts w:ascii="Arial" w:cs="Arial" w:eastAsia="Arial" w:hAnsi="Arial"/>
          <w:sz w:val="16"/>
          <w:szCs w:val="16"/>
          <w:u w:val="single" w:color="auto"/>
          <w:color w:val="auto"/>
        </w:rPr>
        <w:t>Schedule 3.1(i)</w:t>
      </w:r>
      <w:r>
        <w:rPr>
          <w:rFonts w:ascii="Arial" w:cs="Arial" w:eastAsia="Arial" w:hAnsi="Arial"/>
          <w:sz w:val="16"/>
          <w:szCs w:val="16"/>
          <w:color w:val="auto"/>
        </w:rPr>
        <w:t xml:space="preserve"> (the “</w:t>
      </w:r>
      <w:r>
        <w:rPr>
          <w:rFonts w:ascii="Arial" w:cs="Arial" w:eastAsia="Arial" w:hAnsi="Arial"/>
          <w:sz w:val="16"/>
          <w:szCs w:val="16"/>
          <w:u w:val="single" w:color="auto"/>
          <w:color w:val="auto"/>
        </w:rPr>
        <w:t>Nonpublic Information</w:t>
      </w:r>
      <w:r>
        <w:rPr>
          <w:rFonts w:ascii="Arial" w:cs="Arial" w:eastAsia="Arial" w:hAnsi="Arial"/>
          <w:sz w:val="16"/>
          <w:szCs w:val="16"/>
          <w:color w:val="auto"/>
        </w:rPr>
        <w:t>”), the Company confirms that neither it nor any other Person acting on its behalf has provided any of the Purchasers or their agents or counsel with any information that it believes constitutes material, non-public information. The Company understands and confirms that the Purchasers will rely on the foregoing representation in effecting transactions in securities of the Company. All of the disclosure furnished by or on behalf of the Company to the Purchasers regarding the Company and its Subsidiaries, their respective businesses and the transactions contemplated hereby, including the Disclosure Schedules to this Agreement, is true and correct in all material respects and does not contain any untrue statement of a material fact or omit to state any material fact necessary in order to make the statements made therein, in the light of the circumstances under which they were made, not misleading. The Company acknowledges and agrees that no Purchaser makes or has made any representations or warranties with respect to the transactions contemplated hereby other than those specifically set forth in Section 3.2 hereof.</w:t>
      </w:r>
    </w:p>
    <w:p>
      <w:pPr>
        <w:spacing w:after="0" w:line="384"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14605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908" w:right="339" w:bottom="1440" w:gutter="0" w:footer="0" w:header="0"/>
        </w:sectPr>
      </w:pPr>
    </w:p>
    <w:bookmarkStart w:id="21" w:name="page22"/>
    <w:bookmarkEnd w:id="21"/>
    <w:p>
      <w:pPr>
        <w:jc w:val="both"/>
        <w:ind w:left="4" w:firstLine="644"/>
        <w:spacing w:after="0" w:line="255" w:lineRule="auto"/>
        <w:tabs>
          <w:tab w:leader="none" w:pos="982" w:val="left"/>
        </w:tabs>
        <w:numPr>
          <w:ilvl w:val="1"/>
          <w:numId w:val="21"/>
        </w:numPr>
        <w:rPr>
          <w:rFonts w:ascii="Arial" w:cs="Arial" w:eastAsia="Arial" w:hAnsi="Arial"/>
          <w:sz w:val="18"/>
          <w:szCs w:val="18"/>
          <w:color w:val="auto"/>
        </w:rPr>
      </w:pPr>
      <w:r>
        <w:rPr>
          <w:rFonts w:ascii="Arial" w:cs="Arial" w:eastAsia="Arial" w:hAnsi="Arial"/>
          <w:sz w:val="18"/>
          <w:szCs w:val="18"/>
          <w:u w:val="single" w:color="auto"/>
          <w:color w:val="auto"/>
        </w:rPr>
        <w:t>No Integrated Offering</w:t>
      </w:r>
      <w:r>
        <w:rPr>
          <w:rFonts w:ascii="Arial" w:cs="Arial" w:eastAsia="Arial" w:hAnsi="Arial"/>
          <w:sz w:val="18"/>
          <w:szCs w:val="18"/>
          <w:color w:val="auto"/>
        </w:rPr>
        <w:t>. Assuming the accuracy of the Purchasers’ representations and warranties set forth in Section 3.2, neither the Company, nor, to the Company’s knowledge, any of its Affiliates, nor any Person acting on its or their behalf has, directly or indirectly, made any offers or sales of any security or solicited any offers to buy any security, under circumstances that would cause this offering of the Shares to be integrated with prior offerings by the Company for purposes of (i) the Securities Act which would require the registration of any such securities under the Securities Act, or (ii) any applicable shareholder approval provisions of any Trading Market on which any of the securities of the Company are listed or designated.</w:t>
      </w:r>
    </w:p>
    <w:p>
      <w:pPr>
        <w:spacing w:after="0" w:line="192" w:lineRule="exact"/>
        <w:rPr>
          <w:rFonts w:ascii="Arial" w:cs="Arial" w:eastAsia="Arial" w:hAnsi="Arial"/>
          <w:sz w:val="18"/>
          <w:szCs w:val="18"/>
          <w:color w:val="auto"/>
        </w:rPr>
      </w:pPr>
    </w:p>
    <w:p>
      <w:pPr>
        <w:jc w:val="both"/>
        <w:ind w:left="4" w:firstLine="644"/>
        <w:spacing w:after="0" w:line="285" w:lineRule="auto"/>
        <w:tabs>
          <w:tab w:leader="none" w:pos="1003" w:val="left"/>
        </w:tabs>
        <w:numPr>
          <w:ilvl w:val="1"/>
          <w:numId w:val="21"/>
        </w:numPr>
        <w:rPr>
          <w:rFonts w:ascii="Arial" w:cs="Arial" w:eastAsia="Arial" w:hAnsi="Arial"/>
          <w:sz w:val="16"/>
          <w:szCs w:val="16"/>
          <w:color w:val="auto"/>
        </w:rPr>
      </w:pPr>
      <w:r>
        <w:rPr>
          <w:rFonts w:ascii="Arial" w:cs="Arial" w:eastAsia="Arial" w:hAnsi="Arial"/>
          <w:sz w:val="16"/>
          <w:szCs w:val="16"/>
          <w:u w:val="single" w:color="auto"/>
          <w:color w:val="auto"/>
        </w:rPr>
        <w:t>Solvency</w:t>
      </w:r>
      <w:r>
        <w:rPr>
          <w:rFonts w:ascii="Arial" w:cs="Arial" w:eastAsia="Arial" w:hAnsi="Arial"/>
          <w:sz w:val="16"/>
          <w:szCs w:val="16"/>
          <w:color w:val="auto"/>
        </w:rPr>
        <w:t>. Based on the consolidated financial condition of the Company as of the Closing Date, after giving effect to the receipt by the Company of the proceeds from the sale of the Shares hereunder, (i) the fair saleable value of the Company’s assets exceeds the amount that will be required to be paid on or in respect of the Company’s existing debts and other liabilities (including known contingent liabilities) as they mature, (ii) the Company’s assets do not constitute unreasonably small capital to carry on its business as now conducted and as proposed to be conducted including its capital needs taking into account the particular capital requirements of the business conducted by the Company, consolidated and projected capital requirements and capital availability thereof, and (iii) the current cash flow of the Company, together with the proceeds the Company would receive, were it to liquidate all of its assets, after taking into account all anticipated uses of the cash, would be sufficient to pay all amounts on or in respect of its liabilities when such amounts are required to be paid. The Company does not intend to incur debts beyond its ability to pay such debts as they mature (taking into account the timing and amounts of cash to be payable on or in respect of its debt). The Company has no knowledge of any facts or circumstances which lead it to believe that it will file for reorganization or liquidation under the bankruptcy or reorganization laws of any jurisdiction within one year from the Closing Date. The SEC Reports set forth as of the date hereof all outstanding secured and unsecured Indebtedness of the Company or any Subsidiary, or for which the Company or any Subsidiary has commitments. For the purposes of this Agreement, “</w:t>
      </w:r>
      <w:r>
        <w:rPr>
          <w:rFonts w:ascii="Arial" w:cs="Arial" w:eastAsia="Arial" w:hAnsi="Arial"/>
          <w:sz w:val="16"/>
          <w:szCs w:val="16"/>
          <w:u w:val="single" w:color="auto"/>
          <w:color w:val="auto"/>
        </w:rPr>
        <w:t>Indebtedness</w:t>
      </w:r>
      <w:r>
        <w:rPr>
          <w:rFonts w:ascii="Arial" w:cs="Arial" w:eastAsia="Arial" w:hAnsi="Arial"/>
          <w:sz w:val="16"/>
          <w:szCs w:val="16"/>
          <w:color w:val="auto"/>
        </w:rPr>
        <w:t>” means (x) any liabilities for borrowed money or amounts owed in excess of $250,000 (other than trade accounts payable incurred in the ordinary course of business), (y) all guaranties, endorsements and other contingent obligations in respect of indebtedness of others, whether or not the same are or should be reflected in the Company’s consolidated balance sheet (or the notes thereto), except guaranties by endorsement of negotiable instruments for deposit or collection or similar transactions in the ordinary course of business; and (z) the present value of any lease payments in excess of $250,000 due under leases required to be capitalized in accordance with GAAP. Neither the Company nor any Subsidiary is in default with respect to any Indebtedness (except for such breaches, violations or defaults as have been waived or for which consent has been obtained prior to the Closing Date).</w:t>
      </w:r>
    </w:p>
    <w:p>
      <w:pPr>
        <w:spacing w:after="0" w:line="168" w:lineRule="exact"/>
        <w:rPr>
          <w:rFonts w:ascii="Arial" w:cs="Arial" w:eastAsia="Arial" w:hAnsi="Arial"/>
          <w:sz w:val="16"/>
          <w:szCs w:val="16"/>
          <w:color w:val="auto"/>
        </w:rPr>
      </w:pPr>
    </w:p>
    <w:p>
      <w:pPr>
        <w:jc w:val="both"/>
        <w:ind w:left="4" w:firstLine="644"/>
        <w:spacing w:after="0" w:line="286" w:lineRule="auto"/>
        <w:tabs>
          <w:tab w:leader="none" w:pos="976" w:val="left"/>
        </w:tabs>
        <w:numPr>
          <w:ilvl w:val="1"/>
          <w:numId w:val="21"/>
        </w:numPr>
        <w:rPr>
          <w:rFonts w:ascii="Arial" w:cs="Arial" w:eastAsia="Arial" w:hAnsi="Arial"/>
          <w:sz w:val="16"/>
          <w:szCs w:val="16"/>
          <w:color w:val="auto"/>
        </w:rPr>
      </w:pPr>
      <w:r>
        <w:rPr>
          <w:rFonts w:ascii="Arial" w:cs="Arial" w:eastAsia="Arial" w:hAnsi="Arial"/>
          <w:sz w:val="16"/>
          <w:szCs w:val="16"/>
          <w:u w:val="single" w:color="auto"/>
          <w:color w:val="auto"/>
        </w:rPr>
        <w:t>Tax Status</w:t>
      </w:r>
      <w:r>
        <w:rPr>
          <w:rFonts w:ascii="Arial" w:cs="Arial" w:eastAsia="Arial" w:hAnsi="Arial"/>
          <w:sz w:val="16"/>
          <w:szCs w:val="16"/>
          <w:color w:val="auto"/>
        </w:rPr>
        <w:t>. Except for matters that would not, individually or in the aggregate, have or reasonably be expected to result in a Material Adverse Effect, the Company and its Subsidiaries each (i) has made or filed all United States federal, state and local income and all foreign income and franchise tax returns, reports and declarations required by any jurisdiction to which it is subject, (ii) has paid all taxes and other governmental assessments and charges that are material in amount, shown or determined to be due on such returns, reports and declarations and</w:t>
      </w:r>
    </w:p>
    <w:p>
      <w:pPr>
        <w:spacing w:after="0" w:line="1" w:lineRule="exact"/>
        <w:rPr>
          <w:rFonts w:ascii="Arial" w:cs="Arial" w:eastAsia="Arial" w:hAnsi="Arial"/>
          <w:sz w:val="16"/>
          <w:szCs w:val="16"/>
          <w:color w:val="auto"/>
        </w:rPr>
      </w:pPr>
    </w:p>
    <w:p>
      <w:pPr>
        <w:jc w:val="both"/>
        <w:ind w:left="4" w:hanging="4"/>
        <w:spacing w:after="0" w:line="255" w:lineRule="auto"/>
        <w:tabs>
          <w:tab w:leader="none" w:pos="327" w:val="left"/>
        </w:tabs>
        <w:numPr>
          <w:ilvl w:val="0"/>
          <w:numId w:val="22"/>
        </w:numPr>
        <w:rPr>
          <w:rFonts w:ascii="Arial" w:cs="Arial" w:eastAsia="Arial" w:hAnsi="Arial"/>
          <w:sz w:val="18"/>
          <w:szCs w:val="18"/>
          <w:color w:val="auto"/>
        </w:rPr>
      </w:pPr>
      <w:r>
        <w:rPr>
          <w:rFonts w:ascii="Arial" w:cs="Arial" w:eastAsia="Arial" w:hAnsi="Arial"/>
          <w:sz w:val="18"/>
          <w:szCs w:val="18"/>
          <w:color w:val="auto"/>
        </w:rPr>
        <w:t>has set aside on its books provision reasonably adequate for the payment of all material taxes for periods subsequent to the periods to which such returns, reports or declarations apply. There are no unpaid taxes in any material amount claimed to be due by the taxing authority of any jurisdiction, and the officers of the Company or of any Subsidiary know of no basis for any such claim.</w:t>
      </w:r>
    </w:p>
    <w:p>
      <w:pPr>
        <w:spacing w:after="0" w:line="200" w:lineRule="exact"/>
        <w:rPr>
          <w:sz w:val="20"/>
          <w:szCs w:val="20"/>
          <w:color w:val="auto"/>
        </w:rPr>
      </w:pPr>
    </w:p>
    <w:p>
      <w:pPr>
        <w:spacing w:after="0" w:line="206" w:lineRule="exact"/>
        <w:rPr>
          <w:sz w:val="20"/>
          <w:szCs w:val="20"/>
          <w:color w:val="auto"/>
        </w:rPr>
      </w:pPr>
    </w:p>
    <w:p>
      <w:pPr>
        <w:ind w:left="4884"/>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14605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908" w:right="339" w:bottom="1440" w:gutter="0" w:footer="0" w:header="0"/>
        </w:sectPr>
      </w:pPr>
    </w:p>
    <w:bookmarkStart w:id="22" w:name="page23"/>
    <w:bookmarkEnd w:id="22"/>
    <w:p>
      <w:pPr>
        <w:jc w:val="both"/>
        <w:ind w:left="-460" w:firstLine="644"/>
        <w:spacing w:after="0" w:line="286" w:lineRule="auto"/>
        <w:tabs>
          <w:tab w:leader="none" w:pos="543" w:val="left"/>
        </w:tabs>
        <w:numPr>
          <w:ilvl w:val="0"/>
          <w:numId w:val="23"/>
        </w:numPr>
        <w:rPr>
          <w:rFonts w:ascii="Arial" w:cs="Arial" w:eastAsia="Arial" w:hAnsi="Arial"/>
          <w:sz w:val="17"/>
          <w:szCs w:val="17"/>
          <w:color w:val="auto"/>
        </w:rPr>
      </w:pPr>
      <w:r>
        <w:rPr>
          <w:rFonts w:ascii="Arial" w:cs="Arial" w:eastAsia="Arial" w:hAnsi="Arial"/>
          <w:sz w:val="17"/>
          <w:szCs w:val="17"/>
          <w:u w:val="single" w:color="auto"/>
          <w:color w:val="auto"/>
        </w:rPr>
        <w:t>No General Solicitation</w:t>
      </w:r>
      <w:r>
        <w:rPr>
          <w:rFonts w:ascii="Arial" w:cs="Arial" w:eastAsia="Arial" w:hAnsi="Arial"/>
          <w:sz w:val="17"/>
          <w:szCs w:val="17"/>
          <w:color w:val="auto"/>
        </w:rPr>
        <w:t>. Neither the Company nor, to the Company’s knowledge, any Person acting on behalf of the Company has offered or sold any of the Shares by any form of general solicitation or general advertising. The Company has offered the Shares for sale only to the Purchasers and certain other “accredited investors” within the meaning of Rule 501 under the Securities Act.</w:t>
      </w:r>
    </w:p>
    <w:p>
      <w:pPr>
        <w:spacing w:after="0" w:line="165" w:lineRule="exact"/>
        <w:rPr>
          <w:rFonts w:ascii="Arial" w:cs="Arial" w:eastAsia="Arial" w:hAnsi="Arial"/>
          <w:sz w:val="17"/>
          <w:szCs w:val="17"/>
          <w:color w:val="auto"/>
        </w:rPr>
      </w:pPr>
    </w:p>
    <w:p>
      <w:pPr>
        <w:jc w:val="both"/>
        <w:ind w:left="-460" w:firstLine="644"/>
        <w:spacing w:after="0" w:line="273" w:lineRule="auto"/>
        <w:tabs>
          <w:tab w:leader="none" w:pos="525" w:val="left"/>
        </w:tabs>
        <w:numPr>
          <w:ilvl w:val="0"/>
          <w:numId w:val="23"/>
        </w:numPr>
        <w:rPr>
          <w:rFonts w:ascii="Arial" w:cs="Arial" w:eastAsia="Arial" w:hAnsi="Arial"/>
          <w:sz w:val="17"/>
          <w:szCs w:val="17"/>
          <w:color w:val="auto"/>
        </w:rPr>
      </w:pPr>
      <w:r>
        <w:rPr>
          <w:rFonts w:ascii="Arial" w:cs="Arial" w:eastAsia="Arial" w:hAnsi="Arial"/>
          <w:sz w:val="17"/>
          <w:szCs w:val="17"/>
          <w:u w:val="single" w:color="auto"/>
          <w:color w:val="auto"/>
        </w:rPr>
        <w:t>Foreign Corrupt Practices.</w:t>
      </w:r>
      <w:r>
        <w:rPr>
          <w:rFonts w:ascii="Arial" w:cs="Arial" w:eastAsia="Arial" w:hAnsi="Arial"/>
          <w:sz w:val="17"/>
          <w:szCs w:val="17"/>
          <w:color w:val="auto"/>
        </w:rPr>
        <w:t xml:space="preserve"> Neither the Company nor any Subsidiary, nor to the knowledge of the Company or any Subsidiary, any agent or other person acting on behalf of the Company or any Subsidiary, has (i) directly or indirectly, used any funds for unlawful contributions, gifts, entertainment or other unlawful expenses related to foreign or domestic political activity, (ii) made any unlawful payment to foreign or domestic government officials or employees or to any foreign or domestic political parties or campaigns from corporate funds, (iii) failed to disclose fully any contribution made by the Company or any Subsidiary (or made by any person acting on its behalf of which the Company is aware) which is in violation of law or (iv) violated in any material respect any provision of FCPA.</w:t>
      </w:r>
    </w:p>
    <w:p>
      <w:pPr>
        <w:spacing w:after="0" w:line="177" w:lineRule="exact"/>
        <w:rPr>
          <w:rFonts w:ascii="Arial" w:cs="Arial" w:eastAsia="Arial" w:hAnsi="Arial"/>
          <w:sz w:val="17"/>
          <w:szCs w:val="17"/>
          <w:color w:val="auto"/>
        </w:rPr>
      </w:pPr>
    </w:p>
    <w:p>
      <w:pPr>
        <w:jc w:val="both"/>
        <w:ind w:left="-460" w:firstLine="644"/>
        <w:spacing w:after="0" w:line="286" w:lineRule="auto"/>
        <w:tabs>
          <w:tab w:leader="none" w:pos="467" w:val="left"/>
        </w:tabs>
        <w:numPr>
          <w:ilvl w:val="0"/>
          <w:numId w:val="23"/>
        </w:numPr>
        <w:rPr>
          <w:rFonts w:ascii="Arial" w:cs="Arial" w:eastAsia="Arial" w:hAnsi="Arial"/>
          <w:sz w:val="17"/>
          <w:szCs w:val="17"/>
          <w:color w:val="auto"/>
        </w:rPr>
      </w:pPr>
      <w:r>
        <w:rPr>
          <w:rFonts w:ascii="Arial" w:cs="Arial" w:eastAsia="Arial" w:hAnsi="Arial"/>
          <w:sz w:val="17"/>
          <w:szCs w:val="17"/>
          <w:u w:val="single" w:color="auto"/>
          <w:color w:val="auto"/>
        </w:rPr>
        <w:t>Accountants</w:t>
      </w:r>
      <w:r>
        <w:rPr>
          <w:rFonts w:ascii="Arial" w:cs="Arial" w:eastAsia="Arial" w:hAnsi="Arial"/>
          <w:sz w:val="17"/>
          <w:szCs w:val="17"/>
          <w:color w:val="auto"/>
        </w:rPr>
        <w:t>. The Company’s accounting firm is as set forth in the SEC Reports. To the knowledge and belief of the Company, such accounting firm (i) is a registered public accounting firm as required by the Exchange Act and (ii) shall express its opinion with respect to the financial statements to be included in the Company’s Annual Report for the fiscal year ending June 30, 2023.</w:t>
      </w:r>
    </w:p>
    <w:p>
      <w:pPr>
        <w:spacing w:after="0" w:line="165" w:lineRule="exact"/>
        <w:rPr>
          <w:rFonts w:ascii="Arial" w:cs="Arial" w:eastAsia="Arial" w:hAnsi="Arial"/>
          <w:sz w:val="17"/>
          <w:szCs w:val="17"/>
          <w:color w:val="auto"/>
        </w:rPr>
      </w:pPr>
    </w:p>
    <w:p>
      <w:pPr>
        <w:jc w:val="both"/>
        <w:ind w:left="-460" w:firstLine="644"/>
        <w:spacing w:after="0" w:line="259" w:lineRule="auto"/>
        <w:tabs>
          <w:tab w:leader="none" w:pos="572" w:val="left"/>
        </w:tabs>
        <w:numPr>
          <w:ilvl w:val="0"/>
          <w:numId w:val="23"/>
        </w:numPr>
        <w:rPr>
          <w:rFonts w:ascii="Arial" w:cs="Arial" w:eastAsia="Arial" w:hAnsi="Arial"/>
          <w:sz w:val="18"/>
          <w:szCs w:val="18"/>
          <w:color w:val="auto"/>
        </w:rPr>
      </w:pPr>
      <w:r>
        <w:rPr>
          <w:rFonts w:ascii="Arial" w:cs="Arial" w:eastAsia="Arial" w:hAnsi="Arial"/>
          <w:sz w:val="18"/>
          <w:szCs w:val="18"/>
          <w:u w:val="single" w:color="auto"/>
          <w:color w:val="auto"/>
        </w:rPr>
        <w:t>No Disagreements with Accountants and Lawyers.</w:t>
      </w:r>
      <w:r>
        <w:rPr>
          <w:rFonts w:ascii="Arial" w:cs="Arial" w:eastAsia="Arial" w:hAnsi="Arial"/>
          <w:sz w:val="18"/>
          <w:szCs w:val="18"/>
          <w:color w:val="auto"/>
        </w:rPr>
        <w:t xml:space="preserve"> There are no disagreements of any kind presently existing, or reasonably anticipated by the Company to arise, between the Company and the accountants and lawyers formerly or presently employed by the Company and the Company is current with respect to any fees owed to its accountants and lawyers which could affect the Company’s ability to perform any of its obligations under any of the Transaction Documents.</w:t>
      </w:r>
    </w:p>
    <w:p>
      <w:pPr>
        <w:spacing w:after="0" w:line="186" w:lineRule="exact"/>
        <w:rPr>
          <w:rFonts w:ascii="Arial" w:cs="Arial" w:eastAsia="Arial" w:hAnsi="Arial"/>
          <w:sz w:val="18"/>
          <w:szCs w:val="18"/>
          <w:color w:val="auto"/>
        </w:rPr>
      </w:pPr>
    </w:p>
    <w:p>
      <w:pPr>
        <w:jc w:val="both"/>
        <w:ind w:left="-460" w:firstLine="644"/>
        <w:spacing w:after="0" w:line="271" w:lineRule="auto"/>
        <w:tabs>
          <w:tab w:leader="none" w:pos="530" w:val="left"/>
        </w:tabs>
        <w:numPr>
          <w:ilvl w:val="0"/>
          <w:numId w:val="23"/>
        </w:numPr>
        <w:rPr>
          <w:rFonts w:ascii="Arial" w:cs="Arial" w:eastAsia="Arial" w:hAnsi="Arial"/>
          <w:sz w:val="17"/>
          <w:szCs w:val="17"/>
          <w:color w:val="auto"/>
        </w:rPr>
      </w:pPr>
      <w:r>
        <w:rPr>
          <w:rFonts w:ascii="Arial" w:cs="Arial" w:eastAsia="Arial" w:hAnsi="Arial"/>
          <w:sz w:val="17"/>
          <w:szCs w:val="17"/>
          <w:u w:val="single" w:color="auto"/>
          <w:color w:val="auto"/>
        </w:rPr>
        <w:t>Acknowledgment Regarding Purchasers’ Purchase of Shares</w:t>
      </w:r>
      <w:r>
        <w:rPr>
          <w:rFonts w:ascii="Arial" w:cs="Arial" w:eastAsia="Arial" w:hAnsi="Arial"/>
          <w:sz w:val="17"/>
          <w:szCs w:val="17"/>
          <w:color w:val="auto"/>
        </w:rPr>
        <w:t>. The Company acknowledges and agrees that each of the Purchasers is acting solely in the capacity of an arm’s length purchaser with respect to the Transaction Documents and the transactions contemplated thereby. The Company further acknowledges that no Purchaser is acting as a financial advisor or fiduciary of the Company (or in any similar capacity) with respect to the Transaction Documents and the transactions contemplated thereby and any advice given by any Purchaser or any of their respective representatives or agents in connection with the Transaction Documents and the transactions contemplated thereby is merely incidental to the Purchasers’ purchase of the Shares. The Company further represents to each Purchaser that the Company’s decision to enter into this Agreement and the other Transaction Documents has been based solely on the independent evaluation of the transactions contemplated hereby by the Company and its representatives.</w:t>
      </w:r>
    </w:p>
    <w:p>
      <w:pPr>
        <w:spacing w:after="0" w:line="394"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14605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908" w:right="339" w:bottom="1440" w:gutter="0" w:footer="0" w:header="0"/>
        </w:sectPr>
      </w:pPr>
    </w:p>
    <w:bookmarkStart w:id="23" w:name="page24"/>
    <w:bookmarkEnd w:id="23"/>
    <w:p>
      <w:pPr>
        <w:jc w:val="both"/>
        <w:ind w:left="4" w:firstLine="644"/>
        <w:spacing w:after="0" w:line="284" w:lineRule="auto"/>
        <w:tabs>
          <w:tab w:leader="none" w:pos="965" w:val="left"/>
        </w:tabs>
        <w:numPr>
          <w:ilvl w:val="1"/>
          <w:numId w:val="24"/>
        </w:numPr>
        <w:rPr>
          <w:rFonts w:ascii="Arial" w:cs="Arial" w:eastAsia="Arial" w:hAnsi="Arial"/>
          <w:sz w:val="16"/>
          <w:szCs w:val="16"/>
          <w:color w:val="auto"/>
        </w:rPr>
      </w:pPr>
      <w:r>
        <w:rPr>
          <w:rFonts w:ascii="Arial" w:cs="Arial" w:eastAsia="Arial" w:hAnsi="Arial"/>
          <w:sz w:val="16"/>
          <w:szCs w:val="16"/>
          <w:u w:val="single" w:color="auto"/>
          <w:color w:val="auto"/>
        </w:rPr>
        <w:t>Acknowledgment Regarding Purchaser’s Trading Activity.</w:t>
      </w:r>
      <w:r>
        <w:rPr>
          <w:rFonts w:ascii="Arial" w:cs="Arial" w:eastAsia="Arial" w:hAnsi="Arial"/>
          <w:sz w:val="16"/>
          <w:szCs w:val="16"/>
          <w:color w:val="auto"/>
        </w:rPr>
        <w:t xml:space="preserve"> Anything in this Agreement or elsewhere herein to the contrary notwithstanding (except for Sections 3.2(g) and 4.14 hereof), it is understood and acknowledged by the Company that: (i) none of the Purchasers has been asked by the Company to agree, nor has any Purchaser agreed, to desist from purchasing or selling, long and/or short, securities of the Company, or “derivative” securities based on securities issued by the Company or to hold the Shares for any specified term, (ii) past or future open market or other transactions by any Purchaser, specifically including, without limitation, Short Sales or “derivative” transactions, before or after the closing of this or future private placement transactions, may negatively impact the market price of the Company’s publicly-traded securities,</w:t>
      </w:r>
    </w:p>
    <w:p>
      <w:pPr>
        <w:spacing w:after="0" w:line="4" w:lineRule="exact"/>
        <w:rPr>
          <w:rFonts w:ascii="Arial" w:cs="Arial" w:eastAsia="Arial" w:hAnsi="Arial"/>
          <w:sz w:val="16"/>
          <w:szCs w:val="16"/>
          <w:color w:val="auto"/>
        </w:rPr>
      </w:pPr>
    </w:p>
    <w:p>
      <w:pPr>
        <w:jc w:val="both"/>
        <w:ind w:left="4" w:hanging="4"/>
        <w:spacing w:after="0" w:line="290" w:lineRule="auto"/>
        <w:tabs>
          <w:tab w:leader="none" w:pos="335" w:val="left"/>
        </w:tabs>
        <w:numPr>
          <w:ilvl w:val="0"/>
          <w:numId w:val="25"/>
        </w:numPr>
        <w:rPr>
          <w:rFonts w:ascii="Arial" w:cs="Arial" w:eastAsia="Arial" w:hAnsi="Arial"/>
          <w:sz w:val="16"/>
          <w:szCs w:val="16"/>
          <w:color w:val="auto"/>
        </w:rPr>
      </w:pPr>
      <w:r>
        <w:rPr>
          <w:rFonts w:ascii="Arial" w:cs="Arial" w:eastAsia="Arial" w:hAnsi="Arial"/>
          <w:sz w:val="16"/>
          <w:szCs w:val="16"/>
          <w:color w:val="auto"/>
        </w:rPr>
        <w:t>any Purchaser, and counter-parties in “derivative” transactions to which any such Purchaser is a party, directly or indirectly, presently may have a “short” position in the Common Stock and (iv) each Purchaser shall not be deemed to have any affiliation with or control over any arm’s length counter-party in any “derivative” transaction. The Company further understands and acknowledges that (y) one or more Purchasers may engage in hedging activities at various times during the period that the Shares are outstanding, and (z) such hedging activities (if any) could reduce the value of the existing stockholders’ equity interests in the Company at and after the time that the hedging activities are being conducted. The Company acknowledges that such aforementioned hedging activities do not constitute a breach of any of the Transaction Documents.</w:t>
      </w:r>
    </w:p>
    <w:p>
      <w:pPr>
        <w:spacing w:after="0" w:line="164" w:lineRule="exact"/>
        <w:rPr>
          <w:sz w:val="20"/>
          <w:szCs w:val="20"/>
          <w:color w:val="auto"/>
        </w:rPr>
      </w:pPr>
    </w:p>
    <w:p>
      <w:pPr>
        <w:jc w:val="both"/>
        <w:ind w:left="4" w:firstLine="644"/>
        <w:spacing w:after="0" w:line="275" w:lineRule="auto"/>
        <w:tabs>
          <w:tab w:leader="none" w:pos="947" w:val="left"/>
        </w:tabs>
        <w:numPr>
          <w:ilvl w:val="0"/>
          <w:numId w:val="26"/>
        </w:numPr>
        <w:rPr>
          <w:rFonts w:ascii="Arial" w:cs="Arial" w:eastAsia="Arial" w:hAnsi="Arial"/>
          <w:sz w:val="17"/>
          <w:szCs w:val="17"/>
          <w:color w:val="auto"/>
        </w:rPr>
      </w:pPr>
      <w:r>
        <w:rPr>
          <w:rFonts w:ascii="Arial" w:cs="Arial" w:eastAsia="Arial" w:hAnsi="Arial"/>
          <w:sz w:val="17"/>
          <w:szCs w:val="17"/>
          <w:u w:val="single" w:color="auto"/>
          <w:color w:val="auto"/>
        </w:rPr>
        <w:t>Regulation M Compliance.</w:t>
      </w:r>
      <w:r>
        <w:rPr>
          <w:rFonts w:ascii="Arial" w:cs="Arial" w:eastAsia="Arial" w:hAnsi="Arial"/>
          <w:sz w:val="17"/>
          <w:szCs w:val="17"/>
          <w:color w:val="auto"/>
        </w:rPr>
        <w:t xml:space="preserve"> The Company has not, and to its knowledge no one acting on its behalf has, (i) taken, directly or indirectly, any action designed to cause or to result in the stabilization or manipulation of the price of any security of the Company to facilitate the sale or resale of any of the Shares, (ii) sold, bid for, purchased, or paid any compensation for soliciting purchases of, any of the Shares, or (iii) paid or agreed to pay to any Person any compensation for soliciting another to purchase any other securities of the Company, other than, in the case of clauses (ii) and (iii), compensation paid to the Financial Advisor in connection with the placement of the Shares.</w:t>
      </w:r>
    </w:p>
    <w:p>
      <w:pPr>
        <w:spacing w:after="0" w:line="176" w:lineRule="exact"/>
        <w:rPr>
          <w:rFonts w:ascii="Arial" w:cs="Arial" w:eastAsia="Arial" w:hAnsi="Arial"/>
          <w:sz w:val="17"/>
          <w:szCs w:val="17"/>
          <w:color w:val="auto"/>
        </w:rPr>
      </w:pPr>
    </w:p>
    <w:p>
      <w:pPr>
        <w:jc w:val="both"/>
        <w:ind w:left="4" w:firstLine="644"/>
        <w:spacing w:after="0" w:line="254" w:lineRule="auto"/>
        <w:tabs>
          <w:tab w:leader="none" w:pos="1014" w:val="left"/>
        </w:tabs>
        <w:numPr>
          <w:ilvl w:val="0"/>
          <w:numId w:val="26"/>
        </w:numPr>
        <w:rPr>
          <w:rFonts w:ascii="Arial" w:cs="Arial" w:eastAsia="Arial" w:hAnsi="Arial"/>
          <w:sz w:val="18"/>
          <w:szCs w:val="18"/>
          <w:color w:val="auto"/>
        </w:rPr>
      </w:pPr>
      <w:r>
        <w:rPr>
          <w:rFonts w:ascii="Arial" w:cs="Arial" w:eastAsia="Arial" w:hAnsi="Arial"/>
          <w:sz w:val="18"/>
          <w:szCs w:val="18"/>
          <w:u w:val="single" w:color="auto"/>
          <w:color w:val="auto"/>
        </w:rPr>
        <w:t>Stock Option Plans</w:t>
      </w:r>
      <w:r>
        <w:rPr>
          <w:rFonts w:ascii="Arial" w:cs="Arial" w:eastAsia="Arial" w:hAnsi="Arial"/>
          <w:sz w:val="18"/>
          <w:szCs w:val="18"/>
          <w:color w:val="auto"/>
        </w:rPr>
        <w:t>. Each stock option granted by the Company under the Company’s stock option plan or other equity plan was granted (i) in accordance with the terms of the Company’s stock option plan or other equity plan and (ii) with an exercise price at least equal to the fair market value of the Common Stock on the date such stock option would be considered granted under GAAP and applicable law. No stock option granted under the Company’s stock option plan or other equity plan has been backdated. The Company has not knowingly granted, and there is no and has been no Company policy or practice to knowingly grant, stock options prior to, or otherwise knowingly coordinate the grant of stock options with, the release or other public announcement of material information regarding the Company or its Subsidiaries or their financial results or prospects.</w:t>
      </w:r>
    </w:p>
    <w:p>
      <w:pPr>
        <w:spacing w:after="0" w:line="194" w:lineRule="exact"/>
        <w:rPr>
          <w:rFonts w:ascii="Arial" w:cs="Arial" w:eastAsia="Arial" w:hAnsi="Arial"/>
          <w:sz w:val="18"/>
          <w:szCs w:val="18"/>
          <w:color w:val="auto"/>
        </w:rPr>
      </w:pPr>
    </w:p>
    <w:p>
      <w:pPr>
        <w:jc w:val="both"/>
        <w:ind w:left="4" w:firstLine="644"/>
        <w:spacing w:after="0" w:line="269" w:lineRule="auto"/>
        <w:tabs>
          <w:tab w:leader="none" w:pos="944" w:val="left"/>
        </w:tabs>
        <w:numPr>
          <w:ilvl w:val="0"/>
          <w:numId w:val="26"/>
        </w:numPr>
        <w:rPr>
          <w:rFonts w:ascii="Arial" w:cs="Arial" w:eastAsia="Arial" w:hAnsi="Arial"/>
          <w:sz w:val="17"/>
          <w:szCs w:val="17"/>
          <w:color w:val="auto"/>
        </w:rPr>
      </w:pPr>
      <w:r>
        <w:rPr>
          <w:rFonts w:ascii="Arial" w:cs="Arial" w:eastAsia="Arial" w:hAnsi="Arial"/>
          <w:sz w:val="17"/>
          <w:szCs w:val="17"/>
          <w:u w:val="single" w:color="auto"/>
          <w:color w:val="auto"/>
        </w:rPr>
        <w:t>Cybersecurity</w:t>
      </w:r>
      <w:r>
        <w:rPr>
          <w:rFonts w:ascii="Arial" w:cs="Arial" w:eastAsia="Arial" w:hAnsi="Arial"/>
          <w:sz w:val="17"/>
          <w:szCs w:val="17"/>
          <w:color w:val="auto"/>
        </w:rPr>
        <w:t>. Except as would not, individually or in the aggregate, have a Material Adverse Effect, (i)(x) There has been no security breach or other compromise of or relating to any of the Company’s or any Subsidiary’s information technology and computer systems, networks, hardware, software, data (including the data of its respective customers, employees, suppliers, vendors and any third party data maintained by or on behalf of it), equipment or technology (collectively, “</w:t>
      </w:r>
      <w:r>
        <w:rPr>
          <w:rFonts w:ascii="Arial" w:cs="Arial" w:eastAsia="Arial" w:hAnsi="Arial"/>
          <w:sz w:val="17"/>
          <w:szCs w:val="17"/>
          <w:u w:val="single" w:color="auto"/>
          <w:color w:val="auto"/>
        </w:rPr>
        <w:t>IT Systems and Data</w:t>
      </w:r>
      <w:r>
        <w:rPr>
          <w:rFonts w:ascii="Arial" w:cs="Arial" w:eastAsia="Arial" w:hAnsi="Arial"/>
          <w:sz w:val="17"/>
          <w:szCs w:val="17"/>
          <w:color w:val="auto"/>
        </w:rPr>
        <w:t>”) and (y) the Company and the Subsidiaries have not been notified of, and has no knowledge of any event or condition that would reasonably be expected to result in, any security breach or other compromise to its IT Systems and Data; (ii) the Company and the Subsidiaries are presently in compliance with all applicable laws or statutes and all judgments, orders, rules and regulations of any court or arbitrator or governmental or regulatory authority, internal policies and contractual obligations relating to the privacy and security of IT Systems and Data and to the protection of such IT Systems and Data from unauthorized use, access, misappropriation or modification; (iii) the Company and the Subsidiaries have implemented and maintained commercially reasonable safeguards to maintain and protect its material confidential information and the integrity, continuous operation, redundancy and security of all IT Systems and Data; and (iv) the Company and the Subsidiaries have implemented backup and disaster recovery technology consistent with industry standards and practices.</w:t>
      </w:r>
    </w:p>
    <w:p>
      <w:pPr>
        <w:spacing w:after="0" w:line="395" w:lineRule="exact"/>
        <w:rPr>
          <w:sz w:val="20"/>
          <w:szCs w:val="20"/>
          <w:color w:val="auto"/>
        </w:rPr>
      </w:pPr>
    </w:p>
    <w:p>
      <w:pPr>
        <w:ind w:left="4884"/>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14605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908" w:right="339" w:bottom="1440" w:gutter="0" w:footer="0" w:header="0"/>
        </w:sectPr>
      </w:pPr>
    </w:p>
    <w:bookmarkStart w:id="24" w:name="page25"/>
    <w:bookmarkEnd w:id="24"/>
    <w:p>
      <w:pPr>
        <w:jc w:val="both"/>
        <w:ind w:left="660" w:firstLine="644"/>
        <w:spacing w:after="0" w:line="263" w:lineRule="auto"/>
        <w:tabs>
          <w:tab w:leader="none" w:pos="1756" w:val="left"/>
        </w:tabs>
        <w:numPr>
          <w:ilvl w:val="0"/>
          <w:numId w:val="27"/>
        </w:numPr>
        <w:rPr>
          <w:rFonts w:ascii="Arial" w:cs="Arial" w:eastAsia="Arial" w:hAnsi="Arial"/>
          <w:sz w:val="18"/>
          <w:szCs w:val="18"/>
          <w:color w:val="auto"/>
        </w:rPr>
      </w:pPr>
      <w:r>
        <w:rPr>
          <w:rFonts w:ascii="Arial" w:cs="Arial" w:eastAsia="Arial" w:hAnsi="Arial"/>
          <w:sz w:val="18"/>
          <w:szCs w:val="18"/>
          <w:u w:val="single" w:color="auto"/>
          <w:color w:val="auto"/>
        </w:rPr>
        <w:t>Office of Foreign Assets Control</w:t>
      </w:r>
      <w:r>
        <w:rPr>
          <w:rFonts w:ascii="Arial" w:cs="Arial" w:eastAsia="Arial" w:hAnsi="Arial"/>
          <w:sz w:val="18"/>
          <w:szCs w:val="18"/>
          <w:color w:val="auto"/>
        </w:rPr>
        <w:t>. Neither the Company nor any Subsidiary nor, to the Company’s knowledge, any director, officer, agent, employee or affiliate of the Company or any Subsidiary is currently subject to any U.S. sanctions administered by the Office of Foreign Assets Control of the U.S. Treasury Department (“</w:t>
      </w:r>
      <w:r>
        <w:rPr>
          <w:rFonts w:ascii="Arial" w:cs="Arial" w:eastAsia="Arial" w:hAnsi="Arial"/>
          <w:sz w:val="18"/>
          <w:szCs w:val="18"/>
          <w:u w:val="single" w:color="auto"/>
          <w:color w:val="auto"/>
        </w:rPr>
        <w:t>OFAC</w:t>
      </w:r>
      <w:r>
        <w:rPr>
          <w:rFonts w:ascii="Arial" w:cs="Arial" w:eastAsia="Arial" w:hAnsi="Arial"/>
          <w:sz w:val="18"/>
          <w:szCs w:val="18"/>
          <w:color w:val="auto"/>
        </w:rPr>
        <w:t>”).</w:t>
      </w:r>
    </w:p>
    <w:p>
      <w:pPr>
        <w:spacing w:after="0" w:line="183" w:lineRule="exact"/>
        <w:rPr>
          <w:rFonts w:ascii="Arial" w:cs="Arial" w:eastAsia="Arial" w:hAnsi="Arial"/>
          <w:sz w:val="18"/>
          <w:szCs w:val="18"/>
          <w:color w:val="auto"/>
        </w:rPr>
      </w:pPr>
    </w:p>
    <w:p>
      <w:pPr>
        <w:ind w:left="660" w:firstLine="644"/>
        <w:spacing w:after="0" w:line="342" w:lineRule="auto"/>
        <w:tabs>
          <w:tab w:leader="none" w:pos="1654" w:val="left"/>
        </w:tabs>
        <w:numPr>
          <w:ilvl w:val="0"/>
          <w:numId w:val="27"/>
        </w:numPr>
        <w:rPr>
          <w:rFonts w:ascii="Arial" w:cs="Arial" w:eastAsia="Arial" w:hAnsi="Arial"/>
          <w:sz w:val="16"/>
          <w:szCs w:val="16"/>
          <w:color w:val="auto"/>
        </w:rPr>
      </w:pPr>
      <w:r>
        <w:rPr>
          <w:rFonts w:ascii="Arial" w:cs="Arial" w:eastAsia="Arial" w:hAnsi="Arial"/>
          <w:sz w:val="16"/>
          <w:szCs w:val="16"/>
          <w:u w:val="single" w:color="auto"/>
          <w:color w:val="auto"/>
        </w:rPr>
        <w:t>U.S. Real Property Holding Corporation</w:t>
      </w:r>
      <w:r>
        <w:rPr>
          <w:rFonts w:ascii="Arial" w:cs="Arial" w:eastAsia="Arial" w:hAnsi="Arial"/>
          <w:sz w:val="16"/>
          <w:szCs w:val="16"/>
          <w:color w:val="auto"/>
        </w:rPr>
        <w:t>. The Company is not and has never been a U.S. real property holding corporation within the meaning of Section 897 of the Internal Revenue Code of 1986, as amended, and the Company shall so certify upon Purchaser’s request.</w:t>
      </w:r>
    </w:p>
    <w:p>
      <w:pPr>
        <w:spacing w:after="0" w:line="123" w:lineRule="exact"/>
        <w:rPr>
          <w:rFonts w:ascii="Arial" w:cs="Arial" w:eastAsia="Arial" w:hAnsi="Arial"/>
          <w:sz w:val="16"/>
          <w:szCs w:val="16"/>
          <w:color w:val="auto"/>
        </w:rPr>
      </w:pPr>
    </w:p>
    <w:p>
      <w:pPr>
        <w:jc w:val="both"/>
        <w:ind w:left="660" w:firstLine="644"/>
        <w:spacing w:after="0" w:line="273" w:lineRule="auto"/>
        <w:tabs>
          <w:tab w:leader="none" w:pos="1657" w:val="left"/>
        </w:tabs>
        <w:numPr>
          <w:ilvl w:val="0"/>
          <w:numId w:val="27"/>
        </w:numPr>
        <w:rPr>
          <w:rFonts w:ascii="Arial" w:cs="Arial" w:eastAsia="Arial" w:hAnsi="Arial"/>
          <w:sz w:val="17"/>
          <w:szCs w:val="17"/>
          <w:color w:val="auto"/>
        </w:rPr>
      </w:pPr>
      <w:r>
        <w:rPr>
          <w:rFonts w:ascii="Arial" w:cs="Arial" w:eastAsia="Arial" w:hAnsi="Arial"/>
          <w:sz w:val="17"/>
          <w:szCs w:val="17"/>
          <w:u w:val="single" w:color="auto"/>
          <w:color w:val="auto"/>
        </w:rPr>
        <w:t>Bank Holding Company Act</w:t>
      </w:r>
      <w:r>
        <w:rPr>
          <w:rFonts w:ascii="Arial" w:cs="Arial" w:eastAsia="Arial" w:hAnsi="Arial"/>
          <w:sz w:val="17"/>
          <w:szCs w:val="17"/>
          <w:color w:val="auto"/>
        </w:rPr>
        <w:t>. Neither the Company nor any of its Subsidiaries or Affiliates is subject to the Bank Holding Company Act of 1956, as amended (the “</w:t>
      </w:r>
      <w:r>
        <w:rPr>
          <w:rFonts w:ascii="Arial" w:cs="Arial" w:eastAsia="Arial" w:hAnsi="Arial"/>
          <w:sz w:val="17"/>
          <w:szCs w:val="17"/>
          <w:u w:val="single" w:color="auto"/>
          <w:color w:val="auto"/>
        </w:rPr>
        <w:t>BHCA</w:t>
      </w:r>
      <w:r>
        <w:rPr>
          <w:rFonts w:ascii="Arial" w:cs="Arial" w:eastAsia="Arial" w:hAnsi="Arial"/>
          <w:sz w:val="17"/>
          <w:szCs w:val="17"/>
          <w:color w:val="auto"/>
        </w:rPr>
        <w:t>”) and to regulation by the Board of Governors of the Federal Reserve System (the “</w:t>
      </w:r>
      <w:r>
        <w:rPr>
          <w:rFonts w:ascii="Arial" w:cs="Arial" w:eastAsia="Arial" w:hAnsi="Arial"/>
          <w:sz w:val="17"/>
          <w:szCs w:val="17"/>
          <w:u w:val="single" w:color="auto"/>
          <w:color w:val="auto"/>
        </w:rPr>
        <w:t>Federal Reserve</w:t>
      </w:r>
      <w:r>
        <w:rPr>
          <w:rFonts w:ascii="Arial" w:cs="Arial" w:eastAsia="Arial" w:hAnsi="Arial"/>
          <w:sz w:val="17"/>
          <w:szCs w:val="17"/>
          <w:color w:val="auto"/>
        </w:rPr>
        <w:t>”). Neither the Company nor any of its Subsidiaries or Affiliates owns or controls, directly or indirectly, five percent (5%) or more of the outstanding shares of any class of voting securities or twenty-five percent or more of the total equity of a bank or any entity that is subject to the BHCA and to regulation by the Federal Reserve. Neither the Company nor any of its Subsidiaries or Affiliates exercises a controlling influence over the management or policies of a bank or any entity that is subject to the BHCA and to regulation by the Federal Reserve.</w:t>
      </w:r>
    </w:p>
    <w:p>
      <w:pPr>
        <w:spacing w:after="0" w:line="177" w:lineRule="exact"/>
        <w:rPr>
          <w:rFonts w:ascii="Arial" w:cs="Arial" w:eastAsia="Arial" w:hAnsi="Arial"/>
          <w:sz w:val="17"/>
          <w:szCs w:val="17"/>
          <w:color w:val="auto"/>
        </w:rPr>
      </w:pPr>
    </w:p>
    <w:p>
      <w:pPr>
        <w:jc w:val="both"/>
        <w:ind w:left="660" w:firstLine="644"/>
        <w:spacing w:after="0" w:line="296" w:lineRule="auto"/>
        <w:tabs>
          <w:tab w:leader="none" w:pos="1654" w:val="left"/>
        </w:tabs>
        <w:numPr>
          <w:ilvl w:val="0"/>
          <w:numId w:val="27"/>
        </w:numPr>
        <w:rPr>
          <w:rFonts w:ascii="Arial" w:cs="Arial" w:eastAsia="Arial" w:hAnsi="Arial"/>
          <w:sz w:val="16"/>
          <w:szCs w:val="16"/>
          <w:color w:val="auto"/>
        </w:rPr>
      </w:pPr>
      <w:r>
        <w:rPr>
          <w:rFonts w:ascii="Arial" w:cs="Arial" w:eastAsia="Arial" w:hAnsi="Arial"/>
          <w:sz w:val="16"/>
          <w:szCs w:val="16"/>
          <w:u w:val="single" w:color="auto"/>
          <w:color w:val="auto"/>
        </w:rPr>
        <w:t>Money Laundering</w:t>
      </w:r>
      <w:r>
        <w:rPr>
          <w:rFonts w:ascii="Arial" w:cs="Arial" w:eastAsia="Arial" w:hAnsi="Arial"/>
          <w:sz w:val="16"/>
          <w:szCs w:val="16"/>
          <w:color w:val="auto"/>
        </w:rPr>
        <w:t>. The operations of the Company and its Subsidiaries are and have been conducted at all times in compliance with applicable financial record-keeping and reporting requirements of the Currency and Foreign Transactions Reporting Act of 1970, as amended, applicable money laundering statutes and applicable rules and regulations thereunder (collectively, the “</w:t>
      </w:r>
      <w:r>
        <w:rPr>
          <w:rFonts w:ascii="Arial" w:cs="Arial" w:eastAsia="Arial" w:hAnsi="Arial"/>
          <w:sz w:val="16"/>
          <w:szCs w:val="16"/>
          <w:u w:val="single" w:color="auto"/>
          <w:color w:val="auto"/>
        </w:rPr>
        <w:t>Money Laundering Laws</w:t>
      </w:r>
      <w:r>
        <w:rPr>
          <w:rFonts w:ascii="Arial" w:cs="Arial" w:eastAsia="Arial" w:hAnsi="Arial"/>
          <w:sz w:val="16"/>
          <w:szCs w:val="16"/>
          <w:color w:val="auto"/>
        </w:rPr>
        <w:t>”), and no Action or Proceeding by or before any court or governmental agency, authority or body or any arbitrator involving the Company or any Subsidiary with respect to the Money Laundering Laws is pending or, to the knowledge of the Company or any Subsidiary, threatened.</w:t>
      </w:r>
    </w:p>
    <w:p>
      <w:pPr>
        <w:spacing w:after="0" w:line="161" w:lineRule="exact"/>
        <w:rPr>
          <w:rFonts w:ascii="Arial" w:cs="Arial" w:eastAsia="Arial" w:hAnsi="Arial"/>
          <w:sz w:val="16"/>
          <w:szCs w:val="16"/>
          <w:color w:val="auto"/>
        </w:rPr>
      </w:pPr>
    </w:p>
    <w:p>
      <w:pPr>
        <w:jc w:val="both"/>
        <w:ind w:left="660" w:firstLine="644"/>
        <w:spacing w:after="0" w:line="289" w:lineRule="auto"/>
        <w:tabs>
          <w:tab w:leader="none" w:pos="1655" w:val="left"/>
        </w:tabs>
        <w:numPr>
          <w:ilvl w:val="0"/>
          <w:numId w:val="27"/>
        </w:numPr>
        <w:rPr>
          <w:rFonts w:ascii="Arial" w:cs="Arial" w:eastAsia="Arial" w:hAnsi="Arial"/>
          <w:sz w:val="16"/>
          <w:szCs w:val="16"/>
          <w:color w:val="auto"/>
        </w:rPr>
      </w:pPr>
      <w:r>
        <w:rPr>
          <w:rFonts w:ascii="Arial" w:cs="Arial" w:eastAsia="Arial" w:hAnsi="Arial"/>
          <w:sz w:val="16"/>
          <w:szCs w:val="16"/>
          <w:u w:val="single" w:color="auto"/>
          <w:color w:val="auto"/>
        </w:rPr>
        <w:t>No Disqualification Events</w:t>
      </w:r>
      <w:r>
        <w:rPr>
          <w:rFonts w:ascii="Arial" w:cs="Arial" w:eastAsia="Arial" w:hAnsi="Arial"/>
          <w:sz w:val="16"/>
          <w:szCs w:val="16"/>
          <w:color w:val="auto"/>
        </w:rPr>
        <w:t>. With respect to the Shares to be offered and sold hereunder in reliance on Rule 506 under the Securities Act, none of the Company, any of its predecessors, any affiliated issuer, any director, executive officer, other officer of the Company participating in the offering hereunder, or to the Company’s knowledge, any beneficial owner of 20% or more of the Company’s outstanding voting equity securities, calculated on the basis of voting power, nor any promoter (as that term is defined in Rule 405 under the Securities Act) connected with the Company in any capacity at the time of sale (each, an “</w:t>
      </w:r>
      <w:r>
        <w:rPr>
          <w:rFonts w:ascii="Arial" w:cs="Arial" w:eastAsia="Arial" w:hAnsi="Arial"/>
          <w:sz w:val="16"/>
          <w:szCs w:val="16"/>
          <w:u w:val="single" w:color="auto"/>
          <w:color w:val="auto"/>
        </w:rPr>
        <w:t>Issuer Covered Person</w:t>
      </w:r>
      <w:r>
        <w:rPr>
          <w:rFonts w:ascii="Arial" w:cs="Arial" w:eastAsia="Arial" w:hAnsi="Arial"/>
          <w:sz w:val="16"/>
          <w:szCs w:val="16"/>
          <w:color w:val="auto"/>
        </w:rPr>
        <w:t>” and, together, “</w:t>
      </w:r>
      <w:r>
        <w:rPr>
          <w:rFonts w:ascii="Arial" w:cs="Arial" w:eastAsia="Arial" w:hAnsi="Arial"/>
          <w:sz w:val="16"/>
          <w:szCs w:val="16"/>
          <w:u w:val="single" w:color="auto"/>
          <w:color w:val="auto"/>
        </w:rPr>
        <w:t>Issuer Covered Persons</w:t>
      </w:r>
      <w:r>
        <w:rPr>
          <w:rFonts w:ascii="Arial" w:cs="Arial" w:eastAsia="Arial" w:hAnsi="Arial"/>
          <w:sz w:val="16"/>
          <w:szCs w:val="16"/>
          <w:color w:val="auto"/>
        </w:rPr>
        <w:t>”) is subject to any of the “Bad Actor” disqualifications described in Rule 506(d)(1)(i) to (viii) under the Securities Act (a “</w:t>
      </w:r>
      <w:r>
        <w:rPr>
          <w:rFonts w:ascii="Arial" w:cs="Arial" w:eastAsia="Arial" w:hAnsi="Arial"/>
          <w:sz w:val="16"/>
          <w:szCs w:val="16"/>
          <w:u w:val="single" w:color="auto"/>
          <w:color w:val="auto"/>
        </w:rPr>
        <w:t>Disqualification Event</w:t>
      </w:r>
      <w:r>
        <w:rPr>
          <w:rFonts w:ascii="Arial" w:cs="Arial" w:eastAsia="Arial" w:hAnsi="Arial"/>
          <w:sz w:val="16"/>
          <w:szCs w:val="16"/>
          <w:color w:val="auto"/>
        </w:rPr>
        <w:t>”), except for a Disqualification Event covered by Rule 506(d)(2) or (d)(3). The Company has exercised reasonable care to determine whether any Issuer Covered Person is subject to a Disqualification Event. The Company has complied, to the extent applicable, with its disclosure obligations under Rule 506(e), and has furnished to the Purchasers a copy of any disclosures provided thereunder, if any.</w:t>
      </w:r>
    </w:p>
    <w:p>
      <w:pPr>
        <w:spacing w:after="0" w:line="166" w:lineRule="exact"/>
        <w:rPr>
          <w:rFonts w:ascii="Arial" w:cs="Arial" w:eastAsia="Arial" w:hAnsi="Arial"/>
          <w:sz w:val="16"/>
          <w:szCs w:val="16"/>
          <w:color w:val="auto"/>
        </w:rPr>
      </w:pPr>
    </w:p>
    <w:p>
      <w:pPr>
        <w:ind w:left="660" w:firstLine="644"/>
        <w:spacing w:after="0" w:line="342" w:lineRule="auto"/>
        <w:tabs>
          <w:tab w:leader="none" w:pos="1606" w:val="left"/>
        </w:tabs>
        <w:numPr>
          <w:ilvl w:val="0"/>
          <w:numId w:val="27"/>
        </w:numPr>
        <w:rPr>
          <w:rFonts w:ascii="Arial" w:cs="Arial" w:eastAsia="Arial" w:hAnsi="Arial"/>
          <w:sz w:val="16"/>
          <w:szCs w:val="16"/>
          <w:color w:val="auto"/>
        </w:rPr>
      </w:pPr>
      <w:r>
        <w:rPr>
          <w:rFonts w:ascii="Arial" w:cs="Arial" w:eastAsia="Arial" w:hAnsi="Arial"/>
          <w:sz w:val="16"/>
          <w:szCs w:val="16"/>
          <w:u w:val="single" w:color="auto"/>
          <w:color w:val="auto"/>
        </w:rPr>
        <w:t>Other Covered Persons</w:t>
      </w:r>
      <w:r>
        <w:rPr>
          <w:rFonts w:ascii="Arial" w:cs="Arial" w:eastAsia="Arial" w:hAnsi="Arial"/>
          <w:sz w:val="16"/>
          <w:szCs w:val="16"/>
          <w:color w:val="auto"/>
        </w:rPr>
        <w:t>. Other than the Financial Advisor, the Company is not aware of any person (other than any Issuer Covered Person) that has been or will be paid (directly or indirectly) remuneration for solicitation of purchasers in connection with the sale of any Shares.</w:t>
      </w:r>
    </w:p>
    <w:p>
      <w:pPr>
        <w:spacing w:after="0" w:line="123" w:lineRule="exact"/>
        <w:rPr>
          <w:rFonts w:ascii="Arial" w:cs="Arial" w:eastAsia="Arial" w:hAnsi="Arial"/>
          <w:sz w:val="16"/>
          <w:szCs w:val="16"/>
          <w:color w:val="auto"/>
        </w:rPr>
      </w:pPr>
    </w:p>
    <w:p>
      <w:pPr>
        <w:jc w:val="both"/>
        <w:ind w:left="660" w:firstLine="644"/>
        <w:spacing w:after="0" w:line="263" w:lineRule="auto"/>
        <w:tabs>
          <w:tab w:leader="none" w:pos="1617" w:val="left"/>
        </w:tabs>
        <w:numPr>
          <w:ilvl w:val="0"/>
          <w:numId w:val="27"/>
        </w:numPr>
        <w:rPr>
          <w:rFonts w:ascii="Arial" w:cs="Arial" w:eastAsia="Arial" w:hAnsi="Arial"/>
          <w:sz w:val="18"/>
          <w:szCs w:val="18"/>
          <w:color w:val="auto"/>
        </w:rPr>
      </w:pPr>
      <w:r>
        <w:rPr>
          <w:rFonts w:ascii="Arial" w:cs="Arial" w:eastAsia="Arial" w:hAnsi="Arial"/>
          <w:sz w:val="18"/>
          <w:szCs w:val="18"/>
          <w:u w:val="single" w:color="auto"/>
          <w:color w:val="auto"/>
        </w:rPr>
        <w:t>Notice of Disqualification Events</w:t>
      </w:r>
      <w:r>
        <w:rPr>
          <w:rFonts w:ascii="Arial" w:cs="Arial" w:eastAsia="Arial" w:hAnsi="Arial"/>
          <w:sz w:val="18"/>
          <w:szCs w:val="18"/>
          <w:color w:val="auto"/>
        </w:rPr>
        <w:t>. The Company will notify the Purchasers and the Financial Advisor in writing, prior to the Closing Date of (i) any Disqualification Event relating to any Issuer Covered Person and (ii) any event that would, with the passage of time, become a Disqualification Event relating to any Issuer Covered Person, in each case of which it is aware.</w:t>
      </w:r>
    </w:p>
    <w:p>
      <w:pPr>
        <w:spacing w:after="0" w:line="18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 xml:space="preserve">3.2 </w:t>
      </w:r>
      <w:r>
        <w:rPr>
          <w:rFonts w:ascii="Arial" w:cs="Arial" w:eastAsia="Arial" w:hAnsi="Arial"/>
          <w:sz w:val="18"/>
          <w:szCs w:val="18"/>
          <w:u w:val="single" w:color="auto"/>
          <w:color w:val="auto"/>
        </w:rPr>
        <w:t>Representations and Warranties of the Purchasers</w:t>
      </w:r>
      <w:r>
        <w:rPr>
          <w:rFonts w:ascii="Arial" w:cs="Arial" w:eastAsia="Arial" w:hAnsi="Arial"/>
          <w:sz w:val="18"/>
          <w:szCs w:val="18"/>
          <w:color w:val="auto"/>
        </w:rPr>
        <w:t>. Each Purchaser, for itself and for no other Purchaser, hereby represents and warrants as of the date hereof and as of the Closing Date to the Company as follows (unless as of a specific date therein, in which case they shall be accurate as of such date):</w:t>
      </w:r>
    </w:p>
    <w:p>
      <w:pPr>
        <w:spacing w:after="0" w:line="184" w:lineRule="exact"/>
        <w:rPr>
          <w:sz w:val="20"/>
          <w:szCs w:val="20"/>
          <w:color w:val="auto"/>
        </w:rPr>
      </w:pPr>
    </w:p>
    <w:p>
      <w:pPr>
        <w:jc w:val="both"/>
        <w:ind w:left="660" w:firstLine="644"/>
        <w:spacing w:after="0" w:line="269" w:lineRule="auto"/>
        <w:tabs>
          <w:tab w:leader="none" w:pos="1559" w:val="left"/>
        </w:tabs>
        <w:numPr>
          <w:ilvl w:val="0"/>
          <w:numId w:val="28"/>
        </w:numPr>
        <w:rPr>
          <w:rFonts w:ascii="Arial" w:cs="Arial" w:eastAsia="Arial" w:hAnsi="Arial"/>
          <w:sz w:val="17"/>
          <w:szCs w:val="17"/>
          <w:color w:val="auto"/>
        </w:rPr>
      </w:pPr>
      <w:r>
        <w:rPr>
          <w:rFonts w:ascii="Arial" w:cs="Arial" w:eastAsia="Arial" w:hAnsi="Arial"/>
          <w:sz w:val="17"/>
          <w:szCs w:val="17"/>
          <w:u w:val="single" w:color="auto"/>
          <w:color w:val="auto"/>
        </w:rPr>
        <w:t>Organization; Authority</w:t>
      </w:r>
      <w:r>
        <w:rPr>
          <w:rFonts w:ascii="Arial" w:cs="Arial" w:eastAsia="Arial" w:hAnsi="Arial"/>
          <w:sz w:val="17"/>
          <w:szCs w:val="17"/>
          <w:color w:val="auto"/>
        </w:rPr>
        <w:t>. Such Purchaser is either an individual or an entity duly incorporated or formed, validly existing and in good standing under the laws of the jurisdiction of its incorporation or formation with full right, corporate, partnership, limited liability company or similar power and authority to enter into and to consummate the transactions contemplated by the Transaction Documents and otherwise to carry out its obligations hereunder and thereunder. The execution and delivery of the Transaction Documents and performance by such Purchaser of the transactions contemplated by the Transaction Documents have been duly authorized by all necessary corporate, partnership, limited liability company or similar action, as applicable, on the part of such Purchaser. Each Transaction Document to which it is a party has been duly executed by such Purchaser, and when delivered by such Purchaser in accordance with the terms hereof, will constitute the valid and legally binding obligation of such Purchaser, enforceable against it in accordance with its terms, except (i) as limited by general equitable principles and applicable bankruptcy, insolvency, reorganization, moratorium and other laws of general application affecting enforcement of creditors’ rights generally, (ii) as limited by laws relating to the availability of specific performance, injunctive relief or other equitable remedies and (iii) insofar as indemnification and contribution provisions may be limited by applicable law.</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5" w:name="page26"/>
    <w:bookmarkEnd w:id="25"/>
    <w:p>
      <w:pPr>
        <w:jc w:val="both"/>
        <w:ind w:left="-460" w:firstLine="644"/>
        <w:spacing w:after="0" w:line="271" w:lineRule="auto"/>
        <w:tabs>
          <w:tab w:leader="none" w:pos="445" w:val="left"/>
        </w:tabs>
        <w:numPr>
          <w:ilvl w:val="0"/>
          <w:numId w:val="29"/>
        </w:numPr>
        <w:rPr>
          <w:rFonts w:ascii="Arial" w:cs="Arial" w:eastAsia="Arial" w:hAnsi="Arial"/>
          <w:sz w:val="17"/>
          <w:szCs w:val="17"/>
          <w:color w:val="auto"/>
        </w:rPr>
      </w:pPr>
      <w:r>
        <w:rPr>
          <w:rFonts w:ascii="Arial" w:cs="Arial" w:eastAsia="Arial" w:hAnsi="Arial"/>
          <w:sz w:val="17"/>
          <w:szCs w:val="17"/>
          <w:u w:val="single" w:color="auto"/>
          <w:color w:val="auto"/>
        </w:rPr>
        <w:t>Own Account</w:t>
      </w:r>
      <w:r>
        <w:rPr>
          <w:rFonts w:ascii="Arial" w:cs="Arial" w:eastAsia="Arial" w:hAnsi="Arial"/>
          <w:sz w:val="17"/>
          <w:szCs w:val="17"/>
          <w:color w:val="auto"/>
        </w:rPr>
        <w:t>. Such Purchaser understands that the Shares are “restricted securities” and have not been registered under the Securities Act or any applicable state securities law and is acquiring the Shares as principal for its own account and not with a view to or for distributing or reselling such Shares or any part thereof in violation of the Securities Act or any applicable state securities law, has no present intention of distributing any of such Shares in violation of the Securities Act or any applicable state securities law and has no direct or indirect arrangement or understandings with any other persons to distribute or regarding the distribution of such Shares in violation of the Securities Act or any applicable state securities law (this representation and warranty not limiting such Purchaser’s right to sell the Shares pursuant to the Registration Statement or otherwise in compliance with applicable federal and state securities laws). Such Purchaser is acquiring the Shares hereunder in the ordinary course of its business.</w:t>
      </w:r>
    </w:p>
    <w:p>
      <w:pPr>
        <w:spacing w:after="0" w:line="178" w:lineRule="exact"/>
        <w:rPr>
          <w:rFonts w:ascii="Arial" w:cs="Arial" w:eastAsia="Arial" w:hAnsi="Arial"/>
          <w:sz w:val="17"/>
          <w:szCs w:val="17"/>
          <w:color w:val="auto"/>
        </w:rPr>
      </w:pPr>
    </w:p>
    <w:p>
      <w:pPr>
        <w:ind w:left="-460" w:firstLine="644"/>
        <w:spacing w:after="0" w:line="308" w:lineRule="auto"/>
        <w:tabs>
          <w:tab w:leader="none" w:pos="437" w:val="left"/>
        </w:tabs>
        <w:numPr>
          <w:ilvl w:val="0"/>
          <w:numId w:val="29"/>
        </w:numPr>
        <w:rPr>
          <w:rFonts w:ascii="Arial" w:cs="Arial" w:eastAsia="Arial" w:hAnsi="Arial"/>
          <w:sz w:val="17"/>
          <w:szCs w:val="17"/>
          <w:color w:val="auto"/>
        </w:rPr>
      </w:pPr>
      <w:r>
        <w:rPr>
          <w:rFonts w:ascii="Arial" w:cs="Arial" w:eastAsia="Arial" w:hAnsi="Arial"/>
          <w:sz w:val="17"/>
          <w:szCs w:val="17"/>
          <w:u w:val="single" w:color="auto"/>
          <w:color w:val="auto"/>
        </w:rPr>
        <w:t>Purchaser Status</w:t>
      </w:r>
      <w:r>
        <w:rPr>
          <w:rFonts w:ascii="Arial" w:cs="Arial" w:eastAsia="Arial" w:hAnsi="Arial"/>
          <w:sz w:val="17"/>
          <w:szCs w:val="17"/>
          <w:color w:val="auto"/>
        </w:rPr>
        <w:t>. At the time such Purchaser was offered the Shares, it was, and as of the date hereof it is, an “accredited investor” as defined in Rule 501(a)(1), (a)(2), (a)(3), (a)(5), (a)(6), (a)(7), (a)(8), (a)(9), (a)(12), or (a)(13) under the Securities Act.</w:t>
      </w:r>
    </w:p>
    <w:p>
      <w:pPr>
        <w:spacing w:after="0" w:line="146" w:lineRule="exact"/>
        <w:rPr>
          <w:rFonts w:ascii="Arial" w:cs="Arial" w:eastAsia="Arial" w:hAnsi="Arial"/>
          <w:sz w:val="17"/>
          <w:szCs w:val="17"/>
          <w:color w:val="auto"/>
        </w:rPr>
      </w:pPr>
    </w:p>
    <w:p>
      <w:pPr>
        <w:jc w:val="both"/>
        <w:ind w:left="-460" w:firstLine="644"/>
        <w:spacing w:after="0" w:line="259" w:lineRule="auto"/>
        <w:tabs>
          <w:tab w:leader="none" w:pos="457" w:val="left"/>
        </w:tabs>
        <w:numPr>
          <w:ilvl w:val="0"/>
          <w:numId w:val="29"/>
        </w:numPr>
        <w:rPr>
          <w:rFonts w:ascii="Arial" w:cs="Arial" w:eastAsia="Arial" w:hAnsi="Arial"/>
          <w:sz w:val="18"/>
          <w:szCs w:val="18"/>
          <w:color w:val="auto"/>
        </w:rPr>
      </w:pPr>
      <w:r>
        <w:rPr>
          <w:rFonts w:ascii="Arial" w:cs="Arial" w:eastAsia="Arial" w:hAnsi="Arial"/>
          <w:sz w:val="18"/>
          <w:szCs w:val="18"/>
          <w:u w:val="single" w:color="auto"/>
          <w:color w:val="auto"/>
        </w:rPr>
        <w:t>Experience of Such Purchaser</w:t>
      </w:r>
      <w:r>
        <w:rPr>
          <w:rFonts w:ascii="Arial" w:cs="Arial" w:eastAsia="Arial" w:hAnsi="Arial"/>
          <w:sz w:val="18"/>
          <w:szCs w:val="18"/>
          <w:color w:val="auto"/>
        </w:rPr>
        <w:t>. Such Purchaser, either alone or together with its representatives, has such knowledge, sophistication and experience in business and financial matters so as to be capable of evaluating the merits and risks of the prospective investment in the Shares, and has so evaluated the merits and risks of such investment. Such Purchaser is able to bear the economic risk of an investment in the Shares and, at the present time, is able to afford a complete loss of such investment.</w:t>
      </w:r>
    </w:p>
    <w:p>
      <w:pPr>
        <w:spacing w:after="0" w:line="186" w:lineRule="exact"/>
        <w:rPr>
          <w:rFonts w:ascii="Arial" w:cs="Arial" w:eastAsia="Arial" w:hAnsi="Arial"/>
          <w:sz w:val="18"/>
          <w:szCs w:val="18"/>
          <w:color w:val="auto"/>
        </w:rPr>
      </w:pPr>
    </w:p>
    <w:p>
      <w:pPr>
        <w:jc w:val="both"/>
        <w:ind w:left="-460" w:firstLine="644"/>
        <w:spacing w:after="0" w:line="311" w:lineRule="auto"/>
        <w:tabs>
          <w:tab w:leader="none" w:pos="446" w:val="left"/>
        </w:tabs>
        <w:numPr>
          <w:ilvl w:val="0"/>
          <w:numId w:val="29"/>
        </w:numPr>
        <w:rPr>
          <w:rFonts w:ascii="Arial" w:cs="Arial" w:eastAsia="Arial" w:hAnsi="Arial"/>
          <w:sz w:val="16"/>
          <w:szCs w:val="16"/>
          <w:color w:val="auto"/>
        </w:rPr>
      </w:pPr>
      <w:r>
        <w:rPr>
          <w:rFonts w:ascii="Arial" w:cs="Arial" w:eastAsia="Arial" w:hAnsi="Arial"/>
          <w:sz w:val="16"/>
          <w:szCs w:val="16"/>
          <w:u w:val="single" w:color="auto"/>
          <w:color w:val="auto"/>
        </w:rPr>
        <w:t>General Solicitation</w:t>
      </w:r>
      <w:r>
        <w:rPr>
          <w:rFonts w:ascii="Arial" w:cs="Arial" w:eastAsia="Arial" w:hAnsi="Arial"/>
          <w:sz w:val="16"/>
          <w:szCs w:val="16"/>
          <w:color w:val="auto"/>
        </w:rPr>
        <w:t>. Such Purchaser is not, to such Purchaser’s knowledge, purchasing the Shares as a result of any advertisement, article, notice or other communication regarding the Shares published in any newspaper, magazine or similar media or broadcast over television or radio or presented at any seminar or, to the knowledge of such Purchaser, any other general solicitation or general advertisement.</w:t>
      </w:r>
    </w:p>
    <w:p>
      <w:pPr>
        <w:spacing w:after="0" w:line="148" w:lineRule="exact"/>
        <w:rPr>
          <w:rFonts w:ascii="Arial" w:cs="Arial" w:eastAsia="Arial" w:hAnsi="Arial"/>
          <w:sz w:val="16"/>
          <w:szCs w:val="16"/>
          <w:color w:val="auto"/>
        </w:rPr>
      </w:pPr>
    </w:p>
    <w:p>
      <w:pPr>
        <w:jc w:val="both"/>
        <w:ind w:left="-460" w:firstLine="644"/>
        <w:spacing w:after="0" w:line="287" w:lineRule="auto"/>
        <w:tabs>
          <w:tab w:leader="none" w:pos="411" w:val="left"/>
        </w:tabs>
        <w:numPr>
          <w:ilvl w:val="0"/>
          <w:numId w:val="29"/>
        </w:numPr>
        <w:rPr>
          <w:rFonts w:ascii="Arial" w:cs="Arial" w:eastAsia="Arial" w:hAnsi="Arial"/>
          <w:sz w:val="16"/>
          <w:szCs w:val="16"/>
          <w:color w:val="auto"/>
        </w:rPr>
      </w:pPr>
      <w:r>
        <w:rPr>
          <w:rFonts w:ascii="Arial" w:cs="Arial" w:eastAsia="Arial" w:hAnsi="Arial"/>
          <w:sz w:val="16"/>
          <w:szCs w:val="16"/>
          <w:u w:val="single" w:color="auto"/>
          <w:color w:val="auto"/>
        </w:rPr>
        <w:t>Access to Information</w:t>
      </w:r>
      <w:r>
        <w:rPr>
          <w:rFonts w:ascii="Arial" w:cs="Arial" w:eastAsia="Arial" w:hAnsi="Arial"/>
          <w:sz w:val="16"/>
          <w:szCs w:val="16"/>
          <w:color w:val="auto"/>
        </w:rPr>
        <w:t>. Such Purchaser acknowledges that it has had the opportunity to review the Transaction Documents (including all exhibits and schedules thereto) and the SEC Reports and has been afforded (i) the opportunity to ask such questions as it has deemed necessary of, and to receive answers from, representatives of the Company concerning the terms and conditions of the offering of the Shares and the merits and risks of investing in the Shares; (ii) access to information about the Company and its financial condition, results of operations, business, properties, management and prospects sufficient to enable it to evaluate its investment; and (iii) the opportunity to obtain such additional information that the Company possesses or can acquire without unreasonable effort or expense that is necessary to make an informed investment decision with respect to the investment. Such Purchaser acknowledges and agrees that neither the Financial Advisor nor any Affiliate of the Financial Advisor has provided such Purchaser with any information or advice with respect to the Shares nor is such information or advice necessary or desired. Neither Financial Advisor nor any Affiliate has made or makes any representation as to the Company or the quality of the Shares and the Financial Advisor and any Affiliate may have acquired non-public information with respect to the Company which such Purchaser agrees need not be provided to it. In connection with the issuance of the Shares to such Purchaser, neither the Financial Advisor nor any of their Affiliates has acted as a financial advisor or fiduciary to such Purchaser.</w:t>
      </w:r>
    </w:p>
    <w:p>
      <w:pPr>
        <w:spacing w:after="0" w:line="384"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14605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908" w:right="339" w:bottom="1440" w:gutter="0" w:footer="0" w:header="0"/>
        </w:sectPr>
      </w:pPr>
    </w:p>
    <w:bookmarkStart w:id="26" w:name="page27"/>
    <w:bookmarkEnd w:id="26"/>
    <w:p>
      <w:pPr>
        <w:jc w:val="both"/>
        <w:ind w:left="660" w:firstLine="644"/>
        <w:spacing w:after="0" w:line="268" w:lineRule="auto"/>
        <w:tabs>
          <w:tab w:leader="none" w:pos="1569" w:val="left"/>
        </w:tabs>
        <w:numPr>
          <w:ilvl w:val="0"/>
          <w:numId w:val="30"/>
        </w:numPr>
        <w:rPr>
          <w:rFonts w:ascii="Arial" w:cs="Arial" w:eastAsia="Arial" w:hAnsi="Arial"/>
          <w:sz w:val="17"/>
          <w:szCs w:val="17"/>
          <w:color w:val="auto"/>
        </w:rPr>
      </w:pPr>
      <w:r>
        <w:rPr>
          <w:rFonts w:ascii="Arial" w:cs="Arial" w:eastAsia="Arial" w:hAnsi="Arial"/>
          <w:sz w:val="17"/>
          <w:szCs w:val="17"/>
          <w:u w:val="single" w:color="auto"/>
          <w:color w:val="auto"/>
        </w:rPr>
        <w:t>Certain Transactions and Confidentiality</w:t>
      </w:r>
      <w:r>
        <w:rPr>
          <w:rFonts w:ascii="Arial" w:cs="Arial" w:eastAsia="Arial" w:hAnsi="Arial"/>
          <w:sz w:val="17"/>
          <w:szCs w:val="17"/>
          <w:color w:val="auto"/>
        </w:rPr>
        <w:t>. Other than consummating the transactions contemplated hereunder, such Purchaser has not, nor has any Person acting on behalf of or pursuant to any understanding with such Purchaser, directly or indirectly executed any purchases or sales, including Short Sales, of the securities of the Company during the period commencing as of the time that such Purchaser first received a term sheet (written or oral) from the Company or any other Person representing the Company setting forth the material terms of the transactions contemplated hereunder and ending immediately prior to the execution hereof. Notwithstanding the foregoing, in the case of a Purchaser that is a multi-managed investment vehicle whereby separate portfolio managers manage separate portions of such Purchaser’s assets and the portfolio managers have no direct knowledge of the investment decisions made by the portfolio managers managing other portions of such Purchaser’s assets, the representation set forth above shall only apply with respect to the portion of assets managed by the portfolio manager that made the investment decision to purchase the Shares covered by this Agreement. Other than to other Persons party to this Agreement or to such Purchaser’s representatives that are bound by confidentiality obligations, including, without limitation, its officers, directors, partners, legal and other advisors, employees, agents and Affiliates, such Purchaser has maintained the confidentiality of all disclosures made to it in connection with this transaction (including the existence and terms of this transaction). Notwithstanding the foregoing, for the avoidance of doubt, nothing contained herein shall constitute a representation or warranty, or preclude any actions, with respect to locating or borrowing shares in order to effect Short Sales or similar transactions in the future.</w:t>
      </w:r>
    </w:p>
    <w:p>
      <w:pPr>
        <w:spacing w:after="0" w:line="18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Company acknowledges and agrees that the representations contained in this Section 3.2 shall not modify, amend or affect such Purchaser’s right to rely on the Company’s representations and warranties contained in this Agreement or any representations and warranties contained in any other Transaction Document or any other document or instrument executed and/or delivered in connection with this Agreement or the consummation of the transactions contemplated hereby.</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IV.</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OTHER AGREEMENTS OF THE PARTIES</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4.1 </w:t>
      </w:r>
      <w:r>
        <w:rPr>
          <w:rFonts w:ascii="Arial" w:cs="Arial" w:eastAsia="Arial" w:hAnsi="Arial"/>
          <w:sz w:val="18"/>
          <w:szCs w:val="18"/>
          <w:u w:val="single" w:color="auto"/>
          <w:color w:val="auto"/>
        </w:rPr>
        <w:t>Transfer Restrictions</w:t>
      </w:r>
      <w:r>
        <w:rPr>
          <w:rFonts w:ascii="Arial" w:cs="Arial" w:eastAsia="Arial" w:hAnsi="Arial"/>
          <w:sz w:val="18"/>
          <w:szCs w:val="18"/>
          <w:color w:val="auto"/>
        </w:rPr>
        <w:t>.</w:t>
      </w:r>
    </w:p>
    <w:p>
      <w:pPr>
        <w:spacing w:after="0" w:line="225" w:lineRule="exact"/>
        <w:rPr>
          <w:sz w:val="20"/>
          <w:szCs w:val="20"/>
          <w:color w:val="auto"/>
        </w:rPr>
      </w:pPr>
    </w:p>
    <w:p>
      <w:pPr>
        <w:jc w:val="both"/>
        <w:ind w:left="660" w:firstLine="644"/>
        <w:spacing w:after="0" w:line="284" w:lineRule="auto"/>
        <w:tabs>
          <w:tab w:leader="none" w:pos="1562" w:val="left"/>
        </w:tabs>
        <w:numPr>
          <w:ilvl w:val="1"/>
          <w:numId w:val="31"/>
        </w:numPr>
        <w:rPr>
          <w:rFonts w:ascii="Arial" w:cs="Arial" w:eastAsia="Arial" w:hAnsi="Arial"/>
          <w:sz w:val="16"/>
          <w:szCs w:val="16"/>
          <w:color w:val="auto"/>
        </w:rPr>
      </w:pPr>
      <w:r>
        <w:rPr>
          <w:rFonts w:ascii="Arial" w:cs="Arial" w:eastAsia="Arial" w:hAnsi="Arial"/>
          <w:sz w:val="16"/>
          <w:szCs w:val="16"/>
          <w:color w:val="auto"/>
        </w:rPr>
        <w:t>The Shares may only be disposed of in compliance with state and federal securities laws. In connection with any transfer of Shares other than pursuant to an effective registration statement or Rule 144, to the Company or to an Affiliate of a Purchaser or in connection with a pledge as contemplated in Section 4.1(b), the Company may require the transferor thereof to provide to the Company an opinion of counsel selected by the transferor and reasonably acceptable to the Company, the form and substance of which opinion shall be reasonably satisfactory to the Company, to the effect that such transfer does not require registration of such transferred Shares under the Securities Act. As a condition of transfer, any such transferee shall agree in writing to be bound by the terms of this Agreement and the Registration Rights Agreement and shall have the rights and obligations of a Purchaser under this Agreement and the Registration Rights Agreement. Each Purchaser hereby covenants and agrees not to effect any sale or other transfer of the Shares other than (i) pursuant to the plan of distribution contained in a Registration Statement,</w:t>
      </w:r>
    </w:p>
    <w:p>
      <w:pPr>
        <w:ind w:left="660" w:hanging="4"/>
        <w:spacing w:after="0" w:line="260" w:lineRule="auto"/>
        <w:tabs>
          <w:tab w:leader="none" w:pos="939" w:val="left"/>
        </w:tabs>
        <w:numPr>
          <w:ilvl w:val="0"/>
          <w:numId w:val="32"/>
        </w:numPr>
        <w:rPr>
          <w:rFonts w:ascii="Arial" w:cs="Arial" w:eastAsia="Arial" w:hAnsi="Arial"/>
          <w:sz w:val="18"/>
          <w:szCs w:val="18"/>
          <w:color w:val="auto"/>
        </w:rPr>
      </w:pPr>
      <w:r>
        <w:rPr>
          <w:rFonts w:ascii="Arial" w:cs="Arial" w:eastAsia="Arial" w:hAnsi="Arial"/>
          <w:sz w:val="18"/>
          <w:szCs w:val="18"/>
          <w:color w:val="auto"/>
        </w:rPr>
        <w:t>in accordance with the provisions of Rule 144, or (iii) in compliance with another exemption from registration under the Securities Act and applicable state securities laws.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7" w:name="page28"/>
    <w:bookmarkEnd w:id="27"/>
    <w:p>
      <w:pPr>
        <w:ind w:left="640"/>
        <w:spacing w:after="0"/>
        <w:rPr>
          <w:sz w:val="20"/>
          <w:szCs w:val="20"/>
          <w:color w:val="auto"/>
        </w:rPr>
      </w:pPr>
      <w:r>
        <w:rPr>
          <w:rFonts w:ascii="Arial" w:cs="Arial" w:eastAsia="Arial" w:hAnsi="Arial"/>
          <w:sz w:val="16"/>
          <w:szCs w:val="16"/>
          <w:color w:val="auto"/>
        </w:rPr>
        <w:t>(b) The Purchasers agree to the imprinting, so long as is required by this Section 4.1, of a legend on any of the Shares in the following</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form:</w:t>
      </w:r>
    </w:p>
    <w:p>
      <w:pPr>
        <w:spacing w:after="0" w:line="21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THIS SECURITY HAS NOT BEEN REGISTERED WITH THE SECURITIES AND EXCHANGE COMMISSION OR THE SECURITIES COMMISSION OF ANY STATE IN RELIANCE UPON AN EXEMPTION FROM REGISTRATION UNDER THE SECURITIES ACT OF 1933, AS AMENDED (THE “SECURITIES ACT”), AND, ACCORDINGLY, MAY NOT BE OFFERED OR SOLD EXCEPT PURSUANT TO AN EFFECTIVE REGISTRATION STATEMENT UNDER THE SECURITIES ACT OR PURSUANT TO AN AVAILABLE EXEMPTION FROM, OR IN A TRANSACTION NOT SUBJECT TO, THE REGISTRATION REQUIREMENTS OF THE SECURITIES ACT AND IN ACCORDANCE WITH APPLICABLE STATE SECURITIES LAWS. THIS SECURITY MAY BE PLEDGED IN CONNECTION WITH A BONA FIDE MARGIN ACCOUNT WITH A REGISTERED BROKER-DEALER OR OTHER LOAN WITH A FINANCIAL INSTITUTION THAT IS AN “ACCREDITED INVESTOR” AS DEFINED IN RULE 501(a) UNDER THE SECURITIES ACT OR OTHER LOAN SECURED BY SUCH SECURITIES.</w:t>
      </w:r>
    </w:p>
    <w:p>
      <w:pPr>
        <w:spacing w:after="0" w:line="196"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The Company acknowledges and agrees that a Purchaser may from time to time pledge pursuant to a bona fide margin agreement with a registered broker-dealer or grant a security interest in some or all of the Shares to a financial institution that is an “accredited investor” as defined in Rule 501(a) under the Securities Act and, if required under the terms of such arrangement, such Purchaser may transfer pledged or secured Shares to the pledgees or secured parties. Such a pledge or transfer would not be subject to approval of the Company and no legal opinion of legal counsel of the pledgee, secured party or pledgor shall be required in connection therewith. Further, no notice shall be required of such pledge. At the appropriate Purchaser’s expense, the Company will execute and deliver such reasonable documentation as a pledgee or secured party of Shares may reasonably request in connection with a pledge or transfer of the Shares, including, if the Shares are subject to registration pursuant to the Registration Rights Agreement, the preparation and filing of any required prospectus supplement under Rule 424(b)(3) under the Securities Act or other applicable provision of the Securities Act to appropriately amend the list of Selling Stockholders (as defined in the Registration Rights Agreement) thereunder.</w:t>
      </w:r>
    </w:p>
    <w:p>
      <w:pPr>
        <w:spacing w:after="0" w:line="200" w:lineRule="exact"/>
        <w:rPr>
          <w:sz w:val="20"/>
          <w:szCs w:val="20"/>
          <w:color w:val="auto"/>
        </w:rPr>
      </w:pPr>
    </w:p>
    <w:p>
      <w:pPr>
        <w:spacing w:after="0" w:line="201"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14605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908" w:right="339" w:bottom="1440" w:gutter="0" w:footer="0" w:header="0"/>
        </w:sectPr>
      </w:pPr>
    </w:p>
    <w:bookmarkStart w:id="28" w:name="page29"/>
    <w:bookmarkEnd w:id="28"/>
    <w:p>
      <w:pPr>
        <w:jc w:val="both"/>
        <w:ind w:left="-460" w:firstLine="644"/>
        <w:spacing w:after="0" w:line="285" w:lineRule="auto"/>
        <w:tabs>
          <w:tab w:leader="none" w:pos="463" w:val="left"/>
        </w:tabs>
        <w:numPr>
          <w:ilvl w:val="0"/>
          <w:numId w:val="33"/>
        </w:numPr>
        <w:rPr>
          <w:rFonts w:ascii="Arial" w:cs="Arial" w:eastAsia="Arial" w:hAnsi="Arial"/>
          <w:sz w:val="16"/>
          <w:szCs w:val="16"/>
          <w:color w:val="auto"/>
        </w:rPr>
      </w:pPr>
      <w:r>
        <w:rPr>
          <w:rFonts w:ascii="Arial" w:cs="Arial" w:eastAsia="Arial" w:hAnsi="Arial"/>
          <w:sz w:val="16"/>
          <w:szCs w:val="16"/>
          <w:color w:val="auto"/>
        </w:rPr>
        <w:t>Certificates or book-entries evidencing the Shares shall not contain any legend (including the legend set forth in Section 4.1(b) hereof), (i) while a registration statement (including the Registration Statement) covering the resale of such security is effective under the Securities Act, (ii) following any sale of such Shares pursuant to Rule 144, (iii) if such Shares are eligible for sale under Rule 144, or (iv) if such legend is not required under applicable requirements of the Securities Act (including judicial interpretations and pronouncements issued by the staff of the Commission). The Company shall cause its counsel to issue a legal opinion to the Transfer Agent or the Purchaser if required by the Transfer Agent to effect the removal of the legend hereunder, or if requested by a Purchaser, respectively. If such Shares may be sold under Rule 144 and the Company is then in compliance with the current public information required under Rule 144, or if the Shares may be sold under Rule 144 without the requirement for the Company to be in compliance with the current public information required under Rule 144 as to such Shares or if such legend is not otherwise required under applicable requirements of the Securities Act (including judicial interpretations and pronouncements issued by the staff of the Commission) then such Shares shall be issued free of all legends. The Company agrees that at such time as such legend is no longer required under this Section 4.1(c), it will, no later than the earlier of (i) two (2) Trading Days and (ii) the number of Trading Days comprising the Standard Settlement Period (as defined below) following the delivery by a Purchaser to the Company or the Transfer Agent of a certificate representing Shares issued with a restrictive legend (such date, the “</w:t>
      </w:r>
      <w:r>
        <w:rPr>
          <w:rFonts w:ascii="Arial" w:cs="Arial" w:eastAsia="Arial" w:hAnsi="Arial"/>
          <w:sz w:val="16"/>
          <w:szCs w:val="16"/>
          <w:u w:val="single" w:color="auto"/>
          <w:color w:val="auto"/>
        </w:rPr>
        <w:t>Legend Removal Date</w:t>
      </w:r>
      <w:r>
        <w:rPr>
          <w:rFonts w:ascii="Arial" w:cs="Arial" w:eastAsia="Arial" w:hAnsi="Arial"/>
          <w:sz w:val="16"/>
          <w:szCs w:val="16"/>
          <w:color w:val="auto"/>
        </w:rPr>
        <w:t>”), deliver or cause to be delivered to such Purchaser a certificate representing such shares that is free from all restrictive and other legends. The Company may not make any notation on its records or give instructions to the Transfer Agent that enlarge the restrictions on transfer set forth in this Section 4. Certificates for Shares subject to legend removal hereunder shall be transmitted by the Transfer Agent to the Purchaser by crediting the account of the Purchaser’s prime broker with the Depository Trust Company System as directed by such Purchaser. As used herein, “</w:t>
      </w:r>
      <w:r>
        <w:rPr>
          <w:rFonts w:ascii="Arial" w:cs="Arial" w:eastAsia="Arial" w:hAnsi="Arial"/>
          <w:sz w:val="16"/>
          <w:szCs w:val="16"/>
          <w:u w:val="single" w:color="auto"/>
          <w:color w:val="auto"/>
        </w:rPr>
        <w:t>Standard Settlement Period</w:t>
      </w:r>
      <w:r>
        <w:rPr>
          <w:rFonts w:ascii="Arial" w:cs="Arial" w:eastAsia="Arial" w:hAnsi="Arial"/>
          <w:sz w:val="16"/>
          <w:szCs w:val="16"/>
          <w:color w:val="auto"/>
        </w:rPr>
        <w:t>” means the standard settlement period, expressed in a number of Trading Days, on the Company’s primary Trading Market with respect to the Common Stock as in effect on the date of delivery of a certificate representing Shares issued with a restrictive legend.</w:t>
      </w:r>
    </w:p>
    <w:p>
      <w:pPr>
        <w:spacing w:after="0" w:line="168" w:lineRule="exact"/>
        <w:rPr>
          <w:rFonts w:ascii="Arial" w:cs="Arial" w:eastAsia="Arial" w:hAnsi="Arial"/>
          <w:sz w:val="16"/>
          <w:szCs w:val="16"/>
          <w:color w:val="auto"/>
        </w:rPr>
      </w:pPr>
    </w:p>
    <w:p>
      <w:pPr>
        <w:jc w:val="both"/>
        <w:ind w:left="-460" w:firstLine="644"/>
        <w:spacing w:after="0" w:line="268" w:lineRule="auto"/>
        <w:tabs>
          <w:tab w:leader="none" w:pos="468" w:val="left"/>
        </w:tabs>
        <w:numPr>
          <w:ilvl w:val="0"/>
          <w:numId w:val="33"/>
        </w:numPr>
        <w:rPr>
          <w:rFonts w:ascii="Arial" w:cs="Arial" w:eastAsia="Arial" w:hAnsi="Arial"/>
          <w:sz w:val="17"/>
          <w:szCs w:val="17"/>
          <w:color w:val="auto"/>
        </w:rPr>
      </w:pPr>
      <w:r>
        <w:rPr>
          <w:rFonts w:ascii="Arial" w:cs="Arial" w:eastAsia="Arial" w:hAnsi="Arial"/>
          <w:sz w:val="17"/>
          <w:szCs w:val="17"/>
          <w:color w:val="auto"/>
        </w:rPr>
        <w:t>In addition to such Purchaser’s other available remedies, the Company shall pay to a Purchaser, in cash, (i) as partial liquidated damages and not as a penalty, for each $1,000 of Shares (based on the VWAP of the Common Stock on the date such Shares are submitted to the Transfer Agent) delivered for removal of the restrictive legend and subject to Section 4.1(c), $10 per Trading Day (increasing to $20 per Trading Day five (5) Trading Days after the Legend Removal Date) for each Trading Day after the Legend Removal Date until such certificate is delivered without a legend and (ii) if the Company fails to (a) issue and deliver (or cause to be delivered) to a Purchaser by the Legend Removal Date a certificate representing the Shares so delivered to the Company by such Purchaser that is free from all restrictive and other legends and (b) if after the Legend Removal Date such Purchaser purchases (in an open market transaction or otherwise) shares of Common Stock to deliver in satisfaction of a sale by such Purchaser of all or any portion of the number of shares of Common Stock, or a sale of a number of shares of Common Stock equal to all or any portion of the number of shares of Common Stock that such Purchaser anticipated receiving from the Company without any restrictive legend, then, an amount equal to the excess of such Purchaser’s total purchase price (including brokerage commissions and other out-of-pocket expenses, if any) for the shares of Common Stock so purchased (including brokerage commissions and other out-of-pocket expenses, if any) (the “</w:t>
      </w:r>
      <w:r>
        <w:rPr>
          <w:rFonts w:ascii="Arial" w:cs="Arial" w:eastAsia="Arial" w:hAnsi="Arial"/>
          <w:sz w:val="17"/>
          <w:szCs w:val="17"/>
          <w:u w:val="single" w:color="auto"/>
          <w:color w:val="auto"/>
        </w:rPr>
        <w:t>Buy-In Price</w:t>
      </w:r>
      <w:r>
        <w:rPr>
          <w:rFonts w:ascii="Arial" w:cs="Arial" w:eastAsia="Arial" w:hAnsi="Arial"/>
          <w:sz w:val="17"/>
          <w:szCs w:val="17"/>
          <w:color w:val="auto"/>
        </w:rPr>
        <w:t>”) over the product of (A) such number of Shares that the Company was required to deliver to such Purchaser by the Legend Removal Date multiplied by (B) the lowest closing sale price of the Common Stock on any Trading Day during the period commencing on the date of the delivery by such Purchaser to the Company of the applicable Shares and ending on the date of such delivery and payment under this clause (ii).</w:t>
      </w:r>
    </w:p>
    <w:p>
      <w:pPr>
        <w:spacing w:after="0" w:line="398"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14605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908" w:right="339" w:bottom="1440" w:gutter="0" w:footer="0" w:header="0"/>
        </w:sectPr>
      </w:pPr>
    </w:p>
    <w:bookmarkStart w:id="29" w:name="page30"/>
    <w:bookmarkEnd w:id="29"/>
    <w:p>
      <w:pPr>
        <w:jc w:val="both"/>
        <w:ind w:firstLine="644"/>
        <w:spacing w:after="0" w:line="257" w:lineRule="auto"/>
        <w:tabs>
          <w:tab w:leader="none" w:pos="896" w:val="left"/>
        </w:tabs>
        <w:numPr>
          <w:ilvl w:val="0"/>
          <w:numId w:val="34"/>
        </w:numPr>
        <w:rPr>
          <w:rFonts w:ascii="Arial" w:cs="Arial" w:eastAsia="Arial" w:hAnsi="Arial"/>
          <w:sz w:val="18"/>
          <w:szCs w:val="18"/>
          <w:color w:val="auto"/>
        </w:rPr>
      </w:pPr>
      <w:r>
        <w:rPr>
          <w:rFonts w:ascii="Arial" w:cs="Arial" w:eastAsia="Arial" w:hAnsi="Arial"/>
          <w:sz w:val="18"/>
          <w:szCs w:val="18"/>
          <w:color w:val="auto"/>
        </w:rPr>
        <w:t>Each Purchaser, severally and not jointly with the other Purchasers, agrees with the Company that such Purchaser will sell any Shares pursuant to either the registration requirements of the Securities Act, including any applicable prospectus delivery requirements, or an exemption therefrom, and that if Shares are sold pursuant to a Registration Statement, they will be sold in compliance with the plan of distribution set forth therein, and acknowledges that the removal of the restrictive legend from certificates representing Shares as set forth in this Section 4.1 is predicated upon the Company’s reliance upon this understanding.</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4.2 </w:t>
      </w:r>
      <w:r>
        <w:rPr>
          <w:rFonts w:ascii="Arial" w:cs="Arial" w:eastAsia="Arial" w:hAnsi="Arial"/>
          <w:sz w:val="18"/>
          <w:szCs w:val="18"/>
          <w:u w:val="single" w:color="auto"/>
          <w:color w:val="auto"/>
        </w:rPr>
        <w:t>Furnishing of Information; Public Information</w:t>
      </w:r>
      <w:r>
        <w:rPr>
          <w:rFonts w:ascii="Arial" w:cs="Arial" w:eastAsia="Arial" w:hAnsi="Arial"/>
          <w:sz w:val="18"/>
          <w:szCs w:val="18"/>
          <w:color w:val="auto"/>
        </w:rPr>
        <w:t>.</w:t>
      </w:r>
    </w:p>
    <w:p>
      <w:pPr>
        <w:spacing w:after="0" w:line="225" w:lineRule="exact"/>
        <w:rPr>
          <w:sz w:val="20"/>
          <w:szCs w:val="20"/>
          <w:color w:val="auto"/>
        </w:rPr>
      </w:pPr>
    </w:p>
    <w:p>
      <w:pPr>
        <w:jc w:val="both"/>
        <w:ind w:firstLine="644"/>
        <w:spacing w:after="0" w:line="259" w:lineRule="auto"/>
        <w:tabs>
          <w:tab w:leader="none" w:pos="921" w:val="left"/>
        </w:tabs>
        <w:numPr>
          <w:ilvl w:val="0"/>
          <w:numId w:val="35"/>
        </w:numPr>
        <w:rPr>
          <w:rFonts w:ascii="Arial" w:cs="Arial" w:eastAsia="Arial" w:hAnsi="Arial"/>
          <w:sz w:val="18"/>
          <w:szCs w:val="18"/>
          <w:color w:val="auto"/>
        </w:rPr>
      </w:pPr>
      <w:r>
        <w:rPr>
          <w:rFonts w:ascii="Arial" w:cs="Arial" w:eastAsia="Arial" w:hAnsi="Arial"/>
          <w:sz w:val="18"/>
          <w:szCs w:val="18"/>
          <w:color w:val="auto"/>
        </w:rPr>
        <w:t>Until the time that no Purchaser owns Shares, the Company covenants to maintain the registration of the Common Stock under Section 12(b) or 12(g) of the Exchange Act and to timely file (or obtain extensions in respect thereof and file within the applicable grace period) all reports required to be filed by the Company after the date hereof pursuant to the Exchange Act even if the Company is not then subject to the reporting requirements of the Exchange Act.</w:t>
      </w:r>
    </w:p>
    <w:p>
      <w:pPr>
        <w:spacing w:after="0" w:line="186" w:lineRule="exact"/>
        <w:rPr>
          <w:rFonts w:ascii="Arial" w:cs="Arial" w:eastAsia="Arial" w:hAnsi="Arial"/>
          <w:sz w:val="18"/>
          <w:szCs w:val="18"/>
          <w:color w:val="auto"/>
        </w:rPr>
      </w:pPr>
    </w:p>
    <w:p>
      <w:pPr>
        <w:jc w:val="both"/>
        <w:ind w:firstLine="644"/>
        <w:spacing w:after="0" w:line="284" w:lineRule="auto"/>
        <w:tabs>
          <w:tab w:leader="none" w:pos="902" w:val="left"/>
        </w:tabs>
        <w:numPr>
          <w:ilvl w:val="0"/>
          <w:numId w:val="35"/>
        </w:numPr>
        <w:rPr>
          <w:rFonts w:ascii="Arial" w:cs="Arial" w:eastAsia="Arial" w:hAnsi="Arial"/>
          <w:sz w:val="16"/>
          <w:szCs w:val="16"/>
          <w:color w:val="auto"/>
        </w:rPr>
      </w:pPr>
      <w:r>
        <w:rPr>
          <w:rFonts w:ascii="Arial" w:cs="Arial" w:eastAsia="Arial" w:hAnsi="Arial"/>
          <w:sz w:val="16"/>
          <w:szCs w:val="16"/>
          <w:color w:val="auto"/>
        </w:rPr>
        <w:t>At any time during the period commencing from the six (6) month anniversary of the date hereof and ending (1) no Purchaser owns Shares, (2) such time that all of the Shares may be sold pursuant to an effective Registration Statement or (3) such time that all of the Shares may be sold pursuant to Rule 144 or another exemption from registration without the requirement for the Company to be in compliance with Rule 144(c)(1) and otherwise without restriction or limitation pursuant to Rule 144, if the Company shall fail for any reason to satisfy the current public information requirement under Rule 144(c) (a “</w:t>
      </w:r>
      <w:r>
        <w:rPr>
          <w:rFonts w:ascii="Arial" w:cs="Arial" w:eastAsia="Arial" w:hAnsi="Arial"/>
          <w:sz w:val="16"/>
          <w:szCs w:val="16"/>
          <w:u w:val="single" w:color="auto"/>
          <w:color w:val="auto"/>
        </w:rPr>
        <w:t>Public Information Failure</w:t>
      </w:r>
      <w:r>
        <w:rPr>
          <w:rFonts w:ascii="Arial" w:cs="Arial" w:eastAsia="Arial" w:hAnsi="Arial"/>
          <w:sz w:val="16"/>
          <w:szCs w:val="16"/>
          <w:color w:val="auto"/>
        </w:rPr>
        <w:t>”) then, in addition to such Purchaser’s other available remedies, the Company shall pay to a Purchaser, in cash, as partial liquidated damages and not as a penalty, by reason of any such delay in or reduction of its ability to sell the Shares, an amount in cash equal to one percent (1.0%) of the aggregate Subscription Amount of such Purchaser’s Shares on the</w:t>
      </w:r>
    </w:p>
    <w:p>
      <w:pPr>
        <w:spacing w:after="0" w:line="2"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day of a Public Information Failure and on every thirtieth (30</w:t>
      </w:r>
      <w:r>
        <w:rPr>
          <w:rFonts w:ascii="Arial" w:cs="Arial" w:eastAsia="Arial" w:hAnsi="Arial"/>
          <w:sz w:val="26"/>
          <w:szCs w:val="26"/>
          <w:color w:val="auto"/>
          <w:vertAlign w:val="superscript"/>
        </w:rPr>
        <w:t>th</w:t>
      </w:r>
      <w:r>
        <w:rPr>
          <w:rFonts w:ascii="Arial" w:cs="Arial" w:eastAsia="Arial" w:hAnsi="Arial"/>
          <w:sz w:val="16"/>
          <w:szCs w:val="16"/>
          <w:color w:val="auto"/>
        </w:rPr>
        <w:t>) day (pro rated for periods totaling less than thirty days and only with respect to Shares then held by such Purchaser on such dates) thereafter until the earlier of (a) the date such Public Information Failure is cured, (b) such time that such public information is no longer required for the Purchasers to transfer the Shares pursuant to Rule 144 (assuming that a holder of the Shares is not an Affiliate of the Company) or (c) such time that such Shares may be sold pursuant to an effective Registration Statement; provided that the total amount of such payments shall not exceed 15% of the Subscription Amount of the Purchaser’s Shares. The payments to which a Purchaser shall be entitled pursuant to this Section 4.2(b) are referred to herein as “</w:t>
      </w:r>
      <w:r>
        <w:rPr>
          <w:rFonts w:ascii="Arial" w:cs="Arial" w:eastAsia="Arial" w:hAnsi="Arial"/>
          <w:sz w:val="16"/>
          <w:szCs w:val="16"/>
          <w:u w:val="single" w:color="auto"/>
          <w:color w:val="auto"/>
        </w:rPr>
        <w:t>Public Information Failure Payments</w:t>
      </w:r>
      <w:r>
        <w:rPr>
          <w:rFonts w:ascii="Arial" w:cs="Arial" w:eastAsia="Arial" w:hAnsi="Arial"/>
          <w:sz w:val="16"/>
          <w:szCs w:val="16"/>
          <w:color w:val="auto"/>
        </w:rPr>
        <w:t>.” Public Information Failure Payments shall be paid on the earlier of (i) the last day of the calendar month during which such Public Information Failure Payments are</w:t>
      </w:r>
    </w:p>
    <w:p>
      <w:pPr>
        <w:spacing w:after="0" w:line="3" w:lineRule="exact"/>
        <w:rPr>
          <w:sz w:val="20"/>
          <w:szCs w:val="20"/>
          <w:color w:val="auto"/>
        </w:rPr>
      </w:pPr>
    </w:p>
    <w:p>
      <w:pPr>
        <w:jc w:val="both"/>
        <w:spacing w:after="0" w:line="247" w:lineRule="auto"/>
        <w:rPr>
          <w:sz w:val="20"/>
          <w:szCs w:val="20"/>
          <w:color w:val="auto"/>
        </w:rPr>
      </w:pPr>
      <w:r>
        <w:rPr>
          <w:rFonts w:ascii="Arial" w:cs="Arial" w:eastAsia="Arial" w:hAnsi="Arial"/>
          <w:sz w:val="17"/>
          <w:szCs w:val="17"/>
          <w:color w:val="auto"/>
        </w:rPr>
        <w:t>incurred and (ii) the third (3</w:t>
      </w:r>
      <w:r>
        <w:rPr>
          <w:rFonts w:ascii="Arial" w:cs="Arial" w:eastAsia="Arial" w:hAnsi="Arial"/>
          <w:sz w:val="28"/>
          <w:szCs w:val="28"/>
          <w:color w:val="auto"/>
          <w:vertAlign w:val="superscript"/>
        </w:rPr>
        <w:t>rd</w:t>
      </w:r>
      <w:r>
        <w:rPr>
          <w:rFonts w:ascii="Arial" w:cs="Arial" w:eastAsia="Arial" w:hAnsi="Arial"/>
          <w:sz w:val="17"/>
          <w:szCs w:val="17"/>
          <w:color w:val="auto"/>
        </w:rPr>
        <w:t>) Business Day after the event or failure giving rise to the Public Information Failure Payments is cured. In the event the Company fails to make Public Information Failure Payments in a timely manner, such Public Information Failure Payments shall bear interest at the rate of 1.5% per month (prorated for partial months) until paid in full. Nothing herein shall limit such Purchaser’s right to pursue actual damages for the Public Information Failure, and such Purchaser shall have the right to pursue all remedies available to it at law or in equity including, without limitation, a decree of specific performance and/or injunctive relief.</w:t>
      </w:r>
    </w:p>
    <w:p>
      <w:pPr>
        <w:spacing w:after="0" w:line="200" w:lineRule="exact"/>
        <w:rPr>
          <w:sz w:val="20"/>
          <w:szCs w:val="20"/>
          <w:color w:val="auto"/>
        </w:rPr>
      </w:pPr>
    </w:p>
    <w:p>
      <w:pPr>
        <w:spacing w:after="0" w:line="216"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14605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908" w:right="339" w:bottom="1440" w:gutter="0" w:footer="0" w:header="0"/>
        </w:sectPr>
      </w:pPr>
    </w:p>
    <w:bookmarkStart w:id="30" w:name="page31"/>
    <w:bookmarkEnd w:id="30"/>
    <w:p>
      <w:pPr>
        <w:jc w:val="both"/>
        <w:ind w:firstLine="648"/>
        <w:spacing w:after="0" w:line="257" w:lineRule="auto"/>
        <w:rPr>
          <w:sz w:val="20"/>
          <w:szCs w:val="20"/>
          <w:color w:val="auto"/>
        </w:rPr>
      </w:pPr>
      <w:r>
        <w:rPr>
          <w:rFonts w:ascii="Arial" w:cs="Arial" w:eastAsia="Arial" w:hAnsi="Arial"/>
          <w:sz w:val="18"/>
          <w:szCs w:val="18"/>
          <w:color w:val="auto"/>
        </w:rPr>
        <w:t xml:space="preserve">4.3 </w:t>
      </w:r>
      <w:r>
        <w:rPr>
          <w:rFonts w:ascii="Arial" w:cs="Arial" w:eastAsia="Arial" w:hAnsi="Arial"/>
          <w:sz w:val="18"/>
          <w:szCs w:val="18"/>
          <w:u w:val="single" w:color="auto"/>
          <w:color w:val="auto"/>
        </w:rPr>
        <w:t>Integration</w:t>
      </w:r>
      <w:r>
        <w:rPr>
          <w:rFonts w:ascii="Arial" w:cs="Arial" w:eastAsia="Arial" w:hAnsi="Arial"/>
          <w:sz w:val="18"/>
          <w:szCs w:val="18"/>
          <w:color w:val="auto"/>
        </w:rPr>
        <w:t>. The Company shall not sell, offer for sale or solicit offers to buy or otherwise negotiate in respect of any security (as defined in Section 2 of the Securities Act) that would be integrated with the offer or sale of the Shares in a manner that would require the registration under the Securities Act of the sale of the Shares or that would be integrated with the offer or sale of the Shares for purposes of the rules and regulations of any Trading Market such that it would require shareholder approval prior to the closing of such other transaction unless shareholder approval is obtained before the closing of such subsequent transaction.</w:t>
      </w:r>
    </w:p>
    <w:p>
      <w:pPr>
        <w:spacing w:after="0" w:line="188" w:lineRule="exact"/>
        <w:rPr>
          <w:sz w:val="20"/>
          <w:szCs w:val="20"/>
          <w:color w:val="auto"/>
        </w:rPr>
      </w:pPr>
    </w:p>
    <w:p>
      <w:pPr>
        <w:jc w:val="both"/>
        <w:ind w:firstLine="648"/>
        <w:spacing w:after="0" w:line="284" w:lineRule="auto"/>
        <w:rPr>
          <w:sz w:val="20"/>
          <w:szCs w:val="20"/>
          <w:color w:val="auto"/>
        </w:rPr>
      </w:pPr>
      <w:r>
        <w:rPr>
          <w:rFonts w:ascii="Arial" w:cs="Arial" w:eastAsia="Arial" w:hAnsi="Arial"/>
          <w:sz w:val="16"/>
          <w:szCs w:val="16"/>
          <w:color w:val="auto"/>
        </w:rPr>
        <w:t xml:space="preserve">4.4 </w:t>
      </w:r>
      <w:r>
        <w:rPr>
          <w:rFonts w:ascii="Arial" w:cs="Arial" w:eastAsia="Arial" w:hAnsi="Arial"/>
          <w:sz w:val="16"/>
          <w:szCs w:val="16"/>
          <w:u w:val="single" w:color="auto"/>
          <w:color w:val="auto"/>
        </w:rPr>
        <w:t>Securities Laws Disclosure; Publicity</w:t>
      </w:r>
      <w:r>
        <w:rPr>
          <w:rFonts w:ascii="Arial" w:cs="Arial" w:eastAsia="Arial" w:hAnsi="Arial"/>
          <w:sz w:val="16"/>
          <w:szCs w:val="16"/>
          <w:color w:val="auto"/>
        </w:rPr>
        <w:t>. The Company shall (a) by the Disclosure Time, issue a press release disclosing the material terms of the transactions contemplated hereby and any Nonpublic Information, and (b) file a Current Report on Form 8-K, including the Transaction Documents as exhibits thereto, with the Commission within the time required by the Exchange Act. From and after the issuance of such press release, the Company represents to the Purchasers that it shall have publicly disclosed all material, non-public information delivered to any of the Purchasers by the Company or any of its Subsidiaries, or any of their respective officers, directors, employees, Affiliates or agents, including, without limitation, the Financial Advisor, in connection with the transactions contemplated by the Transaction Documents. In addition, effective upon the issuance of such press release, the Company acknowledges and agrees that any and all confidentiality or similar obligations under any agreement, whether written or oral, between the Company, any of its Subsidiaries or any of their respective officers, directors, agents, employees, Affiliates or agents, including, without limitation, the Financial Advisor, on the one hand, and any of the Purchasers or any of their Affiliates on the other hand, shall terminate and be of no further force or effect. The Company understands and confirms that each Purchaser shall be relying on the foregoing covenant in effecting transactions in securities of the Company. The Company and each Purchaser shall consult with each other in issuing any other press releases with respect to the transactions contemplated hereby, and neither the Company nor any Purchaser shall issue any such press release nor otherwise make any such public statement other than required filings with the Commission without the prior consent of the Company, with respect to any press release of any Purchaser, or without the prior consent of each Purchaser, with respect to any press release of the Company, which consent shall not unreasonably be withheld or delayed, except if such disclosure is required by law, in which case the disclosing party shall promptly provide the other party with prior notice of such public statement or communication. Notwithstanding the foregoing, the Company shall not publicly disclose the name of any Purchaser, or include the name of any Purchaser in any filing with the Commission or any regulatory agency or Trading Market, without the prior written consent of such Purchaser, except (a) as required by federal securities law in connection with (i) any registration statement contemplated by the Registration Rights Agreement and (ii) the filing of final Transaction Documents with the Commission and (b) to the extent such disclosure is required by law or Trading Market regulations, in which case the Company shall provide the Purchasers with prior notice of such disclosure permitted under this clause (b) and reasonably cooperate with such Purchaser regarding such disclosure.</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1" w:name="page32"/>
    <w:bookmarkEnd w:id="31"/>
    <w:p>
      <w:pPr>
        <w:jc w:val="both"/>
        <w:ind w:firstLine="648"/>
        <w:spacing w:after="0" w:line="257" w:lineRule="auto"/>
        <w:rPr>
          <w:sz w:val="20"/>
          <w:szCs w:val="20"/>
          <w:color w:val="auto"/>
        </w:rPr>
      </w:pPr>
      <w:r>
        <w:rPr>
          <w:rFonts w:ascii="Arial" w:cs="Arial" w:eastAsia="Arial" w:hAnsi="Arial"/>
          <w:sz w:val="18"/>
          <w:szCs w:val="18"/>
          <w:color w:val="auto"/>
        </w:rPr>
        <w:t xml:space="preserve">4.5 </w:t>
      </w:r>
      <w:r>
        <w:rPr>
          <w:rFonts w:ascii="Arial" w:cs="Arial" w:eastAsia="Arial" w:hAnsi="Arial"/>
          <w:sz w:val="18"/>
          <w:szCs w:val="18"/>
          <w:u w:val="single" w:color="auto"/>
          <w:color w:val="auto"/>
        </w:rPr>
        <w:t>Shareholder Rights Plan</w:t>
      </w:r>
      <w:r>
        <w:rPr>
          <w:rFonts w:ascii="Arial" w:cs="Arial" w:eastAsia="Arial" w:hAnsi="Arial"/>
          <w:sz w:val="18"/>
          <w:szCs w:val="18"/>
          <w:color w:val="auto"/>
        </w:rPr>
        <w:t>. No claim will be made or enforced by the Company or, with the consent of the Company, any other Person, that any Purchaser is an “</w:t>
      </w:r>
      <w:r>
        <w:rPr>
          <w:rFonts w:ascii="Arial" w:cs="Arial" w:eastAsia="Arial" w:hAnsi="Arial"/>
          <w:sz w:val="18"/>
          <w:szCs w:val="18"/>
          <w:u w:val="single" w:color="auto"/>
          <w:color w:val="auto"/>
        </w:rPr>
        <w:t>Acquiring Person</w:t>
      </w:r>
      <w:r>
        <w:rPr>
          <w:rFonts w:ascii="Arial" w:cs="Arial" w:eastAsia="Arial" w:hAnsi="Arial"/>
          <w:sz w:val="18"/>
          <w:szCs w:val="18"/>
          <w:color w:val="auto"/>
        </w:rPr>
        <w:t>” under any control share acquisition, business combination, poison pill (including any distribution under a rights agreement) or similar anti-takeover plan or arrangement in effect or hereafter adopted by the Company, or that any Purchaser could be deemed to trigger the provisions of any such plan or arrangement, by virtue of receiving Shares under the Transaction Documents or under any other agreement between the Company and the Purchasers.</w:t>
      </w:r>
    </w:p>
    <w:p>
      <w:pPr>
        <w:spacing w:after="0" w:line="188"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 xml:space="preserve">4.6 </w:t>
      </w:r>
      <w:r>
        <w:rPr>
          <w:rFonts w:ascii="Arial" w:cs="Arial" w:eastAsia="Arial" w:hAnsi="Arial"/>
          <w:sz w:val="16"/>
          <w:szCs w:val="16"/>
          <w:u w:val="single" w:color="auto"/>
          <w:color w:val="auto"/>
        </w:rPr>
        <w:t>Non-Public Information</w:t>
      </w:r>
      <w:r>
        <w:rPr>
          <w:rFonts w:ascii="Arial" w:cs="Arial" w:eastAsia="Arial" w:hAnsi="Arial"/>
          <w:sz w:val="16"/>
          <w:szCs w:val="16"/>
          <w:color w:val="auto"/>
        </w:rPr>
        <w:t xml:space="preserve">. Except with respect to the material terms and conditions of the transactions contemplated by the Transaction Documents and any Nonpublic Information, which shall be disclosed pursuant to Section 4.4, the Company covenants and agrees that neither it, nor any other Person acting on its behalf will provide any Purchaser or its agents or counsel with any information that constitutes, or the Company reasonably believes constitutes, material non-public information, unless prior thereto such Purchaser shall have consented in writing to the receipt of such information and agreed in writing with the Company to keep such information confidential. The Company understands and confirms that each Purchaser shall be relying on the foregoing covenant in effecting transactions in securities of the Company. To the extent that the Company, any of its Subsidiaries, or any of their respective officers, directors, agents, employees or Affiliates delivers any material, non-public information to a Purchaser without such Purchaser’s consent </w:t>
      </w:r>
      <w:r>
        <w:rPr>
          <w:rFonts w:ascii="Arial" w:cs="Arial" w:eastAsia="Arial" w:hAnsi="Arial"/>
          <w:sz w:val="16"/>
          <w:szCs w:val="16"/>
          <w:u w:val="single" w:color="auto"/>
          <w:color w:val="auto"/>
        </w:rPr>
        <w:t>(for purposes of this sentence, each Purchaser shall be deemed to have consented to the receipt of any Nonpublic Information)</w:t>
      </w:r>
      <w:r>
        <w:rPr>
          <w:rFonts w:ascii="Arial" w:cs="Arial" w:eastAsia="Arial" w:hAnsi="Arial"/>
          <w:sz w:val="16"/>
          <w:szCs w:val="16"/>
          <w:color w:val="auto"/>
        </w:rPr>
        <w:t>, the Company hereby covenants and agrees that such Purchaser shall not have any duty of confidentiality to the Company, any of its Subsidiaries, or any of their respective officers, directors, employees, Affiliates or agents, including, without limitation, the Financial Advisor, or a duty to the Company, any of its Subsidiaries or any of their respective officers, directors, employees, Affiliates or agents, including, without limitation, the Financial Advisor, not to trade on the basis of, such material, non-public information, provided that the Purchaser shall remain subject to applicable law. To the extent that any notice provided pursuant to any Transaction Document constitutes, or contains, material, non-public information regarding the Company or any Subsidiaries, the Company shall simultaneously with the delivery of such notice file such notice with the Commission pursuant to a Current Report on Form 8-K. The Company understands and confirms that each Purchaser shall be relying on the foregoing covenant in effecting transactions in securities of the Company.</w:t>
      </w:r>
    </w:p>
    <w:p>
      <w:pPr>
        <w:spacing w:after="0" w:line="16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4.7 </w:t>
      </w:r>
      <w:r>
        <w:rPr>
          <w:rFonts w:ascii="Arial" w:cs="Arial" w:eastAsia="Arial" w:hAnsi="Arial"/>
          <w:sz w:val="18"/>
          <w:szCs w:val="18"/>
          <w:u w:val="single" w:color="auto"/>
          <w:color w:val="auto"/>
        </w:rPr>
        <w:t>Use of Proceeds</w:t>
      </w:r>
      <w:r>
        <w:rPr>
          <w:rFonts w:ascii="Arial" w:cs="Arial" w:eastAsia="Arial" w:hAnsi="Arial"/>
          <w:sz w:val="18"/>
          <w:szCs w:val="18"/>
          <w:color w:val="auto"/>
        </w:rPr>
        <w:t>. The Company shall use the net proceeds from the sale of the Shares hereunder for working capital and general corporate purposes and shall not use such proceeds: (a) for the satisfaction of any portion of the Company’s debt (other than payment of trade payables in the ordinary course of the Company’s business and prior practices), (b) for the redemption of any Common Stock or Common Stock Equivalents, (c) for the settlement of any outstanding litigation or (d) in violation of FCPA or OFAC regulations.</w:t>
      </w:r>
    </w:p>
    <w:p>
      <w:pPr>
        <w:spacing w:after="0" w:line="187" w:lineRule="exact"/>
        <w:rPr>
          <w:sz w:val="20"/>
          <w:szCs w:val="20"/>
          <w:color w:val="auto"/>
        </w:rPr>
      </w:pPr>
    </w:p>
    <w:p>
      <w:pPr>
        <w:jc w:val="both"/>
        <w:ind w:firstLine="648"/>
        <w:spacing w:after="0" w:line="283" w:lineRule="auto"/>
        <w:rPr>
          <w:sz w:val="20"/>
          <w:szCs w:val="20"/>
          <w:color w:val="auto"/>
        </w:rPr>
      </w:pPr>
      <w:r>
        <w:rPr>
          <w:rFonts w:ascii="Arial" w:cs="Arial" w:eastAsia="Arial" w:hAnsi="Arial"/>
          <w:sz w:val="16"/>
          <w:szCs w:val="16"/>
          <w:color w:val="auto"/>
        </w:rPr>
        <w:t xml:space="preserve">4.8 </w:t>
      </w:r>
      <w:r>
        <w:rPr>
          <w:rFonts w:ascii="Arial" w:cs="Arial" w:eastAsia="Arial" w:hAnsi="Arial"/>
          <w:sz w:val="16"/>
          <w:szCs w:val="16"/>
          <w:u w:val="single" w:color="auto"/>
          <w:color w:val="auto"/>
        </w:rPr>
        <w:t>Indemnification of Purchasers</w:t>
      </w:r>
      <w:r>
        <w:rPr>
          <w:rFonts w:ascii="Arial" w:cs="Arial" w:eastAsia="Arial" w:hAnsi="Arial"/>
          <w:sz w:val="16"/>
          <w:szCs w:val="16"/>
          <w:color w:val="auto"/>
        </w:rPr>
        <w:t>. Subject to the provisions of this Section 4.8, the Company will indemnify and hold each Purchaser and its directors, officers, shareholders, members, partners, employees and agents (and any other Persons with a functionally equivalent role of a Person holding such titles notwithstanding a lack of such title or any other title), each Person who controls such Purchaser (within the meaning of Section 15 of the Securities Act and Section 20 of the Exchange Act), and the directors, officers, shareholders, agents, members, partners or employees (and any other Persons with a functionally equivalent role of a Person holding such titles notwithstanding a lack of such title or any other title) of such controlling persons (each, a “Purchaser Party”) harmless from any and all losses, liabilities, obligations, claims, contingencies, damages, costs and expenses, including all judgments, amounts paid in settlements, court costs and reasonable attorneys’ fees and costs of investigation that any such Purchaser Party may suffer or incur as a result of or relating to (a) any breach of any of the representations, warranties, covenants or agreements made by the Company in this Agreement or in the other Transaction Documents or (b) any action instituted against the Purchaser Parties in any capacity, or any of them or their respective Affiliates, by any stockholder of the Company who is not an Affiliate of such Purchaser Party, with respect to any of the transactions contemplated by the Transaction Documents (unless such action is solely based upon a material breach of such Purchaser Party’s representations, warranties or covenants under the Transaction Documents or any agreements or understandings such Purchaser Party may have with any such stockholder or any violations by such Purchaser Party of state or federal securities laws or any conduct by such Purchaser Party which is finally judicially determined to constitute fraud, gross negligence or willful misconduct. If any action shall be brought against any Purchaser Party in respect of which indemnity may be sought pursuant to this Agreement, such Purchaser Party shall promptly notify the Company in writing, and, the Company shall have the right to assume the defense thereof with counsel of its own choosing reasonably acceptable to the Purchaser Party. To the extent that a Purchaser Party fails to provide timely notice of a claim for indemnity under this Section 4.8 and such failure materially prejudices the Company’s ability to defend against such claim, the Company shall have no obligation under this Section 4.8 to indemnify the Purchaser Party for the claim (or portion thereof) that was so affected. Any Purchaser Party shall have the right to employ separate counsel in any such action and participate in the defense thereof, but the fees and expenses of such counsel shall be at the expense of such Purchaser Party except to the extent that (i) the employment thereof has been specifically authorized by the Company in writing, (ii) the Company has failed after a reasonable period of time to assume such defense and to employ counsel or (iii) in such action there is, in the reasonable opinion of counsel a material conflict on any material issue between the position of the Company and the position of such Purchaser Party, in which case the Company shall be responsible for the reasonable and documented fees and expenses of no more than one such separate counsel. The Company will not be liable to any Purchaser Party under this Agreement (y) for any settlement by a Purchaser Party effected without the Company’s prior written consent, which shall not be unreasonably withheld or delayed; or (z) to the extent, but only to the extent that a loss, claim, damage or liability is attributable to any Purchaser Party’s breach of any of the representations, warranties, covenants or agreements made by such Purchaser Party in this Agreement or in the other Transaction Documents. The indemnification required by this Section 4.8 shall be made by periodic payments of the amount thereof during the course of the investigation or defense, as and when bills are received or are incurred; provided, however, that if it is subsequently determined by a final, non-appealable judgment of a court of competent jurisdiction that a Purchaser was not entitled to receive such periodic payments, such Purchaser shall promptly (but in no event later than five Business Days) return such payments to the Company. The indemnity agreements contained herein shall be in addition to any cause of action or similar right of any Purchaser Party against the Company or others and any liabilities the Company may be subject to pursuant to law.</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2" w:name="page33"/>
    <w:bookmarkEnd w:id="32"/>
    <w:p>
      <w:pPr>
        <w:jc w:val="both"/>
        <w:ind w:firstLine="648"/>
        <w:spacing w:after="0" w:line="289" w:lineRule="auto"/>
        <w:rPr>
          <w:sz w:val="20"/>
          <w:szCs w:val="20"/>
          <w:color w:val="auto"/>
        </w:rPr>
      </w:pPr>
      <w:r>
        <w:rPr>
          <w:rFonts w:ascii="Arial" w:cs="Arial" w:eastAsia="Arial" w:hAnsi="Arial"/>
          <w:sz w:val="16"/>
          <w:szCs w:val="16"/>
          <w:color w:val="auto"/>
        </w:rPr>
        <w:t xml:space="preserve">4.9 </w:t>
      </w:r>
      <w:r>
        <w:rPr>
          <w:rFonts w:ascii="Arial" w:cs="Arial" w:eastAsia="Arial" w:hAnsi="Arial"/>
          <w:sz w:val="16"/>
          <w:szCs w:val="16"/>
          <w:u w:val="single" w:color="auto"/>
          <w:color w:val="auto"/>
        </w:rPr>
        <w:t>Listing of Common Stock</w:t>
      </w:r>
      <w:r>
        <w:rPr>
          <w:rFonts w:ascii="Arial" w:cs="Arial" w:eastAsia="Arial" w:hAnsi="Arial"/>
          <w:sz w:val="16"/>
          <w:szCs w:val="16"/>
          <w:color w:val="auto"/>
        </w:rPr>
        <w:t>. The Company hereby agrees to use commercially reasonable efforts to maintain the listing or quotation of the Common Stock on the Trading Market on which it is currently listed, and concurrently with the Closing, the Company shall apply to list or quote all of the Shares on such Trading Market and promptly secure the listing of all of the Shares on such Trading Market. The Company further agrees, if the Company applies to have the Common Stock traded on any other Trading Market, it will then include in such application all of the Shares, and will take such other action as is necessary to cause all of the Shares to be listed or quoted on such other Trading Market as promptly as possible. The Company will then take all action reasonably necessary to continue the listing and trading of its Common Stock on a Trading Market and will comply in all respects with the Company’s reporting, filing and other obligations under the bylaws or rules of the Trading Market. The Company agrees to maintain the eligibility of the Common Stock for electronic transfer through the Depository Trust Company or another established clearing corporation, including, without limitation, by timely payment of fees to the Depository Trust Company or such other established clearing corporation in connection with such electronic transfer.</w:t>
      </w:r>
    </w:p>
    <w:p>
      <w:pPr>
        <w:spacing w:after="0" w:line="166"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 xml:space="preserve">4.10 </w:t>
      </w:r>
      <w:r>
        <w:rPr>
          <w:rFonts w:ascii="Arial" w:cs="Arial" w:eastAsia="Arial" w:hAnsi="Arial"/>
          <w:sz w:val="17"/>
          <w:szCs w:val="17"/>
          <w:u w:val="single" w:color="auto"/>
          <w:color w:val="auto"/>
        </w:rPr>
        <w:t>Subsequent Equity Sales</w:t>
      </w:r>
      <w:r>
        <w:rPr>
          <w:rFonts w:ascii="Arial" w:cs="Arial" w:eastAsia="Arial" w:hAnsi="Arial"/>
          <w:sz w:val="17"/>
          <w:szCs w:val="17"/>
          <w:color w:val="auto"/>
        </w:rPr>
        <w:t>. From the date hereof until 45 days after the Effective Date, neither the Company nor any Subsidiary shall (i) issue, enter into any agreement to issue or announce the issuance or proposed issuance of any shares of Common Stock or Common Stock Equivalents or (ii) file any registration statement or any amendment or supplement thereto, in each case other than as contemplated pursuant to the Registration Rights Agreement. Notwithstanding the foregoing, this Section 4.11 shall not apply in respect of an Exempt Issuance.</w:t>
      </w:r>
    </w:p>
    <w:p>
      <w:pPr>
        <w:spacing w:after="0" w:line="171"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 xml:space="preserve">4.11 </w:t>
      </w:r>
      <w:r>
        <w:rPr>
          <w:rFonts w:ascii="Arial" w:cs="Arial" w:eastAsia="Arial" w:hAnsi="Arial"/>
          <w:sz w:val="16"/>
          <w:szCs w:val="16"/>
          <w:u w:val="single" w:color="auto"/>
          <w:color w:val="auto"/>
        </w:rPr>
        <w:t>Equal Treatment of Purchasers</w:t>
      </w:r>
      <w:r>
        <w:rPr>
          <w:rFonts w:ascii="Arial" w:cs="Arial" w:eastAsia="Arial" w:hAnsi="Arial"/>
          <w:sz w:val="16"/>
          <w:szCs w:val="16"/>
          <w:color w:val="auto"/>
        </w:rPr>
        <w:t>. No consideration (including any modification of any Transaction Document) shall be offered or paid to any Person to amend or consent to a waiver or modification of any provision of the Transaction Documents unless the same consideration is also offered to all of the parties to the Transaction Documents. For clarification purposes, this provision constitutes a separate right granted to each Purchaser by the Company and negotiated separately by each Purchaser, and is intended for the Company to treat the Purchasers as a class and shall not in any way be construed as the Purchasers acting in concert or as a group with respect to the purchase, disposition or voting of Shares or otherwise.</w:t>
      </w:r>
    </w:p>
    <w:p>
      <w:pPr>
        <w:spacing w:after="0" w:line="161" w:lineRule="exact"/>
        <w:rPr>
          <w:sz w:val="20"/>
          <w:szCs w:val="20"/>
          <w:color w:val="auto"/>
        </w:rPr>
      </w:pPr>
    </w:p>
    <w:p>
      <w:pPr>
        <w:jc w:val="both"/>
        <w:ind w:firstLine="648"/>
        <w:spacing w:after="0" w:line="267" w:lineRule="auto"/>
        <w:rPr>
          <w:sz w:val="20"/>
          <w:szCs w:val="20"/>
          <w:color w:val="auto"/>
        </w:rPr>
      </w:pPr>
      <w:r>
        <w:rPr>
          <w:rFonts w:ascii="Arial" w:cs="Arial" w:eastAsia="Arial" w:hAnsi="Arial"/>
          <w:sz w:val="17"/>
          <w:szCs w:val="17"/>
          <w:color w:val="auto"/>
        </w:rPr>
        <w:t xml:space="preserve">4.12 </w:t>
      </w:r>
      <w:r>
        <w:rPr>
          <w:rFonts w:ascii="Arial" w:cs="Arial" w:eastAsia="Arial" w:hAnsi="Arial"/>
          <w:sz w:val="17"/>
          <w:szCs w:val="17"/>
          <w:u w:val="single" w:color="auto"/>
          <w:color w:val="auto"/>
        </w:rPr>
        <w:t>Certain Transactions and Confidentiality</w:t>
      </w:r>
      <w:r>
        <w:rPr>
          <w:rFonts w:ascii="Arial" w:cs="Arial" w:eastAsia="Arial" w:hAnsi="Arial"/>
          <w:sz w:val="17"/>
          <w:szCs w:val="17"/>
          <w:color w:val="auto"/>
        </w:rPr>
        <w:t>. Each Purchaser, severally and not jointly with the other Purchasers, covenants that neither it, nor any Affiliate acting on its behalf or pursuant to any understanding with it will execute any purchases or sales, including Short Sales, of any of the Company’s securities during the period commencing with the execution of this Agreement and ending at such time that the transactions contemplated by this Agreement are first publicly announced pursuant to the initial press release as described in Section 4.4. Each Purchaser, severally and not jointly with the other Purchasers, covenants that until such time as the transactions contemplated by this Agreement are publicly disclosed by the Company pursuant to the initial press release as described in Section 4.4, such Purchaser will maintain the confidentiality of the existence and terms of this transaction and the information included in the Disclosure Schedules (other than as disclosed to its legal and other representatives). Notwithstanding the foregoing and notwithstanding anything contained in this Agreement to the contrary, the Company expressly acknowledges and agrees that (i) no Purchaser makes any representation, warranty or covenant hereby that it will not engage in effecting transactions in any securities of the Company after the time that the transactions contemplated by this Agreement are first publicly announced pursuant to the initial press release as described in Section 4.4, (ii) no Purchaser shall be restricted or prohibited from effecting any transactions in any securities of the Company in accordance with applicable securities laws from and after the time that the transactions contemplated by this Agreement are first publicly announced pursuant to the initial press release as described in Section 4.4 and (iii) no Purchaser shall have any duty of confidentiality or duty not to trade in the securities of the Company to the Company, any of its Subsidiaries, or any of their respective officers, directors, employees, Affiliates or agent, including , without limitation, the Financial Advisor after the issuance of the initial press release as described in Section 4.4. Notwithstanding the foregoing, in the case of a Purchaser that is a multi-managed investment vehicle whereby separate portfolio managers manage separate portions of such Purchaser’s assets and the portfolio managers have no direct knowledge of the investment decisions made by the portfolio managers managing other portions of such Purchaser’s assets, the covenant set forth above shall only apply with respect to the portion of assets managed by the portfolio manager that made the investment decision to purchase the Shares covered by this Agreement.</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3" w:name="page34"/>
    <w:bookmarkEnd w:id="33"/>
    <w:p>
      <w:pPr>
        <w:jc w:val="both"/>
        <w:ind w:firstLine="648"/>
        <w:spacing w:after="0" w:line="279" w:lineRule="auto"/>
        <w:rPr>
          <w:sz w:val="20"/>
          <w:szCs w:val="20"/>
          <w:color w:val="auto"/>
        </w:rPr>
      </w:pPr>
      <w:r>
        <w:rPr>
          <w:rFonts w:ascii="Arial" w:cs="Arial" w:eastAsia="Arial" w:hAnsi="Arial"/>
          <w:sz w:val="17"/>
          <w:szCs w:val="17"/>
          <w:color w:val="auto"/>
        </w:rPr>
        <w:t xml:space="preserve">4.13 </w:t>
      </w:r>
      <w:r>
        <w:rPr>
          <w:rFonts w:ascii="Arial" w:cs="Arial" w:eastAsia="Arial" w:hAnsi="Arial"/>
          <w:sz w:val="17"/>
          <w:szCs w:val="17"/>
          <w:u w:val="single" w:color="auto"/>
          <w:color w:val="auto"/>
        </w:rPr>
        <w:t>Form D; Blue Sky Filings</w:t>
      </w:r>
      <w:r>
        <w:rPr>
          <w:rFonts w:ascii="Arial" w:cs="Arial" w:eastAsia="Arial" w:hAnsi="Arial"/>
          <w:sz w:val="17"/>
          <w:szCs w:val="17"/>
          <w:color w:val="auto"/>
        </w:rPr>
        <w:t>. The Company agrees to timely file a Form D with respect to the Shares as required under Regulation D and to provide a copy thereof, promptly upon request of any Purchaser. The Company shall take such action as the Company shall reasonably determine is necessary in order to obtain an exemption for, or to qualify the Shares for, sale to the Purchasers at the Closing under applicable securities or “Blue Sky” laws of the states of the United States, and shall provide evidence of such actions promptly upon request of any Purchaser.</w:t>
      </w:r>
    </w:p>
    <w:p>
      <w:pPr>
        <w:spacing w:after="0" w:line="17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4.14 </w:t>
      </w:r>
      <w:r>
        <w:rPr>
          <w:rFonts w:ascii="Arial" w:cs="Arial" w:eastAsia="Arial" w:hAnsi="Arial"/>
          <w:sz w:val="18"/>
          <w:szCs w:val="18"/>
          <w:u w:val="single" w:color="auto"/>
          <w:color w:val="auto"/>
        </w:rPr>
        <w:t>Lock-Up Agreements</w:t>
      </w:r>
      <w:r>
        <w:rPr>
          <w:rFonts w:ascii="Arial" w:cs="Arial" w:eastAsia="Arial" w:hAnsi="Arial"/>
          <w:sz w:val="18"/>
          <w:szCs w:val="18"/>
          <w:color w:val="auto"/>
        </w:rPr>
        <w:t>. The Company shall not amend, modify, waive or terminate any provision of any of the Lock-Up Agreements except to extend the term of the lock-up period and shall enforce the provisions of each of each Lock-Up Agreement in the accordance with its terms. If any party to a Lock-Up Agreement breaches any provision of a Lock-Up Agreement, the Company shall promptly use its best efforts to seek specific performance of the terms of such Lock-Up Agreement.</w:t>
      </w:r>
    </w:p>
    <w:p>
      <w:pPr>
        <w:spacing w:after="0" w:line="187"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 xml:space="preserve">4.15 </w:t>
      </w:r>
      <w:r>
        <w:rPr>
          <w:rFonts w:ascii="Arial" w:cs="Arial" w:eastAsia="Arial" w:hAnsi="Arial"/>
          <w:sz w:val="18"/>
          <w:szCs w:val="18"/>
          <w:u w:val="single" w:color="auto"/>
          <w:color w:val="auto"/>
        </w:rPr>
        <w:t>Acknowledgment of Dilution</w:t>
      </w:r>
      <w:r>
        <w:rPr>
          <w:rFonts w:ascii="Arial" w:cs="Arial" w:eastAsia="Arial" w:hAnsi="Arial"/>
          <w:sz w:val="18"/>
          <w:szCs w:val="18"/>
          <w:color w:val="auto"/>
        </w:rPr>
        <w:t>. The Company acknowledges that the issuance of the Shares may result in dilution of the outstanding shares of Common Stock, which dilution may be substantial under certain market conditions. The Company further acknowledges that its obligations under the Transaction Documents, including, without limitation, its obligation to issue the Shares pursuant to the Transaction Documents, are unconditional and absolute and not subject to any right of set off, counterclaim, delay or reduction, regardless of the effect of any such dilution or any claim the Company may have against any Purchaser and regardless of the dilutive effect that such issuance may have on the ownership of the other stockholders of the Company.</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V.</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MISCELLANEOUS</w:t>
      </w:r>
    </w:p>
    <w:p>
      <w:pPr>
        <w:spacing w:after="0" w:line="211"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 xml:space="preserve">5.1 </w:t>
      </w:r>
      <w:r>
        <w:rPr>
          <w:rFonts w:ascii="Arial" w:cs="Arial" w:eastAsia="Arial" w:hAnsi="Arial"/>
          <w:sz w:val="16"/>
          <w:szCs w:val="16"/>
          <w:u w:val="single" w:color="auto"/>
          <w:color w:val="auto"/>
        </w:rPr>
        <w:t>Termination</w:t>
      </w:r>
      <w:r>
        <w:rPr>
          <w:rFonts w:ascii="Arial" w:cs="Arial" w:eastAsia="Arial" w:hAnsi="Arial"/>
          <w:sz w:val="16"/>
          <w:szCs w:val="16"/>
          <w:color w:val="auto"/>
        </w:rPr>
        <w:t>. This Agreement may be terminated by any Purchaser before the Closing, as to such Purchaser’s obligations hereunder only and without any effect whatsoever on the obligations between the Company and the other Purchasers, by written notice to the other parties, if the Closing has</w:t>
      </w:r>
    </w:p>
    <w:p>
      <w:pPr>
        <w:jc w:val="both"/>
        <w:spacing w:after="0" w:line="238" w:lineRule="auto"/>
        <w:rPr>
          <w:sz w:val="20"/>
          <w:szCs w:val="20"/>
          <w:color w:val="auto"/>
        </w:rPr>
      </w:pPr>
      <w:r>
        <w:rPr>
          <w:rFonts w:ascii="Arial" w:cs="Arial" w:eastAsia="Arial" w:hAnsi="Arial"/>
          <w:sz w:val="17"/>
          <w:szCs w:val="17"/>
          <w:color w:val="auto"/>
        </w:rPr>
        <w:t>not been consummated on or before the fifth (5</w:t>
      </w:r>
      <w:r>
        <w:rPr>
          <w:rFonts w:ascii="Arial" w:cs="Arial" w:eastAsia="Arial" w:hAnsi="Arial"/>
          <w:sz w:val="28"/>
          <w:szCs w:val="28"/>
          <w:color w:val="auto"/>
          <w:vertAlign w:val="superscript"/>
        </w:rPr>
        <w:t>th</w:t>
      </w:r>
      <w:r>
        <w:rPr>
          <w:rFonts w:ascii="Arial" w:cs="Arial" w:eastAsia="Arial" w:hAnsi="Arial"/>
          <w:sz w:val="17"/>
          <w:szCs w:val="17"/>
          <w:color w:val="auto"/>
        </w:rPr>
        <w:t xml:space="preserve">) Trading Day following the date hereof;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no such termination will affect the right of any party to sue for any breach by any other party (or parties); provided, further, that the right to terminate this Agreement pursuant to this Section 5.1 shall not be available to a party if such party’s breach of any representation, warranty, covenant or other agreement contained in this Agreement is the primary cause of the failure of the Closing to be consummated in accordance with the foregoing.</w:t>
      </w:r>
    </w:p>
    <w:p>
      <w:pPr>
        <w:spacing w:after="0" w:line="20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 xml:space="preserve">5.2 </w:t>
      </w:r>
      <w:r>
        <w:rPr>
          <w:rFonts w:ascii="Arial" w:cs="Arial" w:eastAsia="Arial" w:hAnsi="Arial"/>
          <w:sz w:val="18"/>
          <w:szCs w:val="18"/>
          <w:u w:val="single" w:color="auto"/>
          <w:color w:val="auto"/>
        </w:rPr>
        <w:t>Fees and Expenses</w:t>
      </w:r>
      <w:r>
        <w:rPr>
          <w:rFonts w:ascii="Arial" w:cs="Arial" w:eastAsia="Arial" w:hAnsi="Arial"/>
          <w:sz w:val="18"/>
          <w:szCs w:val="18"/>
          <w:color w:val="auto"/>
        </w:rPr>
        <w:t>. Except as expressly set forth in the Transaction Documents to the contrary, each party shall pay the fees and expenses of its advisers, counsel, accountants and other experts, if any, and all other expenses incurred by such party incident to the negotiation, preparation, execution, delivery and performance of this Agreement. The Company shall pay all Transfer Agent fees (including, without limitation, any fees required for same-day processing of any instruction letter delivered by the Company and any exercise notice delivered by a Purchaser), stamp taxes and other taxes and duties levied in connection with the delivery of any Shares to the Purchasers.</w:t>
      </w:r>
    </w:p>
    <w:p>
      <w:pPr>
        <w:spacing w:after="0" w:line="188"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 xml:space="preserve">5.3 </w:t>
      </w:r>
      <w:r>
        <w:rPr>
          <w:rFonts w:ascii="Arial" w:cs="Arial" w:eastAsia="Arial" w:hAnsi="Arial"/>
          <w:sz w:val="18"/>
          <w:szCs w:val="18"/>
          <w:u w:val="single" w:color="auto"/>
          <w:color w:val="auto"/>
        </w:rPr>
        <w:t>Entire Agreement</w:t>
      </w:r>
      <w:r>
        <w:rPr>
          <w:rFonts w:ascii="Arial" w:cs="Arial" w:eastAsia="Arial" w:hAnsi="Arial"/>
          <w:sz w:val="18"/>
          <w:szCs w:val="18"/>
          <w:color w:val="auto"/>
        </w:rPr>
        <w:t>. The Transaction Documents, together with the exhibits and schedules thereto, contain the entire understanding of the parties with respect to the subject matter hereof and thereof and supersede all prior agreements and understandings, oral or written, with respect to such matters, which the parties acknowledge have been merged into such documents, exhibits and schedules.</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4" w:name="page35"/>
    <w:bookmarkEnd w:id="34"/>
    <w:p>
      <w:pPr>
        <w:jc w:val="both"/>
        <w:ind w:firstLine="648"/>
        <w:spacing w:after="0" w:line="286" w:lineRule="auto"/>
        <w:rPr>
          <w:sz w:val="20"/>
          <w:szCs w:val="20"/>
          <w:color w:val="auto"/>
        </w:rPr>
      </w:pPr>
      <w:r>
        <w:rPr>
          <w:rFonts w:ascii="Arial" w:cs="Arial" w:eastAsia="Arial" w:hAnsi="Arial"/>
          <w:sz w:val="16"/>
          <w:szCs w:val="16"/>
          <w:color w:val="auto"/>
        </w:rPr>
        <w:t xml:space="preserve">5.4 </w:t>
      </w:r>
      <w:r>
        <w:rPr>
          <w:rFonts w:ascii="Arial" w:cs="Arial" w:eastAsia="Arial" w:hAnsi="Arial"/>
          <w:sz w:val="16"/>
          <w:szCs w:val="16"/>
          <w:u w:val="single" w:color="auto"/>
          <w:color w:val="auto"/>
        </w:rPr>
        <w:t>Notices</w:t>
      </w:r>
      <w:r>
        <w:rPr>
          <w:rFonts w:ascii="Arial" w:cs="Arial" w:eastAsia="Arial" w:hAnsi="Arial"/>
          <w:sz w:val="16"/>
          <w:szCs w:val="16"/>
          <w:color w:val="auto"/>
        </w:rPr>
        <w:t>. Any and all notices or other communications or deliveries required or permitted to be provided hereunder shall be in writing and shall be deemed given and effective on the earliest of: (a) the time of transmission, if such notice or communication is delivered via email attachment at the email address as set forth on the signature pages attached hereto at or prior to 5:30 p.m. (New York City time) on a Trading Day, (b) the next Trading Day after the time of transmission, if such notice or communication is delivered via email attachment at the email address as set forth on the signature pages</w:t>
      </w:r>
    </w:p>
    <w:p>
      <w:pPr>
        <w:spacing w:after="0" w:line="1" w:lineRule="exact"/>
        <w:rPr>
          <w:sz w:val="20"/>
          <w:szCs w:val="20"/>
          <w:color w:val="auto"/>
        </w:rPr>
      </w:pPr>
    </w:p>
    <w:p>
      <w:pPr>
        <w:jc w:val="both"/>
        <w:spacing w:after="0" w:line="231" w:lineRule="auto"/>
        <w:rPr>
          <w:sz w:val="20"/>
          <w:szCs w:val="20"/>
          <w:color w:val="auto"/>
        </w:rPr>
      </w:pPr>
      <w:r>
        <w:rPr>
          <w:rFonts w:ascii="Arial" w:cs="Arial" w:eastAsia="Arial" w:hAnsi="Arial"/>
          <w:sz w:val="17"/>
          <w:szCs w:val="17"/>
          <w:color w:val="auto"/>
        </w:rPr>
        <w:t>attached hereto on a day that is not a Trading Day or later than 5:30 p.m. (New York City time) on any Trading Day, (c) the second (2</w:t>
      </w:r>
      <w:r>
        <w:rPr>
          <w:rFonts w:ascii="Arial" w:cs="Arial" w:eastAsia="Arial" w:hAnsi="Arial"/>
          <w:sz w:val="28"/>
          <w:szCs w:val="28"/>
          <w:color w:val="auto"/>
          <w:vertAlign w:val="superscript"/>
        </w:rPr>
        <w:t>nd</w:t>
      </w:r>
      <w:r>
        <w:rPr>
          <w:rFonts w:ascii="Arial" w:cs="Arial" w:eastAsia="Arial" w:hAnsi="Arial"/>
          <w:sz w:val="17"/>
          <w:szCs w:val="17"/>
          <w:color w:val="auto"/>
        </w:rPr>
        <w:t>) Trading Day following the date of mailing, if sent by U.S. nationally recognized overnight courier service or (d) upon actual receipt by the party to whom such notice is required to be given. The address for such notices and communications shall be as set forth on the signature pages attached hereto.</w:t>
      </w:r>
    </w:p>
    <w:p>
      <w:pPr>
        <w:spacing w:after="0" w:line="204"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 xml:space="preserve">5.5 </w:t>
      </w:r>
      <w:r>
        <w:rPr>
          <w:rFonts w:ascii="Arial" w:cs="Arial" w:eastAsia="Arial" w:hAnsi="Arial"/>
          <w:sz w:val="16"/>
          <w:szCs w:val="16"/>
          <w:u w:val="single" w:color="auto"/>
          <w:color w:val="auto"/>
        </w:rPr>
        <w:t>Amendments; Waivers</w:t>
      </w:r>
      <w:r>
        <w:rPr>
          <w:rFonts w:ascii="Arial" w:cs="Arial" w:eastAsia="Arial" w:hAnsi="Arial"/>
          <w:sz w:val="16"/>
          <w:szCs w:val="16"/>
          <w:color w:val="auto"/>
        </w:rPr>
        <w:t>. No provision of this Agreement may be waived, modified, supplemented or amended except in a written instrument signed, in the case of an amendment, by the Company and Purchasers which purchased at least 50.1% in interest of the Shares based on the initial Subscription Amounts hereunder (or, prior to the Closing, the Company and each Purchaser) or, in the case of a waiver, by the party against whom enforcement of any such waived provision is sought, provided that if any amendment, modification or waiver disproportionately and adversely impacts a Purchaser (or group of Purchasers), the consent of at least 50.1% in interest (based on the initial Subscription Amounts hereunder) of such disproportionately impacted Purchaser (or group of Purchasers) shall also be required. No waiver of any default with respect to any provision, condition or requirement of this Agreement shall be deemed to be a continuing waiver in the future or a waiver of any subsequent default or a waiver of any other provision, condition or requirement hereof, nor shall any delay or omission of any party to exercise any right hereunder in any manner impair the exercise of any such right. Any proposed amendment or waiver that disproportionately, materially and adversely affects the rights and obligations of any Purchaser relative to the comparable rights and obligations of the other Purchasers shall require the prior written consent of such adversely affected Purchaser. Any amendment effected in accordance with this Section 5.5 shall be binding upon each Purchaser and holder of Shares and the Company.</w:t>
      </w:r>
    </w:p>
    <w:p>
      <w:pPr>
        <w:spacing w:after="0" w:line="17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 xml:space="preserve">5.6 </w:t>
      </w:r>
      <w:r>
        <w:rPr>
          <w:rFonts w:ascii="Arial" w:cs="Arial" w:eastAsia="Arial" w:hAnsi="Arial"/>
          <w:sz w:val="18"/>
          <w:szCs w:val="18"/>
          <w:u w:val="single" w:color="auto"/>
          <w:color w:val="auto"/>
        </w:rPr>
        <w:t>Headings</w:t>
      </w:r>
      <w:r>
        <w:rPr>
          <w:rFonts w:ascii="Arial" w:cs="Arial" w:eastAsia="Arial" w:hAnsi="Arial"/>
          <w:sz w:val="18"/>
          <w:szCs w:val="18"/>
          <w:color w:val="auto"/>
        </w:rPr>
        <w:t>. The headings herein are for convenience only, do not constitute a part of this Agreement and shall not be deemed to limit or affect any of the provisions hereof.</w:t>
      </w:r>
    </w:p>
    <w:p>
      <w:pPr>
        <w:spacing w:after="0" w:line="170"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 xml:space="preserve">5.7 </w:t>
      </w:r>
      <w:r>
        <w:rPr>
          <w:rFonts w:ascii="Arial" w:cs="Arial" w:eastAsia="Arial" w:hAnsi="Arial"/>
          <w:sz w:val="18"/>
          <w:szCs w:val="18"/>
          <w:u w:val="single" w:color="auto"/>
          <w:color w:val="auto"/>
        </w:rPr>
        <w:t>Successors and Assigns</w:t>
      </w:r>
      <w:r>
        <w:rPr>
          <w:rFonts w:ascii="Arial" w:cs="Arial" w:eastAsia="Arial" w:hAnsi="Arial"/>
          <w:sz w:val="18"/>
          <w:szCs w:val="18"/>
          <w:color w:val="auto"/>
        </w:rPr>
        <w:t>. This Agreement shall be binding upon and inure to the benefit of the parties and their successors and permitted assigns. The Company may not assign this Agreement or any rights or obligations hereunder without the prior written consent of each Purchaser (other than by merger). Any Purchaser may assign any or all of its rights under this Agreement to any Person to whom such Purchaser assigns or transfers any Shares, provided that such transferee agrees in writing to be bound, with respect to the transferred Shares, by the provisions of the Transaction Documents that apply to the “Purchasers.”</w:t>
      </w:r>
    </w:p>
    <w:p>
      <w:pPr>
        <w:spacing w:after="0" w:line="18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5.8 </w:t>
      </w:r>
      <w:r>
        <w:rPr>
          <w:rFonts w:ascii="Arial" w:cs="Arial" w:eastAsia="Arial" w:hAnsi="Arial"/>
          <w:sz w:val="18"/>
          <w:szCs w:val="18"/>
          <w:u w:val="single" w:color="auto"/>
          <w:color w:val="auto"/>
        </w:rPr>
        <w:t>No Third-Party Beneficiaries</w:t>
      </w:r>
      <w:r>
        <w:rPr>
          <w:rFonts w:ascii="Arial" w:cs="Arial" w:eastAsia="Arial" w:hAnsi="Arial"/>
          <w:sz w:val="18"/>
          <w:szCs w:val="18"/>
          <w:color w:val="auto"/>
        </w:rPr>
        <w:t>. The Financial Advisor shall be the third party beneficiary of the representations and warranties of the Company in Section 3.1 and the representations and warranties of the Purchasers in Section 3.2. This Agreement is intended for the benefit of the parties hereto and their respective successors and permitted assigns and is not for the benefit of, nor may any provision hereof be enforced by, any other Person, except as otherwise set forth in Section 4.8 and this Section 5.8.</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5" w:name="page36"/>
    <w:bookmarkEnd w:id="35"/>
    <w:p>
      <w:pPr>
        <w:jc w:val="both"/>
        <w:ind w:firstLine="648"/>
        <w:spacing w:after="0" w:line="268" w:lineRule="auto"/>
        <w:rPr>
          <w:sz w:val="20"/>
          <w:szCs w:val="20"/>
          <w:color w:val="auto"/>
        </w:rPr>
      </w:pPr>
      <w:r>
        <w:rPr>
          <w:rFonts w:ascii="Arial" w:cs="Arial" w:eastAsia="Arial" w:hAnsi="Arial"/>
          <w:sz w:val="17"/>
          <w:szCs w:val="17"/>
          <w:color w:val="auto"/>
        </w:rPr>
        <w:t xml:space="preserve">5.9 </w:t>
      </w:r>
      <w:r>
        <w:rPr>
          <w:rFonts w:ascii="Arial" w:cs="Arial" w:eastAsia="Arial" w:hAnsi="Arial"/>
          <w:sz w:val="17"/>
          <w:szCs w:val="17"/>
          <w:u w:val="single" w:color="auto"/>
          <w:color w:val="auto"/>
        </w:rPr>
        <w:t>Governing Law</w:t>
      </w:r>
      <w:r>
        <w:rPr>
          <w:rFonts w:ascii="Arial" w:cs="Arial" w:eastAsia="Arial" w:hAnsi="Arial"/>
          <w:sz w:val="17"/>
          <w:szCs w:val="17"/>
          <w:color w:val="auto"/>
        </w:rPr>
        <w:t>. All questions concerning the construction, validity, enforcement and interpretation of the Transaction Documents shall be governed by and construed and enforced in accordance with the internal laws of the State of New York, without regard to the principles of conflicts of law thereof. Each party agrees that all legal Proceedings concerning the interpretations, enforcement and defense of the transactions contemplated by this Agreement and any other Transaction Documents (whether brought against a party hereto or its respective affiliates, directors, officers, shareholders, partners, members, employees or agents) shall be commenced exclusively in the state and federal courts sitting in the City of New York. Each party hereby irrevocably submits to the exclusive jurisdiction of the state and federal courts sitting in the City of New York, Borough of Manhattan for the adjudication of any dispute hereunder or in connection herewith or with any transaction contemplated hereby or discussed herein (including with respect to the enforcement of any of the Transaction Documents), and hereby irrevocably waives, and agrees not to assert in any Action or Proceeding, any claim that it is not personally subject to the jurisdiction of any such court, that such Action or Proceeding is improper or is an inconvenient venue for such Proceeding. Each party hereby irrevocably waives personal service of process and consents to process being served in any such Action or Proceeding by mailing a copy thereof via registered or certified mail or overnight delivery (with evidence of delivery) to such party at the address in effect for notices to it under this Agreement and agrees that such service shall constitute good and sufficient service of process and notice thereof. Nothing contained herein shall be deemed to limit in any way any right to serve process in any other manner permitted by law. If any party shall commence an Action or Proceeding to enforce any provisions of the Transaction Documents, then, in addition to the obligations of the Company under Section 4.8, the prevailing party in such Action or Proceeding shall be reimbursed by the non-prevailing party for its reasonable attorneys’ fees and other costs and expenses incurred with the investigation, preparation and prosecution of such Action or Proceeding.</w:t>
      </w:r>
    </w:p>
    <w:p>
      <w:pPr>
        <w:spacing w:after="0" w:line="18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5.10 </w:t>
      </w:r>
      <w:r>
        <w:rPr>
          <w:rFonts w:ascii="Arial" w:cs="Arial" w:eastAsia="Arial" w:hAnsi="Arial"/>
          <w:sz w:val="18"/>
          <w:szCs w:val="18"/>
          <w:u w:val="single" w:color="auto"/>
          <w:color w:val="auto"/>
        </w:rPr>
        <w:t>Survival</w:t>
      </w:r>
      <w:r>
        <w:rPr>
          <w:rFonts w:ascii="Arial" w:cs="Arial" w:eastAsia="Arial" w:hAnsi="Arial"/>
          <w:sz w:val="18"/>
          <w:szCs w:val="18"/>
          <w:color w:val="auto"/>
        </w:rPr>
        <w:t>. The representations and warranties contained herein shall survive the Closing and the delivery of the Shares.</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 xml:space="preserve">5.11 </w:t>
      </w:r>
      <w:r>
        <w:rPr>
          <w:rFonts w:ascii="Arial" w:cs="Arial" w:eastAsia="Arial" w:hAnsi="Arial"/>
          <w:sz w:val="18"/>
          <w:szCs w:val="18"/>
          <w:u w:val="single" w:color="auto"/>
          <w:color w:val="auto"/>
        </w:rPr>
        <w:t>Execution</w:t>
      </w:r>
      <w:r>
        <w:rPr>
          <w:rFonts w:ascii="Arial" w:cs="Arial" w:eastAsia="Arial" w:hAnsi="Arial"/>
          <w:sz w:val="18"/>
          <w:szCs w:val="18"/>
          <w:color w:val="auto"/>
        </w:rPr>
        <w:t>. This Agreement may be executed in two or more counterparts, all of which when taken together shall be considered one and the same agreement and shall become effective when counterparts have been signed by each party and delivered to each other party, it being understood that the parties need not sign the same counterpart. In the event that any signature is delivered by e-mail delivery of a “.pdf” format data file, such signature shall create a valid and binding obligation of the party executing (or on whose behalf such signature is executed) with the same force and effect as if such “.pdf” signature page were an original thereof.</w:t>
      </w:r>
    </w:p>
    <w:p>
      <w:pPr>
        <w:spacing w:after="0" w:line="188"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 xml:space="preserve">5.12 </w:t>
      </w:r>
      <w:r>
        <w:rPr>
          <w:rFonts w:ascii="Arial" w:cs="Arial" w:eastAsia="Arial" w:hAnsi="Arial"/>
          <w:sz w:val="17"/>
          <w:szCs w:val="17"/>
          <w:u w:val="single" w:color="auto"/>
          <w:color w:val="auto"/>
        </w:rPr>
        <w:t>Severability</w:t>
      </w:r>
      <w:r>
        <w:rPr>
          <w:rFonts w:ascii="Arial" w:cs="Arial" w:eastAsia="Arial" w:hAnsi="Arial"/>
          <w:sz w:val="17"/>
          <w:szCs w:val="17"/>
          <w:color w:val="auto"/>
        </w:rPr>
        <w:t>. If any term, provision, covenant or restriction of this Agreement is held by a court of competent jurisdiction to be invalid, illegal, void or unenforceable, the remainder of the terms, provisions, covenants and restrictions set forth herein shall remain in full force and effect and shall in no way be affected, impaired or invalidated, and the parties hereto shall use their commercially reasonable efforts to find and employ an alternative means to achieve the same or substantially the same result as that contemplated by such term, provision, covenant or restriction. It is hereby stipulated and declared to be the intention of the parties that they would have executed the remaining terms, provisions, covenants and restrictions without including any of such that may be hereafter declared invalid, illegal, void or unenforceable.</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6" w:name="page37"/>
    <w:bookmarkEnd w:id="36"/>
    <w:p>
      <w:pPr>
        <w:jc w:val="both"/>
        <w:ind w:firstLine="648"/>
        <w:spacing w:after="0" w:line="257" w:lineRule="auto"/>
        <w:rPr>
          <w:sz w:val="20"/>
          <w:szCs w:val="20"/>
          <w:color w:val="auto"/>
        </w:rPr>
      </w:pPr>
      <w:r>
        <w:rPr>
          <w:rFonts w:ascii="Arial" w:cs="Arial" w:eastAsia="Arial" w:hAnsi="Arial"/>
          <w:sz w:val="18"/>
          <w:szCs w:val="18"/>
          <w:color w:val="auto"/>
        </w:rPr>
        <w:t xml:space="preserve">5.13 </w:t>
      </w:r>
      <w:r>
        <w:rPr>
          <w:rFonts w:ascii="Arial" w:cs="Arial" w:eastAsia="Arial" w:hAnsi="Arial"/>
          <w:sz w:val="18"/>
          <w:szCs w:val="18"/>
          <w:u w:val="single" w:color="auto"/>
          <w:color w:val="auto"/>
        </w:rPr>
        <w:t>Rescission and Withdrawal Right</w:t>
      </w:r>
      <w:r>
        <w:rPr>
          <w:rFonts w:ascii="Arial" w:cs="Arial" w:eastAsia="Arial" w:hAnsi="Arial"/>
          <w:sz w:val="18"/>
          <w:szCs w:val="18"/>
          <w:color w:val="auto"/>
        </w:rPr>
        <w:t>. Notwithstanding anything to the contrary contained in (and without limiting any similar provisions of) any of the other Transaction Documents, whenever any Purchaser exercises a right, election, demand or option under a Transaction Document and the Company does not timely perform its related obligations within the periods therein provided, then such Purchaser may rescind or withdraw, in its sole discretion from time to time upon written notice to the Company, any relevant notice, demand or election in whole or in part without prejudice to its future actions and rights.</w:t>
      </w:r>
    </w:p>
    <w:p>
      <w:pPr>
        <w:spacing w:after="0" w:line="18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 xml:space="preserve">5.14 </w:t>
      </w:r>
      <w:r>
        <w:rPr>
          <w:rFonts w:ascii="Arial" w:cs="Arial" w:eastAsia="Arial" w:hAnsi="Arial"/>
          <w:sz w:val="18"/>
          <w:szCs w:val="18"/>
          <w:u w:val="single" w:color="auto"/>
          <w:color w:val="auto"/>
        </w:rPr>
        <w:t>Replacement of Shares</w:t>
      </w:r>
      <w:r>
        <w:rPr>
          <w:rFonts w:ascii="Arial" w:cs="Arial" w:eastAsia="Arial" w:hAnsi="Arial"/>
          <w:sz w:val="18"/>
          <w:szCs w:val="18"/>
          <w:color w:val="auto"/>
        </w:rPr>
        <w:t>. If any certificate or instrument evidencing any Shares is mutilated, lost, stolen or destroyed, the Company shall issue or cause to be issued in exchange and substitution for and upon cancellation thereof (in the case of mutilation), or in lieu of and substitution therefor, a new certificate or instrument, but only upon receipt of evidence reasonably satisfactory to the Company of such loss, theft or destruction. The applicant for a new certificate or instrument under such circumstances shall also pay any reasonable third-party costs (including customary indemnity) associated with the issuance of such replacement Shares.</w:t>
      </w:r>
    </w:p>
    <w:p>
      <w:pPr>
        <w:spacing w:after="0" w:line="188"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 xml:space="preserve">5.15 </w:t>
      </w:r>
      <w:r>
        <w:rPr>
          <w:rFonts w:ascii="Arial" w:cs="Arial" w:eastAsia="Arial" w:hAnsi="Arial"/>
          <w:sz w:val="16"/>
          <w:szCs w:val="16"/>
          <w:u w:val="single" w:color="auto"/>
          <w:color w:val="auto"/>
        </w:rPr>
        <w:t>Remedies</w:t>
      </w:r>
      <w:r>
        <w:rPr>
          <w:rFonts w:ascii="Arial" w:cs="Arial" w:eastAsia="Arial" w:hAnsi="Arial"/>
          <w:sz w:val="16"/>
          <w:szCs w:val="16"/>
          <w:color w:val="auto"/>
        </w:rPr>
        <w:t>. In addition to being entitled to exercise all rights provided herein or granted by law, including recovery of damages, each of the Purchasers and the Company will be entitled to specific performance under the Transaction Documents. The parties agree that monetary damages may not be adequate compensation for any loss incurred by reason of any breach of obligations contained in the Transaction Documents and hereby agree to waive and not to assert in any Action for specific performance of any such obligation the defense that a remedy at law would be adequate.</w:t>
      </w:r>
    </w:p>
    <w:p>
      <w:pPr>
        <w:spacing w:after="0" w:line="157"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 xml:space="preserve">5.16 </w:t>
      </w:r>
      <w:r>
        <w:rPr>
          <w:rFonts w:ascii="Arial" w:cs="Arial" w:eastAsia="Arial" w:hAnsi="Arial"/>
          <w:sz w:val="16"/>
          <w:szCs w:val="16"/>
          <w:u w:val="single" w:color="auto"/>
          <w:color w:val="auto"/>
        </w:rPr>
        <w:t>Payment Set Aside</w:t>
      </w:r>
      <w:r>
        <w:rPr>
          <w:rFonts w:ascii="Arial" w:cs="Arial" w:eastAsia="Arial" w:hAnsi="Arial"/>
          <w:sz w:val="16"/>
          <w:szCs w:val="16"/>
          <w:color w:val="auto"/>
        </w:rPr>
        <w:t>. To the extent that the Company makes a payment or payments to any Purchaser pursuant to any Transaction Document or a Purchaser enforces or exercises its rights thereunder, and such payment or payments or the proceeds of such enforcement or exercise or any part thereof are subsequently invalidated, declared to be fraudulent or preferential, set aside, recovered from, disgorged by or are required to be refunded, repaid or otherwise restored to the Company, a trustee, receiver or any other Person under any law (including, without limitation, any bankruptcy law, state or federal law, common law or equitable cause of action), then to the extent of any such restoration the obligation or part thereof originally intended to be satisfied shall be revived and continued in full force and effect as if such payment had not been made or such enforcement or setoff had not occurred.</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7" w:name="page38"/>
    <w:bookmarkEnd w:id="37"/>
    <w:p>
      <w:pPr>
        <w:jc w:val="both"/>
        <w:ind w:firstLine="648"/>
        <w:spacing w:after="0" w:line="287" w:lineRule="auto"/>
        <w:rPr>
          <w:sz w:val="20"/>
          <w:szCs w:val="20"/>
          <w:color w:val="auto"/>
        </w:rPr>
      </w:pPr>
      <w:r>
        <w:rPr>
          <w:rFonts w:ascii="Arial" w:cs="Arial" w:eastAsia="Arial" w:hAnsi="Arial"/>
          <w:sz w:val="16"/>
          <w:szCs w:val="16"/>
          <w:color w:val="auto"/>
        </w:rPr>
        <w:t xml:space="preserve">5.17 </w:t>
      </w:r>
      <w:r>
        <w:rPr>
          <w:rFonts w:ascii="Arial" w:cs="Arial" w:eastAsia="Arial" w:hAnsi="Arial"/>
          <w:sz w:val="16"/>
          <w:szCs w:val="16"/>
          <w:u w:val="single" w:color="auto"/>
          <w:color w:val="auto"/>
        </w:rPr>
        <w:t>Independent Nature of Purchasers’ Obligations and Rights</w:t>
      </w:r>
      <w:r>
        <w:rPr>
          <w:rFonts w:ascii="Arial" w:cs="Arial" w:eastAsia="Arial" w:hAnsi="Arial"/>
          <w:sz w:val="16"/>
          <w:szCs w:val="16"/>
          <w:color w:val="auto"/>
        </w:rPr>
        <w:t>. The obligations of each Purchaser under any Transaction Document are several and not joint with the obligations of any other Purchaser, and no Purchaser shall be responsible in any way for the performance or non-performance of the obligations of any other Purchaser under any Transaction Document. Nothing contained herein or in any other Transaction Document, and no action taken by any Purchaser pursuant hereto or thereto, shall be deemed to constitute the Purchasers as a partnership, an association, a joint venture or any other kind of entity, or create a presumption that the Purchasers are in any way acting in concert or as a group with respect to such obligations or the transactions contemplated by the Transaction Documents. Each Purchaser shall be entitled to independently protect and enforce its rights including, without limitation, the rights arising out of this Agreement or out of the other Transaction Documents, and it shall not be necessary for any other Purchaser to be joined as an additional party in any Proceeding for such purpose. Each Purchaser has been represented by its own separate legal counsel in its review and negotiation of the Transaction Documents. The Company has elected to provide all Purchasers with the same terms and Transaction Documents for the convenience of the Company and not because it was required or requested to do so by any of the Purchasers. It is expressly understood and agreed that each provision contained in this Agreement and in each other Transaction Document is between the Company and a Purchaser, solely, and not between the Company and the Purchasers collectively and not between and among the Purchasers.</w:t>
      </w:r>
    </w:p>
    <w:p>
      <w:pPr>
        <w:spacing w:after="0" w:line="16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5.18 </w:t>
      </w:r>
      <w:r>
        <w:rPr>
          <w:rFonts w:ascii="Arial" w:cs="Arial" w:eastAsia="Arial" w:hAnsi="Arial"/>
          <w:sz w:val="18"/>
          <w:szCs w:val="18"/>
          <w:u w:val="single" w:color="auto"/>
          <w:color w:val="auto"/>
        </w:rPr>
        <w:t>Liquidated Damages</w:t>
      </w:r>
      <w:r>
        <w:rPr>
          <w:rFonts w:ascii="Arial" w:cs="Arial" w:eastAsia="Arial" w:hAnsi="Arial"/>
          <w:sz w:val="18"/>
          <w:szCs w:val="18"/>
          <w:color w:val="auto"/>
        </w:rPr>
        <w:t>. The Company’s obligations to pay any partial liquidated damages or other amounts owing under the Transaction Documents is a continuing obligation of the Company and shall not terminate until all unpaid partial liquidated damages and other amounts have been paid notwithstanding the fact that the instrument or security pursuant to which such partial liquidated damages or other amounts are due and payable shall have been canceled.</w:t>
      </w:r>
    </w:p>
    <w:p>
      <w:pPr>
        <w:spacing w:after="0" w:line="187"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 xml:space="preserve">5.19 </w:t>
      </w:r>
      <w:r>
        <w:rPr>
          <w:rFonts w:ascii="Arial" w:cs="Arial" w:eastAsia="Arial" w:hAnsi="Arial"/>
          <w:sz w:val="17"/>
          <w:szCs w:val="17"/>
          <w:u w:val="single" w:color="auto"/>
          <w:color w:val="auto"/>
        </w:rPr>
        <w:t>Saturdays, Sundays, Holidays, etc.</w:t>
      </w:r>
      <w:r>
        <w:rPr>
          <w:rFonts w:ascii="Arial" w:cs="Arial" w:eastAsia="Arial" w:hAnsi="Arial"/>
          <w:sz w:val="17"/>
          <w:szCs w:val="17"/>
          <w:color w:val="auto"/>
        </w:rPr>
        <w:t xml:space="preserve"> If the last or appointed day for the taking of any action or the expiration of any right required or granted herein shall not be a Business Day, then such action may be taken or such right may be exercised on the next succeeding Business Day.</w:t>
      </w:r>
    </w:p>
    <w:p>
      <w:pPr>
        <w:spacing w:after="0" w:line="146"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 xml:space="preserve">5.20 </w:t>
      </w:r>
      <w:r>
        <w:rPr>
          <w:rFonts w:ascii="Arial" w:cs="Arial" w:eastAsia="Arial" w:hAnsi="Arial"/>
          <w:sz w:val="17"/>
          <w:szCs w:val="17"/>
          <w:u w:val="single" w:color="auto"/>
          <w:color w:val="auto"/>
        </w:rPr>
        <w:t>Construction</w:t>
      </w:r>
      <w:r>
        <w:rPr>
          <w:rFonts w:ascii="Arial" w:cs="Arial" w:eastAsia="Arial" w:hAnsi="Arial"/>
          <w:sz w:val="17"/>
          <w:szCs w:val="17"/>
          <w:color w:val="auto"/>
        </w:rPr>
        <w:t>. The parties agree that each of them and/or their respective counsel have reviewed and had an opportunity to revise the Transaction Documents and, therefore, the normal rule of construction to the effect that any ambiguities are to be resolved against the drafting party shall not be employed in the interpretation of the Transaction Documents or any amendments thereto. In addition, each and every reference to share prices and shares of Common Stock in any Transaction Document shall be subject to adjustment for reverse and forward stock splits, stock dividends, stock combinations and other similar transactions of the Common Stock that occur after the date of this Agreement.</w:t>
      </w:r>
    </w:p>
    <w:p>
      <w:pPr>
        <w:spacing w:after="0" w:line="172"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 xml:space="preserve">5.21 </w:t>
      </w:r>
      <w:r>
        <w:rPr>
          <w:rFonts w:ascii="Arial" w:cs="Arial" w:eastAsia="Arial" w:hAnsi="Arial"/>
          <w:sz w:val="18"/>
          <w:szCs w:val="18"/>
          <w:b w:val="1"/>
          <w:bCs w:val="1"/>
          <w:u w:val="single" w:color="auto"/>
          <w:color w:val="auto"/>
        </w:rPr>
        <w:t>WAIVER OF JURY TRIAL</w:t>
      </w:r>
      <w:r>
        <w:rPr>
          <w:rFonts w:ascii="Arial" w:cs="Arial" w:eastAsia="Arial" w:hAnsi="Arial"/>
          <w:sz w:val="18"/>
          <w:szCs w:val="18"/>
          <w:b w:val="1"/>
          <w:bCs w:val="1"/>
          <w:color w:val="auto"/>
        </w:rPr>
        <w:t>.</w:t>
      </w:r>
      <w:r>
        <w:rPr>
          <w:rFonts w:ascii="Arial" w:cs="Arial" w:eastAsia="Arial" w:hAnsi="Arial"/>
          <w:sz w:val="18"/>
          <w:szCs w:val="18"/>
          <w:color w:val="auto"/>
        </w:rPr>
        <w:t xml:space="preserve"> </w:t>
      </w:r>
      <w:r>
        <w:rPr>
          <w:rFonts w:ascii="Arial" w:cs="Arial" w:eastAsia="Arial" w:hAnsi="Arial"/>
          <w:sz w:val="18"/>
          <w:szCs w:val="18"/>
          <w:b w:val="1"/>
          <w:bCs w:val="1"/>
          <w:u w:val="single" w:color="auto"/>
          <w:color w:val="auto"/>
        </w:rPr>
        <w:t>IN ANY ACTION, SUIT, OR PROCEEDING IN ANY JURISDICTION BROUGHT BY ANY PARTY</w:t>
      </w:r>
      <w:r>
        <w:rPr>
          <w:rFonts w:ascii="Arial" w:cs="Arial" w:eastAsia="Arial" w:hAnsi="Arial"/>
          <w:sz w:val="18"/>
          <w:szCs w:val="18"/>
          <w:color w:val="auto"/>
        </w:rPr>
        <w:t xml:space="preserve"> </w:t>
      </w:r>
      <w:r>
        <w:rPr>
          <w:rFonts w:ascii="Arial" w:cs="Arial" w:eastAsia="Arial" w:hAnsi="Arial"/>
          <w:sz w:val="18"/>
          <w:szCs w:val="18"/>
          <w:b w:val="1"/>
          <w:bCs w:val="1"/>
          <w:u w:val="single" w:color="auto"/>
          <w:color w:val="auto"/>
        </w:rPr>
        <w:t>AGAINST ANY OTHER PARTY, THE PARTIES EACH KNOWINGLY AND INTENTIONALLY, TO THE GREATEST EXTENT PERMITTED BY APPLICABLE LAW, HEREBY ABSOLUTELY, UNCONDITIONALLY, IRREVOCABLY AND EXPRESSLY WAIVES FOREVER TRIAL BY JURY.</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(Signature Pages Follow)</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8" w:name="page39"/>
    <w:bookmarkEnd w:id="38"/>
    <w:p>
      <w:pPr>
        <w:ind w:firstLine="648"/>
        <w:spacing w:after="0" w:line="277" w:lineRule="auto"/>
        <w:rPr>
          <w:sz w:val="20"/>
          <w:szCs w:val="20"/>
          <w:color w:val="auto"/>
        </w:rPr>
      </w:pPr>
      <w:r>
        <w:rPr>
          <w:rFonts w:ascii="Arial" w:cs="Arial" w:eastAsia="Arial" w:hAnsi="Arial"/>
          <w:sz w:val="18"/>
          <w:szCs w:val="18"/>
          <w:color w:val="auto"/>
        </w:rPr>
        <w:t>IN WITNESS WHEREOF, the parties hereto have caused this Securities Purchase Agreement to be duly executed by their respective authorized signatories as of the date first indicated above.</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500" w:type="dxa"/>
            <w:vAlign w:val="bottom"/>
            <w:gridSpan w:val="2"/>
          </w:tcPr>
          <w:p>
            <w:pPr>
              <w:spacing w:after="0"/>
              <w:rPr>
                <w:sz w:val="20"/>
                <w:szCs w:val="20"/>
                <w:color w:val="auto"/>
              </w:rPr>
            </w:pPr>
            <w:r>
              <w:rPr>
                <w:rFonts w:ascii="Arial" w:cs="Arial" w:eastAsia="Arial" w:hAnsi="Arial"/>
                <w:sz w:val="18"/>
                <w:szCs w:val="18"/>
                <w:b w:val="1"/>
                <w:bCs w:val="1"/>
                <w:color w:val="auto"/>
              </w:rPr>
              <w:t>PRESTO AUTOMATION INC.</w:t>
            </w:r>
          </w:p>
        </w:tc>
        <w:tc>
          <w:tcPr>
            <w:tcW w:w="2240" w:type="dxa"/>
            <w:vAlign w:val="bottom"/>
          </w:tcPr>
          <w:p>
            <w:pPr>
              <w:spacing w:after="0"/>
              <w:rPr>
                <w:sz w:val="17"/>
                <w:szCs w:val="17"/>
                <w:color w:val="auto"/>
              </w:rPr>
            </w:pPr>
          </w:p>
        </w:tc>
        <w:tc>
          <w:tcPr>
            <w:tcW w:w="142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1"/>
              </w:rPr>
              <w:t>Address for Notice:</w:t>
            </w:r>
          </w:p>
        </w:tc>
      </w:tr>
      <w:tr>
        <w:trPr>
          <w:trHeight w:val="459"/>
        </w:trPr>
        <w:tc>
          <w:tcPr>
            <w:tcW w:w="4500" w:type="dxa"/>
            <w:vAlign w:val="bottom"/>
            <w:gridSpan w:val="2"/>
          </w:tcPr>
          <w:p>
            <w:pPr>
              <w:spacing w:after="0"/>
              <w:rPr>
                <w:sz w:val="20"/>
                <w:szCs w:val="20"/>
                <w:color w:val="auto"/>
              </w:rPr>
            </w:pPr>
            <w:r>
              <w:rPr>
                <w:rFonts w:ascii="Arial" w:cs="Arial" w:eastAsia="Arial" w:hAnsi="Arial"/>
                <w:sz w:val="18"/>
                <w:szCs w:val="18"/>
                <w:color w:val="auto"/>
              </w:rPr>
              <w:t>By:</w:t>
            </w:r>
          </w:p>
        </w:tc>
        <w:tc>
          <w:tcPr>
            <w:tcW w:w="2240" w:type="dxa"/>
            <w:vAlign w:val="bottom"/>
          </w:tcPr>
          <w:p>
            <w:pPr>
              <w:spacing w:after="0"/>
              <w:rPr>
                <w:sz w:val="24"/>
                <w:szCs w:val="24"/>
                <w:color w:val="auto"/>
              </w:rPr>
            </w:pPr>
          </w:p>
        </w:tc>
        <w:tc>
          <w:tcPr>
            <w:tcW w:w="1420" w:type="dxa"/>
            <w:vAlign w:val="bottom"/>
          </w:tcPr>
          <w:p>
            <w:pPr>
              <w:spacing w:after="0"/>
              <w:rPr>
                <w:sz w:val="20"/>
                <w:szCs w:val="20"/>
                <w:color w:val="auto"/>
              </w:rPr>
            </w:pPr>
            <w:r>
              <w:rPr>
                <w:rFonts w:ascii="Arial" w:cs="Arial" w:eastAsia="Arial" w:hAnsi="Arial"/>
                <w:sz w:val="18"/>
                <w:szCs w:val="18"/>
                <w:color w:val="auto"/>
              </w:rPr>
              <w:t>Email:</w:t>
            </w:r>
          </w:p>
        </w:tc>
      </w:tr>
      <w:tr>
        <w:trPr>
          <w:trHeight w:val="203"/>
        </w:trPr>
        <w:tc>
          <w:tcPr>
            <w:tcW w:w="580" w:type="dxa"/>
            <w:vAlign w:val="bottom"/>
          </w:tcPr>
          <w:p>
            <w:pPr>
              <w:spacing w:after="0" w:line="203" w:lineRule="exact"/>
              <w:rPr>
                <w:sz w:val="20"/>
                <w:szCs w:val="20"/>
                <w:color w:val="auto"/>
              </w:rPr>
            </w:pPr>
            <w:r>
              <w:rPr>
                <w:rFonts w:ascii="Arial" w:cs="Arial" w:eastAsia="Arial" w:hAnsi="Arial"/>
                <w:sz w:val="18"/>
                <w:szCs w:val="18"/>
                <w:color w:val="auto"/>
              </w:rPr>
              <w:t>Name:</w:t>
            </w:r>
          </w:p>
        </w:tc>
        <w:tc>
          <w:tcPr>
            <w:tcW w:w="3920" w:type="dxa"/>
            <w:vAlign w:val="bottom"/>
            <w:tcBorders>
              <w:top w:val="single" w:sz="8" w:color="auto"/>
            </w:tcBorders>
          </w:tcPr>
          <w:p>
            <w:pPr>
              <w:spacing w:after="0"/>
              <w:rPr>
                <w:sz w:val="17"/>
                <w:szCs w:val="17"/>
                <w:color w:val="auto"/>
              </w:rPr>
            </w:pPr>
          </w:p>
        </w:tc>
        <w:tc>
          <w:tcPr>
            <w:tcW w:w="2240" w:type="dxa"/>
            <w:vAlign w:val="bottom"/>
          </w:tcPr>
          <w:p>
            <w:pPr>
              <w:spacing w:after="0"/>
              <w:rPr>
                <w:sz w:val="17"/>
                <w:szCs w:val="17"/>
                <w:color w:val="auto"/>
              </w:rPr>
            </w:pPr>
          </w:p>
        </w:tc>
        <w:tc>
          <w:tcPr>
            <w:tcW w:w="1420" w:type="dxa"/>
            <w:vAlign w:val="bottom"/>
          </w:tcPr>
          <w:p>
            <w:pPr>
              <w:spacing w:after="0"/>
              <w:rPr>
                <w:sz w:val="17"/>
                <w:szCs w:val="17"/>
                <w:color w:val="auto"/>
              </w:rPr>
            </w:pPr>
          </w:p>
        </w:tc>
      </w:tr>
    </w:tbl>
    <w:p>
      <w:pPr>
        <w:spacing w:after="0"/>
        <w:rPr>
          <w:sz w:val="20"/>
          <w:szCs w:val="20"/>
          <w:color w:val="auto"/>
        </w:rPr>
      </w:pPr>
      <w:r>
        <w:rPr>
          <w:rFonts w:ascii="Arial" w:cs="Arial" w:eastAsia="Arial" w:hAnsi="Arial"/>
          <w:sz w:val="18"/>
          <w:szCs w:val="18"/>
          <w:color w:val="auto"/>
        </w:rPr>
        <w:t>Title:</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color w:val="auto"/>
        </w:rPr>
        <w:t>With a copy to (which shall not constitute notice):</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[REMAINDER OF PAGE INTENTIONALLY LEFT BLANK</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 FOR PURCHASER FOLLOWS]</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9" w:name="page40"/>
    <w:bookmarkEnd w:id="39"/>
    <w:p>
      <w:pPr>
        <w:jc w:val="center"/>
        <w:spacing w:after="0"/>
        <w:rPr>
          <w:sz w:val="20"/>
          <w:szCs w:val="20"/>
          <w:color w:val="auto"/>
        </w:rPr>
      </w:pPr>
      <w:r>
        <w:rPr>
          <w:rFonts w:ascii="Arial" w:cs="Arial" w:eastAsia="Arial" w:hAnsi="Arial"/>
          <w:sz w:val="18"/>
          <w:szCs w:val="18"/>
          <w:color w:val="auto"/>
        </w:rPr>
        <w:t>[PURCHASER SIGNATURE PAGES TO PRST SECURITIES PURCHASE AGREEMENT]</w:t>
      </w:r>
    </w:p>
    <w:p>
      <w:pPr>
        <w:spacing w:after="0" w:line="22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IN WITNESS WHEREOF, the undersigned have caused this Securities Purchase Agreement to be duly executed by their respective authorized signatories as of the date first indicated above.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Name of Purchaser: ________________________________________________________</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Signature of Authorized Signatory of Purchaser</w:t>
      </w:r>
      <w:r>
        <w:rPr>
          <w:rFonts w:ascii="Arial" w:cs="Arial" w:eastAsia="Arial" w:hAnsi="Arial"/>
          <w:sz w:val="18"/>
          <w:szCs w:val="18"/>
          <w:color w:val="auto"/>
        </w:rPr>
        <w:t>: __________________________________</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Name of Authorized Signatory: ____________________________________________________</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Title of Authorized Signatory: _____________________________________________________</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Email Address of Authorized Signatory: ______________________________________________</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Address for Notice to Purchaser: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Address for Delivery of Shares to Purchaser (if not same as address for notice):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Subscription Amount: $_________________</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Shares: _________________</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EIN Number: _______________________</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PAGES CONTINUE]</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40" w:name="page41"/>
    <w:bookmarkEnd w:id="40"/>
    <w:p>
      <w:pPr>
        <w:jc w:val="center"/>
        <w:spacing w:after="0"/>
        <w:rPr>
          <w:sz w:val="20"/>
          <w:szCs w:val="20"/>
          <w:color w:val="auto"/>
        </w:rPr>
      </w:pPr>
      <w:r>
        <w:rPr>
          <w:rFonts w:ascii="Arial" w:cs="Arial" w:eastAsia="Arial" w:hAnsi="Arial"/>
          <w:sz w:val="18"/>
          <w:szCs w:val="18"/>
          <w:color w:val="auto"/>
        </w:rPr>
        <w:t>Schedule 2.2(c)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List of Purchasers</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[Omitted]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288925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908" w:right="1440" w:bottom="1440" w:gutter="0" w:footer="0" w:header="0"/>
        </w:sectPr>
      </w:pPr>
    </w:p>
    <w:bookmarkStart w:id="41" w:name="page42"/>
    <w:bookmarkEnd w:id="41"/>
    <w:p>
      <w:pPr>
        <w:jc w:val="center"/>
        <w:spacing w:after="0"/>
        <w:rPr>
          <w:sz w:val="20"/>
          <w:szCs w:val="20"/>
          <w:color w:val="auto"/>
        </w:rPr>
      </w:pPr>
      <w:r>
        <w:rPr>
          <w:rFonts w:ascii="Arial" w:cs="Arial" w:eastAsia="Arial" w:hAnsi="Arial"/>
          <w:sz w:val="18"/>
          <w:szCs w:val="18"/>
          <w:color w:val="auto"/>
        </w:rPr>
        <w:t>Schedule 3.1(i)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Material Changes; Undisclosed Events; Liabilities or Developments</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[Omitted]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288925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908" w:right="1440" w:bottom="1440" w:gutter="0" w:footer="0" w:header="0"/>
        </w:sectPr>
      </w:pPr>
    </w:p>
    <w:bookmarkStart w:id="42" w:name="page43"/>
    <w:bookmarkEnd w:id="42"/>
    <w:p>
      <w:pPr>
        <w:jc w:val="center"/>
        <w:spacing w:after="0"/>
        <w:rPr>
          <w:sz w:val="20"/>
          <w:szCs w:val="20"/>
          <w:color w:val="auto"/>
        </w:rPr>
      </w:pPr>
      <w:r>
        <w:rPr>
          <w:rFonts w:ascii="Arial" w:cs="Arial" w:eastAsia="Arial" w:hAnsi="Arial"/>
          <w:sz w:val="18"/>
          <w:szCs w:val="18"/>
          <w:color w:val="auto"/>
        </w:rPr>
        <w:t>Exhibit 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Form of Registration Rights Agreement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6"/>
          <w:szCs w:val="16"/>
          <w:u w:val="single" w:color="auto"/>
          <w:color w:val="0000EE"/>
        </w:rPr>
        <w:t>[Filed as Exhibit 10.2 to the Current Report on Form 8-K]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457835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908" w:right="1440" w:bottom="1440" w:gutter="0" w:footer="0" w:header="0"/>
        </w:sectPr>
      </w:pPr>
    </w:p>
    <w:bookmarkStart w:id="43" w:name="page44"/>
    <w:bookmarkEnd w:id="43"/>
    <w:p>
      <w:pPr>
        <w:jc w:val="center"/>
        <w:spacing w:after="0"/>
        <w:rPr>
          <w:sz w:val="20"/>
          <w:szCs w:val="20"/>
          <w:color w:val="auto"/>
        </w:rPr>
      </w:pPr>
      <w:r>
        <w:rPr>
          <w:rFonts w:ascii="Arial" w:cs="Arial" w:eastAsia="Arial" w:hAnsi="Arial"/>
          <w:sz w:val="18"/>
          <w:szCs w:val="18"/>
          <w:color w:val="auto"/>
        </w:rPr>
        <w:t>Exhibit B</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OF LOCK-UP AGREEMENT</w:t>
      </w:r>
    </w:p>
    <w:p>
      <w:pPr>
        <w:spacing w:after="0" w:line="229" w:lineRule="exact"/>
        <w:rPr>
          <w:sz w:val="20"/>
          <w:szCs w:val="20"/>
          <w:color w:val="auto"/>
        </w:rPr>
      </w:pPr>
    </w:p>
    <w:p>
      <w:pPr>
        <w:ind w:left="10240"/>
        <w:spacing w:after="0"/>
        <w:rPr>
          <w:sz w:val="20"/>
          <w:szCs w:val="20"/>
          <w:color w:val="auto"/>
        </w:rPr>
      </w:pPr>
      <w:r>
        <w:rPr>
          <w:rFonts w:ascii="Arial" w:cs="Arial" w:eastAsia="Arial" w:hAnsi="Arial"/>
          <w:sz w:val="16"/>
          <w:szCs w:val="16"/>
          <w:color w:val="auto"/>
        </w:rPr>
        <w:t>May 22, 2023</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Presto Automation Inc.</w:t>
      </w:r>
    </w:p>
    <w:p>
      <w:pPr>
        <w:spacing w:after="0" w:line="225" w:lineRule="exact"/>
        <w:rPr>
          <w:sz w:val="20"/>
          <w:szCs w:val="20"/>
          <w:color w:val="auto"/>
        </w:rPr>
      </w:pPr>
    </w:p>
    <w:p>
      <w:pPr>
        <w:ind w:left="660" w:hanging="323"/>
        <w:spacing w:after="0" w:line="277" w:lineRule="auto"/>
        <w:rPr>
          <w:sz w:val="20"/>
          <w:szCs w:val="20"/>
          <w:color w:val="auto"/>
        </w:rPr>
      </w:pPr>
      <w:r>
        <w:rPr>
          <w:rFonts w:ascii="Arial" w:cs="Arial" w:eastAsia="Arial" w:hAnsi="Arial"/>
          <w:sz w:val="18"/>
          <w:szCs w:val="18"/>
          <w:color w:val="auto"/>
        </w:rPr>
        <w:t>Re: Securities Purchase Agreement, dated as of May 22, 2023 (the “Purchase Agreement”), between Presto Automation Inc. (the “Company”) and the purchasers signatory thereto (each, a “Purchaser” and, collectively, the “Purchasers”)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jc w:val="both"/>
        <w:ind w:left="80" w:firstLine="648"/>
        <w:spacing w:after="0" w:line="269" w:lineRule="auto"/>
        <w:rPr>
          <w:sz w:val="20"/>
          <w:szCs w:val="20"/>
          <w:color w:val="auto"/>
        </w:rPr>
      </w:pPr>
      <w:r>
        <w:rPr>
          <w:rFonts w:ascii="Arial" w:cs="Arial" w:eastAsia="Arial" w:hAnsi="Arial"/>
          <w:sz w:val="17"/>
          <w:szCs w:val="17"/>
          <w:color w:val="auto"/>
        </w:rPr>
        <w:t>Defined terms not otherwise defined in this letter agreement (the “</w:t>
      </w:r>
      <w:r>
        <w:rPr>
          <w:rFonts w:ascii="Arial" w:cs="Arial" w:eastAsia="Arial" w:hAnsi="Arial"/>
          <w:sz w:val="17"/>
          <w:szCs w:val="17"/>
          <w:u w:val="single" w:color="auto"/>
          <w:color w:val="auto"/>
        </w:rPr>
        <w:t>Letter Agreement</w:t>
      </w:r>
      <w:r>
        <w:rPr>
          <w:rFonts w:ascii="Arial" w:cs="Arial" w:eastAsia="Arial" w:hAnsi="Arial"/>
          <w:sz w:val="17"/>
          <w:szCs w:val="17"/>
          <w:color w:val="auto"/>
        </w:rPr>
        <w:t>”) shall have the meanings set forth in the Purchase Agreement. Pursuant to Section 2.2(a) of the Purchase Agreement and in satisfaction of a condition of the Company’s obligations under the Purchase Agreement, the undersigned irrevocably agrees with the Company that, from the date hereof until 90 days following the Effective Date (such period, the “</w:t>
      </w:r>
      <w:r>
        <w:rPr>
          <w:rFonts w:ascii="Arial" w:cs="Arial" w:eastAsia="Arial" w:hAnsi="Arial"/>
          <w:sz w:val="17"/>
          <w:szCs w:val="17"/>
          <w:u w:val="single" w:color="auto"/>
          <w:color w:val="auto"/>
        </w:rPr>
        <w:t>Restriction Period</w:t>
      </w:r>
      <w:r>
        <w:rPr>
          <w:rFonts w:ascii="Arial" w:cs="Arial" w:eastAsia="Arial" w:hAnsi="Arial"/>
          <w:sz w:val="17"/>
          <w:szCs w:val="17"/>
          <w:color w:val="auto"/>
        </w:rPr>
        <w:t>”), the undersigned will not offer, sell, contract to sell, hypothecate, pledge or otherwise dispose of (or enter into any transaction which is designed to, or might reasonably be expected to, result in the disposition (whether by actual disposition or effective economic disposition due to cash settlement or otherwise) by the undersigned or any Affiliate of the undersigned or any person in privity with the undersigned or any Affiliate of the undersigned), directly or indirectly, or establish or increase a put equivalent position or liquidate or decrease a call equivalent position within the meaning of Section 16 of the Securities Exchange Act of 1934, as amended (the “</w:t>
      </w:r>
      <w:r>
        <w:rPr>
          <w:rFonts w:ascii="Arial" w:cs="Arial" w:eastAsia="Arial" w:hAnsi="Arial"/>
          <w:sz w:val="17"/>
          <w:szCs w:val="17"/>
          <w:u w:val="single" w:color="auto"/>
          <w:color w:val="auto"/>
        </w:rPr>
        <w:t>Exchange Act</w:t>
      </w:r>
      <w:r>
        <w:rPr>
          <w:rFonts w:ascii="Arial" w:cs="Arial" w:eastAsia="Arial" w:hAnsi="Arial"/>
          <w:sz w:val="17"/>
          <w:szCs w:val="17"/>
          <w:color w:val="auto"/>
        </w:rPr>
        <w:t>”), with respect to, any shares of Common Stock of the Company or securities convertible, exchangeable or exercisable into, shares of Common Stock of the Company beneficially owned, held or hereafter acquired by the undersigned (the “</w:t>
      </w:r>
      <w:r>
        <w:rPr>
          <w:rFonts w:ascii="Arial" w:cs="Arial" w:eastAsia="Arial" w:hAnsi="Arial"/>
          <w:sz w:val="17"/>
          <w:szCs w:val="17"/>
          <w:u w:val="single" w:color="auto"/>
          <w:color w:val="auto"/>
        </w:rPr>
        <w:t>Securities</w:t>
      </w:r>
      <w:r>
        <w:rPr>
          <w:rFonts w:ascii="Arial" w:cs="Arial" w:eastAsia="Arial" w:hAnsi="Arial"/>
          <w:sz w:val="17"/>
          <w:szCs w:val="17"/>
          <w:color w:val="auto"/>
        </w:rPr>
        <w:t>”). Beneficial ownership shall be calculated in accordance with Section 13(d) of the Exchange Act. In order to enforce this covenant, the Company shall impose irrevocable stop-transfer instructions preventing the transfer agent of the Company from effecting any actions in violation of this Letter Agreement.</w:t>
      </w:r>
    </w:p>
    <w:p>
      <w:pPr>
        <w:spacing w:after="0" w:line="179" w:lineRule="exact"/>
        <w:rPr>
          <w:sz w:val="20"/>
          <w:szCs w:val="20"/>
          <w:color w:val="auto"/>
        </w:rPr>
      </w:pPr>
    </w:p>
    <w:p>
      <w:pPr>
        <w:jc w:val="both"/>
        <w:ind w:left="80" w:firstLine="648"/>
        <w:spacing w:after="0" w:line="255" w:lineRule="auto"/>
        <w:rPr>
          <w:sz w:val="20"/>
          <w:szCs w:val="20"/>
          <w:color w:val="auto"/>
        </w:rPr>
      </w:pPr>
      <w:r>
        <w:rPr>
          <w:rFonts w:ascii="Arial" w:cs="Arial" w:eastAsia="Arial" w:hAnsi="Arial"/>
          <w:sz w:val="18"/>
          <w:szCs w:val="18"/>
          <w:color w:val="auto"/>
        </w:rPr>
        <w:t>Notwithstanding the foregoing, and subject to the conditions below, the undersigned may transfer the Securities provided that (1) the Company receives a signed lock-up letter agreement (in the form of this Letter Agreement) for the balance of the Restriction Period from each donee, trustee, distributee, or transferee, as the case may be, prior to such transfer (2) any such transfer shall not involve a disposition for value, (3) such transfer is not required to be reported with the Securities and Exchange Commission in accordance with the Exchange Act and no report of such transfer shall be made voluntarily, and (4) neither the undersigned nor any donee, trustee, distributee or transferee, as the case may be, otherwise voluntarily effects any public filing or report regarding such transfers, with respect to transfer:</w:t>
      </w:r>
    </w:p>
    <w:p>
      <w:pPr>
        <w:spacing w:after="0" w:line="192" w:lineRule="exact"/>
        <w:rPr>
          <w:sz w:val="20"/>
          <w:szCs w:val="20"/>
          <w:color w:val="auto"/>
        </w:rPr>
      </w:pPr>
    </w:p>
    <w:p>
      <w:pPr>
        <w:ind w:left="1080" w:hanging="298"/>
        <w:spacing w:after="0"/>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 xml:space="preserve">as a </w:t>
      </w:r>
      <w:r>
        <w:rPr>
          <w:rFonts w:ascii="Arial" w:cs="Arial" w:eastAsia="Arial" w:hAnsi="Arial"/>
          <w:sz w:val="18"/>
          <w:szCs w:val="18"/>
          <w:i w:val="1"/>
          <w:iCs w:val="1"/>
          <w:color w:val="auto"/>
        </w:rPr>
        <w:t>bona fide</w:t>
      </w:r>
      <w:r>
        <w:rPr>
          <w:rFonts w:ascii="Arial" w:cs="Arial" w:eastAsia="Arial" w:hAnsi="Arial"/>
          <w:sz w:val="18"/>
          <w:szCs w:val="18"/>
          <w:color w:val="auto"/>
        </w:rPr>
        <w:t xml:space="preserve"> gift or gifts;</w:t>
      </w:r>
    </w:p>
    <w:p>
      <w:pPr>
        <w:spacing w:after="0" w:line="225" w:lineRule="exact"/>
        <w:rPr>
          <w:rFonts w:ascii="Arial" w:cs="Arial" w:eastAsia="Arial" w:hAnsi="Arial"/>
          <w:sz w:val="18"/>
          <w:szCs w:val="18"/>
          <w:color w:val="auto"/>
        </w:rPr>
      </w:pPr>
    </w:p>
    <w:p>
      <w:pPr>
        <w:jc w:val="both"/>
        <w:ind w:left="1080" w:hanging="298"/>
        <w:spacing w:after="0" w:line="263" w:lineRule="auto"/>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to any immediate family member or to any trust for the direct or indirect benefit of the undersigned or the immediate family of the undersigned (for purposes of this Letter Agreement, “immediate family” shall mean any relationship by blood, marriage or adoption, not more remote than first cousin);</w:t>
      </w:r>
    </w:p>
    <w:p>
      <w:pPr>
        <w:spacing w:after="0" w:line="183" w:lineRule="exact"/>
        <w:rPr>
          <w:rFonts w:ascii="Arial" w:cs="Arial" w:eastAsia="Arial" w:hAnsi="Arial"/>
          <w:sz w:val="18"/>
          <w:szCs w:val="18"/>
          <w:color w:val="auto"/>
        </w:rPr>
      </w:pPr>
    </w:p>
    <w:p>
      <w:pPr>
        <w:ind w:left="1100" w:hanging="318"/>
        <w:spacing w:after="0" w:line="277" w:lineRule="auto"/>
        <w:tabs>
          <w:tab w:leader="none" w:pos="11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to any corporation, partnership, limited liability company, or other business entity all of the equity holders of which consist of the undersigned and/or the immediate family of the undersigned;</w:t>
      </w:r>
    </w:p>
    <w:p>
      <w:pPr>
        <w:spacing w:after="0" w:line="170" w:lineRule="exact"/>
        <w:rPr>
          <w:rFonts w:ascii="Arial" w:cs="Arial" w:eastAsia="Arial" w:hAnsi="Arial"/>
          <w:sz w:val="18"/>
          <w:szCs w:val="18"/>
          <w:color w:val="auto"/>
        </w:rPr>
      </w:pPr>
    </w:p>
    <w:p>
      <w:pPr>
        <w:jc w:val="both"/>
        <w:ind w:left="1100" w:hanging="318"/>
        <w:spacing w:after="0" w:line="263" w:lineRule="auto"/>
        <w:tabs>
          <w:tab w:leader="none" w:pos="11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if the undersigned is a corporation, partnership, limited liability company, trust or other business entity (a) to another corporation, partnership, limited liability company, trust or other business entity that is an Affiliate of the undersigned or (b) in the form of a distribution to limited partners, limited liability company members or stockholders of the undersigned;</w:t>
      </w:r>
    </w:p>
    <w:p>
      <w:pPr>
        <w:spacing w:after="0" w:line="183" w:lineRule="exact"/>
        <w:rPr>
          <w:rFonts w:ascii="Arial" w:cs="Arial" w:eastAsia="Arial" w:hAnsi="Arial"/>
          <w:sz w:val="18"/>
          <w:szCs w:val="18"/>
          <w:color w:val="auto"/>
        </w:rPr>
      </w:pPr>
    </w:p>
    <w:p>
      <w:pPr>
        <w:ind w:left="1100" w:hanging="318"/>
        <w:spacing w:after="0"/>
        <w:tabs>
          <w:tab w:leader="none" w:pos="11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if the undersigned is a trust, to the beneficiary of such trust;</w:t>
      </w:r>
    </w:p>
    <w:p>
      <w:pPr>
        <w:spacing w:after="0" w:line="225" w:lineRule="exact"/>
        <w:rPr>
          <w:rFonts w:ascii="Arial" w:cs="Arial" w:eastAsia="Arial" w:hAnsi="Arial"/>
          <w:sz w:val="18"/>
          <w:szCs w:val="18"/>
          <w:color w:val="auto"/>
        </w:rPr>
      </w:pPr>
    </w:p>
    <w:p>
      <w:pPr>
        <w:ind w:left="1080" w:hanging="298"/>
        <w:spacing w:after="0" w:line="277" w:lineRule="auto"/>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by will, other testamentary document or intestate succession to the legal representative, heir, beneficiary or a member of the immediate family of the undersigned; or</w:t>
      </w:r>
    </w:p>
    <w:p>
      <w:pPr>
        <w:spacing w:after="0" w:line="170" w:lineRule="exact"/>
        <w:rPr>
          <w:rFonts w:ascii="Arial" w:cs="Arial" w:eastAsia="Arial" w:hAnsi="Arial"/>
          <w:sz w:val="18"/>
          <w:szCs w:val="18"/>
          <w:color w:val="auto"/>
        </w:rPr>
      </w:pPr>
    </w:p>
    <w:p>
      <w:pPr>
        <w:ind w:left="1080" w:hanging="298"/>
        <w:spacing w:after="0"/>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of securities purchased in open market transactions after the Closing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44" w:name="page45"/>
    <w:bookmarkEnd w:id="44"/>
    <w:p>
      <w:pPr>
        <w:jc w:val="both"/>
        <w:ind w:left="80" w:firstLine="648"/>
        <w:spacing w:after="0" w:line="293" w:lineRule="auto"/>
        <w:rPr>
          <w:sz w:val="20"/>
          <w:szCs w:val="20"/>
          <w:color w:val="auto"/>
        </w:rPr>
      </w:pPr>
      <w:r>
        <w:rPr>
          <w:rFonts w:ascii="Arial" w:cs="Arial" w:eastAsia="Arial" w:hAnsi="Arial"/>
          <w:sz w:val="16"/>
          <w:szCs w:val="16"/>
          <w:color w:val="auto"/>
        </w:rPr>
        <w:t xml:space="preserve">To a </w:t>
      </w:r>
      <w:r>
        <w:rPr>
          <w:rFonts w:ascii="Arial" w:cs="Arial" w:eastAsia="Arial" w:hAnsi="Arial"/>
          <w:sz w:val="16"/>
          <w:szCs w:val="16"/>
          <w:i w:val="1"/>
          <w:iCs w:val="1"/>
          <w:color w:val="auto"/>
        </w:rPr>
        <w:t>bona fide</w:t>
      </w:r>
      <w:r>
        <w:rPr>
          <w:rFonts w:ascii="Arial" w:cs="Arial" w:eastAsia="Arial" w:hAnsi="Arial"/>
          <w:sz w:val="16"/>
          <w:szCs w:val="16"/>
          <w:color w:val="auto"/>
        </w:rPr>
        <w:t xml:space="preserve"> third-party tender offer, merger, consolidation or other similar transaction made to all holders of shares of Common Stock of the Company involving a Change of Control (as defined below) of the Company,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in the event that such tender offer, merger, consolidation or other similar transaction is not completed, the undersigned’s Shares shall remain subject to the provisions of this Letter Agreement. “Change of Control” shall mean the consummation of any </w:t>
      </w:r>
      <w:r>
        <w:rPr>
          <w:rFonts w:ascii="Arial" w:cs="Arial" w:eastAsia="Arial" w:hAnsi="Arial"/>
          <w:sz w:val="16"/>
          <w:szCs w:val="16"/>
          <w:i w:val="1"/>
          <w:iCs w:val="1"/>
          <w:color w:val="auto"/>
        </w:rPr>
        <w:t>bona fide</w:t>
      </w:r>
      <w:r>
        <w:rPr>
          <w:rFonts w:ascii="Arial" w:cs="Arial" w:eastAsia="Arial" w:hAnsi="Arial"/>
          <w:sz w:val="16"/>
          <w:szCs w:val="16"/>
          <w:color w:val="auto"/>
        </w:rPr>
        <w:t xml:space="preserve"> third party tender offer, merger, consolidation or other similar transaction, the result of which is that any “person” (as defined in Section 13(d)(3) of the Exchange Act), or group of persons, other than the Company, becomes the beneficial owner (as defined in Rules 13d-3 and 13d-5 of the Exchange Act) of more than 90% of total voting power of the voting stock of the Company.</w:t>
      </w:r>
    </w:p>
    <w:p>
      <w:pPr>
        <w:spacing w:after="0" w:line="164" w:lineRule="exact"/>
        <w:rPr>
          <w:sz w:val="20"/>
          <w:szCs w:val="20"/>
          <w:color w:val="auto"/>
        </w:rPr>
      </w:pPr>
    </w:p>
    <w:p>
      <w:pPr>
        <w:jc w:val="both"/>
        <w:ind w:left="80" w:firstLine="648"/>
        <w:spacing w:after="0" w:line="257" w:lineRule="auto"/>
        <w:rPr>
          <w:sz w:val="20"/>
          <w:szCs w:val="20"/>
          <w:color w:val="auto"/>
        </w:rPr>
      </w:pPr>
      <w:r>
        <w:rPr>
          <w:rFonts w:ascii="Arial" w:cs="Arial" w:eastAsia="Arial" w:hAnsi="Arial"/>
          <w:sz w:val="18"/>
          <w:szCs w:val="18"/>
          <w:color w:val="auto"/>
        </w:rPr>
        <w:t>In addition, notwithstanding the foregoing, this Letter Agreement shall not restrict the delivery of shares of Common Stock to the undersigned upon (i) exercise any options granted under any employee benefit plan of the Company; provided that any shares of Common Stock or Securities acquired in connection with any such exercise will be subject to the restrictions set forth in this Letter Agreement, or (ii) the exercise of warrants; provided that such shares of Common Stock delivered to the undersigned in connection with such exercise are subject to the restrictions set forth in this Letter Agreement.</w:t>
      </w:r>
    </w:p>
    <w:p>
      <w:pPr>
        <w:spacing w:after="0" w:line="188" w:lineRule="exact"/>
        <w:rPr>
          <w:sz w:val="20"/>
          <w:szCs w:val="20"/>
          <w:color w:val="auto"/>
        </w:rPr>
      </w:pPr>
    </w:p>
    <w:p>
      <w:pPr>
        <w:jc w:val="both"/>
        <w:ind w:left="80" w:firstLine="648"/>
        <w:spacing w:after="0" w:line="259" w:lineRule="auto"/>
        <w:rPr>
          <w:sz w:val="20"/>
          <w:szCs w:val="20"/>
          <w:color w:val="auto"/>
        </w:rPr>
      </w:pPr>
      <w:r>
        <w:rPr>
          <w:rFonts w:ascii="Arial" w:cs="Arial" w:eastAsia="Arial" w:hAnsi="Arial"/>
          <w:sz w:val="18"/>
          <w:szCs w:val="18"/>
          <w:color w:val="auto"/>
        </w:rPr>
        <w:t>Furthermore, the undersigned may enter into any new plan established in compliance with Rule 10b5-1 of the Exchange Act; provided that (i) no sale of shares of Common Stock are made pursuant to such plan during the Restriction Period, and (ii) any public announcement or filing with the Securities and Exchange Commission, or other applicable regulatory authority, is made in connection with the establishment of such plan during the Restriction Period discloses that such sale may be made during the Restriction Period.</w:t>
      </w:r>
    </w:p>
    <w:p>
      <w:pPr>
        <w:spacing w:after="0" w:line="187" w:lineRule="exact"/>
        <w:rPr>
          <w:sz w:val="20"/>
          <w:szCs w:val="20"/>
          <w:color w:val="auto"/>
        </w:rPr>
      </w:pPr>
    </w:p>
    <w:p>
      <w:pPr>
        <w:jc w:val="both"/>
        <w:ind w:left="80" w:firstLine="648"/>
        <w:spacing w:after="0" w:line="257" w:lineRule="auto"/>
        <w:rPr>
          <w:sz w:val="20"/>
          <w:szCs w:val="20"/>
          <w:color w:val="auto"/>
        </w:rPr>
      </w:pPr>
      <w:r>
        <w:rPr>
          <w:rFonts w:ascii="Arial" w:cs="Arial" w:eastAsia="Arial" w:hAnsi="Arial"/>
          <w:sz w:val="18"/>
          <w:szCs w:val="18"/>
          <w:color w:val="auto"/>
        </w:rPr>
        <w:t>The undersigned acknowledges that the execution, delivery and performance of this Letter Agreement is a material inducement to the Company to complete the transactions contemplated by the Purchase Agreement and the Company shall be entitled to specific performance of the undersigned’s obligations hereunder. The undersigned hereby represents that the undersigned has the power and authority to execute, deliver and perform this Letter Agreement, that the undersigned has received adequate consideration therefor and that the undersigned will indirectly benefit from the closing of the transactions contemplated by the Purchase Agreement.</w:t>
      </w:r>
    </w:p>
    <w:p>
      <w:pPr>
        <w:spacing w:after="0" w:line="188"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This Letter Agreement may not be amended or otherwise modified in any respect without the written consent of each of the Company and the undersigned. This Letter Agreement shall be construed and enforced in accordance with the laws of the State of New York without regard to the principles of conflict of laws. The undersigned hereby irrevocably submits to the exclusive jurisdiction of the United States District Court sitting in the Southern District of New York and the courts of the State of New York located in Manhattan, for the purposes of any suit, action or proceeding arising out of or relating to this Letter Agreement, and hereby waives, and agrees not to assert in any such suit, action or proceeding, any claim that (i) it is not personally subject to the jurisdiction of such court, (ii) the suit, action or proceeding is brought in an inconvenient forum, or (iii) the venue of the suit, action or proceeding is improper. The undersigned hereby irrevocably waives personal service of process and consents to process being served in any such suit, action or proceeding by receiving a copy thereof sent to the Company at the address in effect for notices to it under the Purchase Agreement and agrees that such service shall constitute good and sufficient service of process and notice thereof. The undersigned hereby waives any right to a trial by jury. Nothing contained herein shall be deemed to limit in any way any right to serve process in any manner permitted by law. The undersigned agrees and understands that this Letter Agreement does not intend to create any relationship between the undersigned and any Purchaser and that no Purchaser is entitled to cast any votes on the matters herein contemplated and that no issuance or sale of the Securities is created or intended by virtue of this Letter Agreement.</w:t>
      </w:r>
    </w:p>
    <w:p>
      <w:pPr>
        <w:spacing w:after="0" w:line="168"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This Letter Agreement shall be binding on successors and assigns of the undersigned with respect to the Securities and any such successor or assign shall enter into a similar agreement for the benefit of the Company. This Letter Agreement is intended for the benefit of the parties hereto and their respective successors and permitted assigns and is not for the benefit of, nor may any provision hereof be enforced by, any other Person.</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SIGNATURE PAGE FOLLOWS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45" w:name="page46"/>
    <w:bookmarkEnd w:id="45"/>
    <w:p>
      <w:pPr>
        <w:ind w:firstLine="648"/>
        <w:spacing w:after="0" w:line="277" w:lineRule="auto"/>
        <w:rPr>
          <w:sz w:val="20"/>
          <w:szCs w:val="20"/>
          <w:color w:val="auto"/>
        </w:rPr>
      </w:pPr>
      <w:r>
        <w:rPr>
          <w:rFonts w:ascii="Arial" w:cs="Arial" w:eastAsia="Arial" w:hAnsi="Arial"/>
          <w:sz w:val="18"/>
          <w:szCs w:val="18"/>
          <w:color w:val="auto"/>
        </w:rPr>
        <w:t>This Letter Agreement may be executed in two or more counterparts, all of which when taken together may be considered one and the same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262890</wp:posOffset>
            </wp:positionV>
            <wp:extent cx="356616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9">
                      <a:extLst>
                        <a:ext uri="{28A0092B-C50C-407E-A947-70E740481C1C}"/>
                      </a:extLst>
                    </a:blip>
                    <a:srcRect/>
                    <a:stretch>
                      <a:fillRect/>
                    </a:stretch>
                  </pic:blipFill>
                  <pic:spPr bwMode="auto">
                    <a:xfrm>
                      <a:off x="0" y="0"/>
                      <a:ext cx="3566160" cy="17145"/>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297815</wp:posOffset>
            </wp:positionV>
            <wp:extent cx="356616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0">
                      <a:extLst>
                        <a:ext uri="{28A0092B-C50C-407E-A947-70E740481C1C}"/>
                      </a:extLst>
                    </a:blip>
                    <a:srcRect/>
                    <a:stretch>
                      <a:fillRect/>
                    </a:stretch>
                  </pic:blipFill>
                  <pic:spPr bwMode="auto">
                    <a:xfrm>
                      <a:off x="0" y="0"/>
                      <a:ext cx="3566160" cy="17145"/>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color w:val="auto"/>
        </w:rPr>
        <w:t>Print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297815</wp:posOffset>
            </wp:positionV>
            <wp:extent cx="356616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1">
                      <a:extLst>
                        <a:ext uri="{28A0092B-C50C-407E-A947-70E740481C1C}"/>
                      </a:extLst>
                    </a:blip>
                    <a:srcRect/>
                    <a:stretch>
                      <a:fillRect/>
                    </a:stretch>
                  </pic:blipFill>
                  <pic:spPr bwMode="auto">
                    <a:xfrm>
                      <a:off x="0" y="0"/>
                      <a:ext cx="3566160" cy="17145"/>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color w:val="auto"/>
        </w:rPr>
        <w:t>Position in Company, if any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Address for Notice: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297815</wp:posOffset>
            </wp:positionV>
            <wp:extent cx="356616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2">
                      <a:extLst>
                        <a:ext uri="{28A0092B-C50C-407E-A947-70E740481C1C}"/>
                      </a:extLst>
                    </a:blip>
                    <a:srcRect/>
                    <a:stretch>
                      <a:fillRect/>
                    </a:stretch>
                  </pic:blipFill>
                  <pic:spPr bwMode="auto">
                    <a:xfrm>
                      <a:off x="0" y="0"/>
                      <a:ext cx="356616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452120</wp:posOffset>
            </wp:positionV>
            <wp:extent cx="356616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3">
                      <a:extLst>
                        <a:ext uri="{28A0092B-C50C-407E-A947-70E740481C1C}"/>
                      </a:extLst>
                    </a:blip>
                    <a:srcRect/>
                    <a:stretch>
                      <a:fillRect/>
                    </a:stretch>
                  </pic:blipFill>
                  <pic:spPr bwMode="auto">
                    <a:xfrm>
                      <a:off x="0" y="0"/>
                      <a:ext cx="356616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606425</wp:posOffset>
            </wp:positionV>
            <wp:extent cx="356616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4">
                      <a:extLst>
                        <a:ext uri="{28A0092B-C50C-407E-A947-70E740481C1C}"/>
                      </a:extLst>
                    </a:blip>
                    <a:srcRect/>
                    <a:stretch>
                      <a:fillRect/>
                    </a:stretch>
                  </pic:blipFill>
                  <pic:spPr bwMode="auto">
                    <a:xfrm>
                      <a:off x="0" y="0"/>
                      <a:ext cx="356616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spacing w:after="0"/>
        <w:rPr>
          <w:sz w:val="20"/>
          <w:szCs w:val="20"/>
          <w:color w:val="auto"/>
        </w:rPr>
      </w:pPr>
      <w:r>
        <w:rPr>
          <w:rFonts w:ascii="Arial" w:cs="Arial" w:eastAsia="Arial" w:hAnsi="Arial"/>
          <w:sz w:val="18"/>
          <w:szCs w:val="18"/>
          <w:color w:val="auto"/>
        </w:rPr>
        <w:t>Number of shares of Common Stock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_____________________________________________________________________________</w:t>
      </w:r>
    </w:p>
    <w:p>
      <w:pPr>
        <w:spacing w:after="0" w:line="225" w:lineRule="exact"/>
        <w:rPr>
          <w:sz w:val="20"/>
          <w:szCs w:val="20"/>
          <w:color w:val="auto"/>
        </w:rPr>
      </w:pPr>
    </w:p>
    <w:p>
      <w:pPr>
        <w:ind w:left="660" w:right="2580" w:hanging="647"/>
        <w:spacing w:after="0" w:line="560" w:lineRule="auto"/>
        <w:rPr>
          <w:sz w:val="20"/>
          <w:szCs w:val="20"/>
          <w:color w:val="auto"/>
        </w:rPr>
      </w:pPr>
      <w:r>
        <w:rPr>
          <w:rFonts w:ascii="Arial" w:cs="Arial" w:eastAsia="Arial" w:hAnsi="Arial"/>
          <w:sz w:val="16"/>
          <w:szCs w:val="16"/>
          <w:color w:val="auto"/>
        </w:rPr>
        <w:t>Number of shares of Common Stock underlying subject to warrants, options, debentures or other convertible securities By signing below, the Company agrees to enforce the restrictions on transfer set forth in this Letter Agreement.</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PRESTO AUTOMATION INC.</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-130175</wp:posOffset>
            </wp:positionV>
            <wp:extent cx="249428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5">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46" w:name="page47"/>
    <w:bookmarkEnd w:id="46"/>
    <w:p>
      <w:pPr>
        <w:jc w:val="center"/>
        <w:spacing w:after="0"/>
        <w:rPr>
          <w:sz w:val="20"/>
          <w:szCs w:val="20"/>
          <w:color w:val="auto"/>
        </w:rPr>
      </w:pPr>
      <w:r>
        <w:rPr>
          <w:rFonts w:ascii="Arial" w:cs="Arial" w:eastAsia="Arial" w:hAnsi="Arial"/>
          <w:sz w:val="18"/>
          <w:szCs w:val="18"/>
          <w:color w:val="auto"/>
        </w:rPr>
        <w:t>Exhibit C</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OF OPINION OF WHITE &amp; CASE LLP</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[Omitted]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426085</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908" w:right="1440" w:bottom="1440" w:gutter="0" w:footer="0" w:header="0"/>
        </w:sectPr>
      </w:pPr>
    </w:p>
    <w:bookmarkStart w:id="47" w:name="page48"/>
    <w:bookmarkEnd w:id="47"/>
    <w:p>
      <w:pPr>
        <w:jc w:val="right"/>
        <w:spacing w:after="0"/>
        <w:rPr>
          <w:sz w:val="20"/>
          <w:szCs w:val="20"/>
          <w:color w:val="auto"/>
        </w:rPr>
      </w:pPr>
      <w:r>
        <w:rPr>
          <w:rFonts w:ascii="Arial" w:cs="Arial" w:eastAsia="Arial" w:hAnsi="Arial"/>
          <w:sz w:val="22"/>
          <w:szCs w:val="22"/>
          <w:b w:val="1"/>
          <w:bCs w:val="1"/>
          <w:color w:val="auto"/>
        </w:rPr>
        <w:t>Exhibit 10.2</w:t>
      </w:r>
    </w:p>
    <w:p>
      <w:pPr>
        <w:spacing w:after="0" w:line="243"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OF REGISTRATION RIGHTS AGREEMENT</w:t>
      </w:r>
    </w:p>
    <w:p>
      <w:pPr>
        <w:spacing w:after="0" w:line="229" w:lineRule="exact"/>
        <w:rPr>
          <w:sz w:val="20"/>
          <w:szCs w:val="20"/>
          <w:color w:val="auto"/>
        </w:rPr>
      </w:pPr>
    </w:p>
    <w:p>
      <w:pPr>
        <w:ind w:firstLine="648"/>
        <w:spacing w:after="0" w:line="342" w:lineRule="auto"/>
        <w:rPr>
          <w:sz w:val="20"/>
          <w:szCs w:val="20"/>
          <w:color w:val="auto"/>
        </w:rPr>
      </w:pPr>
      <w:r>
        <w:rPr>
          <w:rFonts w:ascii="Arial" w:cs="Arial" w:eastAsia="Arial" w:hAnsi="Arial"/>
          <w:sz w:val="16"/>
          <w:szCs w:val="16"/>
          <w:color w:val="auto"/>
        </w:rPr>
        <w:t>This Registration Rights Agreement (this “</w:t>
      </w:r>
      <w:r>
        <w:rPr>
          <w:rFonts w:ascii="Arial" w:cs="Arial" w:eastAsia="Arial" w:hAnsi="Arial"/>
          <w:sz w:val="16"/>
          <w:szCs w:val="16"/>
          <w:u w:val="single" w:color="auto"/>
          <w:color w:val="auto"/>
        </w:rPr>
        <w:t>Agreement</w:t>
      </w:r>
      <w:r>
        <w:rPr>
          <w:rFonts w:ascii="Arial" w:cs="Arial" w:eastAsia="Arial" w:hAnsi="Arial"/>
          <w:sz w:val="16"/>
          <w:szCs w:val="16"/>
          <w:color w:val="auto"/>
        </w:rPr>
        <w:t>”) is made and entered into as of May 22, 2023, between Presto Automation Inc., a Delaware corporation (the “</w:t>
      </w:r>
      <w:r>
        <w:rPr>
          <w:rFonts w:ascii="Arial" w:cs="Arial" w:eastAsia="Arial" w:hAnsi="Arial"/>
          <w:sz w:val="16"/>
          <w:szCs w:val="16"/>
          <w:u w:val="single" w:color="auto"/>
          <w:color w:val="auto"/>
        </w:rPr>
        <w:t>Company</w:t>
      </w:r>
      <w:r>
        <w:rPr>
          <w:rFonts w:ascii="Arial" w:cs="Arial" w:eastAsia="Arial" w:hAnsi="Arial"/>
          <w:sz w:val="16"/>
          <w:szCs w:val="16"/>
          <w:color w:val="auto"/>
        </w:rPr>
        <w:t>”), and each of the several purchasers signatory hereto (each such purchaser, a “</w:t>
      </w:r>
      <w:r>
        <w:rPr>
          <w:rFonts w:ascii="Arial" w:cs="Arial" w:eastAsia="Arial" w:hAnsi="Arial"/>
          <w:sz w:val="16"/>
          <w:szCs w:val="16"/>
          <w:u w:val="single" w:color="auto"/>
          <w:color w:val="auto"/>
        </w:rPr>
        <w:t>Purchaser</w:t>
      </w:r>
      <w:r>
        <w:rPr>
          <w:rFonts w:ascii="Arial" w:cs="Arial" w:eastAsia="Arial" w:hAnsi="Arial"/>
          <w:sz w:val="16"/>
          <w:szCs w:val="16"/>
          <w:color w:val="auto"/>
        </w:rPr>
        <w:t>” and, collectively, the “</w:t>
      </w:r>
      <w:r>
        <w:rPr>
          <w:rFonts w:ascii="Arial" w:cs="Arial" w:eastAsia="Arial" w:hAnsi="Arial"/>
          <w:sz w:val="16"/>
          <w:szCs w:val="16"/>
          <w:u w:val="single" w:color="auto"/>
          <w:color w:val="auto"/>
        </w:rPr>
        <w:t>Purchasers</w:t>
      </w:r>
      <w:r>
        <w:rPr>
          <w:rFonts w:ascii="Arial" w:cs="Arial" w:eastAsia="Arial" w:hAnsi="Arial"/>
          <w:sz w:val="16"/>
          <w:szCs w:val="16"/>
          <w:color w:val="auto"/>
        </w:rPr>
        <w:t>”).</w:t>
      </w:r>
    </w:p>
    <w:p>
      <w:pPr>
        <w:spacing w:after="0" w:line="124"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This Agreement is made pursuant to the Securities Purchase Agreement, dated as of the date hereof, between the Company and each Purchaser (the “</w:t>
      </w:r>
      <w:r>
        <w:rPr>
          <w:rFonts w:ascii="Arial" w:cs="Arial" w:eastAsia="Arial" w:hAnsi="Arial"/>
          <w:sz w:val="18"/>
          <w:szCs w:val="18"/>
          <w:u w:val="single" w:color="auto"/>
          <w:color w:val="auto"/>
        </w:rPr>
        <w:t>Purchase Agreement</w:t>
      </w:r>
      <w:r>
        <w:rPr>
          <w:rFonts w:ascii="Arial" w:cs="Arial" w:eastAsia="Arial" w:hAnsi="Arial"/>
          <w:sz w:val="18"/>
          <w:szCs w:val="18"/>
          <w:color w:val="auto"/>
        </w:rPr>
        <w:t>”).</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 and each Purchaser hereby agrees as follows:</w:t>
      </w:r>
    </w:p>
    <w:p>
      <w:pPr>
        <w:spacing w:after="0" w:line="225" w:lineRule="exact"/>
        <w:rPr>
          <w:sz w:val="20"/>
          <w:szCs w:val="20"/>
          <w:color w:val="auto"/>
        </w:rPr>
      </w:pPr>
    </w:p>
    <w:p>
      <w:pPr>
        <w:ind w:left="980" w:hanging="648"/>
        <w:spacing w:after="0"/>
        <w:tabs>
          <w:tab w:leader="none" w:pos="980" w:val="left"/>
        </w:tabs>
        <w:numPr>
          <w:ilvl w:val="0"/>
          <w:numId w:val="37"/>
        </w:numPr>
        <w:rPr>
          <w:rFonts w:ascii="Arial" w:cs="Arial" w:eastAsia="Arial" w:hAnsi="Arial"/>
          <w:sz w:val="18"/>
          <w:szCs w:val="18"/>
          <w:color w:val="auto"/>
        </w:rPr>
      </w:pPr>
      <w:r>
        <w:rPr>
          <w:rFonts w:ascii="Arial" w:cs="Arial" w:eastAsia="Arial" w:hAnsi="Arial"/>
          <w:sz w:val="18"/>
          <w:szCs w:val="18"/>
          <w:u w:val="single" w:color="auto"/>
          <w:color w:val="auto"/>
        </w:rPr>
        <w:t>Definitions</w:t>
      </w:r>
      <w:r>
        <w:rPr>
          <w:rFonts w:ascii="Arial" w:cs="Arial" w:eastAsia="Arial" w:hAnsi="Arial"/>
          <w:sz w:val="18"/>
          <w:szCs w:val="18"/>
          <w:color w:val="auto"/>
        </w:rPr>
        <w:t>.</w:t>
      </w:r>
    </w:p>
    <w:p>
      <w:pPr>
        <w:spacing w:after="0" w:line="221" w:lineRule="exact"/>
        <w:rPr>
          <w:sz w:val="20"/>
          <w:szCs w:val="20"/>
          <w:color w:val="auto"/>
        </w:rPr>
      </w:pPr>
    </w:p>
    <w:p>
      <w:pPr>
        <w:ind w:firstLine="648"/>
        <w:spacing w:after="0" w:line="312" w:lineRule="auto"/>
        <w:rPr>
          <w:sz w:val="20"/>
          <w:szCs w:val="20"/>
          <w:color w:val="auto"/>
        </w:rPr>
      </w:pPr>
      <w:r>
        <w:rPr>
          <w:rFonts w:ascii="Arial" w:cs="Arial" w:eastAsia="Arial" w:hAnsi="Arial"/>
          <w:sz w:val="17"/>
          <w:szCs w:val="17"/>
          <w:b w:val="1"/>
          <w:bCs w:val="1"/>
          <w:color w:val="auto"/>
        </w:rPr>
        <w:t xml:space="preserve">Capitalized terms used and not otherwise defined herein that are defined in the Purchase Agreement shall have the meanings given such terms in the Purchase Agreement. </w:t>
      </w:r>
      <w:r>
        <w:rPr>
          <w:rFonts w:ascii="Arial" w:cs="Arial" w:eastAsia="Arial" w:hAnsi="Arial"/>
          <w:sz w:val="17"/>
          <w:szCs w:val="17"/>
          <w:color w:val="auto"/>
        </w:rPr>
        <w:t>As used in this Agreement, the following terms shall have the following meanings:</w:t>
      </w:r>
    </w:p>
    <w:p>
      <w:pPr>
        <w:spacing w:after="0" w:line="144"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Advice</w:t>
      </w:r>
      <w:r>
        <w:rPr>
          <w:rFonts w:ascii="Arial" w:cs="Arial" w:eastAsia="Arial" w:hAnsi="Arial"/>
          <w:sz w:val="18"/>
          <w:szCs w:val="18"/>
          <w:color w:val="auto"/>
        </w:rPr>
        <w:t>” shall have the meaning set forth in Section 6(c).</w:t>
      </w:r>
    </w:p>
    <w:p>
      <w:pPr>
        <w:spacing w:after="0" w:line="229" w:lineRule="exact"/>
        <w:rPr>
          <w:sz w:val="20"/>
          <w:szCs w:val="20"/>
          <w:color w:val="auto"/>
        </w:rPr>
      </w:pPr>
    </w:p>
    <w:p>
      <w:pPr>
        <w:jc w:val="both"/>
        <w:ind w:left="660" w:firstLine="648"/>
        <w:spacing w:after="0" w:line="21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Effectiveness Date</w:t>
      </w:r>
      <w:r>
        <w:rPr>
          <w:rFonts w:ascii="Arial" w:cs="Arial" w:eastAsia="Arial" w:hAnsi="Arial"/>
          <w:sz w:val="16"/>
          <w:szCs w:val="16"/>
          <w:color w:val="auto"/>
        </w:rPr>
        <w:t>” means, with respect to the Initial Registration Statement required to be filed hereunder, the 60</w:t>
      </w:r>
      <w:r>
        <w:rPr>
          <w:rFonts w:ascii="Arial" w:cs="Arial" w:eastAsia="Arial" w:hAnsi="Arial"/>
          <w:sz w:val="26"/>
          <w:szCs w:val="26"/>
          <w:color w:val="auto"/>
          <w:vertAlign w:val="superscript"/>
        </w:rPr>
        <w:t>th</w:t>
      </w:r>
      <w:r>
        <w:rPr>
          <w:rFonts w:ascii="Arial" w:cs="Arial" w:eastAsia="Arial" w:hAnsi="Arial"/>
          <w:sz w:val="16"/>
          <w:szCs w:val="16"/>
          <w:color w:val="auto"/>
        </w:rPr>
        <w:t xml:space="preserve"> calendar day following the date hereof (or, in the event of a “full review” by the Commission, the 90</w:t>
      </w:r>
      <w:r>
        <w:rPr>
          <w:rFonts w:ascii="Arial" w:cs="Arial" w:eastAsia="Arial" w:hAnsi="Arial"/>
          <w:sz w:val="26"/>
          <w:szCs w:val="26"/>
          <w:color w:val="auto"/>
          <w:vertAlign w:val="superscript"/>
        </w:rPr>
        <w:t>th</w:t>
      </w:r>
      <w:r>
        <w:rPr>
          <w:rFonts w:ascii="Arial" w:cs="Arial" w:eastAsia="Arial" w:hAnsi="Arial"/>
          <w:sz w:val="16"/>
          <w:szCs w:val="16"/>
          <w:color w:val="auto"/>
        </w:rPr>
        <w:t xml:space="preserve"> calendar day following the date hereof) and with respect to any additional Registration Statements which may be required pursuant to Section 2(c) or Section 3(c), the 60</w:t>
      </w:r>
      <w:r>
        <w:rPr>
          <w:rFonts w:ascii="Arial" w:cs="Arial" w:eastAsia="Arial" w:hAnsi="Arial"/>
          <w:sz w:val="26"/>
          <w:szCs w:val="26"/>
          <w:color w:val="auto"/>
          <w:vertAlign w:val="superscript"/>
        </w:rPr>
        <w:t>th</w:t>
      </w:r>
      <w:r>
        <w:rPr>
          <w:rFonts w:ascii="Arial" w:cs="Arial" w:eastAsia="Arial" w:hAnsi="Arial"/>
          <w:sz w:val="16"/>
          <w:szCs w:val="16"/>
          <w:color w:val="auto"/>
        </w:rPr>
        <w:t xml:space="preserve"> calendar day following the date</w:t>
      </w:r>
    </w:p>
    <w:p>
      <w:pPr>
        <w:spacing w:after="0" w:line="3" w:lineRule="exact"/>
        <w:rPr>
          <w:sz w:val="20"/>
          <w:szCs w:val="20"/>
          <w:color w:val="auto"/>
        </w:rPr>
      </w:pPr>
    </w:p>
    <w:p>
      <w:pPr>
        <w:jc w:val="both"/>
        <w:ind w:left="660"/>
        <w:spacing w:after="0" w:line="252" w:lineRule="auto"/>
        <w:rPr>
          <w:sz w:val="20"/>
          <w:szCs w:val="20"/>
          <w:color w:val="auto"/>
        </w:rPr>
      </w:pPr>
      <w:r>
        <w:rPr>
          <w:rFonts w:ascii="Arial" w:cs="Arial" w:eastAsia="Arial" w:hAnsi="Arial"/>
          <w:sz w:val="16"/>
          <w:szCs w:val="16"/>
          <w:color w:val="auto"/>
        </w:rPr>
        <w:t>on which an additional Registration Statement is required to be filed hereunder (or, in the event of a “full review” by the Commission, the 90</w:t>
      </w:r>
      <w:r>
        <w:rPr>
          <w:rFonts w:ascii="Arial" w:cs="Arial" w:eastAsia="Arial" w:hAnsi="Arial"/>
          <w:sz w:val="26"/>
          <w:szCs w:val="26"/>
          <w:color w:val="auto"/>
          <w:vertAlign w:val="superscript"/>
        </w:rPr>
        <w:t>th</w:t>
      </w:r>
      <w:r>
        <w:rPr>
          <w:rFonts w:ascii="Arial" w:cs="Arial" w:eastAsia="Arial" w:hAnsi="Arial"/>
          <w:sz w:val="16"/>
          <w:szCs w:val="16"/>
          <w:color w:val="auto"/>
        </w:rPr>
        <w:t xml:space="preserve"> calendar day following the date such additional Registration Statement is required to be filed hereunder);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in the event the Company is notified by the Commission that one or more of the above Registration Statements will not be reviewed or is no longer subject to</w:t>
      </w:r>
    </w:p>
    <w:p>
      <w:pPr>
        <w:jc w:val="both"/>
        <w:ind w:left="660"/>
        <w:spacing w:after="0" w:line="221" w:lineRule="auto"/>
        <w:rPr>
          <w:sz w:val="20"/>
          <w:szCs w:val="20"/>
          <w:color w:val="auto"/>
        </w:rPr>
      </w:pPr>
      <w:r>
        <w:rPr>
          <w:rFonts w:ascii="Arial" w:cs="Arial" w:eastAsia="Arial" w:hAnsi="Arial"/>
          <w:sz w:val="18"/>
          <w:szCs w:val="18"/>
          <w:color w:val="auto"/>
        </w:rPr>
        <w:t>further review and comments, the Effectiveness Date as to such Registration Statement shall be the fifth (5</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 Trading Day following the date on which the Company is so notified if such date precedes the dates otherwise required above, provided, further, if such Effectiveness Date falls on a day that is not a Trading Day, then the Effectiveness Date shall be the next succeeding Trading Day.</w:t>
      </w:r>
    </w:p>
    <w:p>
      <w:pPr>
        <w:spacing w:after="0" w:line="202"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Effectiveness Period</w:t>
      </w:r>
      <w:r>
        <w:rPr>
          <w:rFonts w:ascii="Arial" w:cs="Arial" w:eastAsia="Arial" w:hAnsi="Arial"/>
          <w:sz w:val="18"/>
          <w:szCs w:val="18"/>
          <w:color w:val="auto"/>
        </w:rPr>
        <w:t>” shall have the meaning set forth in Section 2(a).</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Event</w:t>
      </w:r>
      <w:r>
        <w:rPr>
          <w:rFonts w:ascii="Arial" w:cs="Arial" w:eastAsia="Arial" w:hAnsi="Arial"/>
          <w:sz w:val="18"/>
          <w:szCs w:val="18"/>
          <w:color w:val="auto"/>
        </w:rPr>
        <w:t>” shall have the meaning set forth in Section 2(d).</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Event Date</w:t>
      </w:r>
      <w:r>
        <w:rPr>
          <w:rFonts w:ascii="Arial" w:cs="Arial" w:eastAsia="Arial" w:hAnsi="Arial"/>
          <w:sz w:val="18"/>
          <w:szCs w:val="18"/>
          <w:color w:val="auto"/>
        </w:rPr>
        <w:t>” shall have the meaning set forth in Section 2(d).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48" w:name="page49"/>
    <w:bookmarkEnd w:id="48"/>
    <w:p>
      <w:pPr>
        <w:jc w:val="both"/>
        <w:ind w:firstLine="648"/>
        <w:spacing w:after="0" w:line="255"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Filing Date</w:t>
      </w:r>
      <w:r>
        <w:rPr>
          <w:rFonts w:ascii="Arial" w:cs="Arial" w:eastAsia="Arial" w:hAnsi="Arial"/>
          <w:sz w:val="16"/>
          <w:szCs w:val="16"/>
          <w:color w:val="auto"/>
        </w:rPr>
        <w:t>” means, with respect to the Initial Registration Statement required hereunder, the 30</w:t>
      </w:r>
      <w:r>
        <w:rPr>
          <w:rFonts w:ascii="Arial" w:cs="Arial" w:eastAsia="Arial" w:hAnsi="Arial"/>
          <w:sz w:val="26"/>
          <w:szCs w:val="26"/>
          <w:color w:val="auto"/>
          <w:vertAlign w:val="superscript"/>
        </w:rPr>
        <w:t>th</w:t>
      </w:r>
      <w:r>
        <w:rPr>
          <w:rFonts w:ascii="Arial" w:cs="Arial" w:eastAsia="Arial" w:hAnsi="Arial"/>
          <w:sz w:val="16"/>
          <w:szCs w:val="16"/>
          <w:color w:val="auto"/>
        </w:rPr>
        <w:t xml:space="preserve"> calendar day following the date hereof and, with respect to any additional Registration Statements which may be required pursuant to Section 2(c) or Section 3(c), the earliest practical date on which the Company is permitted by SEC Guidance to file such additional Registration Statement related to the Registrable Securities.</w:t>
      </w:r>
    </w:p>
    <w:p>
      <w:pPr>
        <w:spacing w:after="0" w:line="192"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Holder</w:t>
      </w:r>
      <w:r>
        <w:rPr>
          <w:rFonts w:ascii="Arial" w:cs="Arial" w:eastAsia="Arial" w:hAnsi="Arial"/>
          <w:sz w:val="18"/>
          <w:szCs w:val="18"/>
          <w:color w:val="auto"/>
        </w:rPr>
        <w:t>” or “</w:t>
      </w:r>
      <w:r>
        <w:rPr>
          <w:rFonts w:ascii="Arial" w:cs="Arial" w:eastAsia="Arial" w:hAnsi="Arial"/>
          <w:sz w:val="18"/>
          <w:szCs w:val="18"/>
          <w:u w:val="single" w:color="auto"/>
          <w:color w:val="auto"/>
        </w:rPr>
        <w:t>Holders</w:t>
      </w:r>
      <w:r>
        <w:rPr>
          <w:rFonts w:ascii="Arial" w:cs="Arial" w:eastAsia="Arial" w:hAnsi="Arial"/>
          <w:sz w:val="18"/>
          <w:szCs w:val="18"/>
          <w:color w:val="auto"/>
        </w:rPr>
        <w:t>” means the holder or holders, as the case may be, from time to time of Registrable Securities.</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Indemnified Party</w:t>
      </w:r>
      <w:r>
        <w:rPr>
          <w:rFonts w:ascii="Arial" w:cs="Arial" w:eastAsia="Arial" w:hAnsi="Arial"/>
          <w:sz w:val="18"/>
          <w:szCs w:val="18"/>
          <w:color w:val="auto"/>
        </w:rPr>
        <w:t>” shall have the meaning set forth in Section 5(c).</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Indemnifying Party</w:t>
      </w:r>
      <w:r>
        <w:rPr>
          <w:rFonts w:ascii="Arial" w:cs="Arial" w:eastAsia="Arial" w:hAnsi="Arial"/>
          <w:sz w:val="18"/>
          <w:szCs w:val="18"/>
          <w:color w:val="auto"/>
        </w:rPr>
        <w:t>” shall have the meaning set forth in Section 5(c).</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Initial Registration Statement</w:t>
      </w:r>
      <w:r>
        <w:rPr>
          <w:rFonts w:ascii="Arial" w:cs="Arial" w:eastAsia="Arial" w:hAnsi="Arial"/>
          <w:sz w:val="18"/>
          <w:szCs w:val="18"/>
          <w:color w:val="auto"/>
        </w:rPr>
        <w:t>” means the initial Registration Statement filed pursuant to this Agreement.</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Losses</w:t>
      </w:r>
      <w:r>
        <w:rPr>
          <w:rFonts w:ascii="Arial" w:cs="Arial" w:eastAsia="Arial" w:hAnsi="Arial"/>
          <w:sz w:val="18"/>
          <w:szCs w:val="18"/>
          <w:color w:val="auto"/>
        </w:rPr>
        <w:t>” shall have the meaning set forth in Section 5(a).</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Plan of Distribution</w:t>
      </w:r>
      <w:r>
        <w:rPr>
          <w:rFonts w:ascii="Arial" w:cs="Arial" w:eastAsia="Arial" w:hAnsi="Arial"/>
          <w:sz w:val="18"/>
          <w:szCs w:val="18"/>
          <w:color w:val="auto"/>
        </w:rPr>
        <w:t>” shall have the meaning set forth in Section 2(a).</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Prospectus</w:t>
      </w:r>
      <w:r>
        <w:rPr>
          <w:rFonts w:ascii="Arial" w:cs="Arial" w:eastAsia="Arial" w:hAnsi="Arial"/>
          <w:sz w:val="18"/>
          <w:szCs w:val="18"/>
          <w:color w:val="auto"/>
        </w:rPr>
        <w:t>” means the prospectus included in a Registration Statement (including, without limitation, a prospectus that includes any information previously omitted from a prospectus filed as part of an effective registration statement in reliance upon Rule 430A promulgated by the Commission pursuant to the Securities Act), as amended or supplemented by any prospectus supplement, with respect to the terms of the offering of any portion of the Registrable Securities covered by a Registration Statement, and all other amendments and supplements to the Prospectus, including post-effective amendments, and all material incorporated by reference or deemed to be incorporated by reference in such Prospectus.</w:t>
      </w:r>
    </w:p>
    <w:p>
      <w:pPr>
        <w:spacing w:after="0" w:line="192"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Registrable Securities</w:t>
      </w:r>
      <w:r>
        <w:rPr>
          <w:rFonts w:ascii="Arial" w:cs="Arial" w:eastAsia="Arial" w:hAnsi="Arial"/>
          <w:sz w:val="17"/>
          <w:szCs w:val="17"/>
          <w:color w:val="auto"/>
        </w:rPr>
        <w:t xml:space="preserve">” means, as of any date of determination, all of the Shares; </w:t>
      </w:r>
      <w:r>
        <w:rPr>
          <w:rFonts w:ascii="Arial" w:cs="Arial" w:eastAsia="Arial" w:hAnsi="Arial"/>
          <w:sz w:val="17"/>
          <w:szCs w:val="17"/>
          <w:u w:val="single" w:color="auto"/>
          <w:color w:val="auto"/>
        </w:rPr>
        <w:t>provided, however</w:t>
      </w:r>
      <w:r>
        <w:rPr>
          <w:rFonts w:ascii="Arial" w:cs="Arial" w:eastAsia="Arial" w:hAnsi="Arial"/>
          <w:sz w:val="17"/>
          <w:szCs w:val="17"/>
          <w:color w:val="auto"/>
        </w:rPr>
        <w:t>, that any such Registrable Securities shall cease to be Registrable Securities (and the Company shall not be required to maintain the effectiveness of any, or file another, Registration Statement hereunder with respect thereto) for so long as (a) a Registration Statement with respect to the sale of such Registrable Securities is declared effective by the Commission under the Securities Act and such Registrable Securities have been disposed of by the Holder in accordance with such effective Registration Statement, (b) such Registrable Securities have been previously sold in accordance with Rule 144, or (c) such securities become eligible for resale without volume or manner-of-sale restrictions and without current public information pursuant to Rule 144 as set forth in a written opinion letter to such effect, addressed, delivered and acceptable to the Transfer Agent and the affected Holders (assuming that such securities and any securities issuable upon exercise, conversion or exchange of which, or as a dividend upon which, such securities were issued or are issuable, were at no time held by any Affiliate of the Company, as reasonably determined by the Company, upon the advice of counsel to the Company.</w:t>
      </w:r>
    </w:p>
    <w:p>
      <w:pPr>
        <w:spacing w:after="0" w:line="200" w:lineRule="exact"/>
        <w:rPr>
          <w:sz w:val="20"/>
          <w:szCs w:val="20"/>
          <w:color w:val="auto"/>
        </w:rPr>
      </w:pPr>
    </w:p>
    <w:p>
      <w:pPr>
        <w:spacing w:after="0" w:line="201"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14605</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912" w:right="339" w:bottom="1440" w:gutter="0" w:footer="0" w:header="0"/>
        </w:sectPr>
      </w:pPr>
    </w:p>
    <w:bookmarkStart w:id="49" w:name="page50"/>
    <w:bookmarkEnd w:id="49"/>
    <w:p>
      <w:pPr>
        <w:jc w:val="both"/>
        <w:ind w:left="4" w:firstLine="648"/>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Registration Statement</w:t>
      </w:r>
      <w:r>
        <w:rPr>
          <w:rFonts w:ascii="Arial" w:cs="Arial" w:eastAsia="Arial" w:hAnsi="Arial"/>
          <w:sz w:val="17"/>
          <w:szCs w:val="17"/>
          <w:color w:val="auto"/>
        </w:rPr>
        <w:t>” means any registration statement required to be filed hereunder pursuant to Section 2(a) and any additional registration statements contemplated by Section 2(c) or Section 3(c), including (in each case) the Prospectus, amendments and supplements to any such registration statement or Prospectus, including pre- and post-effective amendments, all exhibits thereto, and all material incorporated by reference or deemed to be incorporated by reference in any such registration statement.</w:t>
      </w:r>
    </w:p>
    <w:p>
      <w:pPr>
        <w:spacing w:after="0" w:line="171" w:lineRule="exact"/>
        <w:rPr>
          <w:sz w:val="20"/>
          <w:szCs w:val="20"/>
          <w:color w:val="auto"/>
        </w:rPr>
      </w:pPr>
    </w:p>
    <w:p>
      <w:pPr>
        <w:jc w:val="both"/>
        <w:ind w:left="4"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Rule 415</w:t>
      </w:r>
      <w:r>
        <w:rPr>
          <w:rFonts w:ascii="Arial" w:cs="Arial" w:eastAsia="Arial" w:hAnsi="Arial"/>
          <w:sz w:val="18"/>
          <w:szCs w:val="18"/>
          <w:color w:val="auto"/>
        </w:rPr>
        <w:t>” means Rule 415 promulgated by the Commission pursuant to the Securities Act, as such Rule may be amended or interpreted from time to time, or any similar rule or regulation hereafter adopted by the Commission having substantially the same purpose and effect as such Rule.</w:t>
      </w:r>
    </w:p>
    <w:p>
      <w:pPr>
        <w:spacing w:after="0" w:line="184" w:lineRule="exact"/>
        <w:rPr>
          <w:sz w:val="20"/>
          <w:szCs w:val="20"/>
          <w:color w:val="auto"/>
        </w:rPr>
      </w:pPr>
    </w:p>
    <w:p>
      <w:pPr>
        <w:jc w:val="both"/>
        <w:ind w:left="4"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Rule 424</w:t>
      </w:r>
      <w:r>
        <w:rPr>
          <w:rFonts w:ascii="Arial" w:cs="Arial" w:eastAsia="Arial" w:hAnsi="Arial"/>
          <w:sz w:val="18"/>
          <w:szCs w:val="18"/>
          <w:color w:val="auto"/>
        </w:rPr>
        <w:t>” means Rule 424 promulgated by the Commission pursuant to the Securities Act, as such Rule may be amended or interpreted from time to time, or any similar rule or regulation hereafter adopted by the Commission having substantially the same purpose and effect as such Rule.</w:t>
      </w:r>
    </w:p>
    <w:p>
      <w:pPr>
        <w:spacing w:after="0" w:line="184" w:lineRule="exact"/>
        <w:rPr>
          <w:sz w:val="20"/>
          <w:szCs w:val="20"/>
          <w:color w:val="auto"/>
        </w:rPr>
      </w:pPr>
    </w:p>
    <w:p>
      <w:pPr>
        <w:ind w:left="6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Selling Stockholder Questionnaire</w:t>
      </w:r>
      <w:r>
        <w:rPr>
          <w:rFonts w:ascii="Arial" w:cs="Arial" w:eastAsia="Arial" w:hAnsi="Arial"/>
          <w:sz w:val="18"/>
          <w:szCs w:val="18"/>
          <w:color w:val="auto"/>
        </w:rPr>
        <w:t>” shall have the meaning set forth in Section 3(a).</w:t>
      </w:r>
    </w:p>
    <w:p>
      <w:pPr>
        <w:spacing w:after="0" w:line="225" w:lineRule="exact"/>
        <w:rPr>
          <w:sz w:val="20"/>
          <w:szCs w:val="20"/>
          <w:color w:val="auto"/>
        </w:rPr>
      </w:pPr>
    </w:p>
    <w:p>
      <w:pPr>
        <w:jc w:val="both"/>
        <w:ind w:left="4"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 Guidance</w:t>
      </w:r>
      <w:r>
        <w:rPr>
          <w:rFonts w:ascii="Arial" w:cs="Arial" w:eastAsia="Arial" w:hAnsi="Arial"/>
          <w:sz w:val="18"/>
          <w:szCs w:val="18"/>
          <w:color w:val="auto"/>
        </w:rPr>
        <w:t>” means (i) any publicly-available written or oral guidance of the Commission staff, or any comments, requirements or requests of the Commission staff and (ii) the Securities Act.</w:t>
      </w:r>
    </w:p>
    <w:p>
      <w:pPr>
        <w:spacing w:after="0" w:line="170" w:lineRule="exact"/>
        <w:rPr>
          <w:sz w:val="20"/>
          <w:szCs w:val="20"/>
          <w:color w:val="auto"/>
        </w:rPr>
      </w:pPr>
    </w:p>
    <w:p>
      <w:pPr>
        <w:ind w:left="644" w:hanging="644"/>
        <w:spacing w:after="0"/>
        <w:tabs>
          <w:tab w:leader="none" w:pos="644" w:val="left"/>
        </w:tabs>
        <w:numPr>
          <w:ilvl w:val="0"/>
          <w:numId w:val="38"/>
        </w:numPr>
        <w:rPr>
          <w:rFonts w:ascii="Arial" w:cs="Arial" w:eastAsia="Arial" w:hAnsi="Arial"/>
          <w:sz w:val="18"/>
          <w:szCs w:val="18"/>
          <w:color w:val="auto"/>
        </w:rPr>
      </w:pPr>
      <w:r>
        <w:rPr>
          <w:rFonts w:ascii="Arial" w:cs="Arial" w:eastAsia="Arial" w:hAnsi="Arial"/>
          <w:sz w:val="18"/>
          <w:szCs w:val="18"/>
          <w:u w:val="single" w:color="auto"/>
          <w:color w:val="auto"/>
        </w:rPr>
        <w:t>Shelf Registration</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left="4" w:firstLine="644"/>
        <w:spacing w:after="0" w:line="284" w:lineRule="auto"/>
        <w:tabs>
          <w:tab w:leader="none" w:pos="899" w:val="left"/>
        </w:tabs>
        <w:numPr>
          <w:ilvl w:val="1"/>
          <w:numId w:val="38"/>
        </w:numPr>
        <w:rPr>
          <w:rFonts w:ascii="Arial" w:cs="Arial" w:eastAsia="Arial" w:hAnsi="Arial"/>
          <w:sz w:val="16"/>
          <w:szCs w:val="16"/>
          <w:color w:val="auto"/>
        </w:rPr>
      </w:pPr>
      <w:r>
        <w:rPr>
          <w:rFonts w:ascii="Arial" w:cs="Arial" w:eastAsia="Arial" w:hAnsi="Arial"/>
          <w:sz w:val="16"/>
          <w:szCs w:val="16"/>
          <w:color w:val="auto"/>
        </w:rPr>
        <w:t>On or prior to each Filing Date, the Company shall prepare and file with the Commission a Registration Statement covering the resale of all of the Registrable Securities that are not then registered on an effective Registration Statement for an offering to be made on a continuous basis pursuant to Rule 415. Each Registration Statement filed hereunder shall be on Form S-3 (except if the Company is not then eligible to register for resale the Registrable Securities on Form S-3, in which case such registration shall be on Form S-1 or another appropriate form in accordance herewith, subject to the provisions of Section 2(e)) and shall contain (unless otherwise directed by at least a majority in interest of the Holders) substantially the “</w:t>
      </w:r>
      <w:r>
        <w:rPr>
          <w:rFonts w:ascii="Arial" w:cs="Arial" w:eastAsia="Arial" w:hAnsi="Arial"/>
          <w:sz w:val="16"/>
          <w:szCs w:val="16"/>
          <w:u w:val="single" w:color="auto"/>
          <w:color w:val="auto"/>
        </w:rPr>
        <w:t>Plan of Distribution</w:t>
      </w:r>
      <w:r>
        <w:rPr>
          <w:rFonts w:ascii="Arial" w:cs="Arial" w:eastAsia="Arial" w:hAnsi="Arial"/>
          <w:sz w:val="16"/>
          <w:szCs w:val="16"/>
          <w:color w:val="auto"/>
        </w:rPr>
        <w:t xml:space="preserve">” attached hereto as </w:t>
      </w:r>
      <w:r>
        <w:rPr>
          <w:rFonts w:ascii="Arial" w:cs="Arial" w:eastAsia="Arial" w:hAnsi="Arial"/>
          <w:sz w:val="16"/>
          <w:szCs w:val="16"/>
          <w:u w:val="single" w:color="auto"/>
          <w:color w:val="auto"/>
        </w:rPr>
        <w:t>Annex A</w:t>
      </w:r>
      <w:r>
        <w:rPr>
          <w:rFonts w:ascii="Arial" w:cs="Arial" w:eastAsia="Arial" w:hAnsi="Arial"/>
          <w:sz w:val="16"/>
          <w:szCs w:val="16"/>
          <w:color w:val="auto"/>
        </w:rPr>
        <w:t xml:space="preserve"> and substantially the “</w:t>
      </w:r>
      <w:r>
        <w:rPr>
          <w:rFonts w:ascii="Arial" w:cs="Arial" w:eastAsia="Arial" w:hAnsi="Arial"/>
          <w:sz w:val="16"/>
          <w:szCs w:val="16"/>
          <w:u w:val="single" w:color="auto"/>
          <w:color w:val="auto"/>
        </w:rPr>
        <w:t>Selling Stockholder</w:t>
      </w:r>
      <w:r>
        <w:rPr>
          <w:rFonts w:ascii="Arial" w:cs="Arial" w:eastAsia="Arial" w:hAnsi="Arial"/>
          <w:sz w:val="16"/>
          <w:szCs w:val="16"/>
          <w:color w:val="auto"/>
        </w:rPr>
        <w:t xml:space="preserve">” section attached hereto as </w:t>
      </w:r>
      <w:r>
        <w:rPr>
          <w:rFonts w:ascii="Arial" w:cs="Arial" w:eastAsia="Arial" w:hAnsi="Arial"/>
          <w:sz w:val="16"/>
          <w:szCs w:val="16"/>
          <w:u w:val="single" w:color="auto"/>
          <w:color w:val="auto"/>
        </w:rPr>
        <w:t>Annex B</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no Holder shall be required to be named as an “underwriter” without such Holder’s express prior written consent. Subject to the terms of this Agreement, the Company shall use its commercially reasonable efforts to cause a Registration Statement filed under this Agreement (including, without limitation, under Section 3(c)) to be declared effective under the Securities Act as promptly as possible after the filing thereof, but in any event no later than the applicable Effectiveness Date, and shall use its commercially reasonable efforts to keep such Registration Statement continuously effective under the Securities Act until the date that all Registrable Securities covered by such Registration Statement (i) have been sold, thereunder or pursuant to Rule 144, or (ii) may be sold by a non-Affiliate of the Company without volume or manner-of-sale restrictions pursuant to Rule 144 and without the requirement for the Company to be in compliance with the current public information requirement under Rule 144, as determined by the counsel to the Company pursuant to a written opinion letter to such effect, addressed and acceptable to the Transfer Agent and the affected Holders (the “</w:t>
      </w:r>
      <w:r>
        <w:rPr>
          <w:rFonts w:ascii="Arial" w:cs="Arial" w:eastAsia="Arial" w:hAnsi="Arial"/>
          <w:sz w:val="16"/>
          <w:szCs w:val="16"/>
          <w:u w:val="single" w:color="auto"/>
          <w:color w:val="auto"/>
        </w:rPr>
        <w:t>Effectiveness Period</w:t>
      </w:r>
      <w:r>
        <w:rPr>
          <w:rFonts w:ascii="Arial" w:cs="Arial" w:eastAsia="Arial" w:hAnsi="Arial"/>
          <w:sz w:val="16"/>
          <w:szCs w:val="16"/>
          <w:color w:val="auto"/>
        </w:rPr>
        <w:t>”). The Company shall telephonically request effectiveness of a Registration Statement as of 5:00 p.m. (New York City time) on a Trading Day. The Company shall promptly notify the Holders via e-mail of the effectiveness of a Registration Statement on the same Trading Day that the Company telephonically confirms effectiveness with the Commission, which shall be the date requested for effectiveness of such Registration Statement. The Company shall, by 9:30 a.m. (New York City time) on the Trading Day after the effective date of such Registration Statement, file a final Prospectus with the Commission as required by Rule 424. Failure to so notify the Holders within one (1) Trading Day of such notification of effectiveness or failure to file a final Prospectus as foresaid shall be deemed an Event under Section 2(d).</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4924"/>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14605</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908" w:right="339" w:bottom="1440" w:gutter="0" w:footer="0" w:header="0"/>
        </w:sectPr>
      </w:pPr>
    </w:p>
    <w:bookmarkStart w:id="50" w:name="page51"/>
    <w:bookmarkEnd w:id="50"/>
    <w:p>
      <w:pPr>
        <w:jc w:val="both"/>
        <w:ind w:firstLine="644"/>
        <w:spacing w:after="0" w:line="270" w:lineRule="auto"/>
        <w:tabs>
          <w:tab w:leader="none" w:pos="941" w:val="left"/>
        </w:tabs>
        <w:numPr>
          <w:ilvl w:val="1"/>
          <w:numId w:val="39"/>
        </w:numPr>
        <w:rPr>
          <w:rFonts w:ascii="Arial" w:cs="Arial" w:eastAsia="Arial" w:hAnsi="Arial"/>
          <w:sz w:val="17"/>
          <w:szCs w:val="17"/>
          <w:color w:val="auto"/>
        </w:rPr>
      </w:pPr>
      <w:r>
        <w:rPr>
          <w:rFonts w:ascii="Arial" w:cs="Arial" w:eastAsia="Arial" w:hAnsi="Arial"/>
          <w:sz w:val="17"/>
          <w:szCs w:val="17"/>
          <w:color w:val="auto"/>
        </w:rPr>
        <w:t xml:space="preserve">Notwithstanding the registration obligations set forth in Section 2(a), if the Commission informs the Company that all of the Registrable Securities cannot, as a result of the application of Rule 415, be registered for resale as a secondary offering on a single registration statement, the Company agrees to promptly inform each of the Holders thereof and use its commercially reasonable efforts to file amendments to the Initial Registration Statement as required by the Commission, covering the maximum number of Registrable Securities permitted to be registered by the Commission, on Form S-3 or such other form available to register for resale the Registrable Securities as a secondary offering, subject to the provisions of Section 2(e); with respect to filing on Form S-3 or other appropriate form, and subject to the provisions of Section 2(d) with respect to the payment of liquidated damages;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prior to filing such amendment, the Company shall be obligated to use diligent efforts to advocate with the Commission for the registration of all of the Registrable Securities in accordance with the SEC Guidance, including without limitation, Compliance and Disclosure Interpretation 612.09.</w:t>
      </w:r>
    </w:p>
    <w:p>
      <w:pPr>
        <w:spacing w:after="0" w:line="180" w:lineRule="exact"/>
        <w:rPr>
          <w:rFonts w:ascii="Arial" w:cs="Arial" w:eastAsia="Arial" w:hAnsi="Arial"/>
          <w:sz w:val="17"/>
          <w:szCs w:val="17"/>
          <w:color w:val="auto"/>
        </w:rPr>
      </w:pPr>
    </w:p>
    <w:p>
      <w:pPr>
        <w:jc w:val="both"/>
        <w:ind w:firstLine="644"/>
        <w:spacing w:after="0" w:line="275" w:lineRule="auto"/>
        <w:tabs>
          <w:tab w:leader="none" w:pos="899" w:val="left"/>
        </w:tabs>
        <w:numPr>
          <w:ilvl w:val="1"/>
          <w:numId w:val="39"/>
        </w:numPr>
        <w:rPr>
          <w:rFonts w:ascii="Arial" w:cs="Arial" w:eastAsia="Arial" w:hAnsi="Arial"/>
          <w:sz w:val="17"/>
          <w:szCs w:val="17"/>
          <w:color w:val="auto"/>
        </w:rPr>
      </w:pPr>
      <w:r>
        <w:rPr>
          <w:rFonts w:ascii="Arial" w:cs="Arial" w:eastAsia="Arial" w:hAnsi="Arial"/>
          <w:sz w:val="17"/>
          <w:szCs w:val="17"/>
          <w:color w:val="auto"/>
        </w:rPr>
        <w:t>Notwithstanding any other provision of this Agreement and subject to the payment of liquidated damages pursuant to Section 2(d), if the Commission or any SEC Guidance sets forth a limitation on the number of Registrable Securities permitted to be registered on a particular Registration Statement as a secondary offering (and notwithstanding that the Company used diligent efforts to advocate with the Commission for the registration of all or a greater portion of Registrable Securities), unless otherwise directed in writing by a Holder as to its Registrable Securities, the number of Registrable Securities to be registered on such Registration Statement will be reduced as follows:</w:t>
      </w:r>
    </w:p>
    <w:p>
      <w:pPr>
        <w:spacing w:after="0" w:line="176" w:lineRule="exact"/>
        <w:rPr>
          <w:rFonts w:ascii="Arial" w:cs="Arial" w:eastAsia="Arial" w:hAnsi="Arial"/>
          <w:sz w:val="17"/>
          <w:szCs w:val="17"/>
          <w:color w:val="auto"/>
        </w:rPr>
      </w:pPr>
    </w:p>
    <w:p>
      <w:pPr>
        <w:ind w:left="640" w:hanging="320"/>
        <w:spacing w:after="0"/>
        <w:tabs>
          <w:tab w:leader="none" w:pos="6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First, the Company shall reduce or eliminate any securities to be included other than Registrable Securities; and</w:t>
      </w:r>
    </w:p>
    <w:p>
      <w:pPr>
        <w:spacing w:after="0" w:line="225" w:lineRule="exact"/>
        <w:rPr>
          <w:rFonts w:ascii="Arial" w:cs="Arial" w:eastAsia="Arial" w:hAnsi="Arial"/>
          <w:sz w:val="18"/>
          <w:szCs w:val="18"/>
          <w:color w:val="auto"/>
        </w:rPr>
      </w:pPr>
    </w:p>
    <w:p>
      <w:pPr>
        <w:ind w:left="640" w:hanging="320"/>
        <w:spacing w:after="0" w:line="308" w:lineRule="auto"/>
        <w:tabs>
          <w:tab w:leader="none" w:pos="640" w:val="left"/>
        </w:tabs>
        <w:numPr>
          <w:ilvl w:val="0"/>
          <w:numId w:val="40"/>
        </w:numPr>
        <w:rPr>
          <w:rFonts w:ascii="Arial" w:cs="Arial" w:eastAsia="Arial" w:hAnsi="Arial"/>
          <w:sz w:val="17"/>
          <w:szCs w:val="17"/>
          <w:color w:val="auto"/>
        </w:rPr>
      </w:pPr>
      <w:r>
        <w:rPr>
          <w:rFonts w:ascii="Arial" w:cs="Arial" w:eastAsia="Arial" w:hAnsi="Arial"/>
          <w:sz w:val="17"/>
          <w:szCs w:val="17"/>
          <w:color w:val="auto"/>
        </w:rPr>
        <w:t>Second, the Company shall reduce Registrable Securities represented by Shares (applied, in the case that some Shares may be registered, to the Holders on a pro rata basis based on the total number of unregistered Shares held by such Holders).</w:t>
      </w:r>
    </w:p>
    <w:p>
      <w:pPr>
        <w:spacing w:after="0" w:line="146"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In the event of a cutback hereunder, the Company shall give the Holder at least three (3) Trading Days prior written notice along with the calculations as to such Holder’s allotment. In the event the Company amends the Initial Registration Statement in accordance with the foregoing, the Company will use its best efforts to file with the Commission, as promptly as allowed by Commission or SEC Guidance provided to the Company or to registrants of securities in general, one or more registration statements on Form S-3 or such other form available to register for resale those Registrable Securities that were not registered for resale on the Initial Registration Statement, as amended.</w:t>
      </w:r>
    </w:p>
    <w:p>
      <w:pPr>
        <w:spacing w:after="0" w:line="377"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14605</wp:posOffset>
            </wp:positionV>
            <wp:extent cx="71323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908" w:right="339" w:bottom="1440" w:gutter="0" w:footer="0" w:header="0"/>
        </w:sectPr>
      </w:pPr>
    </w:p>
    <w:bookmarkStart w:id="51" w:name="page52"/>
    <w:bookmarkEnd w:id="51"/>
    <w:p>
      <w:pPr>
        <w:jc w:val="both"/>
        <w:ind w:left="4" w:firstLine="644"/>
        <w:spacing w:after="0" w:line="283" w:lineRule="auto"/>
        <w:tabs>
          <w:tab w:leader="none" w:pos="939" w:val="left"/>
        </w:tabs>
        <w:numPr>
          <w:ilvl w:val="1"/>
          <w:numId w:val="41"/>
        </w:numPr>
        <w:rPr>
          <w:rFonts w:ascii="Arial" w:cs="Arial" w:eastAsia="Arial" w:hAnsi="Arial"/>
          <w:sz w:val="16"/>
          <w:szCs w:val="16"/>
          <w:color w:val="auto"/>
        </w:rPr>
      </w:pPr>
      <w:r>
        <w:rPr>
          <w:rFonts w:ascii="Arial" w:cs="Arial" w:eastAsia="Arial" w:hAnsi="Arial"/>
          <w:sz w:val="16"/>
          <w:szCs w:val="16"/>
          <w:color w:val="auto"/>
        </w:rPr>
        <w:t>If: (i) the Initial Registration Statement is not filed on or prior to its Filing Date (if the Company files the Initial Registration Statement without affording the Holders the opportunity to review and comment on the same as required by Section 3(a) herein or the Company subsequent withdraws the filing of the Registration Statement, the Company shall be deemed to have not satisfied this clause as of the Filing Date (i)), or (ii) the Company fails to file with the Commission a request for acceleration of a Registration Statement in accordance with Rule 461 promulgated by the Commission pursuant to the Securities Act, within five (5) Trading Days of the date that the Company is notified (orally or in writing, whichever is earlier) by the Commission that such Registration Statement will not be “reviewed” or will not be subject to further review, or (iii) prior to the effective date of a Registration Statement, the Company fails to file a pre-effective amendment and otherwise respond in writing to comments made by the Commission in respect of such Registration Statement within fifteen (15) calendar days after the receipt of comments by or notice from the Commission that such amendment is required in order for such Registration Statement to be declared effective, or</w:t>
      </w:r>
    </w:p>
    <w:p>
      <w:pPr>
        <w:spacing w:after="0" w:line="5" w:lineRule="exact"/>
        <w:rPr>
          <w:rFonts w:ascii="Arial" w:cs="Arial" w:eastAsia="Arial" w:hAnsi="Arial"/>
          <w:sz w:val="16"/>
          <w:szCs w:val="16"/>
          <w:color w:val="auto"/>
        </w:rPr>
      </w:pPr>
    </w:p>
    <w:p>
      <w:pPr>
        <w:jc w:val="both"/>
        <w:ind w:left="4" w:hanging="4"/>
        <w:spacing w:after="0" w:line="266" w:lineRule="auto"/>
        <w:tabs>
          <w:tab w:leader="none" w:pos="357" w:val="left"/>
        </w:tabs>
        <w:numPr>
          <w:ilvl w:val="0"/>
          <w:numId w:val="42"/>
        </w:numPr>
        <w:rPr>
          <w:rFonts w:ascii="Arial" w:cs="Arial" w:eastAsia="Arial" w:hAnsi="Arial"/>
          <w:sz w:val="17"/>
          <w:szCs w:val="17"/>
          <w:color w:val="auto"/>
        </w:rPr>
      </w:pPr>
      <w:r>
        <w:rPr>
          <w:rFonts w:ascii="Arial" w:cs="Arial" w:eastAsia="Arial" w:hAnsi="Arial"/>
          <w:sz w:val="17"/>
          <w:szCs w:val="17"/>
          <w:color w:val="auto"/>
        </w:rPr>
        <w:t>a Registration Statement registering for resale all of the Registrable Securities is not declared effective by the Commission by the Effectiveness Date of the Initial Registration Statement (provided if the Registration Statement does not allow for the resale of Registrable Securities at prevailing market prices (i.e., only allows for fixed price sales), the Company shall have been deemed to have not satisfied this clause) or (v) after the effective date of a Registration Statement, such Registration Statement ceases for any reason to remain continuously effective as to all Registrable Securities included in such Registration Statement, or the Holders are otherwise not permitted to utilize the Prospectus therein to resell such Registrable Securities, for more than forty-five (45) consecutive calendar days or more than an aggregate of ninety (90) calendar days (which need not be consecutive calendar days) during any 12-month period (any such failure or breach being referred to as an “</w:t>
      </w:r>
      <w:r>
        <w:rPr>
          <w:rFonts w:ascii="Arial" w:cs="Arial" w:eastAsia="Arial" w:hAnsi="Arial"/>
          <w:sz w:val="17"/>
          <w:szCs w:val="17"/>
          <w:u w:val="single" w:color="auto"/>
          <w:color w:val="auto"/>
        </w:rPr>
        <w:t>Event</w:t>
      </w:r>
      <w:r>
        <w:rPr>
          <w:rFonts w:ascii="Arial" w:cs="Arial" w:eastAsia="Arial" w:hAnsi="Arial"/>
          <w:sz w:val="17"/>
          <w:szCs w:val="17"/>
          <w:color w:val="auto"/>
        </w:rPr>
        <w:t>”, and for purposes of clauses (i) and (iv), the date on which such Event occurs, and for purpose of clause (ii) the date on which such five (5) Trading Day period is exceeded, and for purpose of clause (iii) the date which such ten (10) calendar day period is exceeded, and for purpose of clause (v) the date on which such forty-five (45) or ninety (90) calendar day period, as applicable, is exceeded being referred to as “</w:t>
      </w:r>
      <w:r>
        <w:rPr>
          <w:rFonts w:ascii="Arial" w:cs="Arial" w:eastAsia="Arial" w:hAnsi="Arial"/>
          <w:sz w:val="17"/>
          <w:szCs w:val="17"/>
          <w:u w:val="single" w:color="auto"/>
          <w:color w:val="auto"/>
        </w:rPr>
        <w:t>Event Date</w:t>
      </w:r>
      <w:r>
        <w:rPr>
          <w:rFonts w:ascii="Arial" w:cs="Arial" w:eastAsia="Arial" w:hAnsi="Arial"/>
          <w:sz w:val="17"/>
          <w:szCs w:val="17"/>
          <w:color w:val="auto"/>
        </w:rPr>
        <w:t>”), then, in addition to any other rights the Holders may have hereunder or under applicable law, on each such Event Date and on each monthly anniversary of each such Event Date (if the applicable Event shall not have been cured by such date) until the applicable Event is cured, the Company shall pay to each Holder an amount in cash, as partial liquidated damages and not as a penalty, equal to the product of 1.0% multiplied by the aggregate Subscription Amount paid by such Holder pursuant to the Purchase Agreement. The parties agree that the maximum aggregate liquidated damages payable to a Holder under this Agreement shall be 2% of the aggregate Subscription Amount paid by such Holder pursuant to the Purchase Agreement. If the Company fails to pay any partial liquidated damages pursuant to this Section in full within seven (7) days after the date payable, the Company will pay interest thereon at a rate of 12% per annum (or such lesser maximum amount that is permitted to be paid by applicable law) to the Holder, accruing daily from the date such partial liquidated damages are due until such amounts, plus all such interest thereon, are paid in full. The partial liquidated damages pursuant to the terms hereof shall apply on a daily pro rata basis for any portion of a month prior to the cure of an Event.</w:t>
      </w:r>
    </w:p>
    <w:p>
      <w:pPr>
        <w:spacing w:after="0" w:line="188" w:lineRule="exact"/>
        <w:rPr>
          <w:rFonts w:ascii="Arial" w:cs="Arial" w:eastAsia="Arial" w:hAnsi="Arial"/>
          <w:sz w:val="17"/>
          <w:szCs w:val="17"/>
          <w:color w:val="auto"/>
        </w:rPr>
      </w:pPr>
    </w:p>
    <w:p>
      <w:pPr>
        <w:jc w:val="both"/>
        <w:ind w:left="4" w:firstLine="644"/>
        <w:spacing w:after="0" w:line="301" w:lineRule="auto"/>
        <w:tabs>
          <w:tab w:leader="none" w:pos="911" w:val="left"/>
        </w:tabs>
        <w:numPr>
          <w:ilvl w:val="1"/>
          <w:numId w:val="42"/>
        </w:numPr>
        <w:rPr>
          <w:rFonts w:ascii="Arial" w:cs="Arial" w:eastAsia="Arial" w:hAnsi="Arial"/>
          <w:sz w:val="16"/>
          <w:szCs w:val="16"/>
          <w:color w:val="auto"/>
        </w:rPr>
      </w:pPr>
      <w:r>
        <w:rPr>
          <w:rFonts w:ascii="Arial" w:cs="Arial" w:eastAsia="Arial" w:hAnsi="Arial"/>
          <w:sz w:val="16"/>
          <w:szCs w:val="16"/>
          <w:color w:val="auto"/>
        </w:rPr>
        <w:t>If Form S-3 is not available for the registration of the resale of Registrable Securities hereunder, the Company shall (i) register the resale of the Registrable Securities on Form S-1 or another appropriate form and (ii) undertake to register the Registrable Securities on Form S-3 as soon as such form is available, provided that the Company shall maintain the effectiveness of the Registration Statement then in effect until such time as a Registration Statement on Form S-3 covering the Registrable Securities has been declared effective by the Commission.</w:t>
      </w:r>
    </w:p>
    <w:p>
      <w:pPr>
        <w:spacing w:after="0" w:line="373" w:lineRule="exact"/>
        <w:rPr>
          <w:sz w:val="20"/>
          <w:szCs w:val="20"/>
          <w:color w:val="auto"/>
        </w:rPr>
      </w:pPr>
    </w:p>
    <w:p>
      <w:pPr>
        <w:ind w:left="4924"/>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14605</wp:posOffset>
            </wp:positionV>
            <wp:extent cx="71323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908" w:right="339" w:bottom="1440" w:gutter="0" w:footer="0" w:header="0"/>
        </w:sectPr>
      </w:pPr>
    </w:p>
    <w:bookmarkStart w:id="52" w:name="page53"/>
    <w:bookmarkEnd w:id="52"/>
    <w:p>
      <w:pPr>
        <w:ind w:left="4" w:firstLine="644"/>
        <w:spacing w:after="0" w:line="277" w:lineRule="auto"/>
        <w:tabs>
          <w:tab w:leader="none" w:pos="877" w:val="left"/>
        </w:tabs>
        <w:numPr>
          <w:ilvl w:val="1"/>
          <w:numId w:val="43"/>
        </w:numPr>
        <w:rPr>
          <w:rFonts w:ascii="Arial" w:cs="Arial" w:eastAsia="Arial" w:hAnsi="Arial"/>
          <w:sz w:val="18"/>
          <w:szCs w:val="18"/>
          <w:color w:val="auto"/>
        </w:rPr>
      </w:pPr>
      <w:r>
        <w:rPr>
          <w:rFonts w:ascii="Arial" w:cs="Arial" w:eastAsia="Arial" w:hAnsi="Arial"/>
          <w:sz w:val="18"/>
          <w:szCs w:val="18"/>
          <w:color w:val="auto"/>
        </w:rPr>
        <w:t>Notwithstanding anything to the contrary contained herein, in no event shall the Company be permitted to name any Holder or affiliate of a Holder as any “underwriter” without the prior written consent of such Holder.</w:t>
      </w:r>
    </w:p>
    <w:p>
      <w:pPr>
        <w:spacing w:after="0" w:line="170" w:lineRule="exact"/>
        <w:rPr>
          <w:rFonts w:ascii="Arial" w:cs="Arial" w:eastAsia="Arial" w:hAnsi="Arial"/>
          <w:sz w:val="18"/>
          <w:szCs w:val="18"/>
          <w:color w:val="auto"/>
        </w:rPr>
      </w:pPr>
    </w:p>
    <w:p>
      <w:pPr>
        <w:ind w:left="644" w:hanging="644"/>
        <w:spacing w:after="0"/>
        <w:tabs>
          <w:tab w:leader="none" w:pos="644" w:val="left"/>
        </w:tabs>
        <w:numPr>
          <w:ilvl w:val="0"/>
          <w:numId w:val="44"/>
        </w:numPr>
        <w:rPr>
          <w:rFonts w:ascii="Arial" w:cs="Arial" w:eastAsia="Arial" w:hAnsi="Arial"/>
          <w:sz w:val="18"/>
          <w:szCs w:val="18"/>
          <w:color w:val="auto"/>
        </w:rPr>
      </w:pPr>
      <w:r>
        <w:rPr>
          <w:rFonts w:ascii="Arial" w:cs="Arial" w:eastAsia="Arial" w:hAnsi="Arial"/>
          <w:sz w:val="18"/>
          <w:szCs w:val="18"/>
          <w:u w:val="single" w:color="auto"/>
          <w:color w:val="auto"/>
        </w:rPr>
        <w:t>Registration Procedures</w:t>
      </w:r>
      <w:r>
        <w:rPr>
          <w:rFonts w:ascii="Arial" w:cs="Arial" w:eastAsia="Arial" w:hAnsi="Arial"/>
          <w:sz w:val="18"/>
          <w:szCs w:val="18"/>
          <w:color w:val="auto"/>
        </w:rPr>
        <w:t>.</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8"/>
          <w:szCs w:val="18"/>
          <w:color w:val="auto"/>
        </w:rPr>
        <w:t>In connection with the Company’s registration obligations hereunder, the Company shall:</w:t>
      </w:r>
    </w:p>
    <w:p>
      <w:pPr>
        <w:spacing w:after="0" w:line="225" w:lineRule="exact"/>
        <w:rPr>
          <w:sz w:val="20"/>
          <w:szCs w:val="20"/>
          <w:color w:val="auto"/>
        </w:rPr>
      </w:pPr>
    </w:p>
    <w:p>
      <w:pPr>
        <w:jc w:val="both"/>
        <w:ind w:left="4" w:firstLine="644"/>
        <w:spacing w:after="0" w:line="283" w:lineRule="auto"/>
        <w:tabs>
          <w:tab w:leader="none" w:pos="905" w:val="left"/>
        </w:tabs>
        <w:numPr>
          <w:ilvl w:val="0"/>
          <w:numId w:val="45"/>
        </w:numPr>
        <w:rPr>
          <w:rFonts w:ascii="Arial" w:cs="Arial" w:eastAsia="Arial" w:hAnsi="Arial"/>
          <w:sz w:val="16"/>
          <w:szCs w:val="16"/>
          <w:color w:val="auto"/>
        </w:rPr>
      </w:pPr>
      <w:r>
        <w:rPr>
          <w:rFonts w:ascii="Arial" w:cs="Arial" w:eastAsia="Arial" w:hAnsi="Arial"/>
          <w:sz w:val="16"/>
          <w:szCs w:val="16"/>
          <w:color w:val="auto"/>
        </w:rPr>
        <w:t xml:space="preserve">Not less than three (3) Trading Days prior to the filing of each Registration Statement and not less than one (1) Trading Day prior to the filing of any related Prospectus or any amendment or supplement thereto (including any document that would be incorporated or deemed to be incorporated therein by reference), the Company shall (i) furnish to each Holder copies of all such documents proposed to be filed, which documents (other than those incorporated or deemed to be incorporated by reference) will be subject to the review of such Holders, and (ii) cause its officers and directors, counsel and independent registered public accountants to respond to such inquiries as shall be necessary, in the reasonable opinion of respective counsel to each Holder, to conduct a reasonable investigation within the meaning of the Securities Act. The Company shall not file a Registration Statement or any such Prospectus or any amendments or supplements thereto to which the Holders of a majority of the Registrable Securities shall reasonably object in good faith, provided that, the Company is notified of such objection in writing no later than two (2) Trading Days after the Holders have been so furnished copies of a Registration Statement or one (1) Trading Day after the Holders have been so furnished copies of any related Prospectus or amendments or supplements thereto. Each Holder agrees to furnish to the Company a completed questionnaire in the form attached to this Agreement as </w:t>
      </w:r>
      <w:r>
        <w:rPr>
          <w:rFonts w:ascii="Arial" w:cs="Arial" w:eastAsia="Arial" w:hAnsi="Arial"/>
          <w:sz w:val="16"/>
          <w:szCs w:val="16"/>
          <w:u w:val="single" w:color="auto"/>
          <w:color w:val="auto"/>
        </w:rPr>
        <w:t>Annex C</w:t>
      </w:r>
      <w:r>
        <w:rPr>
          <w:rFonts w:ascii="Arial" w:cs="Arial" w:eastAsia="Arial" w:hAnsi="Arial"/>
          <w:sz w:val="16"/>
          <w:szCs w:val="16"/>
          <w:color w:val="auto"/>
        </w:rPr>
        <w:t xml:space="preserve"> (a “</w:t>
      </w:r>
      <w:r>
        <w:rPr>
          <w:rFonts w:ascii="Arial" w:cs="Arial" w:eastAsia="Arial" w:hAnsi="Arial"/>
          <w:sz w:val="16"/>
          <w:szCs w:val="16"/>
          <w:u w:val="single" w:color="auto"/>
          <w:color w:val="auto"/>
        </w:rPr>
        <w:t>Selling Stockholder Questionnaire</w:t>
      </w:r>
      <w:r>
        <w:rPr>
          <w:rFonts w:ascii="Arial" w:cs="Arial" w:eastAsia="Arial" w:hAnsi="Arial"/>
          <w:sz w:val="16"/>
          <w:szCs w:val="16"/>
          <w:color w:val="auto"/>
        </w:rPr>
        <w:t>”) on a date that is</w:t>
      </w:r>
    </w:p>
    <w:p>
      <w:pPr>
        <w:spacing w:after="0" w:line="4" w:lineRule="exact"/>
        <w:rPr>
          <w:sz w:val="20"/>
          <w:szCs w:val="20"/>
          <w:color w:val="auto"/>
        </w:rPr>
      </w:pPr>
    </w:p>
    <w:p>
      <w:pPr>
        <w:ind w:left="4"/>
        <w:spacing w:after="0" w:line="209" w:lineRule="auto"/>
        <w:rPr>
          <w:sz w:val="20"/>
          <w:szCs w:val="20"/>
          <w:color w:val="auto"/>
        </w:rPr>
      </w:pPr>
      <w:r>
        <w:rPr>
          <w:rFonts w:ascii="Arial" w:cs="Arial" w:eastAsia="Arial" w:hAnsi="Arial"/>
          <w:sz w:val="18"/>
          <w:szCs w:val="18"/>
          <w:color w:val="auto"/>
        </w:rPr>
        <w:t>not less than two (2) Trading Days prior to the Filing Date or by the end of the second (2</w:t>
      </w:r>
      <w:r>
        <w:rPr>
          <w:rFonts w:ascii="Arial" w:cs="Arial" w:eastAsia="Arial" w:hAnsi="Arial"/>
          <w:sz w:val="29"/>
          <w:szCs w:val="29"/>
          <w:color w:val="auto"/>
          <w:vertAlign w:val="superscript"/>
        </w:rPr>
        <w:t>nd</w:t>
      </w:r>
      <w:r>
        <w:rPr>
          <w:rFonts w:ascii="Arial" w:cs="Arial" w:eastAsia="Arial" w:hAnsi="Arial"/>
          <w:sz w:val="18"/>
          <w:szCs w:val="18"/>
          <w:color w:val="auto"/>
        </w:rPr>
        <w:t>) Trading Day following the date on which such Holder receives draft materials in accordance with this Section.</w:t>
      </w:r>
    </w:p>
    <w:p>
      <w:pPr>
        <w:spacing w:after="0" w:line="204" w:lineRule="exact"/>
        <w:rPr>
          <w:sz w:val="20"/>
          <w:szCs w:val="20"/>
          <w:color w:val="auto"/>
        </w:rPr>
      </w:pPr>
    </w:p>
    <w:p>
      <w:pPr>
        <w:jc w:val="both"/>
        <w:ind w:left="4" w:firstLine="644"/>
        <w:spacing w:after="0" w:line="285" w:lineRule="auto"/>
        <w:tabs>
          <w:tab w:leader="none" w:pos="909" w:val="left"/>
        </w:tabs>
        <w:numPr>
          <w:ilvl w:val="1"/>
          <w:numId w:val="46"/>
        </w:numPr>
        <w:rPr>
          <w:rFonts w:ascii="Arial" w:cs="Arial" w:eastAsia="Arial" w:hAnsi="Arial"/>
          <w:sz w:val="16"/>
          <w:szCs w:val="16"/>
          <w:color w:val="auto"/>
        </w:rPr>
      </w:pPr>
      <w:r>
        <w:rPr>
          <w:rFonts w:ascii="Arial" w:cs="Arial" w:eastAsia="Arial" w:hAnsi="Arial"/>
          <w:sz w:val="16"/>
          <w:szCs w:val="16"/>
          <w:color w:val="auto"/>
        </w:rPr>
        <w:t>(i) Prepare and file with the Commission such amendments, including post-effective amendments, to a Registration Statement and the Prospectus used in connection therewith as may be necessary to keep a Registration Statement continuously effective as to the applicable Registrable Securities for the Effectiveness Period and prepare and file with the Commission such additional Registration Statements in order to register for resale under the Securities Act all of the Registrable Securities, (ii) cause the related Prospectus to be amended or supplemented by any required Prospectus supplement (subject to the terms of this Agreement), and, as so supplemented or amended, to be filed pursuant to Rule 424,</w:t>
      </w:r>
    </w:p>
    <w:p>
      <w:pPr>
        <w:spacing w:after="0" w:line="1" w:lineRule="exact"/>
        <w:rPr>
          <w:rFonts w:ascii="Arial" w:cs="Arial" w:eastAsia="Arial" w:hAnsi="Arial"/>
          <w:sz w:val="16"/>
          <w:szCs w:val="16"/>
          <w:color w:val="auto"/>
        </w:rPr>
      </w:pPr>
    </w:p>
    <w:p>
      <w:pPr>
        <w:jc w:val="both"/>
        <w:ind w:left="4" w:hanging="4"/>
        <w:spacing w:after="0" w:line="288" w:lineRule="auto"/>
        <w:tabs>
          <w:tab w:leader="none" w:pos="328" w:val="left"/>
        </w:tabs>
        <w:numPr>
          <w:ilvl w:val="0"/>
          <w:numId w:val="47"/>
        </w:numPr>
        <w:rPr>
          <w:rFonts w:ascii="Arial" w:cs="Arial" w:eastAsia="Arial" w:hAnsi="Arial"/>
          <w:sz w:val="16"/>
          <w:szCs w:val="16"/>
          <w:color w:val="auto"/>
        </w:rPr>
      </w:pPr>
      <w:r>
        <w:rPr>
          <w:rFonts w:ascii="Arial" w:cs="Arial" w:eastAsia="Arial" w:hAnsi="Arial"/>
          <w:sz w:val="16"/>
          <w:szCs w:val="16"/>
          <w:color w:val="auto"/>
        </w:rPr>
        <w:t>respond as promptly as reasonably possible to any comments received from the Commission with respect to a Registration Statement or any amendment thereto and provide as promptly as reasonably possible to the Holders true and complete copies of all correspondence from and to the Commission relating to a Registration Statement (provided that, the Company shall excise any information contained therein which would constitute material non-public information regarding the Company or any of its Subsidiaries), and (iv) comply in all material respects with the applicable provisions of the Securities Act and the Exchange Act with respect to the disposition of all Registrable Securities covered by a Registration Statement during the applicable period in accordance (subject to the terms of this Agreement) with the intended methods of disposition by the Holders thereof set forth in such Registration Statement as so amended or in such Prospectus as so supplemented.</w:t>
      </w:r>
    </w:p>
    <w:p>
      <w:pPr>
        <w:spacing w:after="0" w:line="384" w:lineRule="exact"/>
        <w:rPr>
          <w:sz w:val="20"/>
          <w:szCs w:val="20"/>
          <w:color w:val="auto"/>
        </w:rPr>
      </w:pPr>
    </w:p>
    <w:p>
      <w:pPr>
        <w:ind w:left="4924"/>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14605</wp:posOffset>
            </wp:positionV>
            <wp:extent cx="71323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908" w:right="339" w:bottom="1440" w:gutter="0" w:footer="0" w:header="0"/>
        </w:sectPr>
      </w:pPr>
    </w:p>
    <w:bookmarkStart w:id="53" w:name="page54"/>
    <w:bookmarkEnd w:id="53"/>
    <w:p>
      <w:pPr>
        <w:jc w:val="both"/>
        <w:ind w:left="-460" w:firstLine="644"/>
        <w:spacing w:after="0" w:line="259" w:lineRule="auto"/>
        <w:tabs>
          <w:tab w:leader="none" w:pos="465" w:val="left"/>
        </w:tabs>
        <w:numPr>
          <w:ilvl w:val="0"/>
          <w:numId w:val="48"/>
        </w:numPr>
        <w:rPr>
          <w:rFonts w:ascii="Arial" w:cs="Arial" w:eastAsia="Arial" w:hAnsi="Arial"/>
          <w:sz w:val="18"/>
          <w:szCs w:val="18"/>
          <w:color w:val="auto"/>
        </w:rPr>
      </w:pPr>
      <w:r>
        <w:rPr>
          <w:rFonts w:ascii="Arial" w:cs="Arial" w:eastAsia="Arial" w:hAnsi="Arial"/>
          <w:sz w:val="18"/>
          <w:szCs w:val="18"/>
          <w:color w:val="auto"/>
        </w:rPr>
        <w:t>If during the Effectiveness Period, the number of Registrable Securities at any time exceeds 100% of the number of shares of Common Stock then registered in a Registration Statement, then the Company shall file as soon as reasonably practicable, but in any case prior to the applicable Filing Date, an additional Registration Statement covering the resale by the Holders of not less than the number of such Registrable Securities.</w:t>
      </w:r>
    </w:p>
    <w:p>
      <w:pPr>
        <w:spacing w:after="0" w:line="186" w:lineRule="exact"/>
        <w:rPr>
          <w:rFonts w:ascii="Arial" w:cs="Arial" w:eastAsia="Arial" w:hAnsi="Arial"/>
          <w:sz w:val="18"/>
          <w:szCs w:val="18"/>
          <w:color w:val="auto"/>
        </w:rPr>
      </w:pPr>
    </w:p>
    <w:p>
      <w:pPr>
        <w:jc w:val="both"/>
        <w:ind w:left="-460" w:firstLine="644"/>
        <w:spacing w:after="0" w:line="284" w:lineRule="auto"/>
        <w:tabs>
          <w:tab w:leader="none" w:pos="488" w:val="left"/>
        </w:tabs>
        <w:numPr>
          <w:ilvl w:val="0"/>
          <w:numId w:val="48"/>
        </w:numPr>
        <w:rPr>
          <w:rFonts w:ascii="Arial" w:cs="Arial" w:eastAsia="Arial" w:hAnsi="Arial"/>
          <w:sz w:val="16"/>
          <w:szCs w:val="16"/>
          <w:color w:val="auto"/>
        </w:rPr>
      </w:pPr>
      <w:r>
        <w:rPr>
          <w:rFonts w:ascii="Arial" w:cs="Arial" w:eastAsia="Arial" w:hAnsi="Arial"/>
          <w:sz w:val="16"/>
          <w:szCs w:val="16"/>
          <w:color w:val="auto"/>
        </w:rPr>
        <w:t xml:space="preserve">Notify the Holders of Registrable Securities to be sold (which notice shall, pursuant to clauses (iii) through (vi) hereof, be accompanied by an instruction to suspend the use of the Prospectus until the requisite changes have been made) as promptly as reasonably possible (and, in the case of (i)(A) below, not less than one (1) Trading Day prior to such filing) and (if requested by any such Person) confirm such notice in writing no later than one (1) Trading Day following the day (i)(A) when a Prospectus or any Prospectus supplement or post-effective amendment to a Registration Statement is proposed to be filed, (B) when the Commission notifies the Company whether there will be a “review” of such Registration Statement and whenever the Commission comments in writing on such Registration Statement, and (C) with respect to a Registration Statement or any post-effective amendment, when the same has become effective, (ii) of any request by the Commission or any other federal or state governmental authority for amendments or supplements to a Registration Statement or Prospectus or for additional information, (iii) of the issuance by the Commission or any other federal or state governmental authority of any stop order suspending the effectiveness of a Registration Statement covering any or all of the Registrable Securities or the initiation of any Proceedings for that purpose, (iv) of the receipt by the Company of any notification with respect to the suspension of the qualification or exemption from qualification of any of the Registrable Securities for sale in any jurisdiction, or the initiation or threatening of any Proceeding for such purpose, (v) of the occurrence of any event or passage of time that makes the financial statements included in a Registration Statement ineligible for inclusion therein or any statement made in a Registration Statement or Prospectus or any document incorporated or deemed to be incorporated therein by reference untrue in any material respect or that requires any revisions to a Registration Statement, Prospectus or other documents so that, in the case of a Registration Statement or the Prospectus, as the case may be, it will not contain any untrue statement of a material fact or omit to state any material fact required to be stated therein or necessary to make the statements therein, in light of the circumstances under which they were made, not misleading, and (vi) of the occurrence or existence of any pending corporate development with respect to the Company that the Company believes may be material and that, in the determination of the Company, makes it not in the best interest of the Company to allow continued availability of a Registration Statement or Prospectus;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in no event shall any such notice contain any information which would constitute material, non-public information regarding the Company or any of its Subsidiaries.</w:t>
      </w:r>
    </w:p>
    <w:p>
      <w:pPr>
        <w:spacing w:after="0" w:line="179" w:lineRule="exact"/>
        <w:rPr>
          <w:rFonts w:ascii="Arial" w:cs="Arial" w:eastAsia="Arial" w:hAnsi="Arial"/>
          <w:sz w:val="16"/>
          <w:szCs w:val="16"/>
          <w:color w:val="auto"/>
        </w:rPr>
      </w:pPr>
    </w:p>
    <w:p>
      <w:pPr>
        <w:jc w:val="both"/>
        <w:ind w:left="-460" w:firstLine="644"/>
        <w:spacing w:after="0" w:line="263" w:lineRule="auto"/>
        <w:tabs>
          <w:tab w:leader="none" w:pos="456" w:val="left"/>
        </w:tabs>
        <w:numPr>
          <w:ilvl w:val="0"/>
          <w:numId w:val="48"/>
        </w:numPr>
        <w:rPr>
          <w:rFonts w:ascii="Arial" w:cs="Arial" w:eastAsia="Arial" w:hAnsi="Arial"/>
          <w:sz w:val="18"/>
          <w:szCs w:val="18"/>
          <w:color w:val="auto"/>
        </w:rPr>
      </w:pPr>
      <w:r>
        <w:rPr>
          <w:rFonts w:ascii="Arial" w:cs="Arial" w:eastAsia="Arial" w:hAnsi="Arial"/>
          <w:sz w:val="18"/>
          <w:szCs w:val="18"/>
          <w:color w:val="auto"/>
        </w:rPr>
        <w:t>Use its commercially reasonable efforts to avoid the issuance of, or, if issued, obtain the withdrawal of (i) any order stopping or suspending the effectiveness of a Registration Statement, or (ii) any suspension of the qualification (or exemption from qualification) of any of the Registrable Securities for sale in any jurisdiction, at the earliest practicable moment.</w:t>
      </w:r>
    </w:p>
    <w:p>
      <w:pPr>
        <w:spacing w:after="0" w:line="400"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14605</wp:posOffset>
            </wp:positionV>
            <wp:extent cx="71323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908" w:right="339" w:bottom="1440" w:gutter="0" w:footer="0" w:header="0"/>
        </w:sectPr>
      </w:pPr>
    </w:p>
    <w:bookmarkStart w:id="54" w:name="page55"/>
    <w:bookmarkEnd w:id="54"/>
    <w:p>
      <w:pPr>
        <w:jc w:val="both"/>
        <w:ind w:left="4" w:firstLine="644"/>
        <w:spacing w:after="0" w:line="257" w:lineRule="auto"/>
        <w:tabs>
          <w:tab w:leader="none" w:pos="908" w:val="left"/>
        </w:tabs>
        <w:numPr>
          <w:ilvl w:val="1"/>
          <w:numId w:val="49"/>
        </w:numPr>
        <w:rPr>
          <w:rFonts w:ascii="Arial" w:cs="Arial" w:eastAsia="Arial" w:hAnsi="Arial"/>
          <w:sz w:val="18"/>
          <w:szCs w:val="18"/>
          <w:color w:val="auto"/>
        </w:rPr>
      </w:pPr>
      <w:r>
        <w:rPr>
          <w:rFonts w:ascii="Arial" w:cs="Arial" w:eastAsia="Arial" w:hAnsi="Arial"/>
          <w:sz w:val="18"/>
          <w:szCs w:val="18"/>
          <w:color w:val="auto"/>
        </w:rPr>
        <w:t>Furnish to each Holder, without charge, at least one conformed copy of each such Registration Statement and each amendment thereto, including financial statements and schedules, all documents incorporated or deemed to be incorporated therein by reference to the extent requested by such Person, and all exhibits to the extent requested by such Person (including those previously furnished or incorporated by reference) promptly after the filing of such documents with the Commission, provided that any such item which is available on the EDGAR system (or successor thereto) need not be furnished in physical form.</w:t>
      </w:r>
    </w:p>
    <w:p>
      <w:pPr>
        <w:spacing w:after="0" w:line="187" w:lineRule="exact"/>
        <w:rPr>
          <w:rFonts w:ascii="Arial" w:cs="Arial" w:eastAsia="Arial" w:hAnsi="Arial"/>
          <w:sz w:val="18"/>
          <w:szCs w:val="18"/>
          <w:color w:val="auto"/>
        </w:rPr>
      </w:pPr>
    </w:p>
    <w:p>
      <w:pPr>
        <w:jc w:val="both"/>
        <w:ind w:left="4" w:firstLine="644"/>
        <w:spacing w:after="0" w:line="286" w:lineRule="auto"/>
        <w:tabs>
          <w:tab w:leader="none" w:pos="944" w:val="left"/>
        </w:tabs>
        <w:numPr>
          <w:ilvl w:val="1"/>
          <w:numId w:val="49"/>
        </w:numPr>
        <w:rPr>
          <w:rFonts w:ascii="Arial" w:cs="Arial" w:eastAsia="Arial" w:hAnsi="Arial"/>
          <w:sz w:val="17"/>
          <w:szCs w:val="17"/>
          <w:color w:val="auto"/>
        </w:rPr>
      </w:pPr>
      <w:r>
        <w:rPr>
          <w:rFonts w:ascii="Arial" w:cs="Arial" w:eastAsia="Arial" w:hAnsi="Arial"/>
          <w:sz w:val="17"/>
          <w:szCs w:val="17"/>
          <w:color w:val="auto"/>
        </w:rPr>
        <w:t>Subject to the terms of this Agreement, the Company hereby consents to the use of such Prospectus and each amendment or supplement thereto by each of the selling Holders in connection with the offering and sale of the Registrable Securities covered by such Prospectus and any amendment or supplement thereto, except after the giving of any notice pursuant to Section 3(d).</w:t>
      </w:r>
    </w:p>
    <w:p>
      <w:pPr>
        <w:spacing w:after="0" w:line="165" w:lineRule="exact"/>
        <w:rPr>
          <w:rFonts w:ascii="Arial" w:cs="Arial" w:eastAsia="Arial" w:hAnsi="Arial"/>
          <w:sz w:val="17"/>
          <w:szCs w:val="17"/>
          <w:color w:val="auto"/>
        </w:rPr>
      </w:pPr>
    </w:p>
    <w:p>
      <w:pPr>
        <w:jc w:val="both"/>
        <w:ind w:left="4" w:firstLine="644"/>
        <w:spacing w:after="0" w:line="271" w:lineRule="auto"/>
        <w:tabs>
          <w:tab w:leader="none" w:pos="921" w:val="left"/>
        </w:tabs>
        <w:numPr>
          <w:ilvl w:val="1"/>
          <w:numId w:val="49"/>
        </w:numPr>
        <w:rPr>
          <w:rFonts w:ascii="Arial" w:cs="Arial" w:eastAsia="Arial" w:hAnsi="Arial"/>
          <w:sz w:val="17"/>
          <w:szCs w:val="17"/>
          <w:color w:val="auto"/>
        </w:rPr>
      </w:pPr>
      <w:r>
        <w:rPr>
          <w:rFonts w:ascii="Arial" w:cs="Arial" w:eastAsia="Arial" w:hAnsi="Arial"/>
          <w:sz w:val="17"/>
          <w:szCs w:val="17"/>
          <w:color w:val="auto"/>
        </w:rPr>
        <w:t>Prior to any resale of Registrable Securities by a Holder, use its commercially reasonable efforts to register or qualify or cooperate with the selling Holders in connection with the registration or qualification (or exemption from the registration or qualification) of such Registrable Securities for the resale by the Holder under the securities or Blue Sky laws of such jurisdictions within the United States as any Holder reasonably requests in writing, to keep each registration or qualification (or exemption therefrom) effective during the Effectiveness Period and to do any and all other acts or things reasonably necessary to enable the disposition in such jurisdictions of the Registrable Securities covered by each Registration Statement, provided that the Company shall not be required to qualify generally to do business in any jurisdiction where it is not then so qualified, subject the Company to any material tax in any such jurisdiction where it is not then so subject or file a general consent to service of process in any such jurisdiction.</w:t>
      </w:r>
    </w:p>
    <w:p>
      <w:pPr>
        <w:spacing w:after="0" w:line="178" w:lineRule="exact"/>
        <w:rPr>
          <w:rFonts w:ascii="Arial" w:cs="Arial" w:eastAsia="Arial" w:hAnsi="Arial"/>
          <w:sz w:val="17"/>
          <w:szCs w:val="17"/>
          <w:color w:val="auto"/>
        </w:rPr>
      </w:pPr>
    </w:p>
    <w:p>
      <w:pPr>
        <w:jc w:val="both"/>
        <w:ind w:left="4" w:firstLine="644"/>
        <w:spacing w:after="0" w:line="259" w:lineRule="auto"/>
        <w:tabs>
          <w:tab w:leader="none" w:pos="894" w:val="left"/>
        </w:tabs>
        <w:numPr>
          <w:ilvl w:val="1"/>
          <w:numId w:val="49"/>
        </w:numPr>
        <w:rPr>
          <w:rFonts w:ascii="Arial" w:cs="Arial" w:eastAsia="Arial" w:hAnsi="Arial"/>
          <w:sz w:val="18"/>
          <w:szCs w:val="18"/>
          <w:color w:val="auto"/>
        </w:rPr>
      </w:pPr>
      <w:r>
        <w:rPr>
          <w:rFonts w:ascii="Arial" w:cs="Arial" w:eastAsia="Arial" w:hAnsi="Arial"/>
          <w:sz w:val="18"/>
          <w:szCs w:val="18"/>
          <w:color w:val="auto"/>
        </w:rPr>
        <w:t>If requested by a Holder, cooperate with such Holder to facilitate the timely preparation and delivery of certificates representing Registrable Securities to be delivered to a transferee pursuant to a Registration Statement, which certificates shall be free, to the extent permitted by the Purchase Agreement, of all restrictive legends, and to enable such Registrable Securities to be in such denominations and registered in such names as any such Holder may request.</w:t>
      </w:r>
    </w:p>
    <w:p>
      <w:pPr>
        <w:spacing w:after="0" w:line="186" w:lineRule="exact"/>
        <w:rPr>
          <w:rFonts w:ascii="Arial" w:cs="Arial" w:eastAsia="Arial" w:hAnsi="Arial"/>
          <w:sz w:val="18"/>
          <w:szCs w:val="18"/>
          <w:color w:val="auto"/>
        </w:rPr>
      </w:pPr>
    </w:p>
    <w:p>
      <w:pPr>
        <w:jc w:val="both"/>
        <w:ind w:left="4" w:firstLine="644"/>
        <w:spacing w:after="0" w:line="283" w:lineRule="auto"/>
        <w:tabs>
          <w:tab w:leader="none" w:pos="880" w:val="left"/>
        </w:tabs>
        <w:numPr>
          <w:ilvl w:val="1"/>
          <w:numId w:val="49"/>
        </w:numPr>
        <w:rPr>
          <w:rFonts w:ascii="Arial" w:cs="Arial" w:eastAsia="Arial" w:hAnsi="Arial"/>
          <w:sz w:val="16"/>
          <w:szCs w:val="16"/>
          <w:color w:val="auto"/>
        </w:rPr>
      </w:pPr>
      <w:r>
        <w:rPr>
          <w:rFonts w:ascii="Arial" w:cs="Arial" w:eastAsia="Arial" w:hAnsi="Arial"/>
          <w:sz w:val="16"/>
          <w:szCs w:val="16"/>
          <w:color w:val="auto"/>
        </w:rPr>
        <w:t>Upon the occurrence of any event contemplated by Section 3(d), as promptly as reasonably possible under the circumstances taking into account the Company’s good faith assessment of any adverse consequences to the Company and its stockholders of the premature disclosure of such event, prepare a supplement or amendment, including a post-effective amendment, to a Registration Statement or a supplement to the related Prospectus or any document incorporated or deemed to be incorporated therein by reference, and file any other required document so that, as thereafter delivered, neither a Registration Statement nor such Prospectus will contain an untrue statement of a material fact or omit to state a material fact required to be stated therein or necessary to make the statements therein, in light of the circumstances under which they were made, not misleading. If the Company notifies the Holders in accordance with clauses (iii) through (vi) of Section 3(d) above to suspend the use of any Prospectus until the requisite changes to such Prospectus have been made, then the Holders shall suspend use of such Prospectus. The Company will use its best efforts to ensure that the use of the Prospectus may be resumed as promptly as is practicable. The Company shall be entitled to exercise its right under this Section 3(j) to suspend the availability of a Registration Statement and Prospectus for a period not to exceed forty-five</w:t>
      </w:r>
    </w:p>
    <w:p>
      <w:pPr>
        <w:spacing w:after="0" w:line="4" w:lineRule="exact"/>
        <w:rPr>
          <w:rFonts w:ascii="Arial" w:cs="Arial" w:eastAsia="Arial" w:hAnsi="Arial"/>
          <w:sz w:val="16"/>
          <w:szCs w:val="16"/>
          <w:color w:val="auto"/>
        </w:rPr>
      </w:pPr>
    </w:p>
    <w:p>
      <w:pPr>
        <w:ind w:left="344" w:hanging="344"/>
        <w:spacing w:after="0"/>
        <w:tabs>
          <w:tab w:leader="none" w:pos="344" w:val="left"/>
        </w:tabs>
        <w:numPr>
          <w:ilvl w:val="0"/>
          <w:numId w:val="50"/>
        </w:numPr>
        <w:rPr>
          <w:rFonts w:ascii="Arial" w:cs="Arial" w:eastAsia="Arial" w:hAnsi="Arial"/>
          <w:sz w:val="17"/>
          <w:szCs w:val="17"/>
          <w:color w:val="auto"/>
        </w:rPr>
      </w:pPr>
      <w:r>
        <w:rPr>
          <w:rFonts w:ascii="Arial" w:cs="Arial" w:eastAsia="Arial" w:hAnsi="Arial"/>
          <w:sz w:val="17"/>
          <w:szCs w:val="17"/>
          <w:color w:val="auto"/>
        </w:rPr>
        <w:t>consecutive calendar days or ninety (90) calendar days in the aggregate (which need not be consecutive days) in any 12-month period.</w:t>
      </w:r>
    </w:p>
    <w:p>
      <w:pPr>
        <w:spacing w:after="0" w:line="200" w:lineRule="exact"/>
        <w:rPr>
          <w:sz w:val="20"/>
          <w:szCs w:val="20"/>
          <w:color w:val="auto"/>
        </w:rPr>
      </w:pPr>
    </w:p>
    <w:p>
      <w:pPr>
        <w:spacing w:after="0" w:line="238" w:lineRule="exact"/>
        <w:rPr>
          <w:sz w:val="20"/>
          <w:szCs w:val="20"/>
          <w:color w:val="auto"/>
        </w:rPr>
      </w:pPr>
    </w:p>
    <w:p>
      <w:pPr>
        <w:ind w:left="4924"/>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14605</wp:posOffset>
            </wp:positionV>
            <wp:extent cx="71323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908" w:right="339" w:bottom="1440" w:gutter="0" w:footer="0" w:header="0"/>
        </w:sectPr>
      </w:pPr>
    </w:p>
    <w:bookmarkStart w:id="55" w:name="page56"/>
    <w:bookmarkEnd w:id="55"/>
    <w:p>
      <w:pPr>
        <w:jc w:val="both"/>
        <w:ind w:left="320" w:firstLine="644"/>
        <w:spacing w:after="0" w:line="273" w:lineRule="auto"/>
        <w:tabs>
          <w:tab w:leader="none" w:pos="1249" w:val="left"/>
        </w:tabs>
        <w:numPr>
          <w:ilvl w:val="1"/>
          <w:numId w:val="51"/>
        </w:numPr>
        <w:rPr>
          <w:rFonts w:ascii="Arial" w:cs="Arial" w:eastAsia="Arial" w:hAnsi="Arial"/>
          <w:sz w:val="17"/>
          <w:szCs w:val="17"/>
          <w:color w:val="auto"/>
        </w:rPr>
      </w:pPr>
      <w:r>
        <w:rPr>
          <w:rFonts w:ascii="Arial" w:cs="Arial" w:eastAsia="Arial" w:hAnsi="Arial"/>
          <w:sz w:val="17"/>
          <w:szCs w:val="17"/>
          <w:color w:val="auto"/>
        </w:rPr>
        <w:t>Otherwise use commercially reasonable efforts to comply with all applicable rules and regulations of the Commission under the Securities Act and the Exchange Act, including, without limitation, Rule 172 under the Securities Act, file any final Prospectus, including any supplement or amendment thereof, with the Commission pursuant to Rule 424 under the Securities Act, promptly inform the Holders in writing if, at any time during the Effectiveness Period, the Company does not satisfy the conditions specified in Rule 172 and, as a result thereof, the Holders are required to deliver a Prospectus in connection with any disposition of Registrable Securities and take such other actions as may be reasonably necessary to facilitate the registration of the Registrable Securities hereunder.</w:t>
      </w:r>
    </w:p>
    <w:p>
      <w:pPr>
        <w:spacing w:after="0" w:line="177" w:lineRule="exact"/>
        <w:rPr>
          <w:rFonts w:ascii="Arial" w:cs="Arial" w:eastAsia="Arial" w:hAnsi="Arial"/>
          <w:sz w:val="17"/>
          <w:szCs w:val="17"/>
          <w:color w:val="auto"/>
        </w:rPr>
      </w:pPr>
    </w:p>
    <w:p>
      <w:pPr>
        <w:ind w:left="320" w:firstLine="644"/>
        <w:spacing w:after="0" w:line="277" w:lineRule="auto"/>
        <w:tabs>
          <w:tab w:leader="none" w:pos="1184" w:val="left"/>
        </w:tabs>
        <w:numPr>
          <w:ilvl w:val="1"/>
          <w:numId w:val="51"/>
        </w:numPr>
        <w:rPr>
          <w:rFonts w:ascii="Arial" w:cs="Arial" w:eastAsia="Arial" w:hAnsi="Arial"/>
          <w:sz w:val="18"/>
          <w:szCs w:val="18"/>
          <w:color w:val="auto"/>
        </w:rPr>
      </w:pPr>
      <w:r>
        <w:rPr>
          <w:rFonts w:ascii="Arial" w:cs="Arial" w:eastAsia="Arial" w:hAnsi="Arial"/>
          <w:sz w:val="18"/>
          <w:szCs w:val="18"/>
          <w:color w:val="auto"/>
        </w:rPr>
        <w:t>The Company shall use its commercially reasonable efforts to maintain eligibility for use of Form S-3 (or any successor form thereto) for the registration of the resale of Registrable Securities.</w:t>
      </w:r>
    </w:p>
    <w:p>
      <w:pPr>
        <w:spacing w:after="0" w:line="170" w:lineRule="exact"/>
        <w:rPr>
          <w:rFonts w:ascii="Arial" w:cs="Arial" w:eastAsia="Arial" w:hAnsi="Arial"/>
          <w:sz w:val="18"/>
          <w:szCs w:val="18"/>
          <w:color w:val="auto"/>
        </w:rPr>
      </w:pPr>
    </w:p>
    <w:p>
      <w:pPr>
        <w:jc w:val="both"/>
        <w:ind w:left="320" w:firstLine="644"/>
        <w:spacing w:after="0" w:line="273" w:lineRule="auto"/>
        <w:tabs>
          <w:tab w:leader="none" w:pos="1301" w:val="left"/>
        </w:tabs>
        <w:numPr>
          <w:ilvl w:val="1"/>
          <w:numId w:val="51"/>
        </w:numPr>
        <w:rPr>
          <w:rFonts w:ascii="Arial" w:cs="Arial" w:eastAsia="Arial" w:hAnsi="Arial"/>
          <w:sz w:val="17"/>
          <w:szCs w:val="17"/>
          <w:color w:val="auto"/>
        </w:rPr>
      </w:pPr>
      <w:r>
        <w:rPr>
          <w:rFonts w:ascii="Arial" w:cs="Arial" w:eastAsia="Arial" w:hAnsi="Arial"/>
          <w:sz w:val="17"/>
          <w:szCs w:val="17"/>
          <w:color w:val="auto"/>
        </w:rPr>
        <w:t>The Company may require each selling Holder to furnish to the Company a certified statement as to the number of shares of Common Stock beneficially owned by such Holder and, if required by the Commission, the natural persons thereof that have voting and dispositive control over the shares. During any periods that the Company is unable to meet its obligations hereunder with respect to the registration of the Registrable Securities solely because any Holder fails to furnish such information within three Trading Days of the Company’s request, any liquidated damages that are accruing at such time as to such Holder only shall be tolled and any Event that may otherwise occur solely because of such delay shall be suspended as to such Holder only, until such information is delivered to the Company.</w:t>
      </w:r>
    </w:p>
    <w:p>
      <w:pPr>
        <w:spacing w:after="0" w:line="177" w:lineRule="exact"/>
        <w:rPr>
          <w:rFonts w:ascii="Arial" w:cs="Arial" w:eastAsia="Arial" w:hAnsi="Arial"/>
          <w:sz w:val="17"/>
          <w:szCs w:val="17"/>
          <w:color w:val="auto"/>
        </w:rPr>
      </w:pPr>
    </w:p>
    <w:p>
      <w:pPr>
        <w:jc w:val="both"/>
        <w:ind w:firstLine="316"/>
        <w:spacing w:after="0" w:line="268" w:lineRule="auto"/>
        <w:tabs>
          <w:tab w:leader="none" w:pos="505" w:val="left"/>
        </w:tabs>
        <w:numPr>
          <w:ilvl w:val="0"/>
          <w:numId w:val="52"/>
        </w:numPr>
        <w:rPr>
          <w:rFonts w:ascii="Arial" w:cs="Arial" w:eastAsia="Arial" w:hAnsi="Arial"/>
          <w:sz w:val="17"/>
          <w:szCs w:val="17"/>
          <w:color w:val="auto"/>
        </w:rPr>
      </w:pPr>
      <w:r>
        <w:rPr>
          <w:rFonts w:ascii="Arial" w:cs="Arial" w:eastAsia="Arial" w:hAnsi="Arial"/>
          <w:sz w:val="17"/>
          <w:szCs w:val="17"/>
          <w:u w:val="single" w:color="auto"/>
          <w:color w:val="auto"/>
        </w:rPr>
        <w:t>Registration Expenses</w:t>
      </w:r>
      <w:r>
        <w:rPr>
          <w:rFonts w:ascii="Arial" w:cs="Arial" w:eastAsia="Arial" w:hAnsi="Arial"/>
          <w:sz w:val="17"/>
          <w:szCs w:val="17"/>
          <w:color w:val="auto"/>
        </w:rPr>
        <w:t>. All fees and expenses incident to the performance of or compliance with, this Agreement by the Company shall be borne by the Company whether or not any Registrable Securities are sold pursuant to a Registration Statement. The fees and expenses referred to in the foregoing sentence shall include, without limitation, (i) all registration and filing fees (including, without limitation, fees and expenses of the Company’s counsel and independent registered public accountants) (A) with respect to filings made with the Commission, (B) with respect to filings required to be made with any Trading Market on which the Common Stock is then listed for trading, and (C) in compliance with applicable state securities or Blue Sky laws reasonably agreed to by the Company in writing (including, without limitation, fees and disbursements of counsel for the Company in connection with Blue Sky qualifications or exemptions of the Registrable Securities), (ii) printing expenses (including, without limitation, expenses of printing certificates for Registrable Securities), (iii) messenger, telephone and delivery expenses, (iv) fees and disbursements of counsel for the Company, (v) Securities Act liability insurance, if the Company so desires such insurance, and (vi) fees and expenses of all other Persons retained by the Company in connection with the consummation of the transactions contemplated by this Agreement. In addition, the Company shall be responsible for all of its internal expenses incurred in connection with the consummation of the transactions contemplated by this Agreement (including, without limitation, all salaries and expenses of its officers and employees performing legal or accounting duties), the expense of any annual audit and the fees and expenses incurred in connection with the listing of the Registrable Securities on any securities exchange as required hereunder. In no event shall the Company be responsible for any broker or similar commissions of any Holder or, except to the extent provided for in the Transaction Documents, any legal fees or other costs of the Holders.</w:t>
      </w:r>
    </w:p>
    <w:p>
      <w:pPr>
        <w:spacing w:after="0" w:line="398" w:lineRule="exact"/>
        <w:rPr>
          <w:sz w:val="20"/>
          <w:szCs w:val="20"/>
          <w:color w:val="auto"/>
        </w:rPr>
      </w:pPr>
    </w:p>
    <w:p>
      <w:pPr>
        <w:jc w:val="center"/>
        <w:ind w:right="320"/>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-210185</wp:posOffset>
            </wp:positionH>
            <wp:positionV relativeFrom="paragraph">
              <wp:posOffset>14605</wp:posOffset>
            </wp:positionV>
            <wp:extent cx="71323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00"/>
          </w:cols>
          <w:pgMar w:left="660" w:top="908" w:right="339" w:bottom="1440" w:gutter="0" w:footer="0" w:header="0"/>
        </w:sectPr>
      </w:pPr>
    </w:p>
    <w:bookmarkStart w:id="56" w:name="page57"/>
    <w:bookmarkEnd w:id="56"/>
    <w:p>
      <w:pPr>
        <w:ind w:left="644" w:hanging="644"/>
        <w:spacing w:after="0"/>
        <w:tabs>
          <w:tab w:leader="none" w:pos="644" w:val="left"/>
        </w:tabs>
        <w:numPr>
          <w:ilvl w:val="0"/>
          <w:numId w:val="53"/>
        </w:numPr>
        <w:rPr>
          <w:rFonts w:ascii="Arial" w:cs="Arial" w:eastAsia="Arial" w:hAnsi="Arial"/>
          <w:sz w:val="18"/>
          <w:szCs w:val="18"/>
          <w:color w:val="auto"/>
        </w:rPr>
      </w:pPr>
      <w:r>
        <w:rPr>
          <w:rFonts w:ascii="Arial" w:cs="Arial" w:eastAsia="Arial" w:hAnsi="Arial"/>
          <w:sz w:val="18"/>
          <w:szCs w:val="18"/>
          <w:u w:val="single" w:color="auto"/>
          <w:color w:val="auto"/>
        </w:rPr>
        <w:t>Indemnification</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left="4" w:firstLine="644"/>
        <w:spacing w:after="0" w:line="284" w:lineRule="auto"/>
        <w:tabs>
          <w:tab w:leader="none" w:pos="932" w:val="left"/>
        </w:tabs>
        <w:numPr>
          <w:ilvl w:val="1"/>
          <w:numId w:val="53"/>
        </w:numPr>
        <w:rPr>
          <w:rFonts w:ascii="Arial" w:cs="Arial" w:eastAsia="Arial" w:hAnsi="Arial"/>
          <w:sz w:val="16"/>
          <w:szCs w:val="16"/>
          <w:color w:val="auto"/>
        </w:rPr>
      </w:pPr>
      <w:r>
        <w:rPr>
          <w:rFonts w:ascii="Arial" w:cs="Arial" w:eastAsia="Arial" w:hAnsi="Arial"/>
          <w:sz w:val="16"/>
          <w:szCs w:val="16"/>
          <w:u w:val="single" w:color="auto"/>
          <w:color w:val="auto"/>
        </w:rPr>
        <w:t>Indemnification by the Company</w:t>
      </w:r>
      <w:r>
        <w:rPr>
          <w:rFonts w:ascii="Arial" w:cs="Arial" w:eastAsia="Arial" w:hAnsi="Arial"/>
          <w:sz w:val="16"/>
          <w:szCs w:val="16"/>
          <w:color w:val="auto"/>
        </w:rPr>
        <w:t>. The Company shall, notwithstanding any termination of this Agreement, indemnify and hold harmless each Holder, the officers, directors, members, partners, agents, brokers (including brokers who offer and sell Registrable Securities as principal as a result of a pledge or any failure to perform under a margin call of Common Stock), investment advisors and employees (and any other Persons with a functionally equivalent role of a Person holding such titles, notwithstanding a lack of such title or any other title) of each of them, each Person who controls any such Holder (within the meaning of Section 15 of the Securities Act or Section 20 of the Exchange Act) and the officers, directors, members, stockholders, partners, agents and employees (and any other Persons with a functionally equivalent role of a Person holding such titles, notwithstanding a lack of such title or any other title) of each such controlling Person, to the fullest extent permitted by applicable law, from and against any and all losses, claims, damages, liabilities, costs (including, without limitation, reasonable attorneys’ fees) and expenses (collectively, “</w:t>
      </w:r>
      <w:r>
        <w:rPr>
          <w:rFonts w:ascii="Arial" w:cs="Arial" w:eastAsia="Arial" w:hAnsi="Arial"/>
          <w:sz w:val="16"/>
          <w:szCs w:val="16"/>
          <w:u w:val="single" w:color="auto"/>
          <w:color w:val="auto"/>
        </w:rPr>
        <w:t>Losses</w:t>
      </w:r>
      <w:r>
        <w:rPr>
          <w:rFonts w:ascii="Arial" w:cs="Arial" w:eastAsia="Arial" w:hAnsi="Arial"/>
          <w:sz w:val="16"/>
          <w:szCs w:val="16"/>
          <w:color w:val="auto"/>
        </w:rPr>
        <w:t>”), as incurred, arising out of or relating to (1) any untrue or alleged untrue statement of a material fact contained in a Registration Statement, any Prospectus or any form of prospectus or in any amendment or supplement thereto or in any preliminary prospectus, or arising out of or relating to any omission or alleged omission of a material fact required to be stated therein or necessary to make the statements therein (in the case of any Prospectus or supplement thereto, in light of the circumstances under which they were made) not misleading or (2) any violation or alleged violation by the Company of the Securities Act, the Exchange Act or any state securities law, or any rule or regulation thereunder, in connection with the performance of its obligations under this Agreement, except to the extent, but only to the extent, that (i) such untrue statements or omissions are based solely upon information regarding such Holder furnished in writing to the Company by such Holder expressly for use therein, or to the extent that such information relates to such Holder or such Holder’s proposed method of distribution of Registrable Securities and was reviewed and expressly approved in writing by such Holder expressly for use in a Registration Statement, such Prospectus or in any amendment or supplement thereto (it being understood that the Holder has approved Annex A hereto for this purpose) or (ii) in the case of an occurrence of an event of the type specified in Section 3(d)(iii)-(vi), the use by such Holder of an outdated, defective or otherwise unavailable Prospectus after the Company has notified such Holder in writing that the Prospectus is outdated, defective or otherwise unavailable for use by such Holder and prior to the receipt by such Holder of the Advice contemplated in Section 6(c). The Company shall notify the Holders promptly of the institution of any Proceeding arising from or in connection with the transactions contemplated by this Agreement of which the Company is aware. Such indemnity shall remain in full force and effect regardless of any investigation made by or on behalf of such indemnified person and shall survive the transfer of any Registrable Securities by any of the Holders in accordance with Section 6(f).</w:t>
      </w:r>
    </w:p>
    <w:p>
      <w:pPr>
        <w:spacing w:after="0" w:line="174" w:lineRule="exact"/>
        <w:rPr>
          <w:rFonts w:ascii="Arial" w:cs="Arial" w:eastAsia="Arial" w:hAnsi="Arial"/>
          <w:sz w:val="16"/>
          <w:szCs w:val="16"/>
          <w:color w:val="auto"/>
        </w:rPr>
      </w:pPr>
    </w:p>
    <w:p>
      <w:pPr>
        <w:jc w:val="both"/>
        <w:ind w:left="4" w:firstLine="644"/>
        <w:spacing w:after="0" w:line="268" w:lineRule="auto"/>
        <w:tabs>
          <w:tab w:leader="none" w:pos="925" w:val="left"/>
        </w:tabs>
        <w:numPr>
          <w:ilvl w:val="1"/>
          <w:numId w:val="53"/>
        </w:numPr>
        <w:rPr>
          <w:rFonts w:ascii="Arial" w:cs="Arial" w:eastAsia="Arial" w:hAnsi="Arial"/>
          <w:sz w:val="17"/>
          <w:szCs w:val="17"/>
          <w:color w:val="auto"/>
        </w:rPr>
      </w:pPr>
      <w:r>
        <w:rPr>
          <w:rFonts w:ascii="Arial" w:cs="Arial" w:eastAsia="Arial" w:hAnsi="Arial"/>
          <w:sz w:val="17"/>
          <w:szCs w:val="17"/>
          <w:u w:val="single" w:color="auto"/>
          <w:color w:val="auto"/>
        </w:rPr>
        <w:t>Indemnification by Holders</w:t>
      </w:r>
      <w:r>
        <w:rPr>
          <w:rFonts w:ascii="Arial" w:cs="Arial" w:eastAsia="Arial" w:hAnsi="Arial"/>
          <w:sz w:val="17"/>
          <w:szCs w:val="17"/>
          <w:color w:val="auto"/>
        </w:rPr>
        <w:t>. Each Holder shall, severally and not jointly, indemnify and hold harmless the Company, its directors, officers, agents and employees, each Person who controls the Company (within the meaning of Section 15 of the Securities Act and Section 20 of the Exchange Act), and the directors, officers, agents or employees of such controlling Persons, to the fullest extent permitted by applicable law, from and against all Losses, as incurred, to the extent arising out of or based solely upon: any untrue or alleged untrue statement of a material fact contained in any Registration Statement, any Prospectus, or in any amendment or supplement thereto or in any preliminary prospectus, or arising out of or relating to any omission or alleged omission of a material fact required to be stated therein or necessary to make the statements therein (in the case of any Prospectus or supplement thereto, in light of the circumstances under which they were made) not misleading (i) to the extent, but only to the extent, that such untrue statement or omission is contained in any information so furnished in writing by such Holder to the Company expressly for inclusion in such Registration Statement or such Prospectus or (ii) to the extent, but only to the extent, that such information relates to such Holder’s information provided in the Selling Stockholder Questionnaire or the proposed method of distribution of Registrable Securities and was reviewed and expressly approved in writing by such Holder expressly for use in a Registration Statement (it being understood that the Holder has approved Annex A hereto for this purpose), such Prospectus or in any amendment or supplement thereto. In no event shall the liability of a selling Holder be greater in amount than the dollar amount of the proceeds (net of all expenses paid by such Holder in connection with any claim relating to this Section 5 and the amount of any damages such Holder has otherwise been required to pay by reason of such untrue statement or omission) received by such Holder upon the sale of the Registrable Securities included in the Registration Statement giving rise to such indemnification obligation.</w:t>
      </w:r>
    </w:p>
    <w:p>
      <w:pPr>
        <w:spacing w:after="0" w:line="396" w:lineRule="exact"/>
        <w:rPr>
          <w:sz w:val="20"/>
          <w:szCs w:val="20"/>
          <w:color w:val="auto"/>
        </w:rPr>
      </w:pPr>
    </w:p>
    <w:p>
      <w:pPr>
        <w:ind w:left="4884"/>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14605</wp:posOffset>
            </wp:positionV>
            <wp:extent cx="71323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908" w:right="339" w:bottom="1440" w:gutter="0" w:footer="0" w:header="0"/>
        </w:sectPr>
      </w:pPr>
    </w:p>
    <w:bookmarkStart w:id="57" w:name="page58"/>
    <w:bookmarkEnd w:id="57"/>
    <w:p>
      <w:pPr>
        <w:jc w:val="both"/>
        <w:ind w:firstLine="644"/>
        <w:spacing w:after="0" w:line="291" w:lineRule="auto"/>
        <w:tabs>
          <w:tab w:leader="none" w:pos="917" w:val="left"/>
        </w:tabs>
        <w:numPr>
          <w:ilvl w:val="0"/>
          <w:numId w:val="54"/>
        </w:numPr>
        <w:rPr>
          <w:rFonts w:ascii="Arial" w:cs="Arial" w:eastAsia="Arial" w:hAnsi="Arial"/>
          <w:sz w:val="16"/>
          <w:szCs w:val="16"/>
          <w:color w:val="auto"/>
        </w:rPr>
      </w:pPr>
      <w:r>
        <w:rPr>
          <w:rFonts w:ascii="Arial" w:cs="Arial" w:eastAsia="Arial" w:hAnsi="Arial"/>
          <w:sz w:val="16"/>
          <w:szCs w:val="16"/>
          <w:u w:val="single" w:color="auto"/>
          <w:color w:val="auto"/>
        </w:rPr>
        <w:t>Conduct of Indemnification Proceedings</w:t>
      </w:r>
      <w:r>
        <w:rPr>
          <w:rFonts w:ascii="Arial" w:cs="Arial" w:eastAsia="Arial" w:hAnsi="Arial"/>
          <w:sz w:val="16"/>
          <w:szCs w:val="16"/>
          <w:color w:val="auto"/>
        </w:rPr>
        <w:t>. If any Proceeding shall be brought or asserted against any Person entitled to indemnity hereunder (an “</w:t>
      </w:r>
      <w:r>
        <w:rPr>
          <w:rFonts w:ascii="Arial" w:cs="Arial" w:eastAsia="Arial" w:hAnsi="Arial"/>
          <w:sz w:val="16"/>
          <w:szCs w:val="16"/>
          <w:u w:val="single" w:color="auto"/>
          <w:color w:val="auto"/>
        </w:rPr>
        <w:t>Indemnified Party</w:t>
      </w:r>
      <w:r>
        <w:rPr>
          <w:rFonts w:ascii="Arial" w:cs="Arial" w:eastAsia="Arial" w:hAnsi="Arial"/>
          <w:sz w:val="16"/>
          <w:szCs w:val="16"/>
          <w:color w:val="auto"/>
        </w:rPr>
        <w:t>”), such Indemnified Party shall promptly notify the Person from whom indemnity is sought (the “</w:t>
      </w:r>
      <w:r>
        <w:rPr>
          <w:rFonts w:ascii="Arial" w:cs="Arial" w:eastAsia="Arial" w:hAnsi="Arial"/>
          <w:sz w:val="16"/>
          <w:szCs w:val="16"/>
          <w:u w:val="single" w:color="auto"/>
          <w:color w:val="auto"/>
        </w:rPr>
        <w:t>Indemnifying</w:t>
      </w:r>
      <w:r>
        <w:rPr>
          <w:rFonts w:ascii="Arial" w:cs="Arial" w:eastAsia="Arial" w:hAnsi="Arial"/>
          <w:sz w:val="16"/>
          <w:szCs w:val="16"/>
          <w:color w:val="auto"/>
        </w:rPr>
        <w:t xml:space="preserve"> </w:t>
      </w:r>
      <w:r>
        <w:rPr>
          <w:rFonts w:ascii="Arial" w:cs="Arial" w:eastAsia="Arial" w:hAnsi="Arial"/>
          <w:sz w:val="16"/>
          <w:szCs w:val="16"/>
          <w:u w:val="single" w:color="auto"/>
          <w:color w:val="auto"/>
        </w:rPr>
        <w:t>Party</w:t>
      </w:r>
      <w:r>
        <w:rPr>
          <w:rFonts w:ascii="Arial" w:cs="Arial" w:eastAsia="Arial" w:hAnsi="Arial"/>
          <w:sz w:val="16"/>
          <w:szCs w:val="16"/>
          <w:color w:val="auto"/>
        </w:rPr>
        <w:t>”) in writing, and the Indemnifying Party shall have the right to assume the defense thereof, including the employment of counsel reasonably satisfactory to the Indemnified Party and the payment of all fees and expenses incurred in connection with defense thereof, provided that the failure of any Indemnified Party to give such notice shall not relieve the Indemnifying Party of its obligations or liabilities pursuant to this Agreement, except (and only) to the extent that it shall be finally determined by a court of competent jurisdiction (which determination is not subject to appeal or further review) that such failure shall have materially and adversely prejudiced the Indemnifying Party.</w:t>
      </w:r>
    </w:p>
    <w:p>
      <w:pPr>
        <w:spacing w:after="0" w:line="166" w:lineRule="exact"/>
        <w:rPr>
          <w:sz w:val="20"/>
          <w:szCs w:val="20"/>
          <w:color w:val="auto"/>
        </w:rPr>
      </w:pPr>
    </w:p>
    <w:p>
      <w:pPr>
        <w:jc w:val="both"/>
        <w:ind w:firstLine="972"/>
        <w:spacing w:after="0" w:line="268" w:lineRule="auto"/>
        <w:rPr>
          <w:sz w:val="20"/>
          <w:szCs w:val="20"/>
          <w:color w:val="auto"/>
        </w:rPr>
      </w:pPr>
      <w:r>
        <w:rPr>
          <w:rFonts w:ascii="Arial" w:cs="Arial" w:eastAsia="Arial" w:hAnsi="Arial"/>
          <w:sz w:val="17"/>
          <w:szCs w:val="17"/>
          <w:color w:val="auto"/>
        </w:rPr>
        <w:t>An Indemnified Party shall have the right to employ separate counsel in any such Proceeding and to participate in the defense thereof, but the fees and expenses of such counsel shall be at the expense of such Indemnified Party or Parties unless: (1) the Indemnifying Party has agreed in writing to pay such fees and expenses, (2) the Indemnifying Party shall have failed promptly to assume the defense of such Proceeding and to employ counsel reasonably satisfactory to such Indemnified Party in any such Proceeding, or (3) the named parties to any such Proceeding (including any impleaded parties) include both such Indemnified Party and the Indemnifying Party, and counsel to the Indemnified Party shall reasonably believe that a material conflict of interest is likely to exist if the same counsel were to represent such Indemnified Party and the Indemnifying Party (in which case, if such Indemnified Party notifies the Indemnifying Party in writing that it elects to employ separate counsel at the expense of the Indemnifying Party, the Indemnifying Party shall not have the right to assume the defense thereof and the reasonable fees and expenses of no more than one separate counsel shall be at the expense of the Indemnifying Party). The Indemnifying Party shall not be liable for any settlement of any such Proceeding effected without its written consent. No Indemnifying Party shall, without the prior written consent of the Indemnified Party, effect any settlement of any pending Proceeding in respect of which any Indemnified Party is a party, unless such settlement includes an unconditional release of such Indemnified Party from all liability on claims that are the subject matter of such Proceeding.</w:t>
      </w:r>
    </w:p>
    <w:p>
      <w:pPr>
        <w:spacing w:after="0" w:line="186" w:lineRule="exact"/>
        <w:rPr>
          <w:sz w:val="20"/>
          <w:szCs w:val="20"/>
          <w:color w:val="auto"/>
        </w:rPr>
      </w:pPr>
    </w:p>
    <w:p>
      <w:pPr>
        <w:jc w:val="both"/>
        <w:ind w:firstLine="972"/>
        <w:spacing w:after="0" w:line="255" w:lineRule="auto"/>
        <w:rPr>
          <w:sz w:val="20"/>
          <w:szCs w:val="20"/>
          <w:color w:val="auto"/>
        </w:rPr>
      </w:pPr>
      <w:r>
        <w:rPr>
          <w:rFonts w:ascii="Arial" w:cs="Arial" w:eastAsia="Arial" w:hAnsi="Arial"/>
          <w:sz w:val="18"/>
          <w:szCs w:val="18"/>
          <w:color w:val="auto"/>
        </w:rPr>
        <w:t>Subject to the terms of this Agreement, all reasonable fees and expenses of the Indemnified Party (including reasonable fees and expenses to the extent incurred in connection with investigating or preparing to defend such Proceeding in a manner not inconsistent with this Section) shall be paid to the Indemnified Party, as incurred, within twenty (20) Trading Days of written notice thereof to the Indemnifying Party, provided that the Indemnified Party shall promptly reimburse the Indemnifying Party for that portion of such fees and expenses applicable to such actions for which such Indemnified Party is finally determined by a court of competent jurisdiction (which determination is not subject to appeal or further review) not to be entitled to indemnification hereunder.</w:t>
      </w:r>
    </w:p>
    <w:p>
      <w:pPr>
        <w:spacing w:after="0" w:line="200" w:lineRule="exact"/>
        <w:rPr>
          <w:sz w:val="20"/>
          <w:szCs w:val="20"/>
          <w:color w:val="auto"/>
        </w:rPr>
      </w:pPr>
    </w:p>
    <w:p>
      <w:pPr>
        <w:spacing w:after="0" w:line="208"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14605</wp:posOffset>
            </wp:positionV>
            <wp:extent cx="71323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908" w:right="339" w:bottom="1440" w:gutter="0" w:footer="0" w:header="0"/>
        </w:sectPr>
      </w:pPr>
    </w:p>
    <w:bookmarkStart w:id="58" w:name="page59"/>
    <w:bookmarkEnd w:id="58"/>
    <w:p>
      <w:pPr>
        <w:jc w:val="both"/>
        <w:ind w:left="660" w:firstLine="644"/>
        <w:spacing w:after="0" w:line="269" w:lineRule="auto"/>
        <w:tabs>
          <w:tab w:leader="none" w:pos="1592" w:val="left"/>
        </w:tabs>
        <w:numPr>
          <w:ilvl w:val="0"/>
          <w:numId w:val="55"/>
        </w:numPr>
        <w:rPr>
          <w:rFonts w:ascii="Arial" w:cs="Arial" w:eastAsia="Arial" w:hAnsi="Arial"/>
          <w:sz w:val="17"/>
          <w:szCs w:val="17"/>
          <w:color w:val="auto"/>
        </w:rPr>
      </w:pPr>
      <w:r>
        <w:rPr>
          <w:rFonts w:ascii="Arial" w:cs="Arial" w:eastAsia="Arial" w:hAnsi="Arial"/>
          <w:sz w:val="17"/>
          <w:szCs w:val="17"/>
          <w:u w:val="single" w:color="auto"/>
          <w:color w:val="auto"/>
        </w:rPr>
        <w:t>Contribution</w:t>
      </w:r>
      <w:r>
        <w:rPr>
          <w:rFonts w:ascii="Arial" w:cs="Arial" w:eastAsia="Arial" w:hAnsi="Arial"/>
          <w:sz w:val="17"/>
          <w:szCs w:val="17"/>
          <w:color w:val="auto"/>
        </w:rPr>
        <w:t>. If the indemnification under Section 5(a) or 5(b) is unavailable to an Indemnified Party or insufficient to hold an Indemnified Party harmless for any Losses, then each Indemnifying Party shall contribute to the amount paid or payable by such Indemnified Party, in such proportion as is appropriate to reflect the relative fault of the Indemnifying Party and Indemnified Party in connection with the actions, statements or omissions that resulted in such Losses as well as any other relevant equitable considerations. The relative fault of such Indemnifying Party and Indemnified Party shall be determined by reference to, among other things, whether any action in question, including any untrue or alleged untrue statement of a material fact or omission or alleged omission of a material fact, has been taken or made by, or relates to information supplied by, such Indemnifying Party or Indemnified Party, and the parties’ relative intent, knowledge, access to information and opportunity to correct or prevent such action, statement or omission. The amount paid or payable by a party as a result of any Losses shall be deemed to include, subject to the limitations set forth in this Agreement, any reasonable attorneys’ or other fees or expenses incurred by such party in connection with any Proceeding to the extent such party would have been indemnified for such fees or expenses if the indemnification provided for in this Section was available to such party in accordance with its terms.</w:t>
      </w:r>
    </w:p>
    <w:p>
      <w:pPr>
        <w:spacing w:after="0" w:line="182" w:lineRule="exact"/>
        <w:rPr>
          <w:sz w:val="20"/>
          <w:szCs w:val="20"/>
          <w:color w:val="auto"/>
        </w:rPr>
      </w:pPr>
    </w:p>
    <w:p>
      <w:pPr>
        <w:jc w:val="both"/>
        <w:ind w:left="660" w:firstLine="648"/>
        <w:spacing w:after="0" w:line="273" w:lineRule="auto"/>
        <w:rPr>
          <w:sz w:val="20"/>
          <w:szCs w:val="20"/>
          <w:color w:val="auto"/>
        </w:rPr>
      </w:pPr>
      <w:r>
        <w:rPr>
          <w:rFonts w:ascii="Arial" w:cs="Arial" w:eastAsia="Arial" w:hAnsi="Arial"/>
          <w:sz w:val="17"/>
          <w:szCs w:val="17"/>
          <w:color w:val="auto"/>
        </w:rPr>
        <w:t>The parties hereto agree that it would not be just and equitable if contribution pursuant to this Section 5(d) were determined by pro rata allocation or by any other method of allocation that does not take into account the equitable considerations referred to in the immediately preceding paragraph. In no event shall the contribution obligation of a Holder of Registrable Securities be greater in amount than the dollar amount of the proceeds (net of all expenses paid by such Holder in connection with any claim relating to this Section 5 and the amount of any damages such Holder has otherwise been required to pay by reason of such untrue or alleged untrue statement or omission or alleged omission) received by it upon the sale of the Registrable Securities giving rise to such contribution obligation.</w:t>
      </w:r>
    </w:p>
    <w:p>
      <w:pPr>
        <w:spacing w:after="0" w:line="178" w:lineRule="exact"/>
        <w:rPr>
          <w:sz w:val="20"/>
          <w:szCs w:val="20"/>
          <w:color w:val="auto"/>
        </w:rPr>
      </w:pPr>
    </w:p>
    <w:p>
      <w:pPr>
        <w:jc w:val="both"/>
        <w:ind w:left="660" w:firstLine="648"/>
        <w:spacing w:after="0" w:line="277" w:lineRule="auto"/>
        <w:rPr>
          <w:sz w:val="20"/>
          <w:szCs w:val="20"/>
          <w:color w:val="auto"/>
        </w:rPr>
      </w:pPr>
      <w:r>
        <w:rPr>
          <w:rFonts w:ascii="Arial" w:cs="Arial" w:eastAsia="Arial" w:hAnsi="Arial"/>
          <w:sz w:val="18"/>
          <w:szCs w:val="18"/>
          <w:color w:val="auto"/>
        </w:rPr>
        <w:t>The indemnity and contribution agreements contained in this Section are in addition to any liability that the Indemnifying Parties may have to the Indemnified Parties.</w:t>
      </w:r>
    </w:p>
    <w:p>
      <w:pPr>
        <w:spacing w:after="0" w:line="170" w:lineRule="exact"/>
        <w:rPr>
          <w:sz w:val="20"/>
          <w:szCs w:val="20"/>
          <w:color w:val="auto"/>
        </w:rPr>
      </w:pPr>
    </w:p>
    <w:p>
      <w:pPr>
        <w:ind w:left="1300" w:hanging="644"/>
        <w:spacing w:after="0"/>
        <w:tabs>
          <w:tab w:leader="none" w:pos="1300" w:val="left"/>
        </w:tabs>
        <w:numPr>
          <w:ilvl w:val="0"/>
          <w:numId w:val="56"/>
        </w:numPr>
        <w:rPr>
          <w:rFonts w:ascii="Arial" w:cs="Arial" w:eastAsia="Arial" w:hAnsi="Arial"/>
          <w:sz w:val="18"/>
          <w:szCs w:val="18"/>
          <w:color w:val="auto"/>
        </w:rPr>
      </w:pPr>
      <w:r>
        <w:rPr>
          <w:rFonts w:ascii="Arial" w:cs="Arial" w:eastAsia="Arial" w:hAnsi="Arial"/>
          <w:sz w:val="18"/>
          <w:szCs w:val="18"/>
          <w:u w:val="single" w:color="auto"/>
          <w:color w:val="auto"/>
        </w:rPr>
        <w:t>Miscellaneous</w:t>
      </w:r>
      <w:r>
        <w:rPr>
          <w:rFonts w:ascii="Arial" w:cs="Arial" w:eastAsia="Arial" w:hAnsi="Arial"/>
          <w:sz w:val="18"/>
          <w:szCs w:val="18"/>
          <w:color w:val="auto"/>
        </w:rPr>
        <w:t>.</w:t>
      </w:r>
    </w:p>
    <w:p>
      <w:pPr>
        <w:spacing w:after="0" w:line="225" w:lineRule="exact"/>
        <w:rPr>
          <w:sz w:val="20"/>
          <w:szCs w:val="20"/>
          <w:color w:val="auto"/>
        </w:rPr>
      </w:pPr>
    </w:p>
    <w:p>
      <w:pPr>
        <w:jc w:val="both"/>
        <w:ind w:firstLine="656"/>
        <w:spacing w:after="0" w:line="255" w:lineRule="auto"/>
        <w:tabs>
          <w:tab w:leader="none" w:pos="896" w:val="left"/>
        </w:tabs>
        <w:numPr>
          <w:ilvl w:val="0"/>
          <w:numId w:val="57"/>
        </w:numPr>
        <w:rPr>
          <w:rFonts w:ascii="Arial" w:cs="Arial" w:eastAsia="Arial" w:hAnsi="Arial"/>
          <w:sz w:val="18"/>
          <w:szCs w:val="18"/>
          <w:color w:val="auto"/>
        </w:rPr>
      </w:pPr>
      <w:r>
        <w:rPr>
          <w:rFonts w:ascii="Arial" w:cs="Arial" w:eastAsia="Arial" w:hAnsi="Arial"/>
          <w:sz w:val="18"/>
          <w:szCs w:val="18"/>
          <w:u w:val="single" w:color="auto"/>
          <w:color w:val="auto"/>
        </w:rPr>
        <w:t>Remedies</w:t>
      </w:r>
      <w:r>
        <w:rPr>
          <w:rFonts w:ascii="Arial" w:cs="Arial" w:eastAsia="Arial" w:hAnsi="Arial"/>
          <w:sz w:val="18"/>
          <w:szCs w:val="18"/>
          <w:color w:val="auto"/>
        </w:rPr>
        <w:t>. In the event of a breach by the Company or by a Holder of any of their respective obligations under this Agreement, each Holder or the Company, as the case may be, in addition to being entitled to exercise all rights granted by law and under this Agreement, including recovery of damages, shall be entitled to specific performance of its rights under this Agreement. Each of the Company and each Holder agrees that monetary damages would not provide adequate compensation for any losses incurred by reason of a breach by it of any of the provisions of this Agreement and hereby further agrees that, in the event of any action for specific performance in respect of such breach, it shall not assert or shall waive the defense that a remedy at law would be adequate.</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59" w:name="page60"/>
    <w:bookmarkEnd w:id="59"/>
    <w:p>
      <w:pPr>
        <w:jc w:val="both"/>
        <w:ind w:firstLine="656"/>
        <w:spacing w:after="0" w:line="274" w:lineRule="auto"/>
        <w:tabs>
          <w:tab w:leader="none" w:pos="923" w:val="left"/>
        </w:tabs>
        <w:numPr>
          <w:ilvl w:val="1"/>
          <w:numId w:val="58"/>
        </w:numPr>
        <w:rPr>
          <w:rFonts w:ascii="Arial" w:cs="Arial" w:eastAsia="Arial" w:hAnsi="Arial"/>
          <w:sz w:val="18"/>
          <w:szCs w:val="18"/>
          <w:color w:val="auto"/>
        </w:rPr>
      </w:pPr>
      <w:r>
        <w:rPr>
          <w:rFonts w:ascii="Arial" w:cs="Arial" w:eastAsia="Arial" w:hAnsi="Arial"/>
          <w:sz w:val="18"/>
          <w:szCs w:val="18"/>
          <w:u w:val="single" w:color="auto"/>
          <w:color w:val="auto"/>
        </w:rPr>
        <w:t>No Piggyback on Registrations; Prohibition on Filing Other Registration Statements</w:t>
      </w:r>
      <w:r>
        <w:rPr>
          <w:rFonts w:ascii="Arial" w:cs="Arial" w:eastAsia="Arial" w:hAnsi="Arial"/>
          <w:sz w:val="18"/>
          <w:szCs w:val="18"/>
          <w:color w:val="auto"/>
        </w:rPr>
        <w:t xml:space="preserve">. Except as set forth on </w:t>
      </w:r>
      <w:r>
        <w:rPr>
          <w:rFonts w:ascii="Arial" w:cs="Arial" w:eastAsia="Arial" w:hAnsi="Arial"/>
          <w:sz w:val="18"/>
          <w:szCs w:val="18"/>
          <w:u w:val="single" w:color="auto"/>
          <w:color w:val="auto"/>
        </w:rPr>
        <w:t>Schedule 6(b)</w:t>
      </w:r>
      <w:r>
        <w:rPr>
          <w:rFonts w:ascii="Arial" w:cs="Arial" w:eastAsia="Arial" w:hAnsi="Arial"/>
          <w:sz w:val="18"/>
          <w:szCs w:val="18"/>
          <w:color w:val="auto"/>
        </w:rPr>
        <w:t xml:space="preserve"> attached hereto, neither the Company nor any of its security holders (other than the Holders in such capacity pursuant hereto) may include securities of the Company in any Registration Statements other than the Registrable Securities.</w:t>
      </w:r>
      <w:r>
        <w:rPr>
          <w:rFonts w:ascii="Arial" w:cs="Arial" w:eastAsia="Arial" w:hAnsi="Arial"/>
          <w:sz w:val="29"/>
          <w:szCs w:val="29"/>
          <w:color w:val="auto"/>
          <w:vertAlign w:val="superscript"/>
        </w:rPr>
        <w:t>1</w:t>
      </w:r>
    </w:p>
    <w:p>
      <w:pPr>
        <w:spacing w:after="0" w:line="51" w:lineRule="exact"/>
        <w:rPr>
          <w:rFonts w:ascii="Arial" w:cs="Arial" w:eastAsia="Arial" w:hAnsi="Arial"/>
          <w:sz w:val="18"/>
          <w:szCs w:val="18"/>
          <w:color w:val="auto"/>
        </w:rPr>
      </w:pPr>
    </w:p>
    <w:p>
      <w:pPr>
        <w:jc w:val="both"/>
        <w:ind w:firstLine="656"/>
        <w:spacing w:after="0" w:line="273" w:lineRule="auto"/>
        <w:tabs>
          <w:tab w:leader="none" w:pos="901" w:val="left"/>
        </w:tabs>
        <w:numPr>
          <w:ilvl w:val="1"/>
          <w:numId w:val="58"/>
        </w:numPr>
        <w:rPr>
          <w:rFonts w:ascii="Arial" w:cs="Arial" w:eastAsia="Arial" w:hAnsi="Arial"/>
          <w:sz w:val="17"/>
          <w:szCs w:val="17"/>
          <w:color w:val="auto"/>
        </w:rPr>
      </w:pPr>
      <w:r>
        <w:rPr>
          <w:rFonts w:ascii="Arial" w:cs="Arial" w:eastAsia="Arial" w:hAnsi="Arial"/>
          <w:sz w:val="17"/>
          <w:szCs w:val="17"/>
          <w:u w:val="single" w:color="auto"/>
          <w:color w:val="auto"/>
        </w:rPr>
        <w:t>Discontinued Disposition</w:t>
      </w:r>
      <w:r>
        <w:rPr>
          <w:rFonts w:ascii="Arial" w:cs="Arial" w:eastAsia="Arial" w:hAnsi="Arial"/>
          <w:sz w:val="17"/>
          <w:szCs w:val="17"/>
          <w:color w:val="auto"/>
        </w:rPr>
        <w:t>. By its acquisition of Registrable Securities, each Holder agrees that, upon receipt of a notice from the Company of the occurrence of any event of the kind described in Section 3(d)(iii) through (vi), such Holder will forthwith discontinue disposition of such Registrable Securities under a Registration Statement until it is advised in writing (the “</w:t>
      </w:r>
      <w:r>
        <w:rPr>
          <w:rFonts w:ascii="Arial" w:cs="Arial" w:eastAsia="Arial" w:hAnsi="Arial"/>
          <w:sz w:val="17"/>
          <w:szCs w:val="17"/>
          <w:u w:val="single" w:color="auto"/>
          <w:color w:val="auto"/>
        </w:rPr>
        <w:t>Advice</w:t>
      </w:r>
      <w:r>
        <w:rPr>
          <w:rFonts w:ascii="Arial" w:cs="Arial" w:eastAsia="Arial" w:hAnsi="Arial"/>
          <w:sz w:val="17"/>
          <w:szCs w:val="17"/>
          <w:color w:val="auto"/>
        </w:rPr>
        <w:t>”) by the Company that the use of the applicable Prospectus (as it may have been supplemented or amended) may be resumed. The Company will use its best efforts to ensure that the use of the Prospectus may be resumed as promptly as is practicable. The Company agrees and acknowledges that any periods during which the Holder is required to discontinue the disposition of the Registrable Securities hereunder shall be subject to the provisions of Section 2(d).</w:t>
      </w:r>
    </w:p>
    <w:p>
      <w:pPr>
        <w:spacing w:after="0" w:line="177" w:lineRule="exact"/>
        <w:rPr>
          <w:rFonts w:ascii="Arial" w:cs="Arial" w:eastAsia="Arial" w:hAnsi="Arial"/>
          <w:sz w:val="17"/>
          <w:szCs w:val="17"/>
          <w:color w:val="auto"/>
        </w:rPr>
      </w:pPr>
    </w:p>
    <w:p>
      <w:pPr>
        <w:jc w:val="both"/>
        <w:ind w:firstLine="656"/>
        <w:spacing w:after="0" w:line="287" w:lineRule="auto"/>
        <w:tabs>
          <w:tab w:leader="none" w:pos="915" w:val="left"/>
        </w:tabs>
        <w:numPr>
          <w:ilvl w:val="1"/>
          <w:numId w:val="58"/>
        </w:numPr>
        <w:rPr>
          <w:rFonts w:ascii="Arial" w:cs="Arial" w:eastAsia="Arial" w:hAnsi="Arial"/>
          <w:sz w:val="16"/>
          <w:szCs w:val="16"/>
          <w:color w:val="auto"/>
        </w:rPr>
      </w:pPr>
      <w:r>
        <w:rPr>
          <w:rFonts w:ascii="Arial" w:cs="Arial" w:eastAsia="Arial" w:hAnsi="Arial"/>
          <w:sz w:val="16"/>
          <w:szCs w:val="16"/>
          <w:u w:val="single" w:color="auto"/>
          <w:color w:val="auto"/>
        </w:rPr>
        <w:t>Amendments and Waivers</w:t>
      </w:r>
      <w:r>
        <w:rPr>
          <w:rFonts w:ascii="Arial" w:cs="Arial" w:eastAsia="Arial" w:hAnsi="Arial"/>
          <w:sz w:val="16"/>
          <w:szCs w:val="16"/>
          <w:color w:val="auto"/>
        </w:rPr>
        <w:t xml:space="preserve">. The provisions of this Agreement, including the provisions of this sentence, may not be amended, modified or supplemented, and waivers or consents to departures from the provisions hereof may not be given, unless the same shall be in writing and signed by the Company and the Holders of 50.1% or more of the then outstanding Registrable Securities, provided that, if any amendment, modification or waiver disproportionately and adversely impacts a Holder (or group of Holders), the consent of such disproportionately impacted Holder (or group of Holders) shall be required. If a Registration Statement does not register all of the Registrable Securities pursuant to a waiver or amendment done in compliance with the previous sentence, then the number of Registrable Securities to be registered for each Holder shall be reduced pro rata among all Holders and each Holder shall have the right to designate which of its Registrable Securities shall be omitted from such Registration Statement. Notwithstanding the foregoing, a waiver or consent to depart from the provisions hereof with respect to a matter that relates exclusively to the rights of a Holder or some Holders and that does not directly or indirectly affect the rights of other Holders may be given only by such Holder or Holders of all of the Registrable Securities to which such waiver or consent relates;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the provisions of this sentence may not be amended, modified, or supplemented except in accordance with the provisions of the first sentence of this Section 6(d). No consideration shall be offered or paid to any Person to amend or consent to a waiver or modification of any provision of this Agreement unless the same consideration also is offered to all of the parties to this Agreement.</w:t>
      </w:r>
    </w:p>
    <w:p>
      <w:pPr>
        <w:spacing w:after="0" w:line="208" w:lineRule="exact"/>
        <w:rPr>
          <w:rFonts w:ascii="Arial" w:cs="Arial" w:eastAsia="Arial" w:hAnsi="Arial"/>
          <w:sz w:val="16"/>
          <w:szCs w:val="16"/>
          <w:color w:val="auto"/>
        </w:rPr>
      </w:pPr>
    </w:p>
    <w:p>
      <w:pPr>
        <w:ind w:left="340" w:hanging="324"/>
        <w:spacing w:after="0" w:line="212" w:lineRule="auto"/>
        <w:rPr>
          <w:rFonts w:ascii="Arial" w:cs="Arial" w:eastAsia="Arial" w:hAnsi="Arial"/>
          <w:sz w:val="16"/>
          <w:szCs w:val="16"/>
          <w:color w:val="auto"/>
        </w:rPr>
      </w:pPr>
      <w:r>
        <w:rPr>
          <w:rFonts w:ascii="Arial" w:cs="Arial" w:eastAsia="Arial" w:hAnsi="Arial"/>
          <w:sz w:val="29"/>
          <w:szCs w:val="29"/>
          <w:color w:val="auto"/>
          <w:vertAlign w:val="superscript"/>
        </w:rPr>
        <w:t>1</w:t>
      </w:r>
      <w:r>
        <w:rPr>
          <w:rFonts w:ascii="Arial" w:cs="Arial" w:eastAsia="Arial" w:hAnsi="Arial"/>
          <w:sz w:val="18"/>
          <w:szCs w:val="18"/>
          <w:color w:val="auto"/>
        </w:rPr>
        <w:t xml:space="preserve"> NTD: Company needs waiver of the holders of a majority of the registrable securities under its reg rights agreement dated September 21, 2022. This is Metropolitan, Romulus and I2BF. The same is true under its reg rights agreement dated March 31, 2023 with Metropolitan. All shares are already registered on separate registrations statements, but there is a technical piggyback right stated.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-434975</wp:posOffset>
            </wp:positionV>
            <wp:extent cx="178308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0">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60" w:name="page61"/>
    <w:bookmarkEnd w:id="60"/>
    <w:p>
      <w:pPr>
        <w:ind w:firstLine="656"/>
        <w:spacing w:after="0" w:line="277" w:lineRule="auto"/>
        <w:tabs>
          <w:tab w:leader="none" w:pos="909" w:val="left"/>
        </w:tabs>
        <w:numPr>
          <w:ilvl w:val="0"/>
          <w:numId w:val="59"/>
        </w:numPr>
        <w:rPr>
          <w:rFonts w:ascii="Arial" w:cs="Arial" w:eastAsia="Arial" w:hAnsi="Arial"/>
          <w:sz w:val="18"/>
          <w:szCs w:val="18"/>
          <w:color w:val="auto"/>
        </w:rPr>
      </w:pPr>
      <w:r>
        <w:rPr>
          <w:rFonts w:ascii="Arial" w:cs="Arial" w:eastAsia="Arial" w:hAnsi="Arial"/>
          <w:sz w:val="18"/>
          <w:szCs w:val="18"/>
          <w:u w:val="single" w:color="auto"/>
          <w:color w:val="auto"/>
        </w:rPr>
        <w:t>Notices</w:t>
      </w:r>
      <w:r>
        <w:rPr>
          <w:rFonts w:ascii="Arial" w:cs="Arial" w:eastAsia="Arial" w:hAnsi="Arial"/>
          <w:sz w:val="18"/>
          <w:szCs w:val="18"/>
          <w:color w:val="auto"/>
        </w:rPr>
        <w:t>. Any and all notices or other communications or deliveries required or permitted to be provided hereunder shall be delivered as set forth in the Purchase Agreement.</w:t>
      </w:r>
    </w:p>
    <w:p>
      <w:pPr>
        <w:spacing w:after="0" w:line="170" w:lineRule="exact"/>
        <w:rPr>
          <w:rFonts w:ascii="Arial" w:cs="Arial" w:eastAsia="Arial" w:hAnsi="Arial"/>
          <w:sz w:val="18"/>
          <w:szCs w:val="18"/>
          <w:color w:val="auto"/>
        </w:rPr>
      </w:pPr>
    </w:p>
    <w:p>
      <w:pPr>
        <w:jc w:val="both"/>
        <w:ind w:firstLine="656"/>
        <w:spacing w:after="0" w:line="259" w:lineRule="auto"/>
        <w:tabs>
          <w:tab w:leader="none" w:pos="882" w:val="left"/>
        </w:tabs>
        <w:numPr>
          <w:ilvl w:val="0"/>
          <w:numId w:val="59"/>
        </w:numPr>
        <w:rPr>
          <w:rFonts w:ascii="Arial" w:cs="Arial" w:eastAsia="Arial" w:hAnsi="Arial"/>
          <w:sz w:val="18"/>
          <w:szCs w:val="18"/>
          <w:color w:val="auto"/>
        </w:rPr>
      </w:pPr>
      <w:r>
        <w:rPr>
          <w:rFonts w:ascii="Arial" w:cs="Arial" w:eastAsia="Arial" w:hAnsi="Arial"/>
          <w:sz w:val="18"/>
          <w:szCs w:val="18"/>
          <w:u w:val="single" w:color="auto"/>
          <w:color w:val="auto"/>
        </w:rPr>
        <w:t>Successors and Assigns</w:t>
      </w:r>
      <w:r>
        <w:rPr>
          <w:rFonts w:ascii="Arial" w:cs="Arial" w:eastAsia="Arial" w:hAnsi="Arial"/>
          <w:sz w:val="18"/>
          <w:szCs w:val="18"/>
          <w:color w:val="auto"/>
        </w:rPr>
        <w:t>. This Agreement shall inure to the benefit of and be binding upon the successors and permitted assigns of each of the parties and shall inure to the benefit of each Holder. The Company may not assign (except by merger) its rights or obligations hereunder without the prior written consent of all of the Holders of the then outstanding Registrable Securities. Each Holder may assign their respective rights hereunder in the manner and to the Persons as permitted under Section 5.7 of the Purchase Agreement.</w:t>
      </w:r>
    </w:p>
    <w:p>
      <w:pPr>
        <w:spacing w:after="0" w:line="186" w:lineRule="exact"/>
        <w:rPr>
          <w:rFonts w:ascii="Arial" w:cs="Arial" w:eastAsia="Arial" w:hAnsi="Arial"/>
          <w:sz w:val="18"/>
          <w:szCs w:val="18"/>
          <w:color w:val="auto"/>
        </w:rPr>
      </w:pPr>
    </w:p>
    <w:p>
      <w:pPr>
        <w:jc w:val="both"/>
        <w:ind w:firstLine="656"/>
        <w:spacing w:after="0" w:line="257" w:lineRule="auto"/>
        <w:tabs>
          <w:tab w:leader="none" w:pos="907" w:val="left"/>
        </w:tabs>
        <w:numPr>
          <w:ilvl w:val="0"/>
          <w:numId w:val="59"/>
        </w:numPr>
        <w:rPr>
          <w:rFonts w:ascii="Arial" w:cs="Arial" w:eastAsia="Arial" w:hAnsi="Arial"/>
          <w:sz w:val="18"/>
          <w:szCs w:val="18"/>
          <w:color w:val="auto"/>
        </w:rPr>
      </w:pPr>
      <w:r>
        <w:rPr>
          <w:rFonts w:ascii="Arial" w:cs="Arial" w:eastAsia="Arial" w:hAnsi="Arial"/>
          <w:sz w:val="18"/>
          <w:szCs w:val="18"/>
          <w:u w:val="single" w:color="auto"/>
          <w:color w:val="auto"/>
        </w:rPr>
        <w:t>No Inconsistent Agreements</w:t>
      </w:r>
      <w:r>
        <w:rPr>
          <w:rFonts w:ascii="Arial" w:cs="Arial" w:eastAsia="Arial" w:hAnsi="Arial"/>
          <w:sz w:val="18"/>
          <w:szCs w:val="18"/>
          <w:color w:val="auto"/>
        </w:rPr>
        <w:t xml:space="preserve">. Neither the Company nor any of its Subsidiaries has entered, as of the date hereof, nor shall the Company or any of its Subsidiaries, on or after the date of this Agreement, enter into any agreement with respect to its securities, that would have the effect of impairing the rights granted to the Holders in this Agreement or otherwise conflicts with the provisions hereof. Except as set forth on </w:t>
      </w:r>
      <w:r>
        <w:rPr>
          <w:rFonts w:ascii="Arial" w:cs="Arial" w:eastAsia="Arial" w:hAnsi="Arial"/>
          <w:sz w:val="18"/>
          <w:szCs w:val="18"/>
          <w:u w:val="single" w:color="auto"/>
          <w:color w:val="auto"/>
        </w:rPr>
        <w:t>Schedule 6(i)</w:t>
      </w:r>
      <w:r>
        <w:rPr>
          <w:rFonts w:ascii="Arial" w:cs="Arial" w:eastAsia="Arial" w:hAnsi="Arial"/>
          <w:sz w:val="18"/>
          <w:szCs w:val="18"/>
          <w:color w:val="auto"/>
        </w:rPr>
        <w:t>, neither the Company nor any of its Subsidiaries has previously entered into any agreement granting any registration rights with respect to any of its securities to any Person that have not been satisfied in full.</w:t>
      </w:r>
    </w:p>
    <w:p>
      <w:pPr>
        <w:spacing w:after="0" w:line="187" w:lineRule="exact"/>
        <w:rPr>
          <w:rFonts w:ascii="Arial" w:cs="Arial" w:eastAsia="Arial" w:hAnsi="Arial"/>
          <w:sz w:val="18"/>
          <w:szCs w:val="18"/>
          <w:color w:val="auto"/>
        </w:rPr>
      </w:pPr>
    </w:p>
    <w:p>
      <w:pPr>
        <w:jc w:val="both"/>
        <w:ind w:firstLine="656"/>
        <w:spacing w:after="0" w:line="255" w:lineRule="auto"/>
        <w:tabs>
          <w:tab w:leader="none" w:pos="938" w:val="left"/>
        </w:tabs>
        <w:numPr>
          <w:ilvl w:val="0"/>
          <w:numId w:val="59"/>
        </w:numPr>
        <w:rPr>
          <w:rFonts w:ascii="Arial" w:cs="Arial" w:eastAsia="Arial" w:hAnsi="Arial"/>
          <w:sz w:val="18"/>
          <w:szCs w:val="18"/>
          <w:color w:val="auto"/>
        </w:rPr>
      </w:pPr>
      <w:r>
        <w:rPr>
          <w:rFonts w:ascii="Arial" w:cs="Arial" w:eastAsia="Arial" w:hAnsi="Arial"/>
          <w:sz w:val="18"/>
          <w:szCs w:val="18"/>
          <w:u w:val="single" w:color="auto"/>
          <w:color w:val="auto"/>
        </w:rPr>
        <w:t>Execution and Counterparts</w:t>
      </w:r>
      <w:r>
        <w:rPr>
          <w:rFonts w:ascii="Arial" w:cs="Arial" w:eastAsia="Arial" w:hAnsi="Arial"/>
          <w:sz w:val="18"/>
          <w:szCs w:val="18"/>
          <w:color w:val="auto"/>
        </w:rPr>
        <w:t>. This Agreement may be executed in two or more counterparts, all of which when taken together shall be considered one and the same agreement and shall become effective when counterparts have been signed by each party and delivered to the other party, it being understood that both parties need not sign the same counterpart. In the event that any signature is delivered by e-mail delivery of a “.pdf” format data file or any electronic signature complying with the U.S. federal ESIGN Act of 2000 (e.g., www.docusign.com), such signature shall create a valid and binding obligation of the party executing (or on whose behalf such signature is executed) with the same force and effect as if such “.pdf” signature page were an original thereof.</w:t>
      </w:r>
    </w:p>
    <w:p>
      <w:pPr>
        <w:spacing w:after="0" w:line="192" w:lineRule="exact"/>
        <w:rPr>
          <w:rFonts w:ascii="Arial" w:cs="Arial" w:eastAsia="Arial" w:hAnsi="Arial"/>
          <w:sz w:val="18"/>
          <w:szCs w:val="18"/>
          <w:color w:val="auto"/>
        </w:rPr>
      </w:pPr>
    </w:p>
    <w:p>
      <w:pPr>
        <w:ind w:firstLine="656"/>
        <w:spacing w:after="0" w:line="277" w:lineRule="auto"/>
        <w:tabs>
          <w:tab w:leader="none" w:pos="877" w:val="left"/>
        </w:tabs>
        <w:numPr>
          <w:ilvl w:val="0"/>
          <w:numId w:val="59"/>
        </w:numPr>
        <w:rPr>
          <w:rFonts w:ascii="Arial" w:cs="Arial" w:eastAsia="Arial" w:hAnsi="Arial"/>
          <w:sz w:val="18"/>
          <w:szCs w:val="18"/>
          <w:color w:val="auto"/>
        </w:rPr>
      </w:pPr>
      <w:r>
        <w:rPr>
          <w:rFonts w:ascii="Arial" w:cs="Arial" w:eastAsia="Arial" w:hAnsi="Arial"/>
          <w:sz w:val="18"/>
          <w:szCs w:val="18"/>
          <w:u w:val="single" w:color="auto"/>
          <w:color w:val="auto"/>
        </w:rPr>
        <w:t>Governing Law</w:t>
      </w:r>
      <w:r>
        <w:rPr>
          <w:rFonts w:ascii="Arial" w:cs="Arial" w:eastAsia="Arial" w:hAnsi="Arial"/>
          <w:sz w:val="18"/>
          <w:szCs w:val="18"/>
          <w:color w:val="auto"/>
        </w:rPr>
        <w:t>. All questions concerning the construction, validity, enforcement and interpretation of this Agreement shall be determined in accordance with the provisions of the Purchase Agreement.</w:t>
      </w:r>
    </w:p>
    <w:p>
      <w:pPr>
        <w:spacing w:after="0" w:line="170" w:lineRule="exact"/>
        <w:rPr>
          <w:rFonts w:ascii="Arial" w:cs="Arial" w:eastAsia="Arial" w:hAnsi="Arial"/>
          <w:sz w:val="18"/>
          <w:szCs w:val="18"/>
          <w:color w:val="auto"/>
        </w:rPr>
      </w:pPr>
    </w:p>
    <w:p>
      <w:pPr>
        <w:ind w:left="880" w:hanging="224"/>
        <w:spacing w:after="0"/>
        <w:tabs>
          <w:tab w:leader="none" w:pos="880" w:val="left"/>
        </w:tabs>
        <w:numPr>
          <w:ilvl w:val="0"/>
          <w:numId w:val="59"/>
        </w:numPr>
        <w:rPr>
          <w:rFonts w:ascii="Arial" w:cs="Arial" w:eastAsia="Arial" w:hAnsi="Arial"/>
          <w:sz w:val="18"/>
          <w:szCs w:val="18"/>
          <w:color w:val="auto"/>
        </w:rPr>
      </w:pPr>
      <w:r>
        <w:rPr>
          <w:rFonts w:ascii="Arial" w:cs="Arial" w:eastAsia="Arial" w:hAnsi="Arial"/>
          <w:sz w:val="18"/>
          <w:szCs w:val="18"/>
          <w:u w:val="single" w:color="auto"/>
          <w:color w:val="auto"/>
        </w:rPr>
        <w:t>Cumulative Remedies</w:t>
      </w:r>
      <w:r>
        <w:rPr>
          <w:rFonts w:ascii="Arial" w:cs="Arial" w:eastAsia="Arial" w:hAnsi="Arial"/>
          <w:sz w:val="18"/>
          <w:szCs w:val="18"/>
          <w:color w:val="auto"/>
        </w:rPr>
        <w:t>. The remedies provided herein are cumulative and not exclusive of any other remedies provided by law.</w:t>
      </w:r>
    </w:p>
    <w:p>
      <w:pPr>
        <w:spacing w:after="0" w:line="225" w:lineRule="exact"/>
        <w:rPr>
          <w:rFonts w:ascii="Arial" w:cs="Arial" w:eastAsia="Arial" w:hAnsi="Arial"/>
          <w:sz w:val="18"/>
          <w:szCs w:val="18"/>
          <w:color w:val="auto"/>
        </w:rPr>
      </w:pPr>
    </w:p>
    <w:p>
      <w:pPr>
        <w:jc w:val="both"/>
        <w:ind w:firstLine="656"/>
        <w:spacing w:after="0" w:line="273" w:lineRule="auto"/>
        <w:tabs>
          <w:tab w:leader="none" w:pos="907" w:val="left"/>
        </w:tabs>
        <w:numPr>
          <w:ilvl w:val="0"/>
          <w:numId w:val="59"/>
        </w:numPr>
        <w:rPr>
          <w:rFonts w:ascii="Arial" w:cs="Arial" w:eastAsia="Arial" w:hAnsi="Arial"/>
          <w:sz w:val="17"/>
          <w:szCs w:val="17"/>
          <w:color w:val="auto"/>
        </w:rPr>
      </w:pPr>
      <w:r>
        <w:rPr>
          <w:rFonts w:ascii="Arial" w:cs="Arial" w:eastAsia="Arial" w:hAnsi="Arial"/>
          <w:sz w:val="17"/>
          <w:szCs w:val="17"/>
          <w:u w:val="single" w:color="auto"/>
          <w:color w:val="auto"/>
        </w:rPr>
        <w:t>Severability</w:t>
      </w:r>
      <w:r>
        <w:rPr>
          <w:rFonts w:ascii="Arial" w:cs="Arial" w:eastAsia="Arial" w:hAnsi="Arial"/>
          <w:sz w:val="17"/>
          <w:szCs w:val="17"/>
          <w:color w:val="auto"/>
        </w:rPr>
        <w:t>. If any term, provision, covenant or restriction of this Agreement is held by a court of competent jurisdiction to be invalid, illegal, void or unenforceable, the remainder of the terms, provisions, covenants and restrictions set forth herein shall remain in full force and effect and shall in no way be affected, impaired or invalidated, and the parties hereto shall use their commercially reasonable efforts to find and employ an alternative means to achieve the same or substantially the same result as that contemplated by such term, provision, covenant or restriction. It is hereby stipulated and declared to be the intention of the parties that they would have executed the remaining terms, provisions, covenants and restrictions without including any of such that may be hereafter declared invalid, illegal, void or unenforceable.</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61" w:name="page62"/>
    <w:bookmarkEnd w:id="61"/>
    <w:p>
      <w:pPr>
        <w:ind w:firstLine="656"/>
        <w:spacing w:after="0" w:line="277" w:lineRule="auto"/>
        <w:tabs>
          <w:tab w:leader="none" w:pos="867" w:val="left"/>
        </w:tabs>
        <w:numPr>
          <w:ilvl w:val="0"/>
          <w:numId w:val="60"/>
        </w:numPr>
        <w:rPr>
          <w:rFonts w:ascii="Arial" w:cs="Arial" w:eastAsia="Arial" w:hAnsi="Arial"/>
          <w:sz w:val="18"/>
          <w:szCs w:val="18"/>
          <w:color w:val="auto"/>
        </w:rPr>
      </w:pPr>
      <w:r>
        <w:rPr>
          <w:rFonts w:ascii="Arial" w:cs="Arial" w:eastAsia="Arial" w:hAnsi="Arial"/>
          <w:sz w:val="18"/>
          <w:szCs w:val="18"/>
          <w:u w:val="single" w:color="auto"/>
          <w:color w:val="auto"/>
        </w:rPr>
        <w:t>Headings</w:t>
      </w:r>
      <w:r>
        <w:rPr>
          <w:rFonts w:ascii="Arial" w:cs="Arial" w:eastAsia="Arial" w:hAnsi="Arial"/>
          <w:sz w:val="18"/>
          <w:szCs w:val="18"/>
          <w:color w:val="auto"/>
        </w:rPr>
        <w:t>. The headings in this Agreement are for convenience only, do not constitute a part of the Agreement and shall not be deemed to limit or affect any of the provisions hereof.</w:t>
      </w:r>
    </w:p>
    <w:p>
      <w:pPr>
        <w:spacing w:after="0" w:line="170" w:lineRule="exact"/>
        <w:rPr>
          <w:rFonts w:ascii="Arial" w:cs="Arial" w:eastAsia="Arial" w:hAnsi="Arial"/>
          <w:sz w:val="18"/>
          <w:szCs w:val="18"/>
          <w:color w:val="auto"/>
        </w:rPr>
      </w:pPr>
    </w:p>
    <w:p>
      <w:pPr>
        <w:jc w:val="both"/>
        <w:ind w:firstLine="656"/>
        <w:spacing w:after="0" w:line="269" w:lineRule="auto"/>
        <w:tabs>
          <w:tab w:leader="none" w:pos="993" w:val="left"/>
        </w:tabs>
        <w:numPr>
          <w:ilvl w:val="0"/>
          <w:numId w:val="60"/>
        </w:numPr>
        <w:rPr>
          <w:rFonts w:ascii="Arial" w:cs="Arial" w:eastAsia="Arial" w:hAnsi="Arial"/>
          <w:sz w:val="17"/>
          <w:szCs w:val="17"/>
          <w:color w:val="auto"/>
        </w:rPr>
      </w:pPr>
      <w:r>
        <w:rPr>
          <w:rFonts w:ascii="Arial" w:cs="Arial" w:eastAsia="Arial" w:hAnsi="Arial"/>
          <w:sz w:val="17"/>
          <w:szCs w:val="17"/>
          <w:u w:val="single" w:color="auto"/>
          <w:color w:val="auto"/>
        </w:rPr>
        <w:t>Independent Nature of Holders’ Obligations and Rights</w:t>
      </w:r>
      <w:r>
        <w:rPr>
          <w:rFonts w:ascii="Arial" w:cs="Arial" w:eastAsia="Arial" w:hAnsi="Arial"/>
          <w:sz w:val="17"/>
          <w:szCs w:val="17"/>
          <w:color w:val="auto"/>
        </w:rPr>
        <w:t>. The obligations of each Holder hereunder are several and not joint with the obligations of any other Holder hereunder, and no Holder shall be responsible in any way for the performance of the obligations of any other Holder hereunder. Nothing contained herein or in any other agreement or document delivered at any closing, and no action taken by any Holder pursuant hereto or thereto, shall be deemed to constitute the Holders as a partnership, an association, a joint venture or any other kind of group or entity, or create a presumption that the Holders are in any way acting in concert or as a group or entity with respect to such obligations or the transactions contemplated by this Agreement or any other matters, and the Company acknowledges that the Holders are not acting in concert or as a group, and the Company shall not assert any such claim, with respect to such obligations or transactions. Each Holder shall be entitled to protect and enforce its rights, including without limitation the rights arising out of this Agreement, and it shall not be necessary for any other Holder to be joined as an additional party in any proceeding for such purpose. The use of a single agreement with respect to the obligations of the Company contained was solely in the control of the Company, not the action or decision of any Holder, and was done solely for the convenience of the Company and not because it was required or requested to do so by any Holder. It is expressly understood and agreed that each provision contained in this Agreement is between the Company and a Holder, solely, and not between the Company and the Holders collectively and not between and among Holders.</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(Signature Pages Follow)</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62" w:name="page63"/>
    <w:bookmarkEnd w:id="62"/>
    <w:p>
      <w:pPr>
        <w:spacing w:after="0"/>
        <w:rPr>
          <w:sz w:val="20"/>
          <w:szCs w:val="20"/>
          <w:color w:val="auto"/>
        </w:rPr>
      </w:pPr>
      <w:r>
        <w:rPr>
          <w:rFonts w:ascii="Arial" w:cs="Arial" w:eastAsia="Arial" w:hAnsi="Arial"/>
          <w:sz w:val="16"/>
          <w:szCs w:val="16"/>
          <w:color w:val="auto"/>
        </w:rPr>
        <w:t>IN WITNESS WHEREOF, the parties have executed this Registration Rights Agreement as of the date first written above.</w:t>
      </w:r>
    </w:p>
    <w:p>
      <w:pPr>
        <w:spacing w:after="0" w:line="244" w:lineRule="exact"/>
        <w:rPr>
          <w:sz w:val="20"/>
          <w:szCs w:val="20"/>
          <w:color w:val="auto"/>
        </w:rPr>
      </w:pPr>
    </w:p>
    <w:p>
      <w:pPr>
        <w:ind w:left="5760"/>
        <w:spacing w:after="0"/>
        <w:rPr>
          <w:sz w:val="20"/>
          <w:szCs w:val="20"/>
          <w:color w:val="auto"/>
        </w:rPr>
      </w:pPr>
      <w:r>
        <w:rPr>
          <w:rFonts w:ascii="Arial" w:cs="Arial" w:eastAsia="Arial" w:hAnsi="Arial"/>
          <w:sz w:val="18"/>
          <w:szCs w:val="18"/>
          <w:b w:val="1"/>
          <w:bCs w:val="1"/>
          <w:color w:val="auto"/>
        </w:rPr>
        <w:t>PRESTO AUTOMATION INC.</w:t>
      </w:r>
    </w:p>
    <w:p>
      <w:pPr>
        <w:spacing w:after="0" w:line="229" w:lineRule="exact"/>
        <w:rPr>
          <w:sz w:val="20"/>
          <w:szCs w:val="20"/>
          <w:color w:val="auto"/>
        </w:rPr>
      </w:pPr>
    </w:p>
    <w:p>
      <w:pPr>
        <w:ind w:left="57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3943350</wp:posOffset>
            </wp:positionH>
            <wp:positionV relativeFrom="paragraph">
              <wp:posOffset>14605</wp:posOffset>
            </wp:positionV>
            <wp:extent cx="257175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4">
                      <a:extLst>
                        <a:ext uri="{28A0092B-C50C-407E-A947-70E740481C1C}"/>
                      </a:extLst>
                    </a:blip>
                    <a:srcRect/>
                    <a:stretch>
                      <a:fillRect/>
                    </a:stretch>
                  </pic:blipFill>
                  <pic:spPr bwMode="auto">
                    <a:xfrm>
                      <a:off x="0" y="0"/>
                      <a:ext cx="2571750" cy="17145"/>
                    </a:xfrm>
                    <a:prstGeom prst="rect">
                      <a:avLst/>
                    </a:prstGeom>
                    <a:noFill/>
                  </pic:spPr>
                </pic:pic>
              </a:graphicData>
            </a:graphic>
          </wp:anchor>
        </w:drawing>
      </w:r>
    </w:p>
    <w:p>
      <w:pPr>
        <w:spacing w:after="0" w:line="16" w:lineRule="exact"/>
        <w:rPr>
          <w:sz w:val="20"/>
          <w:szCs w:val="20"/>
          <w:color w:val="auto"/>
        </w:rPr>
      </w:pPr>
    </w:p>
    <w:p>
      <w:pPr>
        <w:ind w:left="622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622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jc w:val="center"/>
        <w:ind w:right="-120"/>
        <w:spacing w:after="0"/>
        <w:rPr>
          <w:sz w:val="20"/>
          <w:szCs w:val="20"/>
          <w:color w:val="auto"/>
        </w:rPr>
      </w:pPr>
      <w:r>
        <w:rPr>
          <w:rFonts w:ascii="Arial" w:cs="Arial" w:eastAsia="Arial" w:hAnsi="Arial"/>
          <w:sz w:val="18"/>
          <w:szCs w:val="18"/>
          <w:color w:val="auto"/>
        </w:rPr>
        <w:t>[SIGNATURE PAGE OF HOLDERS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-616585</wp:posOffset>
            </wp:positionH>
            <wp:positionV relativeFrom="paragraph">
              <wp:posOffset>443230</wp:posOffset>
            </wp:positionV>
            <wp:extent cx="713232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159"/>
          </w:cols>
          <w:pgMar w:left="1300" w:top="908" w:right="1440" w:bottom="1440" w:gutter="0" w:footer="0" w:header="0"/>
        </w:sectPr>
      </w:pPr>
    </w:p>
    <w:bookmarkStart w:id="63" w:name="page64"/>
    <w:bookmarkEnd w:id="63"/>
    <w:p>
      <w:pPr>
        <w:jc w:val="right"/>
        <w:ind w:right="2539"/>
        <w:spacing w:after="0"/>
        <w:rPr>
          <w:sz w:val="20"/>
          <w:szCs w:val="20"/>
          <w:color w:val="auto"/>
        </w:rPr>
      </w:pPr>
      <w:r>
        <w:rPr>
          <w:rFonts w:ascii="Arial" w:cs="Arial" w:eastAsia="Arial" w:hAnsi="Arial"/>
          <w:sz w:val="18"/>
          <w:szCs w:val="18"/>
          <w:color w:val="auto"/>
        </w:rPr>
        <w:t>[SIGNATURE PAGE OF HOLDERS TO PRST RRA]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Name of Holder: __________________________</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Signature of Authorized Signatory of Holder</w:t>
      </w:r>
      <w:r>
        <w:rPr>
          <w:rFonts w:ascii="Arial" w:cs="Arial" w:eastAsia="Arial" w:hAnsi="Arial"/>
          <w:sz w:val="18"/>
          <w:szCs w:val="18"/>
          <w:color w:val="auto"/>
        </w:rPr>
        <w:t>: __________________________</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Name of Authorized Signatory: _________________________</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Title of Authorized Signatory: __________________________</w:t>
      </w:r>
    </w:p>
    <w:p>
      <w:pPr>
        <w:spacing w:after="0" w:line="225" w:lineRule="exact"/>
        <w:rPr>
          <w:sz w:val="20"/>
          <w:szCs w:val="20"/>
          <w:color w:val="auto"/>
        </w:rPr>
      </w:pPr>
    </w:p>
    <w:p>
      <w:pPr>
        <w:ind w:left="4280"/>
        <w:spacing w:after="0"/>
        <w:rPr>
          <w:sz w:val="20"/>
          <w:szCs w:val="20"/>
          <w:color w:val="auto"/>
        </w:rPr>
      </w:pPr>
      <w:r>
        <w:rPr>
          <w:rFonts w:ascii="Arial" w:cs="Arial" w:eastAsia="Arial" w:hAnsi="Arial"/>
          <w:sz w:val="18"/>
          <w:szCs w:val="18"/>
          <w:color w:val="auto"/>
        </w:rPr>
        <w:t>[SIGNATURE PAGES CONTINUE]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908" w:right="1440" w:bottom="1440" w:gutter="0" w:footer="0" w:header="0"/>
        </w:sectPr>
      </w:pPr>
    </w:p>
    <w:bookmarkStart w:id="64" w:name="page65"/>
    <w:bookmarkEnd w:id="64"/>
    <w:p>
      <w:pPr>
        <w:ind w:left="10580"/>
        <w:spacing w:after="0"/>
        <w:rPr>
          <w:sz w:val="20"/>
          <w:szCs w:val="20"/>
          <w:color w:val="auto"/>
        </w:rPr>
      </w:pPr>
      <w:r>
        <w:rPr>
          <w:rFonts w:ascii="Arial" w:cs="Arial" w:eastAsia="Arial" w:hAnsi="Arial"/>
          <w:sz w:val="16"/>
          <w:szCs w:val="16"/>
          <w:b w:val="1"/>
          <w:bCs w:val="1"/>
          <w:u w:val="single" w:color="auto"/>
          <w:color w:val="auto"/>
        </w:rPr>
        <w:t>Annex A</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Plan of Distribution</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Each Selling Stockholder (the “</w:t>
      </w:r>
      <w:r>
        <w:rPr>
          <w:rFonts w:ascii="Arial" w:cs="Arial" w:eastAsia="Arial" w:hAnsi="Arial"/>
          <w:sz w:val="18"/>
          <w:szCs w:val="18"/>
          <w:u w:val="single" w:color="auto"/>
          <w:color w:val="auto"/>
        </w:rPr>
        <w:t>Selling Stockholders</w:t>
      </w:r>
      <w:r>
        <w:rPr>
          <w:rFonts w:ascii="Arial" w:cs="Arial" w:eastAsia="Arial" w:hAnsi="Arial"/>
          <w:sz w:val="18"/>
          <w:szCs w:val="18"/>
          <w:color w:val="auto"/>
        </w:rPr>
        <w:t>”) of the securities and any of their pledgees, assignees and successors-in-interest may, from time to time, sell any or all of their securities covered hereby on the Nasdaq Global Market or any other stock exchange, market or trading facility on which the securities are traded or in private transactions. These sales may be at fixed or negotiated prices. A Selling Stockholder may use any one or more of the following methods when selling securities:</w:t>
      </w:r>
    </w:p>
    <w:p>
      <w:pPr>
        <w:spacing w:after="0" w:line="187" w:lineRule="exact"/>
        <w:rPr>
          <w:sz w:val="20"/>
          <w:szCs w:val="20"/>
          <w:color w:val="auto"/>
        </w:rPr>
      </w:pPr>
    </w:p>
    <w:p>
      <w:pPr>
        <w:ind w:left="1300" w:hanging="320"/>
        <w:spacing w:after="0"/>
        <w:tabs>
          <w:tab w:leader="none" w:pos="13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ordinary brokerage transactions and transactions in which the broker-dealer solicits purchasers;</w:t>
      </w:r>
    </w:p>
    <w:p>
      <w:pPr>
        <w:spacing w:after="0" w:line="225" w:lineRule="exact"/>
        <w:rPr>
          <w:rFonts w:ascii="Arial" w:cs="Arial" w:eastAsia="Arial" w:hAnsi="Arial"/>
          <w:sz w:val="18"/>
          <w:szCs w:val="18"/>
          <w:color w:val="auto"/>
        </w:rPr>
      </w:pPr>
    </w:p>
    <w:p>
      <w:pPr>
        <w:ind w:left="1300" w:hanging="320"/>
        <w:spacing w:after="0" w:line="277" w:lineRule="auto"/>
        <w:tabs>
          <w:tab w:leader="none" w:pos="13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block trades in which the broker-dealer will attempt to sell the securities as agent but may position and resell a portion of the block as principal to facilitate the transaction;</w:t>
      </w:r>
    </w:p>
    <w:p>
      <w:pPr>
        <w:spacing w:after="0" w:line="170" w:lineRule="exact"/>
        <w:rPr>
          <w:rFonts w:ascii="Arial" w:cs="Arial" w:eastAsia="Arial" w:hAnsi="Arial"/>
          <w:sz w:val="18"/>
          <w:szCs w:val="18"/>
          <w:color w:val="auto"/>
        </w:rPr>
      </w:pPr>
    </w:p>
    <w:p>
      <w:pPr>
        <w:ind w:left="1300" w:hanging="320"/>
        <w:spacing w:after="0"/>
        <w:tabs>
          <w:tab w:leader="none" w:pos="13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purchases by a broker-dealer as principal and resale by the broker-dealer for its account;</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an exchange distribution in accordance with the rules of the applicable exchange;</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privately negotiated transactions;</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settlement of short sales;</w:t>
      </w:r>
    </w:p>
    <w:p>
      <w:pPr>
        <w:spacing w:after="0" w:line="225" w:lineRule="exact"/>
        <w:rPr>
          <w:rFonts w:ascii="Arial" w:cs="Arial" w:eastAsia="Arial" w:hAnsi="Arial"/>
          <w:sz w:val="18"/>
          <w:szCs w:val="18"/>
          <w:color w:val="auto"/>
        </w:rPr>
      </w:pPr>
    </w:p>
    <w:p>
      <w:pPr>
        <w:ind w:left="1300" w:hanging="320"/>
        <w:spacing w:after="0" w:line="277" w:lineRule="auto"/>
        <w:tabs>
          <w:tab w:leader="none" w:pos="13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in transactions through broker-dealers that agree with the Selling Stockholders to sell a specified number of such securities at a stipulated price per security;</w:t>
      </w:r>
    </w:p>
    <w:p>
      <w:pPr>
        <w:spacing w:after="0" w:line="170" w:lineRule="exact"/>
        <w:rPr>
          <w:rFonts w:ascii="Arial" w:cs="Arial" w:eastAsia="Arial" w:hAnsi="Arial"/>
          <w:sz w:val="18"/>
          <w:szCs w:val="18"/>
          <w:color w:val="auto"/>
        </w:rPr>
      </w:pPr>
    </w:p>
    <w:p>
      <w:pPr>
        <w:ind w:left="1300" w:hanging="320"/>
        <w:spacing w:after="0"/>
        <w:tabs>
          <w:tab w:leader="none" w:pos="1300" w:val="left"/>
        </w:tabs>
        <w:numPr>
          <w:ilvl w:val="0"/>
          <w:numId w:val="61"/>
        </w:numPr>
        <w:rPr>
          <w:rFonts w:ascii="Arial" w:cs="Arial" w:eastAsia="Arial" w:hAnsi="Arial"/>
          <w:sz w:val="17"/>
          <w:szCs w:val="17"/>
          <w:color w:val="auto"/>
        </w:rPr>
      </w:pPr>
      <w:r>
        <w:rPr>
          <w:rFonts w:ascii="Arial" w:cs="Arial" w:eastAsia="Arial" w:hAnsi="Arial"/>
          <w:sz w:val="17"/>
          <w:szCs w:val="17"/>
          <w:color w:val="auto"/>
        </w:rPr>
        <w:t>through the writing or settlement of options or other hedging transactions, whether through an options exchange or otherwise;</w:t>
      </w:r>
    </w:p>
    <w:p>
      <w:pPr>
        <w:spacing w:after="0" w:line="236" w:lineRule="exact"/>
        <w:rPr>
          <w:rFonts w:ascii="Arial" w:cs="Arial" w:eastAsia="Arial" w:hAnsi="Arial"/>
          <w:sz w:val="17"/>
          <w:szCs w:val="17"/>
          <w:color w:val="auto"/>
        </w:rPr>
      </w:pPr>
    </w:p>
    <w:p>
      <w:pPr>
        <w:ind w:left="1300" w:hanging="320"/>
        <w:spacing w:after="0"/>
        <w:tabs>
          <w:tab w:leader="none" w:pos="13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a combination of any such methods of sale; or</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any other method permitted pursuant to applicable law.</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Selling Stockholders may also sell securities under Rule 144 or any other exemption from registration under the Securities Act of 1933, as amended (the “</w:t>
      </w:r>
      <w:r>
        <w:rPr>
          <w:rFonts w:ascii="Arial" w:cs="Arial" w:eastAsia="Arial" w:hAnsi="Arial"/>
          <w:sz w:val="18"/>
          <w:szCs w:val="18"/>
          <w:u w:val="single" w:color="auto"/>
          <w:color w:val="auto"/>
        </w:rPr>
        <w:t>Securities Act</w:t>
      </w:r>
      <w:r>
        <w:rPr>
          <w:rFonts w:ascii="Arial" w:cs="Arial" w:eastAsia="Arial" w:hAnsi="Arial"/>
          <w:sz w:val="18"/>
          <w:szCs w:val="18"/>
          <w:color w:val="auto"/>
        </w:rPr>
        <w:t>”), if available, rather than under this prospectus.</w:t>
      </w:r>
    </w:p>
    <w:p>
      <w:pPr>
        <w:spacing w:after="0" w:line="170"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Broker-dealers engaged by the Selling Stockholders may arrange for other brokers-dealers to participate in sales. Broker-dealers may receive commissions or discounts from the Selling Stockholders (or, if any broker-dealer acts as agent for the purchaser of securities, from the purchaser) in amounts to be negotiated, but, except as set forth in a supplement to this Prospectus, in the case of an agency transaction not in excess of a customary brokerage commission in compliance with FINRA Rule 2121; and in the case of a principal transaction a markup or markdown in compliance with FINRA Rule 2121.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419735</wp:posOffset>
            </wp:positionV>
            <wp:extent cx="713232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5" w:name="page66"/>
    <w:bookmarkEnd w:id="65"/>
    <w:p>
      <w:pPr>
        <w:jc w:val="both"/>
        <w:ind w:firstLine="648"/>
        <w:spacing w:after="0" w:line="254" w:lineRule="auto"/>
        <w:rPr>
          <w:sz w:val="20"/>
          <w:szCs w:val="20"/>
          <w:color w:val="auto"/>
        </w:rPr>
      </w:pPr>
      <w:r>
        <w:rPr>
          <w:rFonts w:ascii="Arial" w:cs="Arial" w:eastAsia="Arial" w:hAnsi="Arial"/>
          <w:sz w:val="18"/>
          <w:szCs w:val="18"/>
          <w:color w:val="auto"/>
        </w:rPr>
        <w:t>In connection with the sale of the securities or interests therein, the Selling Stockholders may enter into hedging transactions with broker-dealers or other financial institutions, which may in turn engage in short sales of the securities in the course of hedging the positions they assume. The Selling Stockholders may also sell securities short and deliver these securities to close out their short positions, or loan or pledge the securities to broker-dealers that in turn may sell these securities. The Selling Stockholders may also enter into option or other transactions with broker-dealers or other financial institutions or create one or more derivative securities which require the delivery to such broker-dealer or other financial institution of securities offered by this prospectus, which securities such broker-dealer or other financial institution may resell pursuant to this prospectus (as supplemented or amended to reflect such transaction).</w:t>
      </w:r>
    </w:p>
    <w:p>
      <w:pPr>
        <w:spacing w:after="0" w:line="19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Selling Stockholders and any broker-dealers or agents that are involved in selling the securities may be deemed to be “underwriters” within the meaning of the Securities Act in connection with such sales. In such event, any commissions received by such broker-dealers or agents and any profit on the resale of the securities purchased by them may be deemed to be underwriting commissions or discounts under the Securities Act. Each Selling Stockholder has informed the Company that it does not have any written or oral agreement or understanding, directly or indirectly, with any person to distribute the securities.</w:t>
      </w:r>
    </w:p>
    <w:p>
      <w:pPr>
        <w:spacing w:after="0" w:line="188"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The Company is required to pay certain fees and expenses incurred by the Company incident to the registration of the securities. The Company has agreed to indemnify the Selling Stockholders against certain losses, claims, damages and liabilities, including liabilities under the Securities Act.</w:t>
      </w:r>
    </w:p>
    <w:p>
      <w:pPr>
        <w:spacing w:after="0" w:line="124"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We agreed to keep this prospectus effective until the earlier of (i) the date on which the securities may be resold by the Selling Stockholders without registration and without regard to any volume or manner-of-sale limitations by reason of Rule 144, without the requirement for the Company to be in compliance with the current public information under Rule 144 under the Securities Act or any other rule of similar effect or (ii) all of the securities have been sold pursuant to this prospectus or Rule 144 under the Securities Act or any other rule of similar effect. The resale securities will be sold only through registered or licensed brokers or dealers if required under applicable state securities laws. In addition, in certain states, the resale securities covered hereby may not be sold unless they have been registered or qualified for sale in the applicable state or an exemption from the registration or qualification requirement is available and is complied with.</w:t>
      </w:r>
    </w:p>
    <w:p>
      <w:pPr>
        <w:spacing w:after="0" w:line="195"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Under applicable rules and regulations under the Exchange Act, any person engaged in the distribution of the resale securities may not simultaneously engage in market making activities with respect to the common stock for the applicable restricted period, as defined in Regulation M, prior to the commencement of the distribution. In addition, the Selling Stockholders will be subject to applicable provisions of the Exchange Act and the rules and regulations thereunder, including Regulation M, which may limit the timing of purchases and sales of the common stock by the Selling Stockholders or any other person. We will make copies of this prospectus available to the Selling Stockholders and have informed them of the need to deliver a copy of this prospectus to each purchaser at or prior to the time of the sale (including by compliance with Rule 172 under the Securities Act).</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66" w:name="page67"/>
    <w:bookmarkEnd w:id="66"/>
    <w:p>
      <w:pPr>
        <w:ind w:left="10580"/>
        <w:spacing w:after="0"/>
        <w:rPr>
          <w:sz w:val="20"/>
          <w:szCs w:val="20"/>
          <w:color w:val="auto"/>
        </w:rPr>
      </w:pPr>
      <w:r>
        <w:rPr>
          <w:rFonts w:ascii="Arial" w:cs="Arial" w:eastAsia="Arial" w:hAnsi="Arial"/>
          <w:sz w:val="16"/>
          <w:szCs w:val="16"/>
          <w:b w:val="1"/>
          <w:bCs w:val="1"/>
          <w:u w:val="single" w:color="auto"/>
          <w:color w:val="auto"/>
        </w:rPr>
        <w:t>Annex B</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SELLING SHAREHOLDERS</w:t>
      </w:r>
    </w:p>
    <w:p>
      <w:pPr>
        <w:spacing w:after="0" w:line="229"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The common stock being offered by the selling shareholders are those previously issued to the selling shareholders. For additional information regarding the issuances of those shares of common stock, see “Private Placement of Shares of Common Stock” above. We are registering the shares of common stock in order to permit the selling shareholders to offer the shares for resale from time to time. Except for the ownership of the shares of common stock, the selling shareholders have not had any material relationship with us within the past three years.</w:t>
      </w:r>
    </w:p>
    <w:p>
      <w:pPr>
        <w:spacing w:after="0" w:line="171"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table below lists the selling shareholders and other information regarding the beneficial ownership of the shares of common stock by each of the selling shareholders. The second column lists the number of shares of common stock beneficially owned by each selling shareholder, based on its ownership of the shares of common stock, as of ________, 2023.</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third column lists the shares of common stock being offered by this prospectus by the selling shareholders.</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In accordance with the terms of a registration rights agreement with the selling shareholders, this prospectus generally covers the resale of the number of shares of common stock issued to the selling shareholders in the “Private Placement of Shares of Common Stock” described above. The fourth column assumes the sale of all of the shares offered by the selling shareholders pursuant to this prospectus.</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selling shareholders may sell all, some or none of their shares in this offering. See “Plan of Distribution.”</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7" w:name="page68"/>
    <w:bookmarkEnd w:id="67"/>
    <w:tbl>
      <w:tblPr>
        <w:tblLayout w:type="fixed"/>
        <w:tblInd w:w="0" w:type="dxa"/>
        <w:tblCellMar>
          <w:top w:w="0" w:type="dxa"/>
          <w:left w:w="0" w:type="dxa"/>
          <w:bottom w:w="0" w:type="dxa"/>
          <w:right w:w="0" w:type="dxa"/>
        </w:tblCellMar>
      </w:tblPr>
      <w:tr>
        <w:trPr>
          <w:trHeight w:val="216"/>
        </w:trPr>
        <w:tc>
          <w:tcPr>
            <w:tcW w:w="3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580" w:type="dxa"/>
            <w:vAlign w:val="bottom"/>
          </w:tcPr>
          <w:p>
            <w:pPr>
              <w:jc w:val="center"/>
              <w:spacing w:after="0"/>
              <w:rPr>
                <w:sz w:val="20"/>
                <w:szCs w:val="20"/>
                <w:color w:val="auto"/>
              </w:rPr>
            </w:pPr>
            <w:r>
              <w:rPr>
                <w:rFonts w:ascii="Arial" w:cs="Arial" w:eastAsia="Arial" w:hAnsi="Arial"/>
                <w:sz w:val="18"/>
                <w:szCs w:val="18"/>
                <w:b w:val="1"/>
                <w:bCs w:val="1"/>
                <w:color w:val="auto"/>
                <w:w w:val="94"/>
              </w:rPr>
              <w:t>Maximum Number of</w:t>
            </w:r>
          </w:p>
        </w:tc>
        <w:tc>
          <w:tcPr>
            <w:tcW w:w="120" w:type="dxa"/>
            <w:vAlign w:val="bottom"/>
          </w:tcPr>
          <w:p>
            <w:pPr>
              <w:spacing w:after="0"/>
              <w:rPr>
                <w:sz w:val="18"/>
                <w:szCs w:val="18"/>
                <w:color w:val="auto"/>
              </w:rPr>
            </w:pPr>
          </w:p>
        </w:tc>
        <w:tc>
          <w:tcPr>
            <w:tcW w:w="2580" w:type="dxa"/>
            <w:vAlign w:val="bottom"/>
          </w:tcPr>
          <w:p>
            <w:pPr>
              <w:spacing w:after="0"/>
              <w:rPr>
                <w:sz w:val="18"/>
                <w:szCs w:val="18"/>
                <w:color w:val="auto"/>
              </w:rPr>
            </w:pPr>
          </w:p>
        </w:tc>
      </w:tr>
      <w:tr>
        <w:trPr>
          <w:trHeight w:val="216"/>
        </w:trPr>
        <w:tc>
          <w:tcPr>
            <w:tcW w:w="3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60" w:type="dxa"/>
            <w:vAlign w:val="bottom"/>
          </w:tcPr>
          <w:p>
            <w:pPr>
              <w:jc w:val="center"/>
              <w:ind w:left="250"/>
              <w:spacing w:after="0"/>
              <w:rPr>
                <w:sz w:val="20"/>
                <w:szCs w:val="20"/>
                <w:color w:val="auto"/>
              </w:rPr>
            </w:pPr>
            <w:r>
              <w:rPr>
                <w:rFonts w:ascii="Arial" w:cs="Arial" w:eastAsia="Arial" w:hAnsi="Arial"/>
                <w:sz w:val="18"/>
                <w:szCs w:val="18"/>
                <w:b w:val="1"/>
                <w:bCs w:val="1"/>
                <w:color w:val="auto"/>
                <w:w w:val="89"/>
              </w:rPr>
              <w:t>Number of shares of</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580" w:type="dxa"/>
            <w:vAlign w:val="bottom"/>
          </w:tcPr>
          <w:p>
            <w:pPr>
              <w:jc w:val="center"/>
              <w:spacing w:after="0"/>
              <w:rPr>
                <w:sz w:val="20"/>
                <w:szCs w:val="20"/>
                <w:color w:val="auto"/>
              </w:rPr>
            </w:pPr>
            <w:r>
              <w:rPr>
                <w:rFonts w:ascii="Arial" w:cs="Arial" w:eastAsia="Arial" w:hAnsi="Arial"/>
                <w:sz w:val="18"/>
                <w:szCs w:val="18"/>
                <w:b w:val="1"/>
                <w:bCs w:val="1"/>
                <w:color w:val="auto"/>
                <w:w w:val="87"/>
              </w:rPr>
              <w:t>shares of Common Stock</w:t>
            </w:r>
          </w:p>
        </w:tc>
        <w:tc>
          <w:tcPr>
            <w:tcW w:w="120" w:type="dxa"/>
            <w:vAlign w:val="bottom"/>
          </w:tcPr>
          <w:p>
            <w:pPr>
              <w:spacing w:after="0"/>
              <w:rPr>
                <w:sz w:val="18"/>
                <w:szCs w:val="18"/>
                <w:color w:val="auto"/>
              </w:rPr>
            </w:pPr>
          </w:p>
        </w:tc>
        <w:tc>
          <w:tcPr>
            <w:tcW w:w="2580" w:type="dxa"/>
            <w:vAlign w:val="bottom"/>
          </w:tcPr>
          <w:p>
            <w:pPr>
              <w:jc w:val="center"/>
              <w:spacing w:after="0"/>
              <w:rPr>
                <w:sz w:val="20"/>
                <w:szCs w:val="20"/>
                <w:color w:val="auto"/>
              </w:rPr>
            </w:pPr>
            <w:r>
              <w:rPr>
                <w:rFonts w:ascii="Arial" w:cs="Arial" w:eastAsia="Arial" w:hAnsi="Arial"/>
                <w:sz w:val="18"/>
                <w:szCs w:val="18"/>
                <w:b w:val="1"/>
                <w:bCs w:val="1"/>
                <w:color w:val="auto"/>
                <w:w w:val="89"/>
              </w:rPr>
              <w:t>Number of shares of</w:t>
            </w:r>
          </w:p>
        </w:tc>
      </w:tr>
      <w:tr>
        <w:trPr>
          <w:trHeight w:val="216"/>
        </w:trPr>
        <w:tc>
          <w:tcPr>
            <w:tcW w:w="3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60" w:type="dxa"/>
            <w:vAlign w:val="bottom"/>
          </w:tcPr>
          <w:p>
            <w:pPr>
              <w:jc w:val="center"/>
              <w:ind w:left="230"/>
              <w:spacing w:after="0"/>
              <w:rPr>
                <w:sz w:val="20"/>
                <w:szCs w:val="20"/>
                <w:color w:val="auto"/>
              </w:rPr>
            </w:pPr>
            <w:r>
              <w:rPr>
                <w:rFonts w:ascii="Arial" w:cs="Arial" w:eastAsia="Arial" w:hAnsi="Arial"/>
                <w:sz w:val="18"/>
                <w:szCs w:val="18"/>
                <w:b w:val="1"/>
                <w:bCs w:val="1"/>
                <w:color w:val="auto"/>
                <w:w w:val="90"/>
              </w:rPr>
              <w:t>Common Stock Owned</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580" w:type="dxa"/>
            <w:vAlign w:val="bottom"/>
          </w:tcPr>
          <w:p>
            <w:pPr>
              <w:jc w:val="center"/>
              <w:spacing w:after="0"/>
              <w:rPr>
                <w:sz w:val="20"/>
                <w:szCs w:val="20"/>
                <w:color w:val="auto"/>
              </w:rPr>
            </w:pPr>
            <w:r>
              <w:rPr>
                <w:rFonts w:ascii="Arial" w:cs="Arial" w:eastAsia="Arial" w:hAnsi="Arial"/>
                <w:sz w:val="18"/>
                <w:szCs w:val="18"/>
                <w:b w:val="1"/>
                <w:bCs w:val="1"/>
                <w:color w:val="auto"/>
                <w:w w:val="88"/>
              </w:rPr>
              <w:t>to be Sold Pursuant to this</w:t>
            </w:r>
          </w:p>
        </w:tc>
        <w:tc>
          <w:tcPr>
            <w:tcW w:w="120" w:type="dxa"/>
            <w:vAlign w:val="bottom"/>
          </w:tcPr>
          <w:p>
            <w:pPr>
              <w:spacing w:after="0"/>
              <w:rPr>
                <w:sz w:val="18"/>
                <w:szCs w:val="18"/>
                <w:color w:val="auto"/>
              </w:rPr>
            </w:pPr>
          </w:p>
        </w:tc>
        <w:tc>
          <w:tcPr>
            <w:tcW w:w="2580" w:type="dxa"/>
            <w:vAlign w:val="bottom"/>
          </w:tcPr>
          <w:p>
            <w:pPr>
              <w:jc w:val="center"/>
              <w:spacing w:after="0"/>
              <w:rPr>
                <w:sz w:val="20"/>
                <w:szCs w:val="20"/>
                <w:color w:val="auto"/>
              </w:rPr>
            </w:pPr>
            <w:r>
              <w:rPr>
                <w:rFonts w:ascii="Arial" w:cs="Arial" w:eastAsia="Arial" w:hAnsi="Arial"/>
                <w:sz w:val="18"/>
                <w:szCs w:val="18"/>
                <w:b w:val="1"/>
                <w:bCs w:val="1"/>
                <w:color w:val="auto"/>
                <w:w w:val="90"/>
              </w:rPr>
              <w:t>Common Stock Owned</w:t>
            </w:r>
          </w:p>
        </w:tc>
      </w:tr>
      <w:tr>
        <w:trPr>
          <w:trHeight w:val="241"/>
        </w:trPr>
        <w:tc>
          <w:tcPr>
            <w:tcW w:w="31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Name of Selling Shareholder</w:t>
            </w:r>
          </w:p>
        </w:tc>
        <w:tc>
          <w:tcPr>
            <w:tcW w:w="100" w:type="dxa"/>
            <w:vAlign w:val="bottom"/>
            <w:tcBorders>
              <w:bottom w:val="single" w:sz="8" w:color="CCEEFF"/>
            </w:tcBorders>
          </w:tcPr>
          <w:p>
            <w:pPr>
              <w:spacing w:after="0"/>
              <w:rPr>
                <w:sz w:val="20"/>
                <w:szCs w:val="20"/>
                <w:color w:val="auto"/>
              </w:rPr>
            </w:pPr>
          </w:p>
        </w:tc>
        <w:tc>
          <w:tcPr>
            <w:tcW w:w="2260" w:type="dxa"/>
            <w:vAlign w:val="bottom"/>
            <w:tcBorders>
              <w:bottom w:val="single" w:sz="8" w:color="auto"/>
            </w:tcBorders>
          </w:tcPr>
          <w:p>
            <w:pPr>
              <w:jc w:val="center"/>
              <w:ind w:left="230"/>
              <w:spacing w:after="0"/>
              <w:rPr>
                <w:sz w:val="20"/>
                <w:szCs w:val="20"/>
                <w:color w:val="auto"/>
              </w:rPr>
            </w:pPr>
            <w:r>
              <w:rPr>
                <w:rFonts w:ascii="Arial" w:cs="Arial" w:eastAsia="Arial" w:hAnsi="Arial"/>
                <w:sz w:val="18"/>
                <w:szCs w:val="18"/>
                <w:b w:val="1"/>
                <w:bCs w:val="1"/>
                <w:color w:val="auto"/>
                <w:w w:val="93"/>
              </w:rPr>
              <w:t>Prior to Offering</w:t>
            </w:r>
          </w:p>
        </w:tc>
        <w:tc>
          <w:tcPr>
            <w:tcW w:w="34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25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5"/>
              </w:rPr>
              <w:t>Prospectus</w:t>
            </w:r>
          </w:p>
        </w:tc>
        <w:tc>
          <w:tcPr>
            <w:tcW w:w="120" w:type="dxa"/>
            <w:vAlign w:val="bottom"/>
            <w:tcBorders>
              <w:bottom w:val="single" w:sz="8" w:color="CCEEFF"/>
            </w:tcBorders>
          </w:tcPr>
          <w:p>
            <w:pPr>
              <w:spacing w:after="0"/>
              <w:rPr>
                <w:sz w:val="20"/>
                <w:szCs w:val="20"/>
                <w:color w:val="auto"/>
              </w:rPr>
            </w:pPr>
          </w:p>
        </w:tc>
        <w:tc>
          <w:tcPr>
            <w:tcW w:w="25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After Offering</w:t>
            </w:r>
          </w:p>
        </w:tc>
      </w:tr>
      <w:tr>
        <w:trPr>
          <w:trHeight w:val="216"/>
        </w:trPr>
        <w:tc>
          <w:tcPr>
            <w:tcW w:w="3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580" w:type="dxa"/>
            <w:vAlign w:val="bottom"/>
            <w:shd w:val="clear" w:color="auto" w:fill="CCEEFF"/>
          </w:tcPr>
          <w:p>
            <w:pPr>
              <w:spacing w:after="0"/>
              <w:rPr>
                <w:sz w:val="18"/>
                <w:szCs w:val="18"/>
                <w:color w:val="auto"/>
              </w:rPr>
            </w:pPr>
          </w:p>
        </w:tc>
      </w:tr>
      <w:tr>
        <w:trPr>
          <w:trHeight w:val="655"/>
        </w:trPr>
        <w:tc>
          <w:tcPr>
            <w:tcW w:w="3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26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auto"/>
            </w:tcBorders>
          </w:tcPr>
          <w:p>
            <w:pPr>
              <w:spacing w:after="0"/>
              <w:rPr>
                <w:sz w:val="24"/>
                <w:szCs w:val="24"/>
                <w:color w:val="auto"/>
              </w:rPr>
            </w:pPr>
          </w:p>
        </w:tc>
        <w:tc>
          <w:tcPr>
            <w:tcW w:w="25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5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4" w:right="339" w:bottom="1440" w:gutter="0" w:footer="0" w:header="0"/>
        </w:sectPr>
      </w:pPr>
    </w:p>
    <w:bookmarkStart w:id="68" w:name="page69"/>
    <w:bookmarkEnd w:id="68"/>
    <w:p>
      <w:pPr>
        <w:ind w:left="10560"/>
        <w:spacing w:after="0"/>
        <w:rPr>
          <w:sz w:val="20"/>
          <w:szCs w:val="20"/>
          <w:color w:val="auto"/>
        </w:rPr>
      </w:pPr>
      <w:r>
        <w:rPr>
          <w:rFonts w:ascii="Arial" w:cs="Arial" w:eastAsia="Arial" w:hAnsi="Arial"/>
          <w:sz w:val="16"/>
          <w:szCs w:val="16"/>
          <w:b w:val="1"/>
          <w:bCs w:val="1"/>
          <w:u w:val="single" w:color="auto"/>
          <w:color w:val="auto"/>
        </w:rPr>
        <w:t>Annex C</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PRESTO AUTOMATION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Selling Stockholder Notice and Questionnaire</w:t>
      </w:r>
    </w:p>
    <w:p>
      <w:pPr>
        <w:spacing w:after="0" w:line="229"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The undersigned beneficial owner of common stock (the “</w:t>
      </w:r>
      <w:r>
        <w:rPr>
          <w:rFonts w:ascii="Arial" w:cs="Arial" w:eastAsia="Arial" w:hAnsi="Arial"/>
          <w:sz w:val="16"/>
          <w:szCs w:val="16"/>
          <w:u w:val="single" w:color="auto"/>
          <w:color w:val="auto"/>
        </w:rPr>
        <w:t>Registrable Securities</w:t>
      </w:r>
      <w:r>
        <w:rPr>
          <w:rFonts w:ascii="Arial" w:cs="Arial" w:eastAsia="Arial" w:hAnsi="Arial"/>
          <w:sz w:val="16"/>
          <w:szCs w:val="16"/>
          <w:color w:val="auto"/>
        </w:rPr>
        <w:t>”) of Presto Automation Inc., a Delaware corporation (the “</w:t>
      </w:r>
      <w:r>
        <w:rPr>
          <w:rFonts w:ascii="Arial" w:cs="Arial" w:eastAsia="Arial" w:hAnsi="Arial"/>
          <w:sz w:val="16"/>
          <w:szCs w:val="16"/>
          <w:u w:val="single" w:color="auto"/>
          <w:color w:val="auto"/>
        </w:rPr>
        <w:t>Company</w:t>
      </w:r>
      <w:r>
        <w:rPr>
          <w:rFonts w:ascii="Arial" w:cs="Arial" w:eastAsia="Arial" w:hAnsi="Arial"/>
          <w:sz w:val="16"/>
          <w:szCs w:val="16"/>
          <w:color w:val="auto"/>
        </w:rPr>
        <w:t>”), understands that the Company has filed or intends to file with the Securities and Exchange Commission (the “</w:t>
      </w:r>
      <w:r>
        <w:rPr>
          <w:rFonts w:ascii="Arial" w:cs="Arial" w:eastAsia="Arial" w:hAnsi="Arial"/>
          <w:sz w:val="16"/>
          <w:szCs w:val="16"/>
          <w:u w:val="single" w:color="auto"/>
          <w:color w:val="auto"/>
        </w:rPr>
        <w:t>Commission</w:t>
      </w:r>
      <w:r>
        <w:rPr>
          <w:rFonts w:ascii="Arial" w:cs="Arial" w:eastAsia="Arial" w:hAnsi="Arial"/>
          <w:sz w:val="16"/>
          <w:szCs w:val="16"/>
          <w:color w:val="auto"/>
        </w:rPr>
        <w:t>”) a registration statement (the “</w:t>
      </w:r>
      <w:r>
        <w:rPr>
          <w:rFonts w:ascii="Arial" w:cs="Arial" w:eastAsia="Arial" w:hAnsi="Arial"/>
          <w:sz w:val="16"/>
          <w:szCs w:val="16"/>
          <w:u w:val="single" w:color="auto"/>
          <w:color w:val="auto"/>
        </w:rPr>
        <w:t>Registration Statement</w:t>
      </w:r>
      <w:r>
        <w:rPr>
          <w:rFonts w:ascii="Arial" w:cs="Arial" w:eastAsia="Arial" w:hAnsi="Arial"/>
          <w:sz w:val="16"/>
          <w:szCs w:val="16"/>
          <w:color w:val="auto"/>
        </w:rPr>
        <w:t>”) for the registration and resale under Rule 415 of the Securities Act of 1933, as amended (the “</w:t>
      </w:r>
      <w:r>
        <w:rPr>
          <w:rFonts w:ascii="Arial" w:cs="Arial" w:eastAsia="Arial" w:hAnsi="Arial"/>
          <w:sz w:val="16"/>
          <w:szCs w:val="16"/>
          <w:u w:val="single" w:color="auto"/>
          <w:color w:val="auto"/>
        </w:rPr>
        <w:t>Securities Act</w:t>
      </w:r>
      <w:r>
        <w:rPr>
          <w:rFonts w:ascii="Arial" w:cs="Arial" w:eastAsia="Arial" w:hAnsi="Arial"/>
          <w:sz w:val="16"/>
          <w:szCs w:val="16"/>
          <w:color w:val="auto"/>
        </w:rPr>
        <w:t>”), of the Registrable Securities, in accordance with the terms of the Registration Rights Agreement (the “</w:t>
      </w:r>
      <w:r>
        <w:rPr>
          <w:rFonts w:ascii="Arial" w:cs="Arial" w:eastAsia="Arial" w:hAnsi="Arial"/>
          <w:sz w:val="16"/>
          <w:szCs w:val="16"/>
          <w:u w:val="single" w:color="auto"/>
          <w:color w:val="auto"/>
        </w:rPr>
        <w:t>Registration Rights Agreement</w:t>
      </w:r>
      <w:r>
        <w:rPr>
          <w:rFonts w:ascii="Arial" w:cs="Arial" w:eastAsia="Arial" w:hAnsi="Arial"/>
          <w:sz w:val="16"/>
          <w:szCs w:val="16"/>
          <w:color w:val="auto"/>
        </w:rPr>
        <w:t>”) to which this document is annexed. A copy of the Registration Rights Agreement is available from the Company upon request at the address set forth below. All capitalized terms not otherwise defined herein shall have the meanings ascribed thereto in the Registration Rights Agreement.</w:t>
      </w:r>
    </w:p>
    <w:p>
      <w:pPr>
        <w:spacing w:after="0" w:line="164"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Certain legal consequences arise from being named as a selling stockholder in the Registration Statement and the related prospectus. Accordingly, holders and beneficial owners of Registrable Securities are advised to consult their own securities law counsel regarding the consequences of being named or not being named as a selling stockholder in the Registration Statement and the related prospectus.</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NOTICE</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undersigned beneficial owner (the “</w:t>
      </w:r>
      <w:r>
        <w:rPr>
          <w:rFonts w:ascii="Arial" w:cs="Arial" w:eastAsia="Arial" w:hAnsi="Arial"/>
          <w:sz w:val="18"/>
          <w:szCs w:val="18"/>
          <w:u w:val="single" w:color="auto"/>
          <w:color w:val="auto"/>
        </w:rPr>
        <w:t>Selling Stockholder</w:t>
      </w:r>
      <w:r>
        <w:rPr>
          <w:rFonts w:ascii="Arial" w:cs="Arial" w:eastAsia="Arial" w:hAnsi="Arial"/>
          <w:sz w:val="18"/>
          <w:szCs w:val="18"/>
          <w:color w:val="auto"/>
        </w:rPr>
        <w:t>”) of Registrable Securities hereby elects to include the Registrable Securities owned by it in the Registration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408940</wp:posOffset>
            </wp:positionV>
            <wp:extent cx="713232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9" w:name="page70"/>
    <w:bookmarkEnd w:id="69"/>
    <w:p>
      <w:pPr>
        <w:spacing w:after="0"/>
        <w:rPr>
          <w:sz w:val="20"/>
          <w:szCs w:val="20"/>
          <w:color w:val="auto"/>
        </w:rPr>
      </w:pPr>
      <w:r>
        <w:rPr>
          <w:rFonts w:ascii="Arial" w:cs="Arial" w:eastAsia="Arial" w:hAnsi="Arial"/>
          <w:sz w:val="18"/>
          <w:szCs w:val="18"/>
          <w:color w:val="auto"/>
        </w:rPr>
        <w:t>The undersigned hereby provides the following information to the Company and represents and warrants that such information is accurate:</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QUESTIONNAIRE</w:t>
      </w:r>
    </w:p>
    <w:p>
      <w:pPr>
        <w:spacing w:after="0" w:line="225" w:lineRule="exact"/>
        <w:rPr>
          <w:sz w:val="20"/>
          <w:szCs w:val="20"/>
          <w:color w:val="auto"/>
        </w:rPr>
      </w:pPr>
    </w:p>
    <w:p>
      <w:pPr>
        <w:ind w:left="660" w:hanging="652"/>
        <w:spacing w:after="0"/>
        <w:tabs>
          <w:tab w:leader="none" w:pos="660" w:val="left"/>
        </w:tabs>
        <w:numPr>
          <w:ilvl w:val="0"/>
          <w:numId w:val="62"/>
        </w:numPr>
        <w:rPr>
          <w:rFonts w:ascii="Arial" w:cs="Arial" w:eastAsia="Arial" w:hAnsi="Arial"/>
          <w:sz w:val="18"/>
          <w:szCs w:val="18"/>
          <w:b w:val="1"/>
          <w:bCs w:val="1"/>
          <w:color w:val="auto"/>
        </w:rPr>
      </w:pPr>
      <w:r>
        <w:rPr>
          <w:rFonts w:ascii="Arial" w:cs="Arial" w:eastAsia="Arial" w:hAnsi="Arial"/>
          <w:sz w:val="18"/>
          <w:szCs w:val="18"/>
          <w:b w:val="1"/>
          <w:bCs w:val="1"/>
          <w:color w:val="auto"/>
        </w:rPr>
        <w:t>Name.</w:t>
      </w:r>
    </w:p>
    <w:p>
      <w:pPr>
        <w:spacing w:after="0" w:line="229" w:lineRule="exact"/>
        <w:rPr>
          <w:rFonts w:ascii="Arial" w:cs="Arial" w:eastAsia="Arial" w:hAnsi="Arial"/>
          <w:sz w:val="18"/>
          <w:szCs w:val="18"/>
          <w:b w:val="1"/>
          <w:bCs w:val="1"/>
          <w:color w:val="auto"/>
        </w:rPr>
      </w:pPr>
    </w:p>
    <w:p>
      <w:pPr>
        <w:ind w:left="1300" w:hanging="644"/>
        <w:spacing w:after="0"/>
        <w:tabs>
          <w:tab w:leader="none" w:pos="1300" w:val="left"/>
        </w:tabs>
        <w:numPr>
          <w:ilvl w:val="1"/>
          <w:numId w:val="62"/>
        </w:numPr>
        <w:rPr>
          <w:rFonts w:ascii="Arial" w:cs="Arial" w:eastAsia="Arial" w:hAnsi="Arial"/>
          <w:sz w:val="18"/>
          <w:szCs w:val="18"/>
          <w:color w:val="auto"/>
        </w:rPr>
      </w:pPr>
      <w:r>
        <w:rPr>
          <w:rFonts w:ascii="Arial" w:cs="Arial" w:eastAsia="Arial" w:hAnsi="Arial"/>
          <w:sz w:val="18"/>
          <w:szCs w:val="18"/>
          <w:color w:val="auto"/>
        </w:rPr>
        <w:t>Full Legal Name of Selling Stockholder</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327" w:lineRule="exact"/>
        <w:rPr>
          <w:rFonts w:ascii="Arial" w:cs="Arial" w:eastAsia="Arial" w:hAnsi="Arial"/>
          <w:sz w:val="18"/>
          <w:szCs w:val="18"/>
          <w:color w:val="auto"/>
        </w:rPr>
      </w:pPr>
    </w:p>
    <w:p>
      <w:pPr>
        <w:ind w:left="1300" w:hanging="644"/>
        <w:spacing w:after="0"/>
        <w:tabs>
          <w:tab w:leader="none" w:pos="1300" w:val="left"/>
        </w:tabs>
        <w:numPr>
          <w:ilvl w:val="1"/>
          <w:numId w:val="62"/>
        </w:numPr>
        <w:rPr>
          <w:rFonts w:ascii="Arial" w:cs="Arial" w:eastAsia="Arial" w:hAnsi="Arial"/>
          <w:sz w:val="18"/>
          <w:szCs w:val="18"/>
          <w:color w:val="auto"/>
        </w:rPr>
      </w:pPr>
      <w:r>
        <w:rPr>
          <w:rFonts w:ascii="Arial" w:cs="Arial" w:eastAsia="Arial" w:hAnsi="Arial"/>
          <w:sz w:val="18"/>
          <w:szCs w:val="18"/>
          <w:color w:val="auto"/>
        </w:rPr>
        <w:t>Full Legal Name of Registered Holder (if not the same as (a) above) through which Registrable Securities are held:</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327" w:lineRule="exact"/>
        <w:rPr>
          <w:rFonts w:ascii="Arial" w:cs="Arial" w:eastAsia="Arial" w:hAnsi="Arial"/>
          <w:sz w:val="18"/>
          <w:szCs w:val="18"/>
          <w:color w:val="auto"/>
        </w:rPr>
      </w:pPr>
    </w:p>
    <w:p>
      <w:pPr>
        <w:ind w:left="1300" w:hanging="644"/>
        <w:spacing w:after="0" w:line="277" w:lineRule="auto"/>
        <w:tabs>
          <w:tab w:leader="none" w:pos="1300" w:val="left"/>
        </w:tabs>
        <w:numPr>
          <w:ilvl w:val="1"/>
          <w:numId w:val="62"/>
        </w:numPr>
        <w:rPr>
          <w:rFonts w:ascii="Arial" w:cs="Arial" w:eastAsia="Arial" w:hAnsi="Arial"/>
          <w:sz w:val="18"/>
          <w:szCs w:val="18"/>
          <w:color w:val="auto"/>
        </w:rPr>
      </w:pPr>
      <w:r>
        <w:rPr>
          <w:rFonts w:ascii="Arial" w:cs="Arial" w:eastAsia="Arial" w:hAnsi="Arial"/>
          <w:sz w:val="18"/>
          <w:szCs w:val="18"/>
          <w:color w:val="auto"/>
        </w:rPr>
        <w:t>Full Legal Name of Natural Control Person (which means a natural person who directly or indirectly alone or with others has power to vote or dispose of the securities covered by this Questionnaire):</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25" w:lineRule="exact"/>
        <w:rPr>
          <w:rFonts w:ascii="Arial" w:cs="Arial" w:eastAsia="Arial" w:hAnsi="Arial"/>
          <w:sz w:val="18"/>
          <w:szCs w:val="18"/>
          <w:color w:val="auto"/>
        </w:rPr>
      </w:pPr>
    </w:p>
    <w:p>
      <w:pPr>
        <w:ind w:left="180" w:hanging="172"/>
        <w:spacing w:after="0"/>
        <w:tabs>
          <w:tab w:leader="none" w:pos="180" w:val="left"/>
        </w:tabs>
        <w:numPr>
          <w:ilvl w:val="0"/>
          <w:numId w:val="62"/>
        </w:numPr>
        <w:rPr>
          <w:rFonts w:ascii="Arial" w:cs="Arial" w:eastAsia="Arial" w:hAnsi="Arial"/>
          <w:sz w:val="18"/>
          <w:szCs w:val="18"/>
          <w:b w:val="1"/>
          <w:bCs w:val="1"/>
          <w:color w:val="auto"/>
        </w:rPr>
      </w:pPr>
      <w:r>
        <w:rPr>
          <w:rFonts w:ascii="Arial" w:cs="Arial" w:eastAsia="Arial" w:hAnsi="Arial"/>
          <w:sz w:val="18"/>
          <w:szCs w:val="18"/>
          <w:b w:val="1"/>
          <w:bCs w:val="1"/>
          <w:color w:val="auto"/>
        </w:rPr>
        <w:t>Address for Notices to Selling Stockholder: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828040</wp:posOffset>
            </wp:positionH>
            <wp:positionV relativeFrom="paragraph">
              <wp:posOffset>-1833880</wp:posOffset>
            </wp:positionV>
            <wp:extent cx="630936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1">
                      <a:extLst>
                        <a:ext uri="{28A0092B-C50C-407E-A947-70E740481C1C}"/>
                      </a:extLst>
                    </a:blip>
                    <a:srcRect/>
                    <a:stretch>
                      <a:fillRect/>
                    </a:stretch>
                  </pic:blipFill>
                  <pic:spPr bwMode="auto">
                    <a:xfrm>
                      <a:off x="0" y="0"/>
                      <a:ext cx="6309360" cy="17145"/>
                    </a:xfrm>
                    <a:prstGeom prst="rect">
                      <a:avLst/>
                    </a:prstGeom>
                    <a:noFill/>
                  </pic:spPr>
                </pic:pic>
              </a:graphicData>
            </a:graphic>
          </wp:anchor>
        </w:drawing>
        <w:drawing>
          <wp:anchor simplePos="0" relativeHeight="251657728" behindDoc="1" locked="0" layoutInCell="0" allowOverlap="1">
            <wp:simplePos x="0" y="0"/>
            <wp:positionH relativeFrom="column">
              <wp:posOffset>828040</wp:posOffset>
            </wp:positionH>
            <wp:positionV relativeFrom="paragraph">
              <wp:posOffset>-1113790</wp:posOffset>
            </wp:positionV>
            <wp:extent cx="630936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2">
                      <a:extLst>
                        <a:ext uri="{28A0092B-C50C-407E-A947-70E740481C1C}"/>
                      </a:extLst>
                    </a:blip>
                    <a:srcRect/>
                    <a:stretch>
                      <a:fillRect/>
                    </a:stretch>
                  </pic:blipFill>
                  <pic:spPr bwMode="auto">
                    <a:xfrm>
                      <a:off x="0" y="0"/>
                      <a:ext cx="6309360" cy="17145"/>
                    </a:xfrm>
                    <a:prstGeom prst="rect">
                      <a:avLst/>
                    </a:prstGeom>
                    <a:noFill/>
                  </pic:spPr>
                </pic:pic>
              </a:graphicData>
            </a:graphic>
          </wp:anchor>
        </w:drawing>
        <w:drawing>
          <wp:anchor simplePos="0" relativeHeight="251657728" behindDoc="1" locked="0" layoutInCell="0" allowOverlap="1">
            <wp:simplePos x="0" y="0"/>
            <wp:positionH relativeFrom="column">
              <wp:posOffset>828040</wp:posOffset>
            </wp:positionH>
            <wp:positionV relativeFrom="paragraph">
              <wp:posOffset>-410845</wp:posOffset>
            </wp:positionV>
            <wp:extent cx="630936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3">
                      <a:extLst>
                        <a:ext uri="{28A0092B-C50C-407E-A947-70E740481C1C}"/>
                      </a:extLst>
                    </a:blip>
                    <a:srcRect/>
                    <a:stretch>
                      <a:fillRect/>
                    </a:stretch>
                  </pic:blipFill>
                  <pic:spPr bwMode="auto">
                    <a:xfrm>
                      <a:off x="0" y="0"/>
                      <a:ext cx="630936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4">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5">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600075</wp:posOffset>
            </wp:positionV>
            <wp:extent cx="713232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Arial" w:cs="Arial" w:eastAsia="Arial" w:hAnsi="Arial"/>
          <w:sz w:val="18"/>
          <w:szCs w:val="18"/>
          <w:color w:val="auto"/>
        </w:rPr>
        <w:t>Telephone: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1290955</wp:posOffset>
            </wp:positionH>
            <wp:positionV relativeFrom="paragraph">
              <wp:posOffset>14605</wp:posOffset>
            </wp:positionV>
            <wp:extent cx="5846445"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7">
                      <a:extLst>
                        <a:ext uri="{28A0092B-C50C-407E-A947-70E740481C1C}"/>
                      </a:extLst>
                    </a:blip>
                    <a:srcRect/>
                    <a:stretch>
                      <a:fillRect/>
                    </a:stretch>
                  </pic:blipFill>
                  <pic:spPr bwMode="auto">
                    <a:xfrm>
                      <a:off x="0" y="0"/>
                      <a:ext cx="5846445" cy="1714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E-Mail:</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Contact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1290955</wp:posOffset>
            </wp:positionH>
            <wp:positionV relativeFrom="paragraph">
              <wp:posOffset>-130175</wp:posOffset>
            </wp:positionV>
            <wp:extent cx="5846445"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8">
                      <a:extLst>
                        <a:ext uri="{28A0092B-C50C-407E-A947-70E740481C1C}"/>
                      </a:extLst>
                    </a:blip>
                    <a:srcRect/>
                    <a:stretch>
                      <a:fillRect/>
                    </a:stretch>
                  </pic:blipFill>
                  <pic:spPr bwMode="auto">
                    <a:xfrm>
                      <a:off x="0" y="0"/>
                      <a:ext cx="5846445" cy="17145"/>
                    </a:xfrm>
                    <a:prstGeom prst="rect">
                      <a:avLst/>
                    </a:prstGeom>
                    <a:noFill/>
                  </pic:spPr>
                </pic:pic>
              </a:graphicData>
            </a:graphic>
          </wp:anchor>
        </w:drawing>
        <w:drawing>
          <wp:anchor simplePos="0" relativeHeight="251657728" behindDoc="1" locked="0" layoutInCell="0" allowOverlap="1">
            <wp:simplePos x="0" y="0"/>
            <wp:positionH relativeFrom="column">
              <wp:posOffset>1290955</wp:posOffset>
            </wp:positionH>
            <wp:positionV relativeFrom="paragraph">
              <wp:posOffset>23495</wp:posOffset>
            </wp:positionV>
            <wp:extent cx="5846445"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9">
                      <a:extLst>
                        <a:ext uri="{28A0092B-C50C-407E-A947-70E740481C1C}"/>
                      </a:extLst>
                    </a:blip>
                    <a:srcRect/>
                    <a:stretch>
                      <a:fillRect/>
                    </a:stretch>
                  </pic:blipFill>
                  <pic:spPr bwMode="auto">
                    <a:xfrm>
                      <a:off x="0" y="0"/>
                      <a:ext cx="5846445" cy="17145"/>
                    </a:xfrm>
                    <a:prstGeom prst="rect">
                      <a:avLst/>
                    </a:prstGeom>
                    <a:noFill/>
                  </pic:spPr>
                </pic:pic>
              </a:graphicData>
            </a:graphic>
          </wp:anchor>
        </w:drawing>
      </w:r>
    </w:p>
    <w:p>
      <w:pPr>
        <w:spacing w:after="0" w:line="242" w:lineRule="exact"/>
        <w:rPr>
          <w:sz w:val="20"/>
          <w:szCs w:val="20"/>
          <w:color w:val="auto"/>
        </w:rPr>
      </w:pPr>
    </w:p>
    <w:p>
      <w:pPr>
        <w:ind w:left="180" w:hanging="172"/>
        <w:spacing w:after="0"/>
        <w:tabs>
          <w:tab w:leader="none" w:pos="180" w:val="left"/>
        </w:tabs>
        <w:numPr>
          <w:ilvl w:val="0"/>
          <w:numId w:val="63"/>
        </w:numPr>
        <w:rPr>
          <w:rFonts w:ascii="Arial" w:cs="Arial" w:eastAsia="Arial" w:hAnsi="Arial"/>
          <w:sz w:val="18"/>
          <w:szCs w:val="18"/>
          <w:b w:val="1"/>
          <w:bCs w:val="1"/>
          <w:color w:val="auto"/>
        </w:rPr>
      </w:pPr>
      <w:r>
        <w:rPr>
          <w:rFonts w:ascii="Arial" w:cs="Arial" w:eastAsia="Arial" w:hAnsi="Arial"/>
          <w:sz w:val="18"/>
          <w:szCs w:val="18"/>
          <w:b w:val="1"/>
          <w:bCs w:val="1"/>
          <w:color w:val="auto"/>
        </w:rPr>
        <w:t>Broker-Dealer Status:</w:t>
      </w:r>
    </w:p>
    <w:p>
      <w:pPr>
        <w:spacing w:after="0" w:line="229" w:lineRule="exact"/>
        <w:rPr>
          <w:rFonts w:ascii="Arial" w:cs="Arial" w:eastAsia="Arial" w:hAnsi="Arial"/>
          <w:sz w:val="18"/>
          <w:szCs w:val="18"/>
          <w:b w:val="1"/>
          <w:bCs w:val="1"/>
          <w:color w:val="auto"/>
        </w:rPr>
      </w:pPr>
    </w:p>
    <w:p>
      <w:pPr>
        <w:ind w:left="1300" w:hanging="644"/>
        <w:spacing w:after="0"/>
        <w:tabs>
          <w:tab w:leader="none" w:pos="1300" w:val="left"/>
        </w:tabs>
        <w:numPr>
          <w:ilvl w:val="1"/>
          <w:numId w:val="63"/>
        </w:numPr>
        <w:rPr>
          <w:rFonts w:ascii="Arial" w:cs="Arial" w:eastAsia="Arial" w:hAnsi="Arial"/>
          <w:sz w:val="18"/>
          <w:szCs w:val="18"/>
          <w:color w:val="auto"/>
        </w:rPr>
      </w:pPr>
      <w:r>
        <w:rPr>
          <w:rFonts w:ascii="Arial" w:cs="Arial" w:eastAsia="Arial" w:hAnsi="Arial"/>
          <w:sz w:val="18"/>
          <w:szCs w:val="18"/>
          <w:color w:val="auto"/>
        </w:rPr>
        <w:t>Are you a broker-dealer?</w:t>
      </w:r>
    </w:p>
    <w:p>
      <w:pPr>
        <w:spacing w:after="0" w:line="180" w:lineRule="exact"/>
        <w:rPr>
          <w:sz w:val="20"/>
          <w:szCs w:val="20"/>
          <w:color w:val="auto"/>
        </w:rPr>
      </w:pPr>
    </w:p>
    <w:p>
      <w:pPr>
        <w:jc w:val="center"/>
        <w:spacing w:after="0" w:line="207" w:lineRule="exact"/>
        <w:tabs>
          <w:tab w:leader="none" w:pos="480" w:val="left"/>
        </w:tabs>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pacing w:after="0" w:line="270" w:lineRule="exact"/>
        <w:rPr>
          <w:sz w:val="20"/>
          <w:szCs w:val="20"/>
          <w:color w:val="auto"/>
        </w:rPr>
      </w:pPr>
    </w:p>
    <w:p>
      <w:pPr>
        <w:ind w:left="1300" w:hanging="644"/>
        <w:spacing w:after="0"/>
        <w:tabs>
          <w:tab w:leader="none" w:pos="1300" w:val="left"/>
        </w:tabs>
        <w:numPr>
          <w:ilvl w:val="0"/>
          <w:numId w:val="64"/>
        </w:numPr>
        <w:rPr>
          <w:rFonts w:ascii="Arial" w:cs="Arial" w:eastAsia="Arial" w:hAnsi="Arial"/>
          <w:sz w:val="16"/>
          <w:szCs w:val="16"/>
          <w:color w:val="auto"/>
        </w:rPr>
      </w:pPr>
      <w:r>
        <w:rPr>
          <w:rFonts w:ascii="Arial" w:cs="Arial" w:eastAsia="Arial" w:hAnsi="Arial"/>
          <w:sz w:val="16"/>
          <w:szCs w:val="16"/>
          <w:color w:val="auto"/>
        </w:rPr>
        <w:t>If “yes” to Section 3(a), did you receive your Registrable Securities as compensation for investment banking services to the Company?</w:t>
      </w:r>
    </w:p>
    <w:p>
      <w:pPr>
        <w:spacing w:after="0" w:line="203" w:lineRule="exact"/>
        <w:rPr>
          <w:sz w:val="20"/>
          <w:szCs w:val="20"/>
          <w:color w:val="auto"/>
        </w:rPr>
      </w:pPr>
    </w:p>
    <w:p>
      <w:pPr>
        <w:jc w:val="center"/>
        <w:spacing w:after="0" w:line="207" w:lineRule="exact"/>
        <w:tabs>
          <w:tab w:leader="none" w:pos="480" w:val="left"/>
        </w:tabs>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pacing w:after="0" w:line="270"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6"/>
          <w:szCs w:val="16"/>
          <w:color w:val="auto"/>
        </w:rPr>
        <w:t>Note:</w:t>
      </w:r>
      <w:r>
        <w:rPr>
          <w:sz w:val="20"/>
          <w:szCs w:val="20"/>
          <w:color w:val="auto"/>
        </w:rPr>
        <w:tab/>
      </w:r>
      <w:r>
        <w:rPr>
          <w:rFonts w:ascii="Arial" w:cs="Arial" w:eastAsia="Arial" w:hAnsi="Arial"/>
          <w:sz w:val="16"/>
          <w:szCs w:val="16"/>
          <w:color w:val="auto"/>
        </w:rPr>
        <w:t>If “no” to Section 3(b), the Commission’s staff has indicated that you should be identified as an underwriter in the Registration Statement.</w:t>
      </w: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70" w:name="page71"/>
    <w:bookmarkEnd w:id="70"/>
    <w:p>
      <w:pPr>
        <w:ind w:left="1300" w:hanging="644"/>
        <w:spacing w:after="0"/>
        <w:tabs>
          <w:tab w:leader="none" w:pos="13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Are you an affiliate of a broker-dealer?</w:t>
      </w:r>
    </w:p>
    <w:p>
      <w:pPr>
        <w:spacing w:after="0" w:line="180" w:lineRule="exact"/>
        <w:rPr>
          <w:sz w:val="20"/>
          <w:szCs w:val="20"/>
          <w:color w:val="auto"/>
        </w:rPr>
      </w:pPr>
    </w:p>
    <w:p>
      <w:pPr>
        <w:jc w:val="center"/>
        <w:spacing w:after="0" w:line="207" w:lineRule="exact"/>
        <w:tabs>
          <w:tab w:leader="none" w:pos="480" w:val="left"/>
        </w:tabs>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pacing w:after="0" w:line="270" w:lineRule="exact"/>
        <w:rPr>
          <w:sz w:val="20"/>
          <w:szCs w:val="20"/>
          <w:color w:val="auto"/>
        </w:rPr>
      </w:pPr>
    </w:p>
    <w:p>
      <w:pPr>
        <w:jc w:val="both"/>
        <w:ind w:left="1300" w:hanging="644"/>
        <w:spacing w:after="0" w:line="263" w:lineRule="auto"/>
        <w:tabs>
          <w:tab w:leader="none" w:pos="13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If you are an affiliate of a broker-dealer, do you certify that you purchased the Registrable Securities in the ordinary course of business, and at the time of the purchase of the Registrable Securities to be resold, you had no agreements or understandings, directly or indirectly, with any person to distribute the Registrable Securities?</w:t>
      </w:r>
    </w:p>
    <w:p>
      <w:pPr>
        <w:spacing w:after="0" w:line="139" w:lineRule="exact"/>
        <w:rPr>
          <w:sz w:val="20"/>
          <w:szCs w:val="20"/>
          <w:color w:val="auto"/>
        </w:rPr>
      </w:pPr>
    </w:p>
    <w:p>
      <w:pPr>
        <w:jc w:val="center"/>
        <w:spacing w:after="0" w:line="207" w:lineRule="exact"/>
        <w:tabs>
          <w:tab w:leader="none" w:pos="480" w:val="left"/>
        </w:tabs>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pacing w:after="0" w:line="270"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6"/>
          <w:szCs w:val="16"/>
          <w:color w:val="auto"/>
        </w:rPr>
        <w:t>Note:</w:t>
      </w:r>
      <w:r>
        <w:rPr>
          <w:sz w:val="20"/>
          <w:szCs w:val="20"/>
          <w:color w:val="auto"/>
        </w:rPr>
        <w:tab/>
      </w:r>
      <w:r>
        <w:rPr>
          <w:rFonts w:ascii="Arial" w:cs="Arial" w:eastAsia="Arial" w:hAnsi="Arial"/>
          <w:sz w:val="16"/>
          <w:szCs w:val="16"/>
          <w:color w:val="auto"/>
        </w:rPr>
        <w:t>If “no” to Section 3(d), the Commission’s staff has indicated that you should be identified as an underwriter in the Registration Statement.</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Beneficial Ownership of Securities of the Company Owned by the Selling Stockholder.</w:t>
      </w:r>
    </w:p>
    <w:p>
      <w:pPr>
        <w:spacing w:after="0" w:line="229" w:lineRule="exact"/>
        <w:rPr>
          <w:sz w:val="20"/>
          <w:szCs w:val="20"/>
          <w:color w:val="auto"/>
        </w:rPr>
      </w:pPr>
    </w:p>
    <w:p>
      <w:pPr>
        <w:ind w:left="660"/>
        <w:spacing w:after="0" w:line="277" w:lineRule="auto"/>
        <w:rPr>
          <w:sz w:val="20"/>
          <w:szCs w:val="20"/>
          <w:color w:val="auto"/>
        </w:rPr>
      </w:pPr>
      <w:r>
        <w:rPr>
          <w:rFonts w:ascii="Arial" w:cs="Arial" w:eastAsia="Arial" w:hAnsi="Arial"/>
          <w:sz w:val="18"/>
          <w:szCs w:val="18"/>
          <w:i w:val="1"/>
          <w:iCs w:val="1"/>
          <w:color w:val="auto"/>
        </w:rPr>
        <w:t>Except as set forth below in this Item 4, the undersigned is not the beneficial or registered owner of any securities of the Company other than the securities issuable pursuant to the Purchase Agreement.</w:t>
      </w:r>
    </w:p>
    <w:p>
      <w:pPr>
        <w:spacing w:after="0" w:line="170" w:lineRule="exact"/>
        <w:rPr>
          <w:sz w:val="20"/>
          <w:szCs w:val="20"/>
          <w:color w:val="auto"/>
        </w:rPr>
      </w:pPr>
    </w:p>
    <w:p>
      <w:pPr>
        <w:ind w:left="1300" w:hanging="644"/>
        <w:spacing w:after="0"/>
        <w:tabs>
          <w:tab w:leader="none" w:pos="13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Type and Amount of other securities beneficially owned by the Selling Stockholder:</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343" w:lineRule="exact"/>
        <w:rPr>
          <w:rFonts w:ascii="Arial" w:cs="Arial" w:eastAsia="Arial" w:hAnsi="Arial"/>
          <w:sz w:val="18"/>
          <w:szCs w:val="18"/>
          <w:color w:val="auto"/>
        </w:rPr>
      </w:pPr>
    </w:p>
    <w:p>
      <w:pPr>
        <w:ind w:left="5580"/>
        <w:spacing w:after="0"/>
        <w:rPr>
          <w:rFonts w:ascii="Arial" w:cs="Arial" w:eastAsia="Arial" w:hAnsi="Arial"/>
          <w:sz w:val="18"/>
          <w:szCs w:val="18"/>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828040</wp:posOffset>
            </wp:positionH>
            <wp:positionV relativeFrom="paragraph">
              <wp:posOffset>-567690</wp:posOffset>
            </wp:positionV>
            <wp:extent cx="6309360"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1">
                      <a:extLst>
                        <a:ext uri="{28A0092B-C50C-407E-A947-70E740481C1C}"/>
                      </a:extLst>
                    </a:blip>
                    <a:srcRect/>
                    <a:stretch>
                      <a:fillRect/>
                    </a:stretch>
                  </pic:blipFill>
                  <pic:spPr bwMode="auto">
                    <a:xfrm>
                      <a:off x="0" y="0"/>
                      <a:ext cx="6309360" cy="17145"/>
                    </a:xfrm>
                    <a:prstGeom prst="rect">
                      <a:avLst/>
                    </a:prstGeom>
                    <a:noFill/>
                  </pic:spPr>
                </pic:pic>
              </a:graphicData>
            </a:graphic>
          </wp:anchor>
        </w:drawing>
        <w:drawing>
          <wp:anchor simplePos="0" relativeHeight="251657728" behindDoc="1" locked="0" layoutInCell="0" allowOverlap="1">
            <wp:simplePos x="0" y="0"/>
            <wp:positionH relativeFrom="column">
              <wp:posOffset>828040</wp:posOffset>
            </wp:positionH>
            <wp:positionV relativeFrom="paragraph">
              <wp:posOffset>-413385</wp:posOffset>
            </wp:positionV>
            <wp:extent cx="6309360"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2">
                      <a:extLst>
                        <a:ext uri="{28A0092B-C50C-407E-A947-70E740481C1C}"/>
                      </a:extLst>
                    </a:blip>
                    <a:srcRect/>
                    <a:stretch>
                      <a:fillRect/>
                    </a:stretch>
                  </pic:blipFill>
                  <pic:spPr bwMode="auto">
                    <a:xfrm>
                      <a:off x="0" y="0"/>
                      <a:ext cx="630936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71" w:name="page72"/>
    <w:bookmarkEnd w:id="71"/>
    <w:p>
      <w:pPr>
        <w:spacing w:after="0"/>
        <w:rPr>
          <w:sz w:val="20"/>
          <w:szCs w:val="20"/>
          <w:color w:val="auto"/>
        </w:rPr>
      </w:pPr>
      <w:r>
        <w:rPr>
          <w:rFonts w:ascii="Arial" w:cs="Arial" w:eastAsia="Arial" w:hAnsi="Arial"/>
          <w:sz w:val="18"/>
          <w:szCs w:val="18"/>
          <w:b w:val="1"/>
          <w:bCs w:val="1"/>
          <w:color w:val="auto"/>
        </w:rPr>
        <w:t>5. Relationships with the Company:</w:t>
      </w:r>
    </w:p>
    <w:p>
      <w:pPr>
        <w:spacing w:after="0" w:line="229" w:lineRule="exact"/>
        <w:rPr>
          <w:sz w:val="20"/>
          <w:szCs w:val="20"/>
          <w:color w:val="auto"/>
        </w:rPr>
      </w:pPr>
    </w:p>
    <w:p>
      <w:pPr>
        <w:jc w:val="both"/>
        <w:ind w:left="660"/>
        <w:spacing w:after="0" w:line="263" w:lineRule="auto"/>
        <w:rPr>
          <w:sz w:val="20"/>
          <w:szCs w:val="20"/>
          <w:color w:val="auto"/>
        </w:rPr>
      </w:pPr>
      <w:r>
        <w:rPr>
          <w:rFonts w:ascii="Arial" w:cs="Arial" w:eastAsia="Arial" w:hAnsi="Arial"/>
          <w:sz w:val="18"/>
          <w:szCs w:val="18"/>
          <w:i w:val="1"/>
          <w:iCs w:val="1"/>
          <w:color w:val="auto"/>
        </w:rPr>
        <w:t>Except as set forth below, neither the undersigned nor any of its affiliates, officers, directors or principal equity holders (owners of 5% of more of the equity securities of the undersigned) has held any position or office or has had any other material relationship with the Company (or its predecessors or affiliates) during the past three years.</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State any exceptions here: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288925</wp:posOffset>
            </wp:positionV>
            <wp:extent cx="6720840"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4">
                      <a:extLst>
                        <a:ext uri="{28A0092B-C50C-407E-A947-70E740481C1C}"/>
                      </a:extLst>
                    </a:blip>
                    <a:srcRect/>
                    <a:stretch>
                      <a:fillRect/>
                    </a:stretch>
                  </pic:blipFill>
                  <pic:spPr bwMode="auto">
                    <a:xfrm>
                      <a:off x="0" y="0"/>
                      <a:ext cx="6720840" cy="17145"/>
                    </a:xfrm>
                    <a:prstGeom prst="rect">
                      <a:avLst/>
                    </a:prstGeom>
                    <a:noFill/>
                  </pic:spPr>
                </pic:pic>
              </a:graphicData>
            </a:graphic>
          </wp:anchor>
        </w:drawing>
        <w:drawing>
          <wp:anchor simplePos="0" relativeHeight="251657728" behindDoc="1" locked="0" layoutInCell="0" allowOverlap="1">
            <wp:simplePos x="0" y="0"/>
            <wp:positionH relativeFrom="column">
              <wp:posOffset>416560</wp:posOffset>
            </wp:positionH>
            <wp:positionV relativeFrom="paragraph">
              <wp:posOffset>443230</wp:posOffset>
            </wp:positionV>
            <wp:extent cx="6720840"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5">
                      <a:extLst>
                        <a:ext uri="{28A0092B-C50C-407E-A947-70E740481C1C}"/>
                      </a:extLst>
                    </a:blip>
                    <a:srcRect/>
                    <a:stretch>
                      <a:fillRect/>
                    </a:stretch>
                  </pic:blipFill>
                  <pic:spPr bwMode="auto">
                    <a:xfrm>
                      <a:off x="0" y="0"/>
                      <a:ext cx="672084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undersigned agrees to promptly notify the Company of any material inaccuracies or changes in the information provided herein that may occur subsequent to the date hereof at any time while the Registration Statement remains effective; provided, that the undersigned shall not be required to notify the Company of any changes to the number of securities held or owned by the undersigned or its affiliates.</w:t>
      </w:r>
    </w:p>
    <w:p>
      <w:pPr>
        <w:spacing w:after="0" w:line="18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By signing below, the undersigned consents to the disclosure of the information contained herein in its answers to Items 1 through 5 and the inclusion of such information in the Registration Statement and the related prospectus and any amendments or supplements thereto. The undersigned understands that such information will be relied upon by the Company in connection with the preparation or amendment of the Registration Statement and the related prospectus and any amendments or supplements thereto.</w:t>
      </w:r>
    </w:p>
    <w:p>
      <w:pPr>
        <w:spacing w:after="0" w:line="18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IN WITNESS WHEREOF the undersigned, by authority duly given, has caused this Notice and Questionnaire to be executed and delivered either in person or by its duly authorized agent.</w:t>
      </w:r>
    </w:p>
    <w:p>
      <w:pPr>
        <w:spacing w:after="0" w:line="170" w:lineRule="exact"/>
        <w:rPr>
          <w:sz w:val="20"/>
          <w:szCs w:val="20"/>
          <w:color w:val="auto"/>
        </w:rPr>
      </w:pPr>
    </w:p>
    <w:p>
      <w:pPr>
        <w:spacing w:after="0"/>
        <w:tabs>
          <w:tab w:leader="none" w:pos="672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Beneficial Owner: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579120</wp:posOffset>
            </wp:positionH>
            <wp:positionV relativeFrom="paragraph">
              <wp:posOffset>14605</wp:posOffset>
            </wp:positionV>
            <wp:extent cx="2991485"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6">
                      <a:extLst>
                        <a:ext uri="{28A0092B-C50C-407E-A947-70E740481C1C}"/>
                      </a:extLst>
                    </a:blip>
                    <a:srcRect/>
                    <a:stretch>
                      <a:fillRect/>
                    </a:stretch>
                  </pic:blipFill>
                  <pic:spPr bwMode="auto">
                    <a:xfrm>
                      <a:off x="0" y="0"/>
                      <a:ext cx="2991485" cy="17145"/>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14605</wp:posOffset>
            </wp:positionV>
            <wp:extent cx="1423035"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7">
                      <a:extLst>
                        <a:ext uri="{28A0092B-C50C-407E-A947-70E740481C1C}"/>
                      </a:extLst>
                    </a:blip>
                    <a:srcRect/>
                    <a:stretch>
                      <a:fillRect/>
                    </a:stretch>
                  </pic:blipFill>
                  <pic:spPr bwMode="auto">
                    <a:xfrm>
                      <a:off x="0" y="0"/>
                      <a:ext cx="1423035" cy="17145"/>
                    </a:xfrm>
                    <a:prstGeom prst="rect">
                      <a:avLst/>
                    </a:prstGeom>
                    <a:noFill/>
                  </pic:spPr>
                </pic:pic>
              </a:graphicData>
            </a:graphic>
          </wp:anchor>
        </w:drawing>
      </w:r>
    </w:p>
    <w:p>
      <w:pPr>
        <w:spacing w:after="0" w:line="232"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4565650</wp:posOffset>
            </wp:positionH>
            <wp:positionV relativeFrom="paragraph">
              <wp:posOffset>14605</wp:posOffset>
            </wp:positionV>
            <wp:extent cx="2571750"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8">
                      <a:extLst>
                        <a:ext uri="{28A0092B-C50C-407E-A947-70E740481C1C}"/>
                      </a:extLst>
                    </a:blip>
                    <a:srcRect/>
                    <a:stretch>
                      <a:fillRect/>
                    </a:stretch>
                  </pic:blipFill>
                  <pic:spPr bwMode="auto">
                    <a:xfrm>
                      <a:off x="0" y="0"/>
                      <a:ext cx="2571750" cy="17145"/>
                    </a:xfrm>
                    <a:prstGeom prst="rect">
                      <a:avLst/>
                    </a:prstGeom>
                    <a:noFill/>
                  </pic:spPr>
                </pic:pic>
              </a:graphicData>
            </a:graphic>
          </wp:anchor>
        </w:drawing>
      </w:r>
    </w:p>
    <w:p>
      <w:pPr>
        <w:spacing w:after="0" w:line="16"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Title: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PLEASE EMAIL A .PDF COPY OF THE COMPLETED AND EXECUTED NOTICE AND QUESTIONNAIRE TO:</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2" w:name="page73"/>
    <w:bookmarkEnd w:id="72"/>
    <w:p>
      <w:pPr>
        <w:jc w:val="right"/>
        <w:spacing w:after="0"/>
        <w:rPr>
          <w:sz w:val="20"/>
          <w:szCs w:val="20"/>
          <w:color w:val="auto"/>
        </w:rPr>
      </w:pPr>
      <w:r>
        <w:rPr>
          <w:rFonts w:ascii="Arial" w:cs="Arial" w:eastAsia="Arial" w:hAnsi="Arial"/>
          <w:sz w:val="18"/>
          <w:szCs w:val="18"/>
          <w:b w:val="1"/>
          <w:bCs w:val="1"/>
          <w:color w:val="auto"/>
        </w:rPr>
        <w:t>Exhibit 10.3</w:t>
      </w: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b w:val="1"/>
          <w:bCs w:val="1"/>
          <w:i w:val="1"/>
          <w:iCs w:val="1"/>
          <w:color w:val="auto"/>
        </w:rPr>
        <w:t>Execution Version</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SECOND AMENDMENT TO CREDIT AGREEMENT</w:t>
      </w:r>
    </w:p>
    <w:p>
      <w:pPr>
        <w:spacing w:after="0" w:line="229"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Second Amendment to Credit Agreement (this “</w:t>
      </w:r>
      <w:r>
        <w:rPr>
          <w:rFonts w:ascii="Arial" w:cs="Arial" w:eastAsia="Arial" w:hAnsi="Arial"/>
          <w:sz w:val="17"/>
          <w:szCs w:val="17"/>
          <w:u w:val="single" w:color="auto"/>
          <w:color w:val="auto"/>
        </w:rPr>
        <w:t>Amendment</w:t>
      </w:r>
      <w:r>
        <w:rPr>
          <w:rFonts w:ascii="Arial" w:cs="Arial" w:eastAsia="Arial" w:hAnsi="Arial"/>
          <w:sz w:val="17"/>
          <w:szCs w:val="17"/>
          <w:color w:val="auto"/>
        </w:rPr>
        <w:t>”) dated as of May 22, 2023, is by and among E LA CARTE, LLC (f/k/a Ventoux Merger Sub II LLC) a Delaware limited liability company (“</w:t>
      </w:r>
      <w:r>
        <w:rPr>
          <w:rFonts w:ascii="Arial" w:cs="Arial" w:eastAsia="Arial" w:hAnsi="Arial"/>
          <w:sz w:val="17"/>
          <w:szCs w:val="17"/>
          <w:u w:val="single" w:color="auto"/>
          <w:color w:val="auto"/>
        </w:rPr>
        <w:t>Presto</w:t>
      </w:r>
      <w:r>
        <w:rPr>
          <w:rFonts w:ascii="Arial" w:cs="Arial" w:eastAsia="Arial" w:hAnsi="Arial"/>
          <w:sz w:val="17"/>
          <w:szCs w:val="17"/>
          <w:color w:val="auto"/>
        </w:rPr>
        <w:t>”), each other Person party hereto as a “Borrower” from time to time (each such Person, together with Presto, individually and collectively, the “</w:t>
      </w:r>
      <w:r>
        <w:rPr>
          <w:rFonts w:ascii="Arial" w:cs="Arial" w:eastAsia="Arial" w:hAnsi="Arial"/>
          <w:sz w:val="17"/>
          <w:szCs w:val="17"/>
          <w:u w:val="single" w:color="auto"/>
          <w:color w:val="auto"/>
        </w:rPr>
        <w:t>Borrower</w:t>
      </w:r>
      <w:r>
        <w:rPr>
          <w:rFonts w:ascii="Arial" w:cs="Arial" w:eastAsia="Arial" w:hAnsi="Arial"/>
          <w:sz w:val="17"/>
          <w:szCs w:val="17"/>
          <w:color w:val="auto"/>
        </w:rPr>
        <w:t xml:space="preserve">”), </w:t>
      </w:r>
      <w:r>
        <w:rPr>
          <w:rFonts w:ascii="Arial" w:cs="Arial" w:eastAsia="Arial" w:hAnsi="Arial"/>
          <w:sz w:val="17"/>
          <w:szCs w:val="17"/>
          <w:b w:val="1"/>
          <w:bCs w:val="1"/>
          <w:color w:val="auto"/>
        </w:rPr>
        <w:t>PRESTO AUTOMATION INC.</w:t>
      </w:r>
      <w:r>
        <w:rPr>
          <w:rFonts w:ascii="Arial" w:cs="Arial" w:eastAsia="Arial" w:hAnsi="Arial"/>
          <w:sz w:val="17"/>
          <w:szCs w:val="17"/>
          <w:color w:val="auto"/>
        </w:rPr>
        <w:t xml:space="preserve"> (f/k/a Ventoux CCM Acquisition Corp.), a Delaware corporation (the “</w:t>
      </w:r>
      <w:r>
        <w:rPr>
          <w:rFonts w:ascii="Arial" w:cs="Arial" w:eastAsia="Arial" w:hAnsi="Arial"/>
          <w:sz w:val="17"/>
          <w:szCs w:val="17"/>
          <w:u w:val="single" w:color="auto"/>
          <w:color w:val="auto"/>
        </w:rPr>
        <w:t>Parent</w:t>
      </w:r>
      <w:r>
        <w:rPr>
          <w:rFonts w:ascii="Arial" w:cs="Arial" w:eastAsia="Arial" w:hAnsi="Arial"/>
          <w:sz w:val="17"/>
          <w:szCs w:val="17"/>
          <w:color w:val="auto"/>
        </w:rPr>
        <w:t>”) together with each other Guarantor from time to time party hereto, each a “</w:t>
      </w:r>
      <w:r>
        <w:rPr>
          <w:rFonts w:ascii="Arial" w:cs="Arial" w:eastAsia="Arial" w:hAnsi="Arial"/>
          <w:sz w:val="17"/>
          <w:szCs w:val="17"/>
          <w:u w:val="single" w:color="auto"/>
          <w:color w:val="auto"/>
        </w:rPr>
        <w:t>Guarantor</w:t>
      </w:r>
      <w:r>
        <w:rPr>
          <w:rFonts w:ascii="Arial" w:cs="Arial" w:eastAsia="Arial" w:hAnsi="Arial"/>
          <w:sz w:val="17"/>
          <w:szCs w:val="17"/>
          <w:color w:val="auto"/>
        </w:rPr>
        <w:t>” and together with Borrower, each a “</w:t>
      </w:r>
      <w:r>
        <w:rPr>
          <w:rFonts w:ascii="Arial" w:cs="Arial" w:eastAsia="Arial" w:hAnsi="Arial"/>
          <w:sz w:val="17"/>
          <w:szCs w:val="17"/>
          <w:u w:val="single" w:color="auto"/>
          <w:color w:val="auto"/>
        </w:rPr>
        <w:t>Loan</w:t>
      </w:r>
      <w:r>
        <w:rPr>
          <w:rFonts w:ascii="Arial" w:cs="Arial" w:eastAsia="Arial" w:hAnsi="Arial"/>
          <w:sz w:val="17"/>
          <w:szCs w:val="17"/>
          <w:color w:val="auto"/>
        </w:rPr>
        <w:t xml:space="preserve"> </w:t>
      </w:r>
      <w:r>
        <w:rPr>
          <w:rFonts w:ascii="Arial" w:cs="Arial" w:eastAsia="Arial" w:hAnsi="Arial"/>
          <w:sz w:val="17"/>
          <w:szCs w:val="17"/>
          <w:u w:val="single" w:color="auto"/>
          <w:color w:val="auto"/>
        </w:rPr>
        <w:t>Party</w:t>
      </w:r>
      <w:r>
        <w:rPr>
          <w:rFonts w:ascii="Arial" w:cs="Arial" w:eastAsia="Arial" w:hAnsi="Arial"/>
          <w:sz w:val="17"/>
          <w:szCs w:val="17"/>
          <w:color w:val="auto"/>
        </w:rPr>
        <w:t>” and collectively, the “</w:t>
      </w:r>
      <w:r>
        <w:rPr>
          <w:rFonts w:ascii="Arial" w:cs="Arial" w:eastAsia="Arial" w:hAnsi="Arial"/>
          <w:sz w:val="17"/>
          <w:szCs w:val="17"/>
          <w:u w:val="single" w:color="auto"/>
          <w:color w:val="auto"/>
        </w:rPr>
        <w:t>Loan Parties</w:t>
      </w:r>
      <w:r>
        <w:rPr>
          <w:rFonts w:ascii="Arial" w:cs="Arial" w:eastAsia="Arial" w:hAnsi="Arial"/>
          <w:sz w:val="17"/>
          <w:szCs w:val="17"/>
          <w:color w:val="auto"/>
        </w:rPr>
        <w:t>”, each of the financial institutions from time to time party hereto (individually each a “</w:t>
      </w:r>
      <w:r>
        <w:rPr>
          <w:rFonts w:ascii="Arial" w:cs="Arial" w:eastAsia="Arial" w:hAnsi="Arial"/>
          <w:sz w:val="17"/>
          <w:szCs w:val="17"/>
          <w:u w:val="single" w:color="auto"/>
          <w:color w:val="auto"/>
        </w:rPr>
        <w:t>Lender</w:t>
      </w:r>
      <w:r>
        <w:rPr>
          <w:rFonts w:ascii="Arial" w:cs="Arial" w:eastAsia="Arial" w:hAnsi="Arial"/>
          <w:sz w:val="17"/>
          <w:szCs w:val="17"/>
          <w:color w:val="auto"/>
        </w:rPr>
        <w:t>” and collectively the “</w:t>
      </w:r>
      <w:r>
        <w:rPr>
          <w:rFonts w:ascii="Arial" w:cs="Arial" w:eastAsia="Arial" w:hAnsi="Arial"/>
          <w:sz w:val="17"/>
          <w:szCs w:val="17"/>
          <w:u w:val="single" w:color="auto"/>
          <w:color w:val="auto"/>
        </w:rPr>
        <w:t>Lenders</w:t>
      </w:r>
      <w:r>
        <w:rPr>
          <w:rFonts w:ascii="Arial" w:cs="Arial" w:eastAsia="Arial" w:hAnsi="Arial"/>
          <w:sz w:val="17"/>
          <w:szCs w:val="17"/>
          <w:color w:val="auto"/>
        </w:rPr>
        <w:t xml:space="preserve">”) and </w:t>
      </w:r>
      <w:r>
        <w:rPr>
          <w:rFonts w:ascii="Arial" w:cs="Arial" w:eastAsia="Arial" w:hAnsi="Arial"/>
          <w:sz w:val="17"/>
          <w:szCs w:val="17"/>
          <w:b w:val="1"/>
          <w:bCs w:val="1"/>
          <w:color w:val="auto"/>
        </w:rPr>
        <w:t>METROPOLITAN PARTNERS GROUP ADMINISTRATION, LLC</w:t>
      </w:r>
      <w:r>
        <w:rPr>
          <w:rFonts w:ascii="Arial" w:cs="Arial" w:eastAsia="Arial" w:hAnsi="Arial"/>
          <w:sz w:val="17"/>
          <w:szCs w:val="17"/>
          <w:color w:val="auto"/>
        </w:rPr>
        <w:t>, a Delaware limited liability company, as administrative, payment and collateral agent for the Lenders (in such capacities, “</w:t>
      </w:r>
      <w:r>
        <w:rPr>
          <w:rFonts w:ascii="Arial" w:cs="Arial" w:eastAsia="Arial" w:hAnsi="Arial"/>
          <w:sz w:val="17"/>
          <w:szCs w:val="17"/>
          <w:u w:val="single" w:color="auto"/>
          <w:color w:val="auto"/>
        </w:rPr>
        <w:t>Agent</w:t>
      </w:r>
      <w:r>
        <w:rPr>
          <w:rFonts w:ascii="Arial" w:cs="Arial" w:eastAsia="Arial" w:hAnsi="Arial"/>
          <w:sz w:val="17"/>
          <w:szCs w:val="17"/>
          <w:color w:val="auto"/>
        </w:rPr>
        <w:t>”).</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RECITALS</w:t>
      </w:r>
    </w:p>
    <w:p>
      <w:pPr>
        <w:spacing w:after="0" w:line="225"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i w:val="1"/>
          <w:iCs w:val="1"/>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Borrower, Parent, Agent, and the Lenders are party to that certain Credit Agreement dated as of September 21, 2022, as amended by</w:t>
      </w:r>
      <w:r>
        <w:rPr>
          <w:rFonts w:ascii="Arial" w:cs="Arial" w:eastAsia="Arial" w:hAnsi="Arial"/>
          <w:sz w:val="18"/>
          <w:szCs w:val="18"/>
          <w:b w:val="1"/>
          <w:bCs w:val="1"/>
          <w:color w:val="auto"/>
        </w:rPr>
        <w:t xml:space="preserve"> </w:t>
      </w:r>
      <w:r>
        <w:rPr>
          <w:rFonts w:ascii="Arial" w:cs="Arial" w:eastAsia="Arial" w:hAnsi="Arial"/>
          <w:sz w:val="18"/>
          <w:szCs w:val="18"/>
          <w:color w:val="auto"/>
        </w:rPr>
        <w:t>that certain Waiver and First Amendment to Credit Agreement dated as of March 31, 2023 (as amended, restated, supplemented or otherwise modified from time to time, the “</w:t>
      </w:r>
      <w:r>
        <w:rPr>
          <w:rFonts w:ascii="Arial" w:cs="Arial" w:eastAsia="Arial" w:hAnsi="Arial"/>
          <w:sz w:val="18"/>
          <w:szCs w:val="18"/>
          <w:u w:val="single" w:color="auto"/>
          <w:color w:val="auto"/>
        </w:rPr>
        <w:t>Credit Agreement</w:t>
      </w:r>
      <w:r>
        <w:rPr>
          <w:rFonts w:ascii="Arial" w:cs="Arial" w:eastAsia="Arial" w:hAnsi="Arial"/>
          <w:sz w:val="18"/>
          <w:szCs w:val="18"/>
          <w:color w:val="auto"/>
        </w:rPr>
        <w:t>”).</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the Loan Parties have requested that Agent and Lenders amend certain provisions of the Credit Agreement;</w:t>
      </w:r>
    </w:p>
    <w:p>
      <w:pPr>
        <w:spacing w:after="0" w:line="225"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in connection with such amendments, the Loan Parties have requested that the Lenders convert certain of the outstanding interest</w:t>
      </w:r>
      <w:r>
        <w:rPr>
          <w:rFonts w:ascii="Arial" w:cs="Arial" w:eastAsia="Arial" w:hAnsi="Arial"/>
          <w:sz w:val="18"/>
          <w:szCs w:val="18"/>
          <w:b w:val="1"/>
          <w:bCs w:val="1"/>
          <w:color w:val="auto"/>
        </w:rPr>
        <w:t xml:space="preserve"> </w:t>
      </w:r>
      <w:r>
        <w:rPr>
          <w:rFonts w:ascii="Arial" w:cs="Arial" w:eastAsia="Arial" w:hAnsi="Arial"/>
          <w:sz w:val="18"/>
          <w:szCs w:val="18"/>
          <w:color w:val="auto"/>
        </w:rPr>
        <w:t>under the Term Loan to warrants; and</w:t>
      </w:r>
    </w:p>
    <w:p>
      <w:pPr>
        <w:spacing w:after="0" w:line="162"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i w:val="1"/>
          <w:iCs w:val="1"/>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the parties hereto desire to enter into this Amendment to, among other things, amend and restate certain provisions of the Credit</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 as further described below.</w:t>
      </w:r>
    </w:p>
    <w:p>
      <w:pPr>
        <w:spacing w:after="0" w:line="162"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7"/>
          <w:szCs w:val="17"/>
          <w:b w:val="1"/>
          <w:bCs w:val="1"/>
          <w:color w:val="auto"/>
        </w:rPr>
        <w:t>NOW THEREFORE</w:t>
      </w:r>
      <w:r>
        <w:rPr>
          <w:rFonts w:ascii="Arial" w:cs="Arial" w:eastAsia="Arial" w:hAnsi="Arial"/>
          <w:sz w:val="17"/>
          <w:szCs w:val="17"/>
          <w:color w:val="auto"/>
        </w:rPr>
        <w:t>, in consideration of the terms, conditions and covenants set forth below, and other good and valuable consideration, the</w:t>
      </w:r>
      <w:r>
        <w:rPr>
          <w:rFonts w:ascii="Arial" w:cs="Arial" w:eastAsia="Arial" w:hAnsi="Arial"/>
          <w:sz w:val="17"/>
          <w:szCs w:val="17"/>
          <w:b w:val="1"/>
          <w:bCs w:val="1"/>
          <w:color w:val="auto"/>
        </w:rPr>
        <w:t xml:space="preserve"> </w:t>
      </w:r>
      <w:r>
        <w:rPr>
          <w:rFonts w:ascii="Arial" w:cs="Arial" w:eastAsia="Arial" w:hAnsi="Arial"/>
          <w:sz w:val="17"/>
          <w:szCs w:val="17"/>
          <w:color w:val="auto"/>
        </w:rPr>
        <w:t>receipt of which is hereby acknowledged, the parties, intending to be legally bound hereby, promise and agree as follows. Capitalized terms used but not otherwise defined herein shall have the meanings given to such terms in the Credit Agreement as amended hereby.</w:t>
      </w:r>
    </w:p>
    <w:p>
      <w:pPr>
        <w:spacing w:after="0" w:line="162" w:lineRule="exact"/>
        <w:rPr>
          <w:sz w:val="20"/>
          <w:szCs w:val="20"/>
          <w:color w:val="auto"/>
        </w:rPr>
      </w:pPr>
    </w:p>
    <w:p>
      <w:pPr>
        <w:ind w:firstLine="656"/>
        <w:spacing w:after="0" w:line="308" w:lineRule="auto"/>
        <w:tabs>
          <w:tab w:leader="none" w:pos="841" w:val="left"/>
        </w:tabs>
        <w:numPr>
          <w:ilvl w:val="0"/>
          <w:numId w:val="68"/>
        </w:numPr>
        <w:rPr>
          <w:rFonts w:ascii="Arial" w:cs="Arial" w:eastAsia="Arial" w:hAnsi="Arial"/>
          <w:sz w:val="17"/>
          <w:szCs w:val="17"/>
          <w:color w:val="auto"/>
        </w:rPr>
      </w:pPr>
      <w:r>
        <w:rPr>
          <w:rFonts w:ascii="Arial" w:cs="Arial" w:eastAsia="Arial" w:hAnsi="Arial"/>
          <w:sz w:val="17"/>
          <w:szCs w:val="17"/>
          <w:u w:val="single" w:color="auto"/>
          <w:color w:val="auto"/>
        </w:rPr>
        <w:t>Amendments to Loan Documents</w:t>
      </w:r>
      <w:r>
        <w:rPr>
          <w:rFonts w:ascii="Arial" w:cs="Arial" w:eastAsia="Arial" w:hAnsi="Arial"/>
          <w:sz w:val="17"/>
          <w:szCs w:val="17"/>
          <w:color w:val="auto"/>
        </w:rPr>
        <w:t xml:space="preserve">. Upon satisfaction of the conditions set forth in </w:t>
      </w:r>
      <w:r>
        <w:rPr>
          <w:rFonts w:ascii="Arial" w:cs="Arial" w:eastAsia="Arial" w:hAnsi="Arial"/>
          <w:sz w:val="17"/>
          <w:szCs w:val="17"/>
          <w:u w:val="single" w:color="auto"/>
          <w:color w:val="auto"/>
        </w:rPr>
        <w:t>Section 7</w:t>
      </w:r>
      <w:r>
        <w:rPr>
          <w:rFonts w:ascii="Arial" w:cs="Arial" w:eastAsia="Arial" w:hAnsi="Arial"/>
          <w:sz w:val="17"/>
          <w:szCs w:val="17"/>
          <w:color w:val="auto"/>
        </w:rPr>
        <w:t xml:space="preserve"> hereof, and in reliance upon the Loan Parties’ representations and warranties set forth in the Credit Agreement and this Amendment, the Loan Parties, Agent and the Lenders agree as follows:</w:t>
      </w:r>
    </w:p>
    <w:p>
      <w:pPr>
        <w:spacing w:after="0" w:line="146" w:lineRule="exact"/>
        <w:rPr>
          <w:sz w:val="20"/>
          <w:szCs w:val="20"/>
          <w:color w:val="auto"/>
        </w:rPr>
      </w:pPr>
    </w:p>
    <w:p>
      <w:pPr>
        <w:jc w:val="both"/>
        <w:ind w:firstLine="656"/>
        <w:spacing w:after="0" w:line="263" w:lineRule="auto"/>
        <w:tabs>
          <w:tab w:leader="none" w:pos="899" w:val="left"/>
        </w:tabs>
        <w:numPr>
          <w:ilvl w:val="0"/>
          <w:numId w:val="69"/>
        </w:numPr>
        <w:rPr>
          <w:rFonts w:ascii="Arial" w:cs="Arial" w:eastAsia="Arial" w:hAnsi="Arial"/>
          <w:sz w:val="18"/>
          <w:szCs w:val="18"/>
          <w:color w:val="auto"/>
        </w:rPr>
      </w:pPr>
      <w:r>
        <w:rPr>
          <w:rFonts w:ascii="Arial" w:cs="Arial" w:eastAsia="Arial" w:hAnsi="Arial"/>
          <w:sz w:val="18"/>
          <w:szCs w:val="18"/>
          <w:color w:val="auto"/>
        </w:rPr>
        <w:t xml:space="preserve">The Credit Agreement, other than the Schedules and Exhibits thereto, is hereby amended to delete the stricken text (indicated textually in the same manner as the following example: </w:t>
      </w:r>
      <w:r>
        <w:rPr>
          <w:rFonts w:ascii="Arial" w:cs="Arial" w:eastAsia="Arial" w:hAnsi="Arial"/>
          <w:sz w:val="18"/>
          <w:szCs w:val="18"/>
          <w:color w:val="FF0000"/>
          <w:strike w:val="1"/>
        </w:rPr>
        <w:t>stricken text</w:t>
      </w:r>
      <w:r>
        <w:rPr>
          <w:rFonts w:ascii="Arial" w:cs="Arial" w:eastAsia="Arial" w:hAnsi="Arial"/>
          <w:sz w:val="18"/>
          <w:szCs w:val="18"/>
          <w:color w:val="auto"/>
        </w:rPr>
        <w:t xml:space="preserve">) and to add the bolded and underlined text (indicated textually in the same manner as the following example: </w:t>
      </w:r>
      <w:r>
        <w:rPr>
          <w:rFonts w:ascii="Arial" w:cs="Arial" w:eastAsia="Arial" w:hAnsi="Arial"/>
          <w:sz w:val="18"/>
          <w:szCs w:val="18"/>
          <w:b w:val="1"/>
          <w:bCs w:val="1"/>
          <w:u w:val="single" w:color="auto"/>
          <w:color w:val="0000FF"/>
        </w:rPr>
        <w:t>bolded and underlined text</w:t>
      </w:r>
      <w:r>
        <w:rPr>
          <w:rFonts w:ascii="Arial" w:cs="Arial" w:eastAsia="Arial" w:hAnsi="Arial"/>
          <w:sz w:val="18"/>
          <w:szCs w:val="18"/>
          <w:color w:val="auto"/>
        </w:rPr>
        <w:t xml:space="preserve">) as set forth in the Credit Agreement attached hereto as </w:t>
      </w:r>
      <w:r>
        <w:rPr>
          <w:rFonts w:ascii="Arial" w:cs="Arial" w:eastAsia="Arial" w:hAnsi="Arial"/>
          <w:sz w:val="18"/>
          <w:szCs w:val="18"/>
          <w:u w:val="single" w:color="auto"/>
          <w:color w:val="auto"/>
        </w:rPr>
        <w:t>Annex I</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132320"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3" w:name="page74"/>
    <w:bookmarkEnd w:id="73"/>
    <w:p>
      <w:pPr>
        <w:ind w:left="920" w:hanging="264"/>
        <w:spacing w:after="0"/>
        <w:tabs>
          <w:tab w:leader="none" w:pos="920" w:val="left"/>
        </w:tabs>
        <w:numPr>
          <w:ilvl w:val="1"/>
          <w:numId w:val="70"/>
        </w:numPr>
        <w:rPr>
          <w:rFonts w:ascii="Arial" w:cs="Arial" w:eastAsia="Arial" w:hAnsi="Arial"/>
          <w:sz w:val="17"/>
          <w:szCs w:val="17"/>
          <w:color w:val="auto"/>
        </w:rPr>
      </w:pPr>
      <w:r>
        <w:rPr>
          <w:rFonts w:ascii="Arial" w:cs="Arial" w:eastAsia="Arial" w:hAnsi="Arial"/>
          <w:sz w:val="17"/>
          <w:szCs w:val="17"/>
          <w:color w:val="auto"/>
        </w:rPr>
        <w:t xml:space="preserve">Each of the Exhibits to the Credit Agreement in </w:t>
      </w:r>
      <w:r>
        <w:rPr>
          <w:rFonts w:ascii="Arial" w:cs="Arial" w:eastAsia="Arial" w:hAnsi="Arial"/>
          <w:sz w:val="17"/>
          <w:szCs w:val="17"/>
          <w:u w:val="single" w:color="auto"/>
          <w:color w:val="auto"/>
        </w:rPr>
        <w:t>Annex II</w:t>
      </w:r>
      <w:r>
        <w:rPr>
          <w:rFonts w:ascii="Arial" w:cs="Arial" w:eastAsia="Arial" w:hAnsi="Arial"/>
          <w:sz w:val="17"/>
          <w:szCs w:val="17"/>
          <w:color w:val="auto"/>
        </w:rPr>
        <w:t xml:space="preserve"> hereto is hereby amended and restated in its entirety as set forth </w:t>
      </w:r>
      <w:r>
        <w:rPr>
          <w:rFonts w:ascii="Arial" w:cs="Arial" w:eastAsia="Arial" w:hAnsi="Arial"/>
          <w:sz w:val="17"/>
          <w:szCs w:val="17"/>
          <w:u w:val="single" w:color="auto"/>
          <w:color w:val="auto"/>
        </w:rPr>
        <w:t>Annex II</w:t>
      </w:r>
      <w:r>
        <w:rPr>
          <w:rFonts w:ascii="Arial" w:cs="Arial" w:eastAsia="Arial" w:hAnsi="Arial"/>
          <w:sz w:val="17"/>
          <w:szCs w:val="17"/>
          <w:color w:val="auto"/>
        </w:rPr>
        <w:t>.</w:t>
      </w:r>
    </w:p>
    <w:p>
      <w:pPr>
        <w:spacing w:after="0" w:line="236" w:lineRule="exact"/>
        <w:rPr>
          <w:rFonts w:ascii="Arial" w:cs="Arial" w:eastAsia="Arial" w:hAnsi="Arial"/>
          <w:sz w:val="17"/>
          <w:szCs w:val="17"/>
          <w:color w:val="auto"/>
        </w:rPr>
      </w:pPr>
    </w:p>
    <w:p>
      <w:pPr>
        <w:ind w:left="900" w:hanging="244"/>
        <w:spacing w:after="0"/>
        <w:tabs>
          <w:tab w:leader="none" w:pos="900" w:val="left"/>
        </w:tabs>
        <w:numPr>
          <w:ilvl w:val="1"/>
          <w:numId w:val="70"/>
        </w:numPr>
        <w:rPr>
          <w:rFonts w:ascii="Arial" w:cs="Arial" w:eastAsia="Arial" w:hAnsi="Arial"/>
          <w:sz w:val="16"/>
          <w:szCs w:val="16"/>
          <w:color w:val="auto"/>
        </w:rPr>
      </w:pPr>
      <w:r>
        <w:rPr>
          <w:rFonts w:ascii="Arial" w:cs="Arial" w:eastAsia="Arial" w:hAnsi="Arial"/>
          <w:sz w:val="16"/>
          <w:szCs w:val="16"/>
          <w:color w:val="auto"/>
        </w:rPr>
        <w:t>For purposes of determining the Tax consequences of the transactions contemplated by this Amendment, the aggregate fair market value of the</w:t>
      </w:r>
    </w:p>
    <w:p>
      <w:pPr>
        <w:spacing w:after="0" w:line="46" w:lineRule="exact"/>
        <w:rPr>
          <w:rFonts w:ascii="Arial" w:cs="Arial" w:eastAsia="Arial" w:hAnsi="Arial"/>
          <w:sz w:val="16"/>
          <w:szCs w:val="16"/>
          <w:color w:val="auto"/>
        </w:rPr>
      </w:pPr>
    </w:p>
    <w:p>
      <w:pPr>
        <w:ind w:firstLine="8"/>
        <w:spacing w:after="0" w:line="290" w:lineRule="auto"/>
        <w:tabs>
          <w:tab w:leader="none" w:pos="216" w:val="left"/>
        </w:tabs>
        <w:numPr>
          <w:ilvl w:val="0"/>
          <w:numId w:val="71"/>
        </w:numPr>
        <w:rPr>
          <w:rFonts w:ascii="Arial" w:cs="Arial" w:eastAsia="Arial" w:hAnsi="Arial"/>
          <w:sz w:val="17"/>
          <w:szCs w:val="17"/>
          <w:color w:val="auto"/>
        </w:rPr>
      </w:pPr>
      <w:r>
        <w:rPr>
          <w:rFonts w:ascii="Arial" w:cs="Arial" w:eastAsia="Arial" w:hAnsi="Arial"/>
          <w:sz w:val="17"/>
          <w:szCs w:val="17"/>
          <w:color w:val="auto"/>
        </w:rPr>
        <w:t>Second Amendment Warrants (as defined below) is $4,000,000; and (ii) Conversion Warrants (as defined below) is $1,000,000. The Second Amendment Warrants and Conversion Warrants are “Registrable Securities” as defined in the First Amendment Registration Rights Agreement.</w:t>
      </w:r>
    </w:p>
    <w:p>
      <w:pPr>
        <w:spacing w:after="0" w:line="161" w:lineRule="exact"/>
        <w:rPr>
          <w:sz w:val="20"/>
          <w:szCs w:val="20"/>
          <w:color w:val="auto"/>
        </w:rPr>
      </w:pPr>
    </w:p>
    <w:p>
      <w:pPr>
        <w:jc w:val="both"/>
        <w:ind w:firstLine="656"/>
        <w:spacing w:after="0" w:line="259" w:lineRule="auto"/>
        <w:tabs>
          <w:tab w:leader="none" w:pos="829" w:val="left"/>
        </w:tabs>
        <w:numPr>
          <w:ilvl w:val="0"/>
          <w:numId w:val="72"/>
        </w:numPr>
        <w:rPr>
          <w:rFonts w:ascii="Arial" w:cs="Arial" w:eastAsia="Arial" w:hAnsi="Arial"/>
          <w:sz w:val="18"/>
          <w:szCs w:val="18"/>
          <w:color w:val="auto"/>
        </w:rPr>
      </w:pPr>
      <w:r>
        <w:rPr>
          <w:rFonts w:ascii="Arial" w:cs="Arial" w:eastAsia="Arial" w:hAnsi="Arial"/>
          <w:sz w:val="18"/>
          <w:szCs w:val="18"/>
          <w:u w:val="single" w:color="auto"/>
          <w:color w:val="auto"/>
        </w:rPr>
        <w:t>Conversion Warrants</w:t>
      </w:r>
      <w:r>
        <w:rPr>
          <w:rFonts w:ascii="Arial" w:cs="Arial" w:eastAsia="Arial" w:hAnsi="Arial"/>
          <w:sz w:val="18"/>
          <w:szCs w:val="18"/>
          <w:color w:val="auto"/>
        </w:rPr>
        <w:t>. On the Second Amendment Effective Date (as defined below), the Lenders agree to exchange in the aggregate $1,000,000 of accrued and previously capitalized interest on the Term Loan for those certain warrants to purchase 500,000 shares of Parent Common Stock at a purchase price of $0.01 per share issued by Parent to the Lenders on the Second Amendment Effective Date (the “</w:t>
      </w:r>
      <w:r>
        <w:rPr>
          <w:rFonts w:ascii="Arial" w:cs="Arial" w:eastAsia="Arial" w:hAnsi="Arial"/>
          <w:sz w:val="18"/>
          <w:szCs w:val="18"/>
          <w:u w:val="single" w:color="auto"/>
          <w:color w:val="auto"/>
        </w:rPr>
        <w:t>Conversion Warrants</w:t>
      </w:r>
      <w:r>
        <w:rPr>
          <w:rFonts w:ascii="Arial" w:cs="Arial" w:eastAsia="Arial" w:hAnsi="Arial"/>
          <w:sz w:val="18"/>
          <w:szCs w:val="18"/>
          <w:color w:val="auto"/>
        </w:rPr>
        <w:t>”), as the same may be amended, restated, supplemented or otherwise modified from time to time.</w:t>
      </w:r>
    </w:p>
    <w:p>
      <w:pPr>
        <w:spacing w:after="0" w:line="186" w:lineRule="exact"/>
        <w:rPr>
          <w:rFonts w:ascii="Arial" w:cs="Arial" w:eastAsia="Arial" w:hAnsi="Arial"/>
          <w:sz w:val="18"/>
          <w:szCs w:val="18"/>
          <w:color w:val="auto"/>
        </w:rPr>
      </w:pPr>
    </w:p>
    <w:p>
      <w:pPr>
        <w:ind w:firstLine="656"/>
        <w:spacing w:after="0" w:line="277" w:lineRule="auto"/>
        <w:tabs>
          <w:tab w:leader="none" w:pos="820" w:val="left"/>
        </w:tabs>
        <w:numPr>
          <w:ilvl w:val="0"/>
          <w:numId w:val="72"/>
        </w:numPr>
        <w:rPr>
          <w:rFonts w:ascii="Arial" w:cs="Arial" w:eastAsia="Arial" w:hAnsi="Arial"/>
          <w:sz w:val="18"/>
          <w:szCs w:val="18"/>
          <w:color w:val="auto"/>
        </w:rPr>
      </w:pPr>
      <w:r>
        <w:rPr>
          <w:rFonts w:ascii="Arial" w:cs="Arial" w:eastAsia="Arial" w:hAnsi="Arial"/>
          <w:sz w:val="18"/>
          <w:szCs w:val="18"/>
          <w:u w:val="single" w:color="auto"/>
          <w:color w:val="auto"/>
        </w:rPr>
        <w:t>Amendment Fees</w:t>
      </w:r>
      <w:r>
        <w:rPr>
          <w:rFonts w:ascii="Arial" w:cs="Arial" w:eastAsia="Arial" w:hAnsi="Arial"/>
          <w:sz w:val="18"/>
          <w:szCs w:val="18"/>
          <w:color w:val="auto"/>
        </w:rPr>
        <w:t>. On the Second Amendment Effective Date (as defined below), the Loan Parties agree to pay to the Agent and the Lenders the fees set forth in Section 5 of the Second Amended and Restated Fee Letter of even date herewith (the “</w:t>
      </w:r>
      <w:r>
        <w:rPr>
          <w:rFonts w:ascii="Arial" w:cs="Arial" w:eastAsia="Arial" w:hAnsi="Arial"/>
          <w:sz w:val="18"/>
          <w:szCs w:val="18"/>
          <w:u w:val="single" w:color="auto"/>
          <w:color w:val="auto"/>
        </w:rPr>
        <w:t>Fee Letter</w:t>
      </w:r>
      <w:r>
        <w:rPr>
          <w:rFonts w:ascii="Arial" w:cs="Arial" w:eastAsia="Arial" w:hAnsi="Arial"/>
          <w:sz w:val="18"/>
          <w:szCs w:val="18"/>
          <w:color w:val="auto"/>
        </w:rPr>
        <w:t>”).</w:t>
      </w:r>
    </w:p>
    <w:p>
      <w:pPr>
        <w:spacing w:after="0" w:line="170" w:lineRule="exact"/>
        <w:rPr>
          <w:rFonts w:ascii="Arial" w:cs="Arial" w:eastAsia="Arial" w:hAnsi="Arial"/>
          <w:sz w:val="18"/>
          <w:szCs w:val="18"/>
          <w:color w:val="auto"/>
        </w:rPr>
      </w:pPr>
    </w:p>
    <w:p>
      <w:pPr>
        <w:jc w:val="both"/>
        <w:ind w:firstLine="656"/>
        <w:spacing w:after="0" w:line="263" w:lineRule="auto"/>
        <w:tabs>
          <w:tab w:leader="none" w:pos="829" w:val="left"/>
        </w:tabs>
        <w:numPr>
          <w:ilvl w:val="0"/>
          <w:numId w:val="72"/>
        </w:numPr>
        <w:rPr>
          <w:rFonts w:ascii="Arial" w:cs="Arial" w:eastAsia="Arial" w:hAnsi="Arial"/>
          <w:sz w:val="18"/>
          <w:szCs w:val="18"/>
          <w:color w:val="auto"/>
        </w:rPr>
      </w:pPr>
      <w:r>
        <w:rPr>
          <w:rFonts w:ascii="Arial" w:cs="Arial" w:eastAsia="Arial" w:hAnsi="Arial"/>
          <w:sz w:val="18"/>
          <w:szCs w:val="18"/>
          <w:u w:val="single" w:color="auto"/>
          <w:color w:val="auto"/>
        </w:rPr>
        <w:t>Incorporation</w:t>
      </w:r>
      <w:r>
        <w:rPr>
          <w:rFonts w:ascii="Arial" w:cs="Arial" w:eastAsia="Arial" w:hAnsi="Arial"/>
          <w:sz w:val="18"/>
          <w:szCs w:val="18"/>
          <w:color w:val="auto"/>
        </w:rPr>
        <w:t>. This Amendment shall be a Loan Document (within the meaning of such term under the Credit Agreement), and shall inure to the benefit of and be enforceable by the Agent and its successors and assigns. This Amendment and its attachments are hereby incorporated into the applicable Loan Document and made a part thereof.</w:t>
      </w:r>
    </w:p>
    <w:p>
      <w:pPr>
        <w:spacing w:after="0" w:line="183" w:lineRule="exact"/>
        <w:rPr>
          <w:rFonts w:ascii="Arial" w:cs="Arial" w:eastAsia="Arial" w:hAnsi="Arial"/>
          <w:sz w:val="18"/>
          <w:szCs w:val="18"/>
          <w:color w:val="auto"/>
        </w:rPr>
      </w:pPr>
    </w:p>
    <w:p>
      <w:pPr>
        <w:jc w:val="both"/>
        <w:ind w:firstLine="656"/>
        <w:spacing w:after="0" w:line="273" w:lineRule="auto"/>
        <w:tabs>
          <w:tab w:leader="none" w:pos="835" w:val="left"/>
        </w:tabs>
        <w:numPr>
          <w:ilvl w:val="0"/>
          <w:numId w:val="72"/>
        </w:numPr>
        <w:rPr>
          <w:rFonts w:ascii="Arial" w:cs="Arial" w:eastAsia="Arial" w:hAnsi="Arial"/>
          <w:sz w:val="17"/>
          <w:szCs w:val="17"/>
          <w:color w:val="auto"/>
        </w:rPr>
      </w:pPr>
      <w:r>
        <w:rPr>
          <w:rFonts w:ascii="Arial" w:cs="Arial" w:eastAsia="Arial" w:hAnsi="Arial"/>
          <w:sz w:val="17"/>
          <w:szCs w:val="17"/>
          <w:u w:val="single" w:color="auto"/>
          <w:color w:val="auto"/>
        </w:rPr>
        <w:t>Confirmation and Reaffirmation</w:t>
      </w:r>
      <w:r>
        <w:rPr>
          <w:rFonts w:ascii="Arial" w:cs="Arial" w:eastAsia="Arial" w:hAnsi="Arial"/>
          <w:sz w:val="17"/>
          <w:szCs w:val="17"/>
          <w:color w:val="auto"/>
        </w:rPr>
        <w:t>. The Loan Parties confirm that the Credit Agreement and each Loan Document is, and shall continue to be, in full force and effect. The Loan Parties further confirm and represents that the Collateral (within the meaning of such term under the Credit Agreement as amended hereby) remains free and clear of all Liens other than those in favor of Agent or as otherwise permitted in the Loan Documents. Nothing contained herein is intended to in any way impair or limit the validity, priority or extent of Agent’s security interest in and Liens upon the Collateral of any Loan Party. Upon the effectiveness of the amendments set forth herein, as of May 22, 2023, the outstanding principal balance of the Term Loan will be $59,296,327.81 and the accrued and unpaid interest thereon will be $502,469.40.</w:t>
      </w:r>
    </w:p>
    <w:p>
      <w:pPr>
        <w:spacing w:after="0" w:line="177" w:lineRule="exact"/>
        <w:rPr>
          <w:rFonts w:ascii="Arial" w:cs="Arial" w:eastAsia="Arial" w:hAnsi="Arial"/>
          <w:sz w:val="17"/>
          <w:szCs w:val="17"/>
          <w:color w:val="auto"/>
        </w:rPr>
      </w:pPr>
    </w:p>
    <w:p>
      <w:pPr>
        <w:jc w:val="both"/>
        <w:ind w:firstLine="656"/>
        <w:spacing w:after="0" w:line="259" w:lineRule="auto"/>
        <w:tabs>
          <w:tab w:leader="none" w:pos="849" w:val="left"/>
        </w:tabs>
        <w:numPr>
          <w:ilvl w:val="0"/>
          <w:numId w:val="72"/>
        </w:numPr>
        <w:rPr>
          <w:rFonts w:ascii="Arial" w:cs="Arial" w:eastAsia="Arial" w:hAnsi="Arial"/>
          <w:sz w:val="18"/>
          <w:szCs w:val="18"/>
          <w:color w:val="auto"/>
        </w:rPr>
      </w:pPr>
      <w:r>
        <w:rPr>
          <w:rFonts w:ascii="Arial" w:cs="Arial" w:eastAsia="Arial" w:hAnsi="Arial"/>
          <w:sz w:val="18"/>
          <w:szCs w:val="18"/>
          <w:u w:val="single" w:color="auto"/>
          <w:color w:val="auto"/>
        </w:rPr>
        <w:t>Ratification</w:t>
      </w:r>
      <w:r>
        <w:rPr>
          <w:rFonts w:ascii="Arial" w:cs="Arial" w:eastAsia="Arial" w:hAnsi="Arial"/>
          <w:sz w:val="18"/>
          <w:szCs w:val="18"/>
          <w:color w:val="auto"/>
        </w:rPr>
        <w:t>. The terms and provisions set forth in this Amendment shall modify and supersede all inconsistent terms and provisions of the Credit Agreement, and shall not be deemed to be a consent to the modification or waiver of any other term or condition of the Credit Agreement or any other Loan Document. Except as expressly modified and superseded by this Amendment, the terms and provisions of the Credit Agreement and the other Loan Documents are ratified and confirmed and shall continue in full force and effect.</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74" w:name="page75"/>
    <w:bookmarkEnd w:id="74"/>
    <w:p>
      <w:pPr>
        <w:ind w:firstLine="656"/>
        <w:spacing w:after="0" w:line="277" w:lineRule="auto"/>
        <w:tabs>
          <w:tab w:leader="none" w:pos="852" w:val="left"/>
        </w:tabs>
        <w:numPr>
          <w:ilvl w:val="0"/>
          <w:numId w:val="73"/>
        </w:numPr>
        <w:rPr>
          <w:rFonts w:ascii="Arial" w:cs="Arial" w:eastAsia="Arial" w:hAnsi="Arial"/>
          <w:sz w:val="18"/>
          <w:szCs w:val="18"/>
          <w:color w:val="auto"/>
        </w:rPr>
      </w:pPr>
      <w:r>
        <w:rPr>
          <w:rFonts w:ascii="Arial" w:cs="Arial" w:eastAsia="Arial" w:hAnsi="Arial"/>
          <w:sz w:val="18"/>
          <w:szCs w:val="18"/>
          <w:u w:val="single" w:color="auto"/>
          <w:color w:val="auto"/>
        </w:rPr>
        <w:t>Conditions Precedent</w:t>
      </w:r>
      <w:r>
        <w:rPr>
          <w:rFonts w:ascii="Arial" w:cs="Arial" w:eastAsia="Arial" w:hAnsi="Arial"/>
          <w:sz w:val="18"/>
          <w:szCs w:val="18"/>
          <w:color w:val="auto"/>
        </w:rPr>
        <w:t>. This Amendment will become effective on the first date (the “</w:t>
      </w:r>
      <w:r>
        <w:rPr>
          <w:rFonts w:ascii="Arial" w:cs="Arial" w:eastAsia="Arial" w:hAnsi="Arial"/>
          <w:sz w:val="18"/>
          <w:szCs w:val="18"/>
          <w:u w:val="single" w:color="auto"/>
          <w:color w:val="auto"/>
        </w:rPr>
        <w:t>Second Amendment Effective Date</w:t>
      </w:r>
      <w:r>
        <w:rPr>
          <w:rFonts w:ascii="Arial" w:cs="Arial" w:eastAsia="Arial" w:hAnsi="Arial"/>
          <w:sz w:val="18"/>
          <w:szCs w:val="18"/>
          <w:color w:val="auto"/>
        </w:rPr>
        <w:t>”) that each of the following conditions precedent have been either satisfied or waived by the Agent in writing in its sole discretion:</w:t>
      </w:r>
    </w:p>
    <w:p>
      <w:pPr>
        <w:spacing w:after="0" w:line="170" w:lineRule="exact"/>
        <w:rPr>
          <w:rFonts w:ascii="Arial" w:cs="Arial" w:eastAsia="Arial" w:hAnsi="Arial"/>
          <w:sz w:val="18"/>
          <w:szCs w:val="18"/>
          <w:color w:val="auto"/>
        </w:rPr>
      </w:pPr>
    </w:p>
    <w:p>
      <w:pPr>
        <w:ind w:firstLine="980"/>
        <w:spacing w:after="0" w:line="277" w:lineRule="auto"/>
        <w:tabs>
          <w:tab w:leader="none" w:pos="1226" w:val="left"/>
        </w:tabs>
        <w:numPr>
          <w:ilvl w:val="1"/>
          <w:numId w:val="73"/>
        </w:numPr>
        <w:rPr>
          <w:rFonts w:ascii="Arial" w:cs="Arial" w:eastAsia="Arial" w:hAnsi="Arial"/>
          <w:sz w:val="18"/>
          <w:szCs w:val="18"/>
          <w:color w:val="auto"/>
        </w:rPr>
      </w:pPr>
      <w:r>
        <w:rPr>
          <w:rFonts w:ascii="Arial" w:cs="Arial" w:eastAsia="Arial" w:hAnsi="Arial"/>
          <w:sz w:val="18"/>
          <w:szCs w:val="18"/>
          <w:u w:val="single" w:color="auto"/>
          <w:color w:val="auto"/>
        </w:rPr>
        <w:t>Transaction Documents</w:t>
      </w:r>
      <w:r>
        <w:rPr>
          <w:rFonts w:ascii="Arial" w:cs="Arial" w:eastAsia="Arial" w:hAnsi="Arial"/>
          <w:sz w:val="18"/>
          <w:szCs w:val="18"/>
          <w:color w:val="auto"/>
        </w:rPr>
        <w:t>. Agent and the Lenders shall have received each of the following, each of which shall be in form and substance satisfactory to Agent and Lenders:</w:t>
      </w:r>
    </w:p>
    <w:p>
      <w:pPr>
        <w:spacing w:after="0" w:line="170" w:lineRule="exact"/>
        <w:rPr>
          <w:rFonts w:ascii="Arial" w:cs="Arial" w:eastAsia="Arial" w:hAnsi="Arial"/>
          <w:sz w:val="18"/>
          <w:szCs w:val="18"/>
          <w:color w:val="auto"/>
        </w:rPr>
      </w:pPr>
    </w:p>
    <w:p>
      <w:pPr>
        <w:ind w:left="1520" w:hanging="216"/>
        <w:spacing w:after="0"/>
        <w:tabs>
          <w:tab w:leader="none" w:pos="1520" w:val="left"/>
        </w:tabs>
        <w:numPr>
          <w:ilvl w:val="2"/>
          <w:numId w:val="73"/>
        </w:numPr>
        <w:rPr>
          <w:rFonts w:ascii="Arial" w:cs="Arial" w:eastAsia="Arial" w:hAnsi="Arial"/>
          <w:sz w:val="18"/>
          <w:szCs w:val="18"/>
          <w:color w:val="auto"/>
        </w:rPr>
      </w:pPr>
      <w:r>
        <w:rPr>
          <w:rFonts w:ascii="Arial" w:cs="Arial" w:eastAsia="Arial" w:hAnsi="Arial"/>
          <w:sz w:val="18"/>
          <w:szCs w:val="18"/>
          <w:color w:val="auto"/>
        </w:rPr>
        <w:t>this Amendment, executed and delivered by Agent, each Lender and each Loan Party as applicable;</w:t>
      </w:r>
    </w:p>
    <w:p>
      <w:pPr>
        <w:spacing w:after="0" w:line="225" w:lineRule="exact"/>
        <w:rPr>
          <w:rFonts w:ascii="Arial" w:cs="Arial" w:eastAsia="Arial" w:hAnsi="Arial"/>
          <w:sz w:val="18"/>
          <w:szCs w:val="18"/>
          <w:color w:val="auto"/>
        </w:rPr>
      </w:pPr>
    </w:p>
    <w:p>
      <w:pPr>
        <w:jc w:val="both"/>
        <w:ind w:firstLine="1304"/>
        <w:spacing w:after="0" w:line="259" w:lineRule="auto"/>
        <w:tabs>
          <w:tab w:leader="none" w:pos="1567" w:val="left"/>
        </w:tabs>
        <w:numPr>
          <w:ilvl w:val="2"/>
          <w:numId w:val="73"/>
        </w:numPr>
        <w:rPr>
          <w:rFonts w:ascii="Arial" w:cs="Arial" w:eastAsia="Arial" w:hAnsi="Arial"/>
          <w:sz w:val="18"/>
          <w:szCs w:val="18"/>
          <w:color w:val="auto"/>
        </w:rPr>
      </w:pPr>
      <w:r>
        <w:rPr>
          <w:rFonts w:ascii="Arial" w:cs="Arial" w:eastAsia="Arial" w:hAnsi="Arial"/>
          <w:sz w:val="18"/>
          <w:szCs w:val="18"/>
          <w:color w:val="auto"/>
        </w:rPr>
        <w:t>those certain warrants to purchase 2,000,000 shares of Parent Common Stock at a purchase price of $0.01 per share issued by Parent pursuant to the Fee Letter to the Lenders on the Second Amendment Effective Date, as may be amended, restated, supplemented or otherwise modified from time to time (the “</w:t>
      </w:r>
      <w:r>
        <w:rPr>
          <w:rFonts w:ascii="Arial" w:cs="Arial" w:eastAsia="Arial" w:hAnsi="Arial"/>
          <w:sz w:val="18"/>
          <w:szCs w:val="18"/>
          <w:u w:val="single" w:color="auto"/>
          <w:color w:val="auto"/>
        </w:rPr>
        <w:t>Second Amendment Warrants</w:t>
      </w:r>
      <w:r>
        <w:rPr>
          <w:rFonts w:ascii="Arial" w:cs="Arial" w:eastAsia="Arial" w:hAnsi="Arial"/>
          <w:sz w:val="18"/>
          <w:szCs w:val="18"/>
          <w:color w:val="auto"/>
        </w:rPr>
        <w:t>”) apportioned to the Lenders in accordance with their Term Loan Commitments as of the Second Amendment Effective Date;</w:t>
      </w:r>
    </w:p>
    <w:p>
      <w:pPr>
        <w:spacing w:after="0" w:line="186" w:lineRule="exact"/>
        <w:rPr>
          <w:rFonts w:ascii="Arial" w:cs="Arial" w:eastAsia="Arial" w:hAnsi="Arial"/>
          <w:sz w:val="18"/>
          <w:szCs w:val="18"/>
          <w:color w:val="auto"/>
        </w:rPr>
      </w:pPr>
    </w:p>
    <w:p>
      <w:pPr>
        <w:ind w:left="1620" w:hanging="316"/>
        <w:spacing w:after="0"/>
        <w:tabs>
          <w:tab w:leader="none" w:pos="1620" w:val="left"/>
        </w:tabs>
        <w:numPr>
          <w:ilvl w:val="2"/>
          <w:numId w:val="73"/>
        </w:numPr>
        <w:rPr>
          <w:rFonts w:ascii="Arial" w:cs="Arial" w:eastAsia="Arial" w:hAnsi="Arial"/>
          <w:sz w:val="18"/>
          <w:szCs w:val="18"/>
          <w:color w:val="auto"/>
        </w:rPr>
      </w:pPr>
      <w:r>
        <w:rPr>
          <w:rFonts w:ascii="Arial" w:cs="Arial" w:eastAsia="Arial" w:hAnsi="Arial"/>
          <w:sz w:val="18"/>
          <w:szCs w:val="18"/>
          <w:color w:val="auto"/>
        </w:rPr>
        <w:t>the Conversion Warrants;</w:t>
      </w:r>
    </w:p>
    <w:p>
      <w:pPr>
        <w:spacing w:after="0" w:line="225" w:lineRule="exact"/>
        <w:rPr>
          <w:rFonts w:ascii="Arial" w:cs="Arial" w:eastAsia="Arial" w:hAnsi="Arial"/>
          <w:sz w:val="18"/>
          <w:szCs w:val="18"/>
          <w:color w:val="auto"/>
        </w:rPr>
      </w:pPr>
    </w:p>
    <w:p>
      <w:pPr>
        <w:ind w:left="1600" w:hanging="296"/>
        <w:spacing w:after="0"/>
        <w:tabs>
          <w:tab w:leader="none" w:pos="1600" w:val="left"/>
        </w:tabs>
        <w:numPr>
          <w:ilvl w:val="2"/>
          <w:numId w:val="73"/>
        </w:numPr>
        <w:rPr>
          <w:rFonts w:ascii="Arial" w:cs="Arial" w:eastAsia="Arial" w:hAnsi="Arial"/>
          <w:sz w:val="18"/>
          <w:szCs w:val="18"/>
          <w:color w:val="auto"/>
        </w:rPr>
      </w:pPr>
      <w:r>
        <w:rPr>
          <w:rFonts w:ascii="Arial" w:cs="Arial" w:eastAsia="Arial" w:hAnsi="Arial"/>
          <w:sz w:val="18"/>
          <w:szCs w:val="18"/>
          <w:color w:val="auto"/>
        </w:rPr>
        <w:t>the Fee Letter, executed and delivered by the Loan Parties;</w:t>
      </w:r>
    </w:p>
    <w:p>
      <w:pPr>
        <w:spacing w:after="0" w:line="225" w:lineRule="exact"/>
        <w:rPr>
          <w:rFonts w:ascii="Arial" w:cs="Arial" w:eastAsia="Arial" w:hAnsi="Arial"/>
          <w:sz w:val="18"/>
          <w:szCs w:val="18"/>
          <w:color w:val="auto"/>
        </w:rPr>
      </w:pPr>
    </w:p>
    <w:p>
      <w:pPr>
        <w:jc w:val="both"/>
        <w:ind w:firstLine="1304"/>
        <w:spacing w:after="0" w:line="342" w:lineRule="auto"/>
        <w:tabs>
          <w:tab w:leader="none" w:pos="1566" w:val="left"/>
        </w:tabs>
        <w:numPr>
          <w:ilvl w:val="2"/>
          <w:numId w:val="73"/>
        </w:numPr>
        <w:rPr>
          <w:rFonts w:ascii="Arial" w:cs="Arial" w:eastAsia="Arial" w:hAnsi="Arial"/>
          <w:sz w:val="16"/>
          <w:szCs w:val="16"/>
          <w:color w:val="auto"/>
        </w:rPr>
      </w:pPr>
      <w:r>
        <w:rPr>
          <w:rFonts w:ascii="Arial" w:cs="Arial" w:eastAsia="Arial" w:hAnsi="Arial"/>
          <w:sz w:val="16"/>
          <w:szCs w:val="16"/>
          <w:color w:val="auto"/>
        </w:rPr>
        <w:t>Agent shall have received proof that Parent has obtained a written waiver of Section 2(h) of that certain Amended and Restated Registration Rights Agreement, dated September 21, 2022, signed by holders of a majority of the Registrable Securities (as defined in such agreement); and</w:t>
      </w:r>
    </w:p>
    <w:p>
      <w:pPr>
        <w:spacing w:after="0" w:line="123" w:lineRule="exact"/>
        <w:rPr>
          <w:rFonts w:ascii="Arial" w:cs="Arial" w:eastAsia="Arial" w:hAnsi="Arial"/>
          <w:sz w:val="16"/>
          <w:szCs w:val="16"/>
          <w:color w:val="auto"/>
        </w:rPr>
      </w:pPr>
    </w:p>
    <w:p>
      <w:pPr>
        <w:ind w:firstLine="1304"/>
        <w:spacing w:after="0" w:line="277" w:lineRule="auto"/>
        <w:tabs>
          <w:tab w:leader="none" w:pos="1644" w:val="left"/>
        </w:tabs>
        <w:numPr>
          <w:ilvl w:val="2"/>
          <w:numId w:val="73"/>
        </w:numPr>
        <w:rPr>
          <w:rFonts w:ascii="Arial" w:cs="Arial" w:eastAsia="Arial" w:hAnsi="Arial"/>
          <w:sz w:val="18"/>
          <w:szCs w:val="18"/>
          <w:color w:val="auto"/>
        </w:rPr>
      </w:pPr>
      <w:r>
        <w:rPr>
          <w:rFonts w:ascii="Arial" w:cs="Arial" w:eastAsia="Arial" w:hAnsi="Arial"/>
          <w:sz w:val="18"/>
          <w:szCs w:val="18"/>
          <w:color w:val="auto"/>
        </w:rPr>
        <w:t>the Agent shall have received evidence satisfactory to it that Parent shall have received gross proceeds of additional equity investments of $9,000,000, which shall be contributed by Parent to Borrower to be used for working capital purposes.</w:t>
      </w:r>
    </w:p>
    <w:p>
      <w:pPr>
        <w:spacing w:after="0" w:line="170" w:lineRule="exact"/>
        <w:rPr>
          <w:rFonts w:ascii="Arial" w:cs="Arial" w:eastAsia="Arial" w:hAnsi="Arial"/>
          <w:sz w:val="18"/>
          <w:szCs w:val="18"/>
          <w:color w:val="auto"/>
        </w:rPr>
      </w:pPr>
    </w:p>
    <w:p>
      <w:pPr>
        <w:jc w:val="both"/>
        <w:ind w:firstLine="980"/>
        <w:spacing w:after="0" w:line="286" w:lineRule="auto"/>
        <w:tabs>
          <w:tab w:leader="none" w:pos="1232" w:val="left"/>
        </w:tabs>
        <w:numPr>
          <w:ilvl w:val="1"/>
          <w:numId w:val="73"/>
        </w:numPr>
        <w:rPr>
          <w:rFonts w:ascii="Arial" w:cs="Arial" w:eastAsia="Arial" w:hAnsi="Arial"/>
          <w:sz w:val="17"/>
          <w:szCs w:val="17"/>
          <w:color w:val="auto"/>
        </w:rPr>
      </w:pPr>
      <w:r>
        <w:rPr>
          <w:rFonts w:ascii="Arial" w:cs="Arial" w:eastAsia="Arial" w:hAnsi="Arial"/>
          <w:sz w:val="17"/>
          <w:szCs w:val="17"/>
          <w:u w:val="single" w:color="auto"/>
          <w:color w:val="auto"/>
        </w:rPr>
        <w:t>Fees and Expenses</w:t>
      </w:r>
      <w:r>
        <w:rPr>
          <w:rFonts w:ascii="Arial" w:cs="Arial" w:eastAsia="Arial" w:hAnsi="Arial"/>
          <w:sz w:val="17"/>
          <w:szCs w:val="17"/>
          <w:color w:val="auto"/>
        </w:rPr>
        <w:t>. The Loan Parties shall have (i) paid all fees due as set forth in the Fee Letter to Agent and the reasonable expenses of the Agent and the Lenders, including, without limitation, the fees, costs and expenses of K&amp;L Gates LLP, as counsel to the Agent and the Lenders, by wire transfer of immediately available funds; and (ii) the Lenders shall have received the Second Amendment Warrants;</w:t>
      </w:r>
    </w:p>
    <w:p>
      <w:pPr>
        <w:spacing w:after="0" w:line="165" w:lineRule="exact"/>
        <w:rPr>
          <w:rFonts w:ascii="Arial" w:cs="Arial" w:eastAsia="Arial" w:hAnsi="Arial"/>
          <w:sz w:val="17"/>
          <w:szCs w:val="17"/>
          <w:color w:val="auto"/>
        </w:rPr>
      </w:pPr>
    </w:p>
    <w:p>
      <w:pPr>
        <w:jc w:val="both"/>
        <w:ind w:firstLine="980"/>
        <w:spacing w:after="0" w:line="257" w:lineRule="auto"/>
        <w:tabs>
          <w:tab w:leader="none" w:pos="1256" w:val="left"/>
        </w:tabs>
        <w:numPr>
          <w:ilvl w:val="1"/>
          <w:numId w:val="73"/>
        </w:numPr>
        <w:rPr>
          <w:rFonts w:ascii="Arial" w:cs="Arial" w:eastAsia="Arial" w:hAnsi="Arial"/>
          <w:sz w:val="18"/>
          <w:szCs w:val="18"/>
          <w:color w:val="auto"/>
        </w:rPr>
      </w:pPr>
      <w:r>
        <w:rPr>
          <w:rFonts w:ascii="Arial" w:cs="Arial" w:eastAsia="Arial" w:hAnsi="Arial"/>
          <w:sz w:val="18"/>
          <w:szCs w:val="18"/>
          <w:u w:val="single" w:color="auto"/>
          <w:color w:val="auto"/>
        </w:rPr>
        <w:t>Representations and Warranties</w:t>
      </w:r>
      <w:r>
        <w:rPr>
          <w:rFonts w:ascii="Arial" w:cs="Arial" w:eastAsia="Arial" w:hAnsi="Arial"/>
          <w:sz w:val="18"/>
          <w:szCs w:val="18"/>
          <w:color w:val="auto"/>
        </w:rPr>
        <w:t>. Each of the representations and warranties made by each Loan Party in or pursuant to any Loan Document (i) that is qualified by materiality shall be true and correct in all respects, and (ii) that is not qualified by materiality, shall be true and correct in all material respects, in each case, on and as of such date as if made on and as of such date, except to the extent any such representation and warranty expressly relates to an earlier date, in which case such representation and warranty shall have been true and correct, or true and correct in all material respects, as applicable, as of such earlier date;</w:t>
      </w:r>
    </w:p>
    <w:p>
      <w:pPr>
        <w:spacing w:after="0" w:line="187" w:lineRule="exact"/>
        <w:rPr>
          <w:rFonts w:ascii="Arial" w:cs="Arial" w:eastAsia="Arial" w:hAnsi="Arial"/>
          <w:sz w:val="18"/>
          <w:szCs w:val="18"/>
          <w:color w:val="auto"/>
        </w:rPr>
      </w:pPr>
    </w:p>
    <w:p>
      <w:pPr>
        <w:ind w:firstLine="980"/>
        <w:spacing w:after="0" w:line="277" w:lineRule="auto"/>
        <w:tabs>
          <w:tab w:leader="none" w:pos="1235" w:val="left"/>
        </w:tabs>
        <w:numPr>
          <w:ilvl w:val="1"/>
          <w:numId w:val="73"/>
        </w:numPr>
        <w:rPr>
          <w:rFonts w:ascii="Arial" w:cs="Arial" w:eastAsia="Arial" w:hAnsi="Arial"/>
          <w:sz w:val="18"/>
          <w:szCs w:val="18"/>
          <w:color w:val="auto"/>
        </w:rPr>
      </w:pPr>
      <w:r>
        <w:rPr>
          <w:rFonts w:ascii="Arial" w:cs="Arial" w:eastAsia="Arial" w:hAnsi="Arial"/>
          <w:sz w:val="18"/>
          <w:szCs w:val="18"/>
          <w:u w:val="single" w:color="auto"/>
          <w:color w:val="auto"/>
        </w:rPr>
        <w:t>No Default</w:t>
      </w:r>
      <w:r>
        <w:rPr>
          <w:rFonts w:ascii="Arial" w:cs="Arial" w:eastAsia="Arial" w:hAnsi="Arial"/>
          <w:sz w:val="18"/>
          <w:szCs w:val="18"/>
          <w:color w:val="auto"/>
        </w:rPr>
        <w:t>. Immediately after giving effect to this Amendment, no Default or Event of Default shall have occurred and be continuing as of or on such date that has not been waived by the Agent and the Lenders;</w:t>
      </w:r>
    </w:p>
    <w:p>
      <w:pPr>
        <w:spacing w:after="0" w:line="170" w:lineRule="exact"/>
        <w:rPr>
          <w:rFonts w:ascii="Arial" w:cs="Arial" w:eastAsia="Arial" w:hAnsi="Arial"/>
          <w:sz w:val="18"/>
          <w:szCs w:val="18"/>
          <w:color w:val="auto"/>
        </w:rPr>
      </w:pPr>
    </w:p>
    <w:p>
      <w:pPr>
        <w:ind w:firstLine="980"/>
        <w:spacing w:after="0" w:line="277" w:lineRule="auto"/>
        <w:tabs>
          <w:tab w:leader="none" w:pos="1234" w:val="left"/>
        </w:tabs>
        <w:numPr>
          <w:ilvl w:val="1"/>
          <w:numId w:val="73"/>
        </w:numPr>
        <w:rPr>
          <w:rFonts w:ascii="Arial" w:cs="Arial" w:eastAsia="Arial" w:hAnsi="Arial"/>
          <w:sz w:val="18"/>
          <w:szCs w:val="18"/>
          <w:color w:val="auto"/>
        </w:rPr>
      </w:pPr>
      <w:r>
        <w:rPr>
          <w:rFonts w:ascii="Arial" w:cs="Arial" w:eastAsia="Arial" w:hAnsi="Arial"/>
          <w:sz w:val="18"/>
          <w:szCs w:val="18"/>
          <w:u w:val="single" w:color="auto"/>
          <w:color w:val="auto"/>
        </w:rPr>
        <w:t>No Material Adverse Effect</w:t>
      </w:r>
      <w:r>
        <w:rPr>
          <w:rFonts w:ascii="Arial" w:cs="Arial" w:eastAsia="Arial" w:hAnsi="Arial"/>
          <w:sz w:val="18"/>
          <w:szCs w:val="18"/>
          <w:color w:val="auto"/>
        </w:rPr>
        <w:t>. There shall not have occurred since the Closing Date, any event or circumstance that has had or could be reasonably expected to have, individually or in the aggregate, a Material Adverse Effect; and</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75" w:name="page76"/>
    <w:bookmarkEnd w:id="75"/>
    <w:p>
      <w:pPr>
        <w:ind w:firstLine="980"/>
        <w:spacing w:after="0" w:line="277" w:lineRule="auto"/>
        <w:tabs>
          <w:tab w:leader="none" w:pos="1215" w:val="left"/>
        </w:tabs>
        <w:numPr>
          <w:ilvl w:val="2"/>
          <w:numId w:val="74"/>
        </w:numPr>
        <w:rPr>
          <w:rFonts w:ascii="Arial" w:cs="Arial" w:eastAsia="Arial" w:hAnsi="Arial"/>
          <w:sz w:val="18"/>
          <w:szCs w:val="18"/>
          <w:color w:val="auto"/>
        </w:rPr>
      </w:pPr>
      <w:r>
        <w:rPr>
          <w:rFonts w:ascii="Arial" w:cs="Arial" w:eastAsia="Arial" w:hAnsi="Arial"/>
          <w:sz w:val="18"/>
          <w:szCs w:val="18"/>
          <w:u w:val="single" w:color="auto"/>
          <w:color w:val="auto"/>
        </w:rPr>
        <w:t>Additional Documents</w:t>
      </w:r>
      <w:r>
        <w:rPr>
          <w:rFonts w:ascii="Arial" w:cs="Arial" w:eastAsia="Arial" w:hAnsi="Arial"/>
          <w:sz w:val="18"/>
          <w:szCs w:val="18"/>
          <w:color w:val="auto"/>
        </w:rPr>
        <w:t>. The Lenders shall have received such documentation as any Lender shall reasonably request, all in form and substance satisfactory to the Lenders.</w:t>
      </w:r>
    </w:p>
    <w:p>
      <w:pPr>
        <w:spacing w:after="0" w:line="170" w:lineRule="exact"/>
        <w:rPr>
          <w:rFonts w:ascii="Arial" w:cs="Arial" w:eastAsia="Arial" w:hAnsi="Arial"/>
          <w:sz w:val="18"/>
          <w:szCs w:val="18"/>
          <w:color w:val="auto"/>
        </w:rPr>
      </w:pPr>
    </w:p>
    <w:p>
      <w:pPr>
        <w:ind w:firstLine="656"/>
        <w:spacing w:after="0" w:line="277" w:lineRule="auto"/>
        <w:tabs>
          <w:tab w:leader="none" w:pos="838" w:val="left"/>
        </w:tabs>
        <w:numPr>
          <w:ilvl w:val="1"/>
          <w:numId w:val="75"/>
        </w:numPr>
        <w:rPr>
          <w:rFonts w:ascii="Arial" w:cs="Arial" w:eastAsia="Arial" w:hAnsi="Arial"/>
          <w:sz w:val="18"/>
          <w:szCs w:val="18"/>
          <w:color w:val="auto"/>
        </w:rPr>
      </w:pPr>
      <w:r>
        <w:rPr>
          <w:rFonts w:ascii="Arial" w:cs="Arial" w:eastAsia="Arial" w:hAnsi="Arial"/>
          <w:sz w:val="18"/>
          <w:szCs w:val="18"/>
          <w:u w:val="single" w:color="auto"/>
          <w:color w:val="auto"/>
        </w:rPr>
        <w:t>Post-Second Amendment Effective Date Obligations</w:t>
      </w:r>
      <w:r>
        <w:rPr>
          <w:rFonts w:ascii="Arial" w:cs="Arial" w:eastAsia="Arial" w:hAnsi="Arial"/>
          <w:sz w:val="18"/>
          <w:szCs w:val="18"/>
          <w:color w:val="auto"/>
        </w:rPr>
        <w:t>: Within thirty (30) days of the Second Amendment Effective Date, the Loan Parties shall cause the following to occur:</w:t>
      </w:r>
    </w:p>
    <w:p>
      <w:pPr>
        <w:spacing w:after="0" w:line="170" w:lineRule="exact"/>
        <w:rPr>
          <w:rFonts w:ascii="Arial" w:cs="Arial" w:eastAsia="Arial" w:hAnsi="Arial"/>
          <w:sz w:val="18"/>
          <w:szCs w:val="18"/>
          <w:color w:val="auto"/>
        </w:rPr>
      </w:pPr>
    </w:p>
    <w:p>
      <w:pPr>
        <w:jc w:val="both"/>
        <w:ind w:firstLine="980"/>
        <w:spacing w:after="0" w:line="263" w:lineRule="auto"/>
        <w:tabs>
          <w:tab w:leader="none" w:pos="1218" w:val="left"/>
        </w:tabs>
        <w:numPr>
          <w:ilvl w:val="2"/>
          <w:numId w:val="75"/>
        </w:numPr>
        <w:rPr>
          <w:rFonts w:ascii="Arial" w:cs="Arial" w:eastAsia="Arial" w:hAnsi="Arial"/>
          <w:sz w:val="18"/>
          <w:szCs w:val="18"/>
          <w:color w:val="auto"/>
        </w:rPr>
      </w:pPr>
      <w:r>
        <w:rPr>
          <w:rFonts w:ascii="Arial" w:cs="Arial" w:eastAsia="Arial" w:hAnsi="Arial"/>
          <w:sz w:val="18"/>
          <w:szCs w:val="18"/>
          <w:color w:val="auto"/>
        </w:rPr>
        <w:t>Loan Parties shall have delivered updated insurance endorsements to Agent with respect to each general liability insurance policy and each property insurance policy, including, in each case, sub-policies thereunder, of each Loan Party, endorsing Agent, as additional insured and lender loss payee, respectively, under such policies as its interests appear; and</w:t>
      </w:r>
    </w:p>
    <w:p>
      <w:pPr>
        <w:spacing w:after="0" w:line="183" w:lineRule="exact"/>
        <w:rPr>
          <w:rFonts w:ascii="Arial" w:cs="Arial" w:eastAsia="Arial" w:hAnsi="Arial"/>
          <w:sz w:val="18"/>
          <w:szCs w:val="18"/>
          <w:color w:val="auto"/>
        </w:rPr>
      </w:pPr>
    </w:p>
    <w:p>
      <w:pPr>
        <w:ind w:firstLine="980"/>
        <w:spacing w:after="0" w:line="308" w:lineRule="auto"/>
        <w:tabs>
          <w:tab w:leader="none" w:pos="1256" w:val="left"/>
        </w:tabs>
        <w:numPr>
          <w:ilvl w:val="2"/>
          <w:numId w:val="75"/>
        </w:numPr>
        <w:rPr>
          <w:rFonts w:ascii="Arial" w:cs="Arial" w:eastAsia="Arial" w:hAnsi="Arial"/>
          <w:sz w:val="17"/>
          <w:szCs w:val="17"/>
          <w:color w:val="auto"/>
        </w:rPr>
      </w:pPr>
      <w:r>
        <w:rPr>
          <w:rFonts w:ascii="Arial" w:cs="Arial" w:eastAsia="Arial" w:hAnsi="Arial"/>
          <w:sz w:val="17"/>
          <w:szCs w:val="17"/>
          <w:color w:val="auto"/>
        </w:rPr>
        <w:t xml:space="preserve">Loan Parties shall have delivered Control Agreements, executed by the applicable Loan Party, Lender and the applicable depository institution with respect to any Deposit Account opened after the Closing Date, together with an updated </w:t>
      </w:r>
      <w:r>
        <w:rPr>
          <w:rFonts w:ascii="Arial" w:cs="Arial" w:eastAsia="Arial" w:hAnsi="Arial"/>
          <w:sz w:val="17"/>
          <w:szCs w:val="17"/>
          <w:u w:val="single" w:color="auto"/>
          <w:color w:val="auto"/>
        </w:rPr>
        <w:t>Schedule 1.1(b)</w:t>
      </w:r>
      <w:r>
        <w:rPr>
          <w:rFonts w:ascii="Arial" w:cs="Arial" w:eastAsia="Arial" w:hAnsi="Arial"/>
          <w:sz w:val="17"/>
          <w:szCs w:val="17"/>
          <w:color w:val="auto"/>
        </w:rPr>
        <w:t xml:space="preserve"> to the Credit Agreement; and</w:t>
      </w:r>
    </w:p>
    <w:p>
      <w:pPr>
        <w:spacing w:after="0" w:line="146" w:lineRule="exact"/>
        <w:rPr>
          <w:rFonts w:ascii="Arial" w:cs="Arial" w:eastAsia="Arial" w:hAnsi="Arial"/>
          <w:sz w:val="17"/>
          <w:szCs w:val="17"/>
          <w:color w:val="auto"/>
        </w:rPr>
      </w:pPr>
    </w:p>
    <w:p>
      <w:pPr>
        <w:ind w:firstLine="980"/>
        <w:spacing w:after="0" w:line="277" w:lineRule="auto"/>
        <w:tabs>
          <w:tab w:leader="none" w:pos="1217" w:val="left"/>
        </w:tabs>
        <w:numPr>
          <w:ilvl w:val="2"/>
          <w:numId w:val="75"/>
        </w:numPr>
        <w:rPr>
          <w:rFonts w:ascii="Arial" w:cs="Arial" w:eastAsia="Arial" w:hAnsi="Arial"/>
          <w:sz w:val="18"/>
          <w:szCs w:val="18"/>
          <w:color w:val="auto"/>
        </w:rPr>
      </w:pPr>
      <w:r>
        <w:rPr>
          <w:rFonts w:ascii="Arial" w:cs="Arial" w:eastAsia="Arial" w:hAnsi="Arial"/>
          <w:sz w:val="18"/>
          <w:szCs w:val="18"/>
          <w:color w:val="auto"/>
        </w:rPr>
        <w:t>Borrower shall have established a Controlled Account pursuant to a presently effective Control Agreement (the “</w:t>
      </w:r>
      <w:r>
        <w:rPr>
          <w:rFonts w:ascii="Arial" w:cs="Arial" w:eastAsia="Arial" w:hAnsi="Arial"/>
          <w:sz w:val="18"/>
          <w:szCs w:val="18"/>
          <w:u w:val="single" w:color="auto"/>
          <w:color w:val="auto"/>
        </w:rPr>
        <w:t>Cash Collateral Account</w:t>
      </w:r>
      <w:r>
        <w:rPr>
          <w:rFonts w:ascii="Arial" w:cs="Arial" w:eastAsia="Arial" w:hAnsi="Arial"/>
          <w:sz w:val="18"/>
          <w:szCs w:val="18"/>
          <w:color w:val="auto"/>
        </w:rPr>
        <w:t>”) and deposited $10,000,000 into such account.</w:t>
      </w:r>
    </w:p>
    <w:p>
      <w:pPr>
        <w:spacing w:after="0" w:line="170" w:lineRule="exact"/>
        <w:rPr>
          <w:rFonts w:ascii="Arial" w:cs="Arial" w:eastAsia="Arial" w:hAnsi="Arial"/>
          <w:sz w:val="18"/>
          <w:szCs w:val="18"/>
          <w:color w:val="auto"/>
        </w:rPr>
      </w:pPr>
    </w:p>
    <w:p>
      <w:pPr>
        <w:ind w:left="840" w:hanging="184"/>
        <w:spacing w:after="0"/>
        <w:tabs>
          <w:tab w:leader="none" w:pos="840" w:val="left"/>
        </w:tabs>
        <w:numPr>
          <w:ilvl w:val="1"/>
          <w:numId w:val="75"/>
        </w:numPr>
        <w:rPr>
          <w:rFonts w:ascii="Arial" w:cs="Arial" w:eastAsia="Arial" w:hAnsi="Arial"/>
          <w:sz w:val="18"/>
          <w:szCs w:val="18"/>
          <w:color w:val="auto"/>
        </w:rPr>
      </w:pPr>
      <w:r>
        <w:rPr>
          <w:rFonts w:ascii="Arial" w:cs="Arial" w:eastAsia="Arial" w:hAnsi="Arial"/>
          <w:sz w:val="18"/>
          <w:szCs w:val="18"/>
          <w:u w:val="single" w:color="auto"/>
          <w:color w:val="auto"/>
        </w:rPr>
        <w:t>Representations and Warranties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firstLine="980"/>
        <w:spacing w:after="0" w:line="287" w:lineRule="auto"/>
        <w:tabs>
          <w:tab w:leader="none" w:pos="1256" w:val="left"/>
        </w:tabs>
        <w:numPr>
          <w:ilvl w:val="2"/>
          <w:numId w:val="75"/>
        </w:numPr>
        <w:rPr>
          <w:rFonts w:ascii="Arial" w:cs="Arial" w:eastAsia="Arial" w:hAnsi="Arial"/>
          <w:sz w:val="16"/>
          <w:szCs w:val="16"/>
          <w:color w:val="auto"/>
        </w:rPr>
      </w:pPr>
      <w:r>
        <w:rPr>
          <w:rFonts w:ascii="Arial" w:cs="Arial" w:eastAsia="Arial" w:hAnsi="Arial"/>
          <w:sz w:val="16"/>
          <w:szCs w:val="16"/>
          <w:color w:val="auto"/>
        </w:rPr>
        <w:t>Each Loan Party hereby represents and warrants in connection herewith that as of the date hereof (after giving effect hereto) the representations and warranties set forth in the Credit Agreement are true and correct in all material respects except to the extent such representation or warranty (i) is qualified by materiality or Material Adverse Effect, in which case such representation or warranty shall be true and correct in any respect, or</w:t>
      </w:r>
    </w:p>
    <w:p>
      <w:pPr>
        <w:spacing w:after="0" w:line="2" w:lineRule="exact"/>
        <w:rPr>
          <w:rFonts w:ascii="Arial" w:cs="Arial" w:eastAsia="Arial" w:hAnsi="Arial"/>
          <w:sz w:val="16"/>
          <w:szCs w:val="16"/>
          <w:color w:val="auto"/>
        </w:rPr>
      </w:pPr>
    </w:p>
    <w:p>
      <w:pPr>
        <w:ind w:firstLine="8"/>
        <w:spacing w:after="0" w:line="260" w:lineRule="auto"/>
        <w:tabs>
          <w:tab w:leader="none" w:pos="266" w:val="left"/>
        </w:tabs>
        <w:numPr>
          <w:ilvl w:val="0"/>
          <w:numId w:val="76"/>
        </w:numPr>
        <w:rPr>
          <w:rFonts w:ascii="Arial" w:cs="Arial" w:eastAsia="Arial" w:hAnsi="Arial"/>
          <w:sz w:val="18"/>
          <w:szCs w:val="18"/>
          <w:color w:val="auto"/>
        </w:rPr>
      </w:pPr>
      <w:r>
        <w:rPr>
          <w:rFonts w:ascii="Arial" w:cs="Arial" w:eastAsia="Arial" w:hAnsi="Arial"/>
          <w:sz w:val="18"/>
          <w:szCs w:val="18"/>
          <w:color w:val="auto"/>
        </w:rPr>
        <w:t>expressly relates to an earlier date in which case such representation or warranty shall be true and correct in all material respects (without duplication of any materiality qualifier contained therein) as of such earlier date;</w:t>
      </w:r>
    </w:p>
    <w:p>
      <w:pPr>
        <w:spacing w:after="0" w:line="185" w:lineRule="exact"/>
        <w:rPr>
          <w:rFonts w:ascii="Arial" w:cs="Arial" w:eastAsia="Arial" w:hAnsi="Arial"/>
          <w:sz w:val="18"/>
          <w:szCs w:val="18"/>
          <w:color w:val="auto"/>
        </w:rPr>
      </w:pPr>
    </w:p>
    <w:p>
      <w:pPr>
        <w:ind w:firstLine="980"/>
        <w:spacing w:after="0" w:line="277" w:lineRule="auto"/>
        <w:tabs>
          <w:tab w:leader="none" w:pos="1229" w:val="left"/>
        </w:tabs>
        <w:numPr>
          <w:ilvl w:val="2"/>
          <w:numId w:val="76"/>
        </w:numPr>
        <w:rPr>
          <w:rFonts w:ascii="Arial" w:cs="Arial" w:eastAsia="Arial" w:hAnsi="Arial"/>
          <w:sz w:val="18"/>
          <w:szCs w:val="18"/>
          <w:color w:val="auto"/>
        </w:rPr>
      </w:pPr>
      <w:r>
        <w:rPr>
          <w:rFonts w:ascii="Arial" w:cs="Arial" w:eastAsia="Arial" w:hAnsi="Arial"/>
          <w:sz w:val="18"/>
          <w:szCs w:val="18"/>
          <w:color w:val="auto"/>
        </w:rPr>
        <w:t>the consummation of the transactions contemplated by this Amendment are within each Loan Party’s organizational powers and have been duly authorized by all necessary organizational actions and, if required, actions by equity holders;</w:t>
      </w:r>
    </w:p>
    <w:p>
      <w:pPr>
        <w:spacing w:after="0" w:line="170" w:lineRule="exact"/>
        <w:rPr>
          <w:rFonts w:ascii="Arial" w:cs="Arial" w:eastAsia="Arial" w:hAnsi="Arial"/>
          <w:sz w:val="18"/>
          <w:szCs w:val="18"/>
          <w:color w:val="auto"/>
        </w:rPr>
      </w:pPr>
    </w:p>
    <w:p>
      <w:pPr>
        <w:jc w:val="both"/>
        <w:ind w:firstLine="980"/>
        <w:spacing w:after="0" w:line="257" w:lineRule="auto"/>
        <w:tabs>
          <w:tab w:leader="none" w:pos="1222" w:val="left"/>
        </w:tabs>
        <w:numPr>
          <w:ilvl w:val="2"/>
          <w:numId w:val="76"/>
        </w:numPr>
        <w:rPr>
          <w:rFonts w:ascii="Arial" w:cs="Arial" w:eastAsia="Arial" w:hAnsi="Arial"/>
          <w:sz w:val="18"/>
          <w:szCs w:val="18"/>
          <w:color w:val="auto"/>
        </w:rPr>
      </w:pPr>
      <w:r>
        <w:rPr>
          <w:rFonts w:ascii="Arial" w:cs="Arial" w:eastAsia="Arial" w:hAnsi="Arial"/>
          <w:sz w:val="18"/>
          <w:szCs w:val="18"/>
          <w:color w:val="auto"/>
        </w:rPr>
        <w:t>the consummation of this Amendment does not and will not (i) require any consent or approval of, registration or filing with, or any other action by any Governmental Authority except such as have been obtained or made and are in full force and effect and except for filings necessary to perfect Liens created pursuant to the Loan Documents, (ii) violate any requirements of law applicable to any Loan Party or any of its Subsidiaries except for such violations that would not reasonably be expected to result in a Material Adverse Effect, or (iii) violate the Operating Documents of any Loan Party or any of their respective Subsidiaries;</w:t>
      </w:r>
    </w:p>
    <w:p>
      <w:pPr>
        <w:spacing w:after="0" w:line="187" w:lineRule="exact"/>
        <w:rPr>
          <w:rFonts w:ascii="Arial" w:cs="Arial" w:eastAsia="Arial" w:hAnsi="Arial"/>
          <w:sz w:val="18"/>
          <w:szCs w:val="18"/>
          <w:color w:val="auto"/>
        </w:rPr>
      </w:pPr>
    </w:p>
    <w:p>
      <w:pPr>
        <w:jc w:val="both"/>
        <w:ind w:firstLine="980"/>
        <w:spacing w:after="0" w:line="311" w:lineRule="auto"/>
        <w:tabs>
          <w:tab w:leader="none" w:pos="1228" w:val="left"/>
        </w:tabs>
        <w:numPr>
          <w:ilvl w:val="2"/>
          <w:numId w:val="76"/>
        </w:numPr>
        <w:rPr>
          <w:rFonts w:ascii="Arial" w:cs="Arial" w:eastAsia="Arial" w:hAnsi="Arial"/>
          <w:sz w:val="16"/>
          <w:szCs w:val="16"/>
          <w:color w:val="auto"/>
        </w:rPr>
      </w:pPr>
      <w:r>
        <w:rPr>
          <w:rFonts w:ascii="Arial" w:cs="Arial" w:eastAsia="Arial" w:hAnsi="Arial"/>
          <w:sz w:val="16"/>
          <w:szCs w:val="16"/>
          <w:color w:val="auto"/>
        </w:rPr>
        <w:t>this Amendment has been duly executed and delivered by each Loan Party and is a legally valid and binding obligation of the Loan Parties party hereto, each enforceable against each of such parties, as applicable, in accordance with their respective terms, except as may be limited by bankruptcy, insolvency, reorganization, moratorium or other laws affecting, creditors’ rights generally and the effects of general principles of equity; and</w:t>
      </w:r>
    </w:p>
    <w:p>
      <w:pPr>
        <w:spacing w:after="0" w:line="148" w:lineRule="exact"/>
        <w:rPr>
          <w:rFonts w:ascii="Arial" w:cs="Arial" w:eastAsia="Arial" w:hAnsi="Arial"/>
          <w:sz w:val="16"/>
          <w:szCs w:val="16"/>
          <w:color w:val="auto"/>
        </w:rPr>
      </w:pPr>
    </w:p>
    <w:p>
      <w:pPr>
        <w:ind w:left="1220" w:hanging="240"/>
        <w:spacing w:after="0"/>
        <w:tabs>
          <w:tab w:leader="none" w:pos="1220" w:val="left"/>
        </w:tabs>
        <w:numPr>
          <w:ilvl w:val="2"/>
          <w:numId w:val="76"/>
        </w:numPr>
        <w:rPr>
          <w:rFonts w:ascii="Arial" w:cs="Arial" w:eastAsia="Arial" w:hAnsi="Arial"/>
          <w:sz w:val="18"/>
          <w:szCs w:val="18"/>
          <w:color w:val="auto"/>
        </w:rPr>
      </w:pPr>
      <w:r>
        <w:rPr>
          <w:rFonts w:ascii="Arial" w:cs="Arial" w:eastAsia="Arial" w:hAnsi="Arial"/>
          <w:sz w:val="18"/>
          <w:szCs w:val="18"/>
          <w:color w:val="auto"/>
        </w:rPr>
        <w:t>no Default or Event of Default has occurred or is continuing.</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76" w:name="page77"/>
    <w:bookmarkEnd w:id="76"/>
    <w:p>
      <w:pPr>
        <w:ind w:firstLine="656"/>
        <w:spacing w:after="0" w:line="277" w:lineRule="auto"/>
        <w:tabs>
          <w:tab w:leader="none" w:pos="928" w:val="left"/>
        </w:tabs>
        <w:numPr>
          <w:ilvl w:val="0"/>
          <w:numId w:val="77"/>
        </w:numPr>
        <w:rPr>
          <w:rFonts w:ascii="Arial" w:cs="Arial" w:eastAsia="Arial" w:hAnsi="Arial"/>
          <w:sz w:val="18"/>
          <w:szCs w:val="18"/>
          <w:color w:val="auto"/>
        </w:rPr>
      </w:pPr>
      <w:r>
        <w:rPr>
          <w:rFonts w:ascii="Arial" w:cs="Arial" w:eastAsia="Arial" w:hAnsi="Arial"/>
          <w:sz w:val="18"/>
          <w:szCs w:val="18"/>
          <w:u w:val="single" w:color="auto"/>
          <w:color w:val="auto"/>
        </w:rPr>
        <w:t>Expenses</w:t>
      </w:r>
      <w:r>
        <w:rPr>
          <w:rFonts w:ascii="Arial" w:cs="Arial" w:eastAsia="Arial" w:hAnsi="Arial"/>
          <w:sz w:val="18"/>
          <w:szCs w:val="18"/>
          <w:color w:val="auto"/>
        </w:rPr>
        <w:t>. The Loan Parties agree to pay all reasonable costs and expenses in connection with the preparation, execution and delivery of this Amendment, including the fees and expenses of Agent’s legal counsel.</w:t>
      </w:r>
    </w:p>
    <w:p>
      <w:pPr>
        <w:spacing w:after="0" w:line="170" w:lineRule="exact"/>
        <w:rPr>
          <w:rFonts w:ascii="Arial" w:cs="Arial" w:eastAsia="Arial" w:hAnsi="Arial"/>
          <w:sz w:val="18"/>
          <w:szCs w:val="18"/>
          <w:color w:val="auto"/>
        </w:rPr>
      </w:pPr>
    </w:p>
    <w:p>
      <w:pPr>
        <w:jc w:val="both"/>
        <w:ind w:firstLine="656"/>
        <w:spacing w:after="0" w:line="284" w:lineRule="auto"/>
        <w:tabs>
          <w:tab w:leader="none" w:pos="938" w:val="left"/>
        </w:tabs>
        <w:numPr>
          <w:ilvl w:val="0"/>
          <w:numId w:val="77"/>
        </w:numPr>
        <w:rPr>
          <w:rFonts w:ascii="Arial" w:cs="Arial" w:eastAsia="Arial" w:hAnsi="Arial"/>
          <w:sz w:val="16"/>
          <w:szCs w:val="16"/>
          <w:color w:val="auto"/>
        </w:rPr>
      </w:pPr>
      <w:r>
        <w:rPr>
          <w:rFonts w:ascii="Arial" w:cs="Arial" w:eastAsia="Arial" w:hAnsi="Arial"/>
          <w:sz w:val="16"/>
          <w:szCs w:val="16"/>
          <w:u w:val="single" w:color="auto"/>
          <w:color w:val="auto"/>
        </w:rPr>
        <w:t>General Release</w:t>
      </w:r>
      <w:r>
        <w:rPr>
          <w:rFonts w:ascii="Arial" w:cs="Arial" w:eastAsia="Arial" w:hAnsi="Arial"/>
          <w:sz w:val="16"/>
          <w:szCs w:val="16"/>
          <w:color w:val="auto"/>
        </w:rPr>
        <w:t>. In consideration of, among other things, the Agent’s and each Lender’s execution and delivery of this Amendment, the Borrower and each other Loan Party, on behalf of itself and its agents, representatives, officers, directors, advisors, employees, Subsidiaries, Affiliates, successors and assigns (collectively, “</w:t>
      </w:r>
      <w:r>
        <w:rPr>
          <w:rFonts w:ascii="Arial" w:cs="Arial" w:eastAsia="Arial" w:hAnsi="Arial"/>
          <w:sz w:val="16"/>
          <w:szCs w:val="16"/>
          <w:u w:val="single" w:color="auto"/>
          <w:color w:val="auto"/>
        </w:rPr>
        <w:t>Releasors</w:t>
      </w:r>
      <w:r>
        <w:rPr>
          <w:rFonts w:ascii="Arial" w:cs="Arial" w:eastAsia="Arial" w:hAnsi="Arial"/>
          <w:sz w:val="16"/>
          <w:szCs w:val="16"/>
          <w:color w:val="auto"/>
        </w:rPr>
        <w:t>”), hereby forever agrees and covenants not to sue or prosecute against any Releasee (as hereinafter defined) and hereby forever waives, releases and discharges, to the fullest extent permitted by law, each Releasee from any and all claims (including, without limitation, crossclaims, counterclaims, rights of set-off and recoupment), actions, causes of action, suits, debts, accounts, interests, liens, promises, warranties, damages and consequential damages, demands, agreements, bonds, bills, specialties, covenants, controversies, variances, trespasses, judgments, executions, costs, expenses or claims whatsoever, that such Releasor now has or hereafter may have, of whatsoever nature and kind, whether known or unknown, whether arising at law or in equity (collectively, the “</w:t>
      </w:r>
      <w:r>
        <w:rPr>
          <w:rFonts w:ascii="Arial" w:cs="Arial" w:eastAsia="Arial" w:hAnsi="Arial"/>
          <w:sz w:val="16"/>
          <w:szCs w:val="16"/>
          <w:u w:val="single" w:color="auto"/>
          <w:color w:val="auto"/>
        </w:rPr>
        <w:t>Claims</w:t>
      </w:r>
      <w:r>
        <w:rPr>
          <w:rFonts w:ascii="Arial" w:cs="Arial" w:eastAsia="Arial" w:hAnsi="Arial"/>
          <w:sz w:val="16"/>
          <w:szCs w:val="16"/>
          <w:color w:val="auto"/>
        </w:rPr>
        <w:t>”), against the Agent and any Lender in any capacity and their Affiliates, Subsidiaries, shareholders and “controlling persons” (within the meaning of the federal securities laws), and their respective successors and assigns and each and all of the officers, directors, employees, agents, attorneys, advisors and other representatives of each of the foregoing (collectively, the “</w:t>
      </w:r>
      <w:r>
        <w:rPr>
          <w:rFonts w:ascii="Arial" w:cs="Arial" w:eastAsia="Arial" w:hAnsi="Arial"/>
          <w:sz w:val="16"/>
          <w:szCs w:val="16"/>
          <w:u w:val="single" w:color="auto"/>
          <w:color w:val="auto"/>
        </w:rPr>
        <w:t>Releasees</w:t>
      </w:r>
      <w:r>
        <w:rPr>
          <w:rFonts w:ascii="Arial" w:cs="Arial" w:eastAsia="Arial" w:hAnsi="Arial"/>
          <w:sz w:val="16"/>
          <w:szCs w:val="16"/>
          <w:color w:val="auto"/>
        </w:rPr>
        <w:t>”), based in whole or in part on facts, whether or not now known, existing on or before the date hereof, that relate to, arise out of or otherwise are in connection with: (a) any or all of the Loan Documents or transactions contemplated thereby or any actions or omissions in connection therewith, (b) any aspect of the dealings or relationships between or among the Borrower and the other Loan Parties, on the one hand, and the Agent and/or the Lenders, on the other hand, relating to any or all of the documents, transactions, actions or omissions referenced in clause (a) hereof, or (c) any aspect of the dealings or relationships between or among any or all of the Loan Parties, on the one hand, and the Agent and/or the Lenders, on the other hand, but only to the extent such dealings or relationships relate to any or all of the documents, transactions, actions or omissions referenced in clause (a) hereof. The receipt by the Borrower or any other Loan Party of the proceeds of any loans or other financial accommodations made by the Agent and the Lenders after the date hereof shall constitute a ratification, adoption, and confirmation by such party of the foregoing general release of all Claims against the Releasees that are based in whole or in part on facts, whether or not now known or unknown, existing on or prior to the date of receipt of any such proceeds or other financial accommodations. In entering into this Amendment, the Borrower and each other Loan Party consulted with, and has been represented by, legal counsel and expressly disclaim any reliance on any representations, acts or omissions by any of the Releasees and hereby agree and acknowledge that the validity and effectiveness of the releases set forth above do not depend in any way on any such representations, acts and/or omissions or the accuracy, completeness or validity thereof. The provisions of this Section shall survive the termination of this Amendment, the Credit Agreement, the other Loan Documents and payment in full of the Obligations.</w:t>
      </w:r>
    </w:p>
    <w:p>
      <w:pPr>
        <w:spacing w:after="0" w:line="392" w:lineRule="exact"/>
        <w:rPr>
          <w:rFonts w:ascii="Arial" w:cs="Arial" w:eastAsia="Arial" w:hAnsi="Arial"/>
          <w:sz w:val="16"/>
          <w:szCs w:val="16"/>
          <w:color w:val="auto"/>
        </w:rPr>
      </w:pPr>
    </w:p>
    <w:p>
      <w:pPr>
        <w:jc w:val="both"/>
        <w:ind w:firstLine="656"/>
        <w:spacing w:after="0" w:line="273" w:lineRule="auto"/>
        <w:tabs>
          <w:tab w:leader="none" w:pos="946" w:val="left"/>
        </w:tabs>
        <w:numPr>
          <w:ilvl w:val="0"/>
          <w:numId w:val="77"/>
        </w:numPr>
        <w:rPr>
          <w:rFonts w:ascii="Arial" w:cs="Arial" w:eastAsia="Arial" w:hAnsi="Arial"/>
          <w:sz w:val="17"/>
          <w:szCs w:val="17"/>
          <w:color w:val="auto"/>
        </w:rPr>
      </w:pPr>
      <w:r>
        <w:rPr>
          <w:rFonts w:ascii="Arial" w:cs="Arial" w:eastAsia="Arial" w:hAnsi="Arial"/>
          <w:sz w:val="17"/>
          <w:szCs w:val="17"/>
          <w:u w:val="single" w:color="auto"/>
          <w:color w:val="auto"/>
        </w:rPr>
        <w:t>Covenant Not to Sue</w:t>
      </w:r>
      <w:r>
        <w:rPr>
          <w:rFonts w:ascii="Arial" w:cs="Arial" w:eastAsia="Arial" w:hAnsi="Arial"/>
          <w:sz w:val="17"/>
          <w:szCs w:val="17"/>
          <w:color w:val="auto"/>
        </w:rPr>
        <w:t xml:space="preserve">. Each Loan Party, on behalf of itself and its successors, assigns and other legal representatives, hereby absolutely, unconditionally and irrevocably covenants and agrees with and in favor of each Releasee that such Loan Party will not sue (at law, in equity, in any regulatory proceeding or otherwise) any Releasee on the basis of any Claim released, remised and discharged by the Loan Parties pursuant to </w:t>
      </w:r>
      <w:r>
        <w:rPr>
          <w:rFonts w:ascii="Arial" w:cs="Arial" w:eastAsia="Arial" w:hAnsi="Arial"/>
          <w:sz w:val="17"/>
          <w:szCs w:val="17"/>
          <w:u w:val="single" w:color="auto"/>
          <w:color w:val="auto"/>
        </w:rPr>
        <w:t>Section 11</w:t>
      </w:r>
      <w:r>
        <w:rPr>
          <w:rFonts w:ascii="Arial" w:cs="Arial" w:eastAsia="Arial" w:hAnsi="Arial"/>
          <w:sz w:val="17"/>
          <w:szCs w:val="17"/>
          <w:color w:val="auto"/>
        </w:rPr>
        <w:t xml:space="preserve"> hereof. If the Loan Parties or any of their respective successors, assigns or other legal representatives violate the foregoing covenant, each Loan Party, for itself and its successors, assigns and legal representatives, agrees to pay, in addition to such other damages as any Releasee may sustain as a result of such violation, all reasonable attorneys’ fees and costs incurred by any Releasee as a result of such violation.</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77" w:name="page78"/>
    <w:bookmarkEnd w:id="77"/>
    <w:p>
      <w:pPr>
        <w:jc w:val="both"/>
        <w:ind w:firstLine="656"/>
        <w:spacing w:after="0" w:line="275" w:lineRule="auto"/>
        <w:tabs>
          <w:tab w:leader="none" w:pos="929" w:val="left"/>
        </w:tabs>
        <w:numPr>
          <w:ilvl w:val="0"/>
          <w:numId w:val="78"/>
        </w:numPr>
        <w:rPr>
          <w:rFonts w:ascii="Arial" w:cs="Arial" w:eastAsia="Arial" w:hAnsi="Arial"/>
          <w:sz w:val="17"/>
          <w:szCs w:val="17"/>
          <w:color w:val="auto"/>
        </w:rPr>
      </w:pPr>
      <w:r>
        <w:rPr>
          <w:rFonts w:ascii="Arial" w:cs="Arial" w:eastAsia="Arial" w:hAnsi="Arial"/>
          <w:sz w:val="17"/>
          <w:szCs w:val="17"/>
          <w:u w:val="single" w:color="auto"/>
          <w:color w:val="auto"/>
        </w:rPr>
        <w:t>No Waiver</w:t>
      </w:r>
      <w:r>
        <w:rPr>
          <w:rFonts w:ascii="Arial" w:cs="Arial" w:eastAsia="Arial" w:hAnsi="Arial"/>
          <w:sz w:val="17"/>
          <w:szCs w:val="17"/>
          <w:color w:val="auto"/>
        </w:rPr>
        <w:t>. Except as expressly provided herein, nothing contained herein shall be construed as a waiver by any Lender or the Agent of any covenant or provision of the Loan Documents. Failure of Agent or any Lender at any time or times hereafter to require strict performance by the Loan Parties of any provision of the Loan Documents shall not waive, affect or diminish any right of Agent or any Lender to thereafter demand strict compliance therewith. Agent and Lenders hereby reserve all rights granted under the Credit Agreement, the other Loan Documents, this Amendment and any other contract or instrument between any Loan Party, on the one hand, and Agent or any Lender, on the other hand.</w:t>
      </w:r>
    </w:p>
    <w:p>
      <w:pPr>
        <w:spacing w:after="0" w:line="176" w:lineRule="exact"/>
        <w:rPr>
          <w:rFonts w:ascii="Arial" w:cs="Arial" w:eastAsia="Arial" w:hAnsi="Arial"/>
          <w:sz w:val="17"/>
          <w:szCs w:val="17"/>
          <w:color w:val="auto"/>
        </w:rPr>
      </w:pPr>
    </w:p>
    <w:p>
      <w:pPr>
        <w:jc w:val="both"/>
        <w:ind w:firstLine="656"/>
        <w:spacing w:after="0" w:line="259" w:lineRule="auto"/>
        <w:tabs>
          <w:tab w:leader="none" w:pos="935" w:val="left"/>
        </w:tabs>
        <w:numPr>
          <w:ilvl w:val="0"/>
          <w:numId w:val="78"/>
        </w:numPr>
        <w:rPr>
          <w:rFonts w:ascii="Arial" w:cs="Arial" w:eastAsia="Arial" w:hAnsi="Arial"/>
          <w:sz w:val="18"/>
          <w:szCs w:val="18"/>
          <w:color w:val="auto"/>
        </w:rPr>
      </w:pPr>
      <w:r>
        <w:rPr>
          <w:rFonts w:ascii="Arial" w:cs="Arial" w:eastAsia="Arial" w:hAnsi="Arial"/>
          <w:sz w:val="18"/>
          <w:szCs w:val="18"/>
          <w:u w:val="single" w:color="auto"/>
          <w:color w:val="auto"/>
        </w:rPr>
        <w:t>No Novation, etc.</w:t>
      </w:r>
      <w:r>
        <w:rPr>
          <w:rFonts w:ascii="Arial" w:cs="Arial" w:eastAsia="Arial" w:hAnsi="Arial"/>
          <w:sz w:val="18"/>
          <w:szCs w:val="18"/>
          <w:color w:val="auto"/>
        </w:rPr>
        <w:t xml:space="preserve"> This Amendment is not intended to be, nor shall it be construed to create, a novation or accord and satisfaction, and the Credit Agreement, as amended hereby, shall remain in full force and effect. Notwithstanding any prior mutual temporary disregard of any of the terms of the Credit Agreement, the parties agree that the terms of the Credit Agreement shall be strictly adhered to on and after the date hereof, except as expressly modified by this Amendment.</w:t>
      </w:r>
    </w:p>
    <w:p>
      <w:pPr>
        <w:spacing w:after="0" w:line="186" w:lineRule="exact"/>
        <w:rPr>
          <w:rFonts w:ascii="Arial" w:cs="Arial" w:eastAsia="Arial" w:hAnsi="Arial"/>
          <w:sz w:val="18"/>
          <w:szCs w:val="18"/>
          <w:color w:val="auto"/>
        </w:rPr>
      </w:pPr>
    </w:p>
    <w:p>
      <w:pPr>
        <w:jc w:val="both"/>
        <w:ind w:firstLine="656"/>
        <w:spacing w:after="0" w:line="271" w:lineRule="auto"/>
        <w:tabs>
          <w:tab w:leader="none" w:pos="926" w:val="left"/>
        </w:tabs>
        <w:numPr>
          <w:ilvl w:val="0"/>
          <w:numId w:val="78"/>
        </w:numPr>
        <w:rPr>
          <w:rFonts w:ascii="Arial" w:cs="Arial" w:eastAsia="Arial" w:hAnsi="Arial"/>
          <w:sz w:val="17"/>
          <w:szCs w:val="17"/>
          <w:color w:val="auto"/>
        </w:rPr>
      </w:pPr>
      <w:r>
        <w:rPr>
          <w:rFonts w:ascii="Arial" w:cs="Arial" w:eastAsia="Arial" w:hAnsi="Arial"/>
          <w:sz w:val="17"/>
          <w:szCs w:val="17"/>
          <w:u w:val="single" w:color="auto"/>
          <w:color w:val="auto"/>
        </w:rPr>
        <w:t>Counterparts, Email and .pdf</w:t>
      </w:r>
      <w:r>
        <w:rPr>
          <w:rFonts w:ascii="Arial" w:cs="Arial" w:eastAsia="Arial" w:hAnsi="Arial"/>
          <w:sz w:val="17"/>
          <w:szCs w:val="17"/>
          <w:color w:val="auto"/>
        </w:rPr>
        <w:t>. Each of the Loan Parties agree that at any time and from time to time, upon the written request of the Agent, it will execute and deliver such further documents and do such further acts as the Agent may reasonably request in accordance with the terms and conditions of the Loan Documents in order to effect the purposes of this Amendment. This Amendment (a) may be executed in two or more counterparts, each of which shall constitute an original but all of which when taken together shall constitute one contract and (b) may, upon execution, be delivered by facsimile, electronic mail (including pdf) or as any electronic signature complying with the U.S. federal ESIGN Act of 2000 or the New York Electronic Signature and Records Act or any other similar state laws based on the Uniform Electronic Transactions Act or other transmission method and any counterpart so delivered shall be deemed to have been duly and validly delivered and electronic signatures or the keeping of records in electronic form shall be valid and effective for all purposes to the fullest extent permitted by applicable law.</w:t>
      </w:r>
    </w:p>
    <w:p>
      <w:pPr>
        <w:spacing w:after="0" w:line="178" w:lineRule="exact"/>
        <w:rPr>
          <w:rFonts w:ascii="Arial" w:cs="Arial" w:eastAsia="Arial" w:hAnsi="Arial"/>
          <w:sz w:val="17"/>
          <w:szCs w:val="17"/>
          <w:color w:val="auto"/>
        </w:rPr>
      </w:pPr>
    </w:p>
    <w:p>
      <w:pPr>
        <w:jc w:val="both"/>
        <w:ind w:firstLine="656"/>
        <w:spacing w:after="0" w:line="259" w:lineRule="auto"/>
        <w:tabs>
          <w:tab w:leader="none" w:pos="945" w:val="left"/>
        </w:tabs>
        <w:numPr>
          <w:ilvl w:val="0"/>
          <w:numId w:val="78"/>
        </w:numPr>
        <w:rPr>
          <w:rFonts w:ascii="Arial" w:cs="Arial" w:eastAsia="Arial" w:hAnsi="Arial"/>
          <w:sz w:val="18"/>
          <w:szCs w:val="18"/>
          <w:color w:val="auto"/>
        </w:rPr>
      </w:pPr>
      <w:r>
        <w:rPr>
          <w:rFonts w:ascii="Arial" w:cs="Arial" w:eastAsia="Arial" w:hAnsi="Arial"/>
          <w:sz w:val="18"/>
          <w:szCs w:val="18"/>
          <w:u w:val="single" w:color="auto"/>
          <w:color w:val="auto"/>
        </w:rPr>
        <w:t>Relationship of Parties; No Third Party Beneficiaries</w:t>
      </w:r>
      <w:r>
        <w:rPr>
          <w:rFonts w:ascii="Arial" w:cs="Arial" w:eastAsia="Arial" w:hAnsi="Arial"/>
          <w:sz w:val="18"/>
          <w:szCs w:val="18"/>
          <w:color w:val="auto"/>
        </w:rPr>
        <w:t>. Nothing in this Amendment shall be construed to alter the existing debtor-creditor relationship between any Loan Party and any Lender. This Amendment is not intended, nor shall it be construed, to create a partnership or joint venture relationship between or among any of the parties hereto. No Person other than a party hereto is intended to be a beneficiary hereof and no Person other than a party hereto shall be authorized to rely upon or enforce the contents of this Amendment.</w:t>
      </w:r>
    </w:p>
    <w:p>
      <w:pPr>
        <w:spacing w:after="0" w:line="186" w:lineRule="exact"/>
        <w:rPr>
          <w:rFonts w:ascii="Arial" w:cs="Arial" w:eastAsia="Arial" w:hAnsi="Arial"/>
          <w:sz w:val="18"/>
          <w:szCs w:val="18"/>
          <w:color w:val="auto"/>
        </w:rPr>
      </w:pPr>
    </w:p>
    <w:p>
      <w:pPr>
        <w:ind w:left="940" w:hanging="284"/>
        <w:spacing w:after="0"/>
        <w:tabs>
          <w:tab w:leader="none" w:pos="940" w:val="left"/>
        </w:tabs>
        <w:numPr>
          <w:ilvl w:val="0"/>
          <w:numId w:val="78"/>
        </w:numPr>
        <w:rPr>
          <w:rFonts w:ascii="Arial" w:cs="Arial" w:eastAsia="Arial" w:hAnsi="Arial"/>
          <w:sz w:val="16"/>
          <w:szCs w:val="16"/>
          <w:color w:val="auto"/>
        </w:rPr>
      </w:pPr>
      <w:r>
        <w:rPr>
          <w:rFonts w:ascii="Arial" w:cs="Arial" w:eastAsia="Arial" w:hAnsi="Arial"/>
          <w:sz w:val="16"/>
          <w:szCs w:val="16"/>
          <w:u w:val="single" w:color="auto"/>
          <w:color w:val="auto"/>
        </w:rPr>
        <w:t>Successors and Assigns</w:t>
      </w:r>
      <w:r>
        <w:rPr>
          <w:rFonts w:ascii="Arial" w:cs="Arial" w:eastAsia="Arial" w:hAnsi="Arial"/>
          <w:sz w:val="16"/>
          <w:szCs w:val="16"/>
          <w:color w:val="auto"/>
        </w:rPr>
        <w:t>. This Amendment will be binding upon and inure to the benefit of the parties hereto and their respective successors</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and assigns.</w:t>
      </w:r>
    </w:p>
    <w:p>
      <w:pPr>
        <w:spacing w:after="0" w:line="210" w:lineRule="exact"/>
        <w:rPr>
          <w:rFonts w:ascii="Arial" w:cs="Arial" w:eastAsia="Arial" w:hAnsi="Arial"/>
          <w:sz w:val="16"/>
          <w:szCs w:val="16"/>
          <w:color w:val="auto"/>
        </w:rPr>
      </w:pPr>
    </w:p>
    <w:p>
      <w:pPr>
        <w:ind w:firstLine="656"/>
        <w:spacing w:after="0" w:line="342" w:lineRule="auto"/>
        <w:tabs>
          <w:tab w:leader="none" w:pos="920" w:val="left"/>
        </w:tabs>
        <w:numPr>
          <w:ilvl w:val="0"/>
          <w:numId w:val="78"/>
        </w:numPr>
        <w:rPr>
          <w:rFonts w:ascii="Arial" w:cs="Arial" w:eastAsia="Arial" w:hAnsi="Arial"/>
          <w:sz w:val="16"/>
          <w:szCs w:val="16"/>
          <w:color w:val="auto"/>
        </w:rPr>
      </w:pPr>
      <w:r>
        <w:rPr>
          <w:rFonts w:ascii="Arial" w:cs="Arial" w:eastAsia="Arial" w:hAnsi="Arial"/>
          <w:sz w:val="16"/>
          <w:szCs w:val="16"/>
          <w:u w:val="single" w:color="auto"/>
          <w:color w:val="auto"/>
        </w:rPr>
        <w:t>Governing Law</w:t>
      </w:r>
      <w:r>
        <w:rPr>
          <w:rFonts w:ascii="Arial" w:cs="Arial" w:eastAsia="Arial" w:hAnsi="Arial"/>
          <w:sz w:val="16"/>
          <w:szCs w:val="16"/>
          <w:color w:val="auto"/>
        </w:rPr>
        <w:t xml:space="preserve">. This Amendment shall be governed by and construed and enforced in accordance with the laws of the State of New York. The terms of Section 8.12 of the Credit Agreement are incorporated herein by reference, </w:t>
      </w:r>
      <w:r>
        <w:rPr>
          <w:rFonts w:ascii="Arial" w:cs="Arial" w:eastAsia="Arial" w:hAnsi="Arial"/>
          <w:sz w:val="16"/>
          <w:szCs w:val="16"/>
          <w:i w:val="1"/>
          <w:iCs w:val="1"/>
          <w:color w:val="auto"/>
        </w:rPr>
        <w:t>mutatis mutandis</w:t>
      </w:r>
      <w:r>
        <w:rPr>
          <w:rFonts w:ascii="Arial" w:cs="Arial" w:eastAsia="Arial" w:hAnsi="Arial"/>
          <w:sz w:val="16"/>
          <w:szCs w:val="16"/>
          <w:color w:val="auto"/>
        </w:rPr>
        <w:t>, and the parties hereto agree to such terms.</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PAGES FOLLOW]</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78" w:name="page79"/>
    <w:bookmarkEnd w:id="78"/>
    <w:p>
      <w:pPr>
        <w:ind w:firstLine="648"/>
        <w:spacing w:after="0" w:line="277" w:lineRule="auto"/>
        <w:rPr>
          <w:sz w:val="20"/>
          <w:szCs w:val="20"/>
          <w:color w:val="auto"/>
        </w:rPr>
      </w:pPr>
      <w:r>
        <w:rPr>
          <w:rFonts w:ascii="Arial" w:cs="Arial" w:eastAsia="Arial" w:hAnsi="Arial"/>
          <w:sz w:val="18"/>
          <w:szCs w:val="18"/>
          <w:color w:val="auto"/>
        </w:rPr>
        <w:t>IN WITNESS WHEREOF, each party hereto has caused this Amendment to be duly executed and delivered by its proper and duly authorized officer(s) as of the day and year first above written.</w:t>
      </w:r>
    </w:p>
    <w:p>
      <w:pPr>
        <w:spacing w:after="0" w:line="166" w:lineRule="exact"/>
        <w:rPr>
          <w:sz w:val="20"/>
          <w:szCs w:val="20"/>
          <w:color w:val="auto"/>
        </w:rPr>
      </w:pPr>
    </w:p>
    <w:p>
      <w:pPr>
        <w:ind w:left="6740"/>
        <w:spacing w:after="0"/>
        <w:rPr>
          <w:sz w:val="20"/>
          <w:szCs w:val="20"/>
          <w:color w:val="auto"/>
        </w:rPr>
      </w:pPr>
      <w:r>
        <w:rPr>
          <w:rFonts w:ascii="Arial" w:cs="Arial" w:eastAsia="Arial" w:hAnsi="Arial"/>
          <w:sz w:val="18"/>
          <w:szCs w:val="18"/>
          <w:b w:val="1"/>
          <w:bCs w:val="1"/>
          <w:color w:val="auto"/>
        </w:rPr>
        <w:t>BORROWER:</w:t>
      </w:r>
    </w:p>
    <w:p>
      <w:pPr>
        <w:spacing w:after="0" w:line="229"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E LA CARTE, LLC</w:t>
      </w:r>
    </w:p>
    <w:p>
      <w:pPr>
        <w:spacing w:after="0" w:line="23"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(F/K/A VENTOUX MERGER SUB II LLC)</w:t>
      </w:r>
    </w:p>
    <w:p>
      <w:pPr>
        <w:spacing w:after="0" w:line="211" w:lineRule="exact"/>
        <w:rPr>
          <w:sz w:val="20"/>
          <w:szCs w:val="20"/>
          <w:color w:val="auto"/>
        </w:rPr>
      </w:pPr>
    </w:p>
    <w:p>
      <w:pPr>
        <w:ind w:left="6740"/>
        <w:spacing w:after="0"/>
        <w:tabs>
          <w:tab w:leader="none" w:pos="79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 </w:t>
      </w:r>
    </w:p>
    <w:p>
      <w:pPr>
        <w:spacing w:after="0" w:line="36"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-130175</wp:posOffset>
            </wp:positionV>
            <wp:extent cx="2494915" cy="171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6">
                      <a:extLst>
                        <a:ext uri="{28A0092B-C50C-407E-A947-70E740481C1C}"/>
                      </a:extLst>
                    </a:blip>
                    <a:srcRect/>
                    <a:stretch>
                      <a:fillRect/>
                    </a:stretch>
                  </pic:blipFill>
                  <pic:spPr bwMode="auto">
                    <a:xfrm>
                      <a:off x="0" y="0"/>
                      <a:ext cx="2494915" cy="17145"/>
                    </a:xfrm>
                    <a:prstGeom prst="rect">
                      <a:avLst/>
                    </a:prstGeom>
                    <a:noFill/>
                  </pic:spPr>
                </pic:pic>
              </a:graphicData>
            </a:graphic>
          </wp:anchor>
        </w:drawing>
      </w:r>
    </w:p>
    <w:p>
      <w:pPr>
        <w:spacing w:after="0" w:line="16"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-130175</wp:posOffset>
            </wp:positionV>
            <wp:extent cx="2494915" cy="171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7">
                      <a:extLst>
                        <a:ext uri="{28A0092B-C50C-407E-A947-70E740481C1C}"/>
                      </a:extLst>
                    </a:blip>
                    <a:srcRect/>
                    <a:stretch>
                      <a:fillRect/>
                    </a:stretch>
                  </pic:blipFill>
                  <pic:spPr bwMode="auto">
                    <a:xfrm>
                      <a:off x="0" y="0"/>
                      <a:ext cx="2494915" cy="17145"/>
                    </a:xfrm>
                    <a:prstGeom prst="rect">
                      <a:avLst/>
                    </a:prstGeom>
                    <a:noFill/>
                  </pic:spPr>
                </pic:pic>
              </a:graphicData>
            </a:graphic>
          </wp:anchor>
        </w:drawing>
        <w:drawing>
          <wp:anchor simplePos="0" relativeHeight="251657728" behindDoc="1" locked="0" layoutInCell="0" allowOverlap="1">
            <wp:simplePos x="0" y="0"/>
            <wp:positionH relativeFrom="column">
              <wp:posOffset>4642485</wp:posOffset>
            </wp:positionH>
            <wp:positionV relativeFrom="paragraph">
              <wp:posOffset>23495</wp:posOffset>
            </wp:positionV>
            <wp:extent cx="2494915" cy="171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8">
                      <a:extLst>
                        <a:ext uri="{28A0092B-C50C-407E-A947-70E740481C1C}"/>
                      </a:extLst>
                    </a:blip>
                    <a:srcRect/>
                    <a:stretch>
                      <a:fillRect/>
                    </a:stretch>
                  </pic:blipFill>
                  <pic:spPr bwMode="auto">
                    <a:xfrm>
                      <a:off x="0" y="0"/>
                      <a:ext cx="2494915" cy="17145"/>
                    </a:xfrm>
                    <a:prstGeom prst="rect">
                      <a:avLst/>
                    </a:prstGeom>
                    <a:noFill/>
                  </pic:spPr>
                </pic:pic>
              </a:graphicData>
            </a:graphic>
          </wp:anchor>
        </w:drawing>
      </w:r>
    </w:p>
    <w:p>
      <w:pPr>
        <w:spacing w:after="0" w:line="242" w:lineRule="exact"/>
        <w:rPr>
          <w:sz w:val="20"/>
          <w:szCs w:val="20"/>
          <w:color w:val="auto"/>
        </w:rPr>
      </w:pPr>
    </w:p>
    <w:p>
      <w:pPr>
        <w:ind w:left="6740"/>
        <w:spacing w:after="0"/>
        <w:rPr>
          <w:sz w:val="20"/>
          <w:szCs w:val="20"/>
          <w:color w:val="auto"/>
        </w:rPr>
      </w:pPr>
      <w:r>
        <w:rPr>
          <w:rFonts w:ascii="Arial" w:cs="Arial" w:eastAsia="Arial" w:hAnsi="Arial"/>
          <w:sz w:val="18"/>
          <w:szCs w:val="18"/>
          <w:b w:val="1"/>
          <w:bCs w:val="1"/>
          <w:color w:val="auto"/>
        </w:rPr>
        <w:t>PARENT:</w:t>
      </w:r>
    </w:p>
    <w:p>
      <w:pPr>
        <w:spacing w:after="0" w:line="229"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PRESTO AUTOMATION INC.</w:t>
      </w:r>
    </w:p>
    <w:p>
      <w:pPr>
        <w:spacing w:after="0" w:line="23"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(F/K/A VENTOUX CCM ACQUISITION CORP.)</w:t>
      </w:r>
    </w:p>
    <w:p>
      <w:pPr>
        <w:spacing w:after="0" w:line="211"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By:</w:t>
      </w:r>
    </w:p>
    <w:p>
      <w:pPr>
        <w:spacing w:after="0" w:line="36"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-130175</wp:posOffset>
            </wp:positionV>
            <wp:extent cx="2494915" cy="171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9">
                      <a:extLst>
                        <a:ext uri="{28A0092B-C50C-407E-A947-70E740481C1C}"/>
                      </a:extLst>
                    </a:blip>
                    <a:srcRect/>
                    <a:stretch>
                      <a:fillRect/>
                    </a:stretch>
                  </pic:blipFill>
                  <pic:spPr bwMode="auto">
                    <a:xfrm>
                      <a:off x="0" y="0"/>
                      <a:ext cx="2494915" cy="17145"/>
                    </a:xfrm>
                    <a:prstGeom prst="rect">
                      <a:avLst/>
                    </a:prstGeom>
                    <a:noFill/>
                  </pic:spPr>
                </pic:pic>
              </a:graphicData>
            </a:graphic>
          </wp:anchor>
        </w:drawing>
      </w:r>
    </w:p>
    <w:p>
      <w:pPr>
        <w:spacing w:after="0" w:line="16"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-130175</wp:posOffset>
            </wp:positionV>
            <wp:extent cx="2494915" cy="171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20">
                      <a:extLst>
                        <a:ext uri="{28A0092B-C50C-407E-A947-70E740481C1C}"/>
                      </a:extLst>
                    </a:blip>
                    <a:srcRect/>
                    <a:stretch>
                      <a:fillRect/>
                    </a:stretch>
                  </pic:blipFill>
                  <pic:spPr bwMode="auto">
                    <a:xfrm>
                      <a:off x="0" y="0"/>
                      <a:ext cx="2494915" cy="17145"/>
                    </a:xfrm>
                    <a:prstGeom prst="rect">
                      <a:avLst/>
                    </a:prstGeom>
                    <a:noFill/>
                  </pic:spPr>
                </pic:pic>
              </a:graphicData>
            </a:graphic>
          </wp:anchor>
        </w:drawing>
        <w:drawing>
          <wp:anchor simplePos="0" relativeHeight="251657728" behindDoc="1" locked="0" layoutInCell="0" allowOverlap="1">
            <wp:simplePos x="0" y="0"/>
            <wp:positionH relativeFrom="column">
              <wp:posOffset>4642485</wp:posOffset>
            </wp:positionH>
            <wp:positionV relativeFrom="paragraph">
              <wp:posOffset>23495</wp:posOffset>
            </wp:positionV>
            <wp:extent cx="2494915" cy="171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1">
                      <a:extLst>
                        <a:ext uri="{28A0092B-C50C-407E-A947-70E740481C1C}"/>
                      </a:extLst>
                    </a:blip>
                    <a:srcRect/>
                    <a:stretch>
                      <a:fillRect/>
                    </a:stretch>
                  </pic:blipFill>
                  <pic:spPr bwMode="auto">
                    <a:xfrm>
                      <a:off x="0" y="0"/>
                      <a:ext cx="2494915" cy="17145"/>
                    </a:xfrm>
                    <a:prstGeom prst="rect">
                      <a:avLst/>
                    </a:prstGeom>
                    <a:noFill/>
                  </pic:spPr>
                </pic:pic>
              </a:graphicData>
            </a:graphic>
          </wp:anchor>
        </w:drawing>
      </w: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 to Second Amendment to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374650</wp:posOffset>
            </wp:positionV>
            <wp:extent cx="7132320" cy="171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79" w:name="page80"/>
    <w:bookmarkEnd w:id="79"/>
    <w:p>
      <w:pPr>
        <w:ind w:left="5620"/>
        <w:spacing w:after="0"/>
        <w:rPr>
          <w:sz w:val="20"/>
          <w:szCs w:val="20"/>
          <w:color w:val="auto"/>
        </w:rPr>
      </w:pPr>
      <w:r>
        <w:rPr>
          <w:rFonts w:ascii="Arial" w:cs="Arial" w:eastAsia="Arial" w:hAnsi="Arial"/>
          <w:sz w:val="18"/>
          <w:szCs w:val="18"/>
          <w:b w:val="1"/>
          <w:bCs w:val="1"/>
          <w:color w:val="auto"/>
        </w:rPr>
        <w:t>AGENT:</w:t>
      </w:r>
    </w:p>
    <w:p>
      <w:pPr>
        <w:spacing w:after="0" w:line="229" w:lineRule="exact"/>
        <w:rPr>
          <w:sz w:val="20"/>
          <w:szCs w:val="20"/>
          <w:color w:val="auto"/>
        </w:rPr>
      </w:pPr>
    </w:p>
    <w:p>
      <w:pPr>
        <w:ind w:left="5620"/>
        <w:spacing w:after="0"/>
        <w:rPr>
          <w:sz w:val="20"/>
          <w:szCs w:val="20"/>
          <w:color w:val="auto"/>
        </w:rPr>
      </w:pPr>
      <w:r>
        <w:rPr>
          <w:rFonts w:ascii="Arial" w:cs="Arial" w:eastAsia="Arial" w:hAnsi="Arial"/>
          <w:sz w:val="16"/>
          <w:szCs w:val="16"/>
          <w:color w:val="auto"/>
        </w:rPr>
        <w:t>METROPOLITAN PARTNERS GROUP</w:t>
      </w:r>
    </w:p>
    <w:p>
      <w:pPr>
        <w:spacing w:after="0" w:line="4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ADMINISTRATION, LLC</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2494915" cy="171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3">
                      <a:extLst>
                        <a:ext uri="{28A0092B-C50C-407E-A947-70E740481C1C}"/>
                      </a:extLst>
                    </a:blip>
                    <a:srcRect/>
                    <a:stretch>
                      <a:fillRect/>
                    </a:stretch>
                  </pic:blipFill>
                  <pic:spPr bwMode="auto">
                    <a:xfrm>
                      <a:off x="0" y="0"/>
                      <a:ext cx="2494915" cy="17145"/>
                    </a:xfrm>
                    <a:prstGeom prst="rect">
                      <a:avLst/>
                    </a:prstGeom>
                    <a:noFill/>
                  </pic:spPr>
                </pic:pic>
              </a:graphicData>
            </a:graphic>
          </wp:anchor>
        </w:drawing>
      </w:r>
    </w:p>
    <w:p>
      <w:pPr>
        <w:spacing w:after="0" w:line="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Name: Paul K. Lisiak</w:t>
      </w:r>
    </w:p>
    <w:p>
      <w:pPr>
        <w:spacing w:after="0" w:line="36" w:lineRule="exact"/>
        <w:rPr>
          <w:sz w:val="20"/>
          <w:szCs w:val="20"/>
          <w:color w:val="auto"/>
        </w:rPr>
      </w:pPr>
    </w:p>
    <w:p>
      <w:pPr>
        <w:ind w:left="5620"/>
        <w:spacing w:after="0"/>
        <w:tabs>
          <w:tab w:leader="none" w:pos="61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Managing Partner</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Signature Page to Second Amendment to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389255</wp:posOffset>
            </wp:positionV>
            <wp:extent cx="7132320" cy="171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796" w:right="1440" w:bottom="1440" w:gutter="0" w:footer="0" w:header="0"/>
        </w:sectPr>
      </w:pPr>
    </w:p>
    <w:bookmarkStart w:id="80" w:name="page81"/>
    <w:bookmarkEnd w:id="80"/>
    <w:p>
      <w:pPr>
        <w:ind w:left="5620"/>
        <w:spacing w:after="0"/>
        <w:rPr>
          <w:sz w:val="20"/>
          <w:szCs w:val="20"/>
          <w:color w:val="auto"/>
        </w:rPr>
      </w:pPr>
      <w:r>
        <w:rPr>
          <w:rFonts w:ascii="Arial" w:cs="Arial" w:eastAsia="Arial" w:hAnsi="Arial"/>
          <w:sz w:val="18"/>
          <w:szCs w:val="18"/>
          <w:b w:val="1"/>
          <w:bCs w:val="1"/>
          <w:color w:val="auto"/>
        </w:rPr>
        <w:t>LENDERS:</w:t>
      </w:r>
    </w:p>
    <w:p>
      <w:pPr>
        <w:spacing w:after="0" w:line="229" w:lineRule="exact"/>
        <w:rPr>
          <w:sz w:val="20"/>
          <w:szCs w:val="20"/>
          <w:color w:val="auto"/>
        </w:rPr>
      </w:pPr>
    </w:p>
    <w:p>
      <w:pPr>
        <w:ind w:left="5620"/>
        <w:spacing w:after="0"/>
        <w:rPr>
          <w:sz w:val="20"/>
          <w:szCs w:val="20"/>
          <w:color w:val="auto"/>
        </w:rPr>
      </w:pPr>
      <w:r>
        <w:rPr>
          <w:rFonts w:ascii="Arial" w:cs="Arial" w:eastAsia="Arial" w:hAnsi="Arial"/>
          <w:sz w:val="17"/>
          <w:szCs w:val="17"/>
          <w:color w:val="auto"/>
        </w:rPr>
        <w:t>METROPOLITAN LEVERED PARTNERS FUND VII, LP</w:t>
      </w:r>
    </w:p>
    <w:p>
      <w:pPr>
        <w:spacing w:after="0" w:line="237"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MPF VII GP, LLC its General Partner</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w:t>
      </w:r>
    </w:p>
    <w:p>
      <w:pPr>
        <w:spacing w:after="0" w:line="3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Name: Paul K. Lisiak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-130175</wp:posOffset>
            </wp:positionV>
            <wp:extent cx="2494915" cy="171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5">
                      <a:extLst>
                        <a:ext uri="{28A0092B-C50C-407E-A947-70E740481C1C}"/>
                      </a:extLst>
                    </a:blip>
                    <a:srcRect/>
                    <a:stretch>
                      <a:fillRect/>
                    </a:stretch>
                  </pic:blipFill>
                  <pic:spPr bwMode="auto">
                    <a:xfrm>
                      <a:off x="0" y="0"/>
                      <a:ext cx="2494915" cy="17145"/>
                    </a:xfrm>
                    <a:prstGeom prst="rect">
                      <a:avLst/>
                    </a:prstGeom>
                    <a:noFill/>
                  </pic:spPr>
                </pic:pic>
              </a:graphicData>
            </a:graphic>
          </wp:anchor>
        </w:drawing>
      </w:r>
    </w:p>
    <w:p>
      <w:pPr>
        <w:spacing w:after="0" w:line="17" w:lineRule="exact"/>
        <w:rPr>
          <w:sz w:val="20"/>
          <w:szCs w:val="20"/>
          <w:color w:val="auto"/>
        </w:rPr>
      </w:pPr>
    </w:p>
    <w:p>
      <w:pPr>
        <w:ind w:left="5620"/>
        <w:spacing w:after="0"/>
        <w:tabs>
          <w:tab w:leader="none" w:pos="61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Managing Partner</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METROPOLITAN PARTNERS FUND VII, LP</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MPF VII GP, LLC its General Partner</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w:t>
      </w:r>
    </w:p>
    <w:p>
      <w:pPr>
        <w:spacing w:after="0" w:line="3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Name: Paul K. Lisiak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-130175</wp:posOffset>
            </wp:positionV>
            <wp:extent cx="2494915" cy="171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6">
                      <a:extLst>
                        <a:ext uri="{28A0092B-C50C-407E-A947-70E740481C1C}"/>
                      </a:extLst>
                    </a:blip>
                    <a:srcRect/>
                    <a:stretch>
                      <a:fillRect/>
                    </a:stretch>
                  </pic:blipFill>
                  <pic:spPr bwMode="auto">
                    <a:xfrm>
                      <a:off x="0" y="0"/>
                      <a:ext cx="2494915" cy="17145"/>
                    </a:xfrm>
                    <a:prstGeom prst="rect">
                      <a:avLst/>
                    </a:prstGeom>
                    <a:noFill/>
                  </pic:spPr>
                </pic:pic>
              </a:graphicData>
            </a:graphic>
          </wp:anchor>
        </w:drawing>
      </w:r>
    </w:p>
    <w:p>
      <w:pPr>
        <w:spacing w:after="0" w:line="17" w:lineRule="exact"/>
        <w:rPr>
          <w:sz w:val="20"/>
          <w:szCs w:val="20"/>
          <w:color w:val="auto"/>
        </w:rPr>
      </w:pPr>
    </w:p>
    <w:p>
      <w:pPr>
        <w:ind w:left="5620"/>
        <w:spacing w:after="0"/>
        <w:tabs>
          <w:tab w:leader="none" w:pos="61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Managing Partner</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7"/>
          <w:szCs w:val="17"/>
          <w:color w:val="auto"/>
        </w:rPr>
        <w:t>METROPOLITAN OFFSHORE PARTNERS FUND VII, LP</w:t>
      </w:r>
    </w:p>
    <w:p>
      <w:pPr>
        <w:spacing w:after="0" w:line="237"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MPF VII GP, LLC its General Partner</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w:t>
      </w:r>
    </w:p>
    <w:p>
      <w:pPr>
        <w:spacing w:after="0" w:line="3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Name: Paul K. Lisiak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-130175</wp:posOffset>
            </wp:positionV>
            <wp:extent cx="2494915" cy="171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7">
                      <a:extLst>
                        <a:ext uri="{28A0092B-C50C-407E-A947-70E740481C1C}"/>
                      </a:extLst>
                    </a:blip>
                    <a:srcRect/>
                    <a:stretch>
                      <a:fillRect/>
                    </a:stretch>
                  </pic:blipFill>
                  <pic:spPr bwMode="auto">
                    <a:xfrm>
                      <a:off x="0" y="0"/>
                      <a:ext cx="2494915" cy="17145"/>
                    </a:xfrm>
                    <a:prstGeom prst="rect">
                      <a:avLst/>
                    </a:prstGeom>
                    <a:noFill/>
                  </pic:spPr>
                </pic:pic>
              </a:graphicData>
            </a:graphic>
          </wp:anchor>
        </w:drawing>
      </w:r>
    </w:p>
    <w:p>
      <w:pPr>
        <w:spacing w:after="0" w:line="17" w:lineRule="exact"/>
        <w:rPr>
          <w:sz w:val="20"/>
          <w:szCs w:val="20"/>
          <w:color w:val="auto"/>
        </w:rPr>
      </w:pPr>
    </w:p>
    <w:p>
      <w:pPr>
        <w:ind w:left="5620"/>
        <w:spacing w:after="0"/>
        <w:tabs>
          <w:tab w:leader="none" w:pos="61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Managing Partner</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CEOF HOLDINGS LP</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CORBIN CAPITAL PARTNERS, L.P., its</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Investment Manager:</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w:t>
      </w:r>
    </w:p>
    <w:p>
      <w:pPr>
        <w:spacing w:after="0" w:line="3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-130175</wp:posOffset>
            </wp:positionV>
            <wp:extent cx="2494915" cy="171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8">
                      <a:extLst>
                        <a:ext uri="{28A0092B-C50C-407E-A947-70E740481C1C}"/>
                      </a:extLst>
                    </a:blip>
                    <a:srcRect/>
                    <a:stretch>
                      <a:fillRect/>
                    </a:stretch>
                  </pic:blipFill>
                  <pic:spPr bwMode="auto">
                    <a:xfrm>
                      <a:off x="0" y="0"/>
                      <a:ext cx="2494915" cy="17145"/>
                    </a:xfrm>
                    <a:prstGeom prst="rect">
                      <a:avLst/>
                    </a:prstGeom>
                    <a:noFill/>
                  </pic:spPr>
                </pic:pic>
              </a:graphicData>
            </a:graphic>
          </wp:anchor>
        </w:drawing>
      </w:r>
    </w:p>
    <w:p>
      <w:pPr>
        <w:spacing w:after="0" w:line="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Title:</w:t>
      </w:r>
    </w:p>
    <w:p>
      <w:pPr>
        <w:spacing w:after="0" w:line="224" w:lineRule="exact"/>
        <w:rPr>
          <w:sz w:val="20"/>
          <w:szCs w:val="20"/>
          <w:color w:val="auto"/>
        </w:rPr>
      </w:pPr>
    </w:p>
    <w:p>
      <w:pPr>
        <w:ind w:left="2360"/>
        <w:spacing w:after="0"/>
        <w:rPr>
          <w:sz w:val="20"/>
          <w:szCs w:val="20"/>
          <w:color w:val="auto"/>
        </w:rPr>
      </w:pPr>
      <w:r>
        <w:rPr>
          <w:rFonts w:ascii="Arial" w:cs="Arial" w:eastAsia="Arial" w:hAnsi="Arial"/>
          <w:sz w:val="18"/>
          <w:szCs w:val="18"/>
          <w:color w:val="auto"/>
        </w:rPr>
        <w:t>Signature Page to Second Amendment to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374650</wp:posOffset>
            </wp:positionV>
            <wp:extent cx="7132320" cy="171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040"/>
          </w:cols>
          <w:pgMar w:left="1440" w:top="796" w:right="419" w:bottom="1440" w:gutter="0" w:footer="0" w:header="0"/>
        </w:sectPr>
      </w:pPr>
    </w:p>
    <w:bookmarkStart w:id="81" w:name="page82"/>
    <w:bookmarkEnd w:id="81"/>
    <w:p>
      <w:pPr>
        <w:jc w:val="center"/>
        <w:spacing w:after="0"/>
        <w:rPr>
          <w:sz w:val="20"/>
          <w:szCs w:val="20"/>
          <w:color w:val="auto"/>
        </w:rPr>
      </w:pPr>
      <w:r>
        <w:rPr>
          <w:rFonts w:ascii="Arial" w:cs="Arial" w:eastAsia="Arial" w:hAnsi="Arial"/>
          <w:sz w:val="18"/>
          <w:szCs w:val="18"/>
          <w:b w:val="1"/>
          <w:bCs w:val="1"/>
          <w:u w:val="single" w:color="auto"/>
          <w:color w:val="auto"/>
        </w:rPr>
        <w:t>ANNEX 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Conformed Credit Agreement</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attached.</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Annex I to Second Amendment to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389255</wp:posOffset>
            </wp:positionV>
            <wp:extent cx="7132320" cy="171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796" w:right="1440" w:bottom="1440" w:gutter="0" w:footer="0" w:header="0"/>
        </w:sectPr>
      </w:pPr>
    </w:p>
    <w:bookmarkStart w:id="82" w:name="page83"/>
    <w:bookmarkEnd w:id="82"/>
    <w:p>
      <w:pPr>
        <w:jc w:val="right"/>
        <w:spacing w:after="0"/>
        <w:rPr>
          <w:sz w:val="20"/>
          <w:szCs w:val="20"/>
          <w:color w:val="auto"/>
        </w:rPr>
      </w:pPr>
      <w:r>
        <w:rPr>
          <w:rFonts w:ascii="Arial" w:cs="Arial" w:eastAsia="Arial" w:hAnsi="Arial"/>
          <w:sz w:val="18"/>
          <w:szCs w:val="18"/>
          <w:color w:val="auto"/>
        </w:rPr>
        <w:t>Annex I</w:t>
      </w:r>
    </w:p>
    <w:p>
      <w:pPr>
        <w:spacing w:after="0" w:line="221" w:lineRule="exact"/>
        <w:rPr>
          <w:sz w:val="20"/>
          <w:szCs w:val="20"/>
          <w:color w:val="auto"/>
        </w:rPr>
      </w:pPr>
    </w:p>
    <w:p>
      <w:pPr>
        <w:jc w:val="center"/>
        <w:ind w:right="1100"/>
        <w:spacing w:after="0"/>
        <w:rPr>
          <w:sz w:val="20"/>
          <w:szCs w:val="20"/>
          <w:color w:val="auto"/>
        </w:rPr>
      </w:pPr>
      <w:r>
        <w:rPr>
          <w:rFonts w:ascii="Arial" w:cs="Arial" w:eastAsia="Arial" w:hAnsi="Arial"/>
          <w:sz w:val="18"/>
          <w:szCs w:val="18"/>
          <w:b w:val="1"/>
          <w:bCs w:val="1"/>
          <w:color w:val="auto"/>
        </w:rPr>
        <w:t>CREDIT AGREEMENT</w:t>
      </w:r>
    </w:p>
    <w:p>
      <w:pPr>
        <w:spacing w:after="0" w:line="229" w:lineRule="exact"/>
        <w:rPr>
          <w:sz w:val="20"/>
          <w:szCs w:val="20"/>
          <w:color w:val="auto"/>
        </w:rPr>
      </w:pPr>
    </w:p>
    <w:p>
      <w:pPr>
        <w:jc w:val="center"/>
        <w:ind w:right="1100"/>
        <w:spacing w:after="0"/>
        <w:rPr>
          <w:sz w:val="20"/>
          <w:szCs w:val="20"/>
          <w:color w:val="auto"/>
        </w:rPr>
      </w:pPr>
      <w:r>
        <w:rPr>
          <w:rFonts w:ascii="Arial" w:cs="Arial" w:eastAsia="Arial" w:hAnsi="Arial"/>
          <w:sz w:val="18"/>
          <w:szCs w:val="18"/>
          <w:color w:val="auto"/>
        </w:rPr>
        <w:t>dated as of September 21, 2022, among</w:t>
      </w:r>
    </w:p>
    <w:p>
      <w:pPr>
        <w:spacing w:after="0" w:line="221" w:lineRule="exact"/>
        <w:rPr>
          <w:sz w:val="20"/>
          <w:szCs w:val="20"/>
          <w:color w:val="auto"/>
        </w:rPr>
      </w:pPr>
    </w:p>
    <w:p>
      <w:pPr>
        <w:jc w:val="center"/>
        <w:ind w:right="1100"/>
        <w:spacing w:after="0"/>
        <w:rPr>
          <w:sz w:val="20"/>
          <w:szCs w:val="20"/>
          <w:color w:val="auto"/>
        </w:rPr>
      </w:pPr>
      <w:r>
        <w:rPr>
          <w:rFonts w:ascii="Arial" w:cs="Arial" w:eastAsia="Arial" w:hAnsi="Arial"/>
          <w:sz w:val="18"/>
          <w:szCs w:val="18"/>
          <w:b w:val="1"/>
          <w:bCs w:val="1"/>
          <w:color w:val="auto"/>
        </w:rPr>
        <w:t>E LA CARTE, LLC</w:t>
      </w:r>
    </w:p>
    <w:p>
      <w:pPr>
        <w:spacing w:after="0" w:line="27" w:lineRule="exact"/>
        <w:rPr>
          <w:sz w:val="20"/>
          <w:szCs w:val="20"/>
          <w:color w:val="auto"/>
        </w:rPr>
      </w:pPr>
    </w:p>
    <w:p>
      <w:pPr>
        <w:jc w:val="center"/>
        <w:ind w:right="1100"/>
        <w:spacing w:after="0"/>
        <w:rPr>
          <w:sz w:val="20"/>
          <w:szCs w:val="20"/>
          <w:color w:val="auto"/>
        </w:rPr>
      </w:pPr>
      <w:r>
        <w:rPr>
          <w:rFonts w:ascii="Arial" w:cs="Arial" w:eastAsia="Arial" w:hAnsi="Arial"/>
          <w:sz w:val="18"/>
          <w:szCs w:val="18"/>
          <w:b w:val="1"/>
          <w:bCs w:val="1"/>
          <w:color w:val="auto"/>
        </w:rPr>
        <w:t>(F/K/A VENTOUX MERGER SUB II LLC),</w:t>
      </w:r>
    </w:p>
    <w:p>
      <w:pPr>
        <w:spacing w:after="0" w:line="9" w:lineRule="exact"/>
        <w:rPr>
          <w:sz w:val="20"/>
          <w:szCs w:val="20"/>
          <w:color w:val="auto"/>
        </w:rPr>
      </w:pPr>
    </w:p>
    <w:p>
      <w:pPr>
        <w:jc w:val="center"/>
        <w:ind w:right="1100"/>
        <w:spacing w:after="0"/>
        <w:rPr>
          <w:sz w:val="20"/>
          <w:szCs w:val="20"/>
          <w:color w:val="auto"/>
        </w:rPr>
      </w:pPr>
      <w:r>
        <w:rPr>
          <w:rFonts w:ascii="Arial" w:cs="Arial" w:eastAsia="Arial" w:hAnsi="Arial"/>
          <w:sz w:val="18"/>
          <w:szCs w:val="18"/>
          <w:color w:val="auto"/>
        </w:rPr>
        <w:t>as the Borrower,</w:t>
      </w:r>
    </w:p>
    <w:p>
      <w:pPr>
        <w:spacing w:after="0" w:line="207" w:lineRule="exact"/>
        <w:rPr>
          <w:sz w:val="20"/>
          <w:szCs w:val="20"/>
          <w:color w:val="auto"/>
        </w:rPr>
      </w:pPr>
    </w:p>
    <w:p>
      <w:pPr>
        <w:jc w:val="center"/>
        <w:ind w:right="1100"/>
        <w:spacing w:after="0"/>
        <w:rPr>
          <w:sz w:val="20"/>
          <w:szCs w:val="20"/>
          <w:color w:val="auto"/>
        </w:rPr>
      </w:pPr>
      <w:r>
        <w:rPr>
          <w:rFonts w:ascii="Arial" w:cs="Arial" w:eastAsia="Arial" w:hAnsi="Arial"/>
          <w:sz w:val="18"/>
          <w:szCs w:val="18"/>
          <w:b w:val="1"/>
          <w:bCs w:val="1"/>
          <w:color w:val="auto"/>
        </w:rPr>
        <w:t>PRESTO AUTOMATION INC.</w:t>
      </w:r>
    </w:p>
    <w:p>
      <w:pPr>
        <w:spacing w:after="0" w:line="27" w:lineRule="exact"/>
        <w:rPr>
          <w:sz w:val="20"/>
          <w:szCs w:val="20"/>
          <w:color w:val="auto"/>
        </w:rPr>
      </w:pPr>
    </w:p>
    <w:p>
      <w:pPr>
        <w:jc w:val="center"/>
        <w:ind w:right="1100"/>
        <w:spacing w:after="0"/>
        <w:rPr>
          <w:sz w:val="20"/>
          <w:szCs w:val="20"/>
          <w:color w:val="auto"/>
        </w:rPr>
      </w:pPr>
      <w:r>
        <w:rPr>
          <w:rFonts w:ascii="Arial" w:cs="Arial" w:eastAsia="Arial" w:hAnsi="Arial"/>
          <w:sz w:val="18"/>
          <w:szCs w:val="18"/>
          <w:b w:val="1"/>
          <w:bCs w:val="1"/>
          <w:color w:val="auto"/>
        </w:rPr>
        <w:t>(F/K/A VENTOUX CCM ACQUISITION CORP.),</w:t>
      </w:r>
    </w:p>
    <w:p>
      <w:pPr>
        <w:spacing w:after="0" w:line="9" w:lineRule="exact"/>
        <w:rPr>
          <w:sz w:val="20"/>
          <w:szCs w:val="20"/>
          <w:color w:val="auto"/>
        </w:rPr>
      </w:pPr>
    </w:p>
    <w:p>
      <w:pPr>
        <w:jc w:val="center"/>
        <w:ind w:right="1100"/>
        <w:spacing w:after="0"/>
        <w:rPr>
          <w:sz w:val="20"/>
          <w:szCs w:val="20"/>
          <w:color w:val="auto"/>
        </w:rPr>
      </w:pPr>
      <w:r>
        <w:rPr>
          <w:rFonts w:ascii="Arial" w:cs="Arial" w:eastAsia="Arial" w:hAnsi="Arial"/>
          <w:sz w:val="18"/>
          <w:szCs w:val="18"/>
          <w:color w:val="auto"/>
        </w:rPr>
        <w:t>as Parent,</w:t>
      </w:r>
    </w:p>
    <w:p>
      <w:pPr>
        <w:spacing w:after="0" w:line="207" w:lineRule="exact"/>
        <w:rPr>
          <w:sz w:val="20"/>
          <w:szCs w:val="20"/>
          <w:color w:val="auto"/>
        </w:rPr>
      </w:pPr>
    </w:p>
    <w:p>
      <w:pPr>
        <w:jc w:val="center"/>
        <w:ind w:right="1100"/>
        <w:spacing w:after="0"/>
        <w:rPr>
          <w:sz w:val="20"/>
          <w:szCs w:val="20"/>
          <w:color w:val="auto"/>
        </w:rPr>
      </w:pPr>
      <w:r>
        <w:rPr>
          <w:rFonts w:ascii="Arial" w:cs="Arial" w:eastAsia="Arial" w:hAnsi="Arial"/>
          <w:sz w:val="18"/>
          <w:szCs w:val="18"/>
          <w:b w:val="1"/>
          <w:bCs w:val="1"/>
          <w:color w:val="auto"/>
        </w:rPr>
        <w:t>THE LENDERS FROM TIME TO TIME PARTY HERETO,</w:t>
      </w:r>
    </w:p>
    <w:p>
      <w:pPr>
        <w:spacing w:after="0" w:line="27" w:lineRule="exact"/>
        <w:rPr>
          <w:sz w:val="20"/>
          <w:szCs w:val="20"/>
          <w:color w:val="auto"/>
        </w:rPr>
      </w:pPr>
    </w:p>
    <w:p>
      <w:pPr>
        <w:jc w:val="center"/>
        <w:ind w:right="1100"/>
        <w:spacing w:after="0"/>
        <w:rPr>
          <w:sz w:val="20"/>
          <w:szCs w:val="20"/>
          <w:color w:val="auto"/>
        </w:rPr>
      </w:pPr>
      <w:r>
        <w:rPr>
          <w:rFonts w:ascii="Arial" w:cs="Arial" w:eastAsia="Arial" w:hAnsi="Arial"/>
          <w:sz w:val="18"/>
          <w:szCs w:val="18"/>
          <w:color w:val="auto"/>
        </w:rPr>
        <w:t>as Lenders,</w:t>
      </w:r>
    </w:p>
    <w:p>
      <w:pPr>
        <w:spacing w:after="0" w:line="211"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and</w:t>
      </w:r>
    </w:p>
    <w:p>
      <w:pPr>
        <w:spacing w:after="0" w:line="221" w:lineRule="exact"/>
        <w:rPr>
          <w:sz w:val="20"/>
          <w:szCs w:val="20"/>
          <w:color w:val="auto"/>
        </w:rPr>
      </w:pPr>
    </w:p>
    <w:p>
      <w:pPr>
        <w:ind w:left="2160"/>
        <w:spacing w:after="0"/>
        <w:rPr>
          <w:sz w:val="20"/>
          <w:szCs w:val="20"/>
          <w:color w:val="auto"/>
        </w:rPr>
      </w:pPr>
      <w:r>
        <w:rPr>
          <w:rFonts w:ascii="Arial" w:cs="Arial" w:eastAsia="Arial" w:hAnsi="Arial"/>
          <w:sz w:val="18"/>
          <w:szCs w:val="18"/>
          <w:b w:val="1"/>
          <w:bCs w:val="1"/>
          <w:color w:val="auto"/>
        </w:rPr>
        <w:t>METROPOLITAN PARTNERS GROUP ADMINISTRATION, LLC,</w:t>
      </w:r>
    </w:p>
    <w:p>
      <w:pPr>
        <w:spacing w:after="0" w:line="27" w:lineRule="exact"/>
        <w:rPr>
          <w:sz w:val="20"/>
          <w:szCs w:val="20"/>
          <w:color w:val="auto"/>
        </w:rPr>
      </w:pPr>
    </w:p>
    <w:p>
      <w:pPr>
        <w:ind w:left="4200"/>
        <w:spacing w:after="0"/>
        <w:rPr>
          <w:sz w:val="20"/>
          <w:szCs w:val="20"/>
          <w:color w:val="auto"/>
        </w:rPr>
      </w:pPr>
      <w:r>
        <w:rPr>
          <w:rFonts w:ascii="Arial" w:cs="Arial" w:eastAsia="Arial" w:hAnsi="Arial"/>
          <w:sz w:val="18"/>
          <w:szCs w:val="18"/>
          <w:color w:val="auto"/>
        </w:rPr>
        <w:t>as Agent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280035</wp:posOffset>
            </wp:positionV>
            <wp:extent cx="7132320" cy="171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800" w:right="339" w:bottom="1440" w:gutter="0" w:footer="0" w:header="0"/>
        </w:sectPr>
      </w:pPr>
    </w:p>
    <w:bookmarkStart w:id="83" w:name="page84"/>
    <w:bookmarkEnd w:id="83"/>
    <w:tbl>
      <w:tblPr>
        <w:tblLayout w:type="fixed"/>
        <w:tblInd w:w="0" w:type="dxa"/>
        <w:tblCellMar>
          <w:top w:w="0" w:type="dxa"/>
          <w:left w:w="0" w:type="dxa"/>
          <w:bottom w:w="0" w:type="dxa"/>
          <w:right w:w="0" w:type="dxa"/>
        </w:tblCellMar>
      </w:tblPr>
      <w:tr>
        <w:trPr>
          <w:trHeight w:val="234"/>
        </w:trPr>
        <w:tc>
          <w:tcPr>
            <w:tcW w:w="640" w:type="dxa"/>
            <w:vAlign w:val="bottom"/>
          </w:tcPr>
          <w:p>
            <w:pPr>
              <w:spacing w:after="0"/>
              <w:rPr>
                <w:sz w:val="20"/>
                <w:szCs w:val="20"/>
                <w:color w:val="auto"/>
              </w:rPr>
            </w:pPr>
          </w:p>
        </w:tc>
        <w:tc>
          <w:tcPr>
            <w:tcW w:w="10600" w:type="dxa"/>
            <w:vAlign w:val="bottom"/>
            <w:gridSpan w:val="3"/>
          </w:tcPr>
          <w:p>
            <w:pPr>
              <w:jc w:val="center"/>
              <w:ind w:right="550"/>
              <w:spacing w:after="0"/>
              <w:rPr>
                <w:sz w:val="20"/>
                <w:szCs w:val="20"/>
                <w:color w:val="auto"/>
              </w:rPr>
            </w:pPr>
            <w:r>
              <w:rPr>
                <w:rFonts w:ascii="Arial" w:cs="Arial" w:eastAsia="Arial" w:hAnsi="Arial"/>
                <w:sz w:val="18"/>
                <w:szCs w:val="18"/>
                <w:b w:val="1"/>
                <w:bCs w:val="1"/>
                <w:color w:val="auto"/>
                <w:w w:val="98"/>
              </w:rPr>
              <w:t>TABLE OF CONTENTS</w:t>
            </w:r>
          </w:p>
        </w:tc>
      </w:tr>
      <w:tr>
        <w:trPr>
          <w:trHeight w:val="439"/>
        </w:trPr>
        <w:tc>
          <w:tcPr>
            <w:tcW w:w="640" w:type="dxa"/>
            <w:vAlign w:val="bottom"/>
          </w:tcPr>
          <w:p>
            <w:pPr>
              <w:spacing w:after="0"/>
              <w:rPr>
                <w:sz w:val="24"/>
                <w:szCs w:val="24"/>
                <w:color w:val="auto"/>
              </w:rPr>
            </w:pPr>
          </w:p>
        </w:tc>
        <w:tc>
          <w:tcPr>
            <w:tcW w:w="4940" w:type="dxa"/>
            <w:vAlign w:val="bottom"/>
          </w:tcPr>
          <w:p>
            <w:pPr>
              <w:spacing w:after="0"/>
              <w:rPr>
                <w:sz w:val="24"/>
                <w:szCs w:val="24"/>
                <w:color w:val="auto"/>
              </w:rPr>
            </w:pPr>
          </w:p>
        </w:tc>
        <w:tc>
          <w:tcPr>
            <w:tcW w:w="4540" w:type="dxa"/>
            <w:vAlign w:val="bottom"/>
          </w:tcPr>
          <w:p>
            <w:pPr>
              <w:spacing w:after="0"/>
              <w:rPr>
                <w:sz w:val="24"/>
                <w:szCs w:val="24"/>
                <w:color w:val="auto"/>
              </w:rPr>
            </w:pPr>
          </w:p>
        </w:tc>
        <w:tc>
          <w:tcPr>
            <w:tcW w:w="1120" w:type="dxa"/>
            <w:vAlign w:val="bottom"/>
            <w:tcBorders>
              <w:bottom w:val="single" w:sz="8" w:color="auto"/>
            </w:tcBorders>
          </w:tcPr>
          <w:p>
            <w:pPr>
              <w:ind w:left="380"/>
              <w:spacing w:after="0"/>
              <w:rPr>
                <w:sz w:val="20"/>
                <w:szCs w:val="20"/>
                <w:color w:val="auto"/>
              </w:rPr>
            </w:pPr>
            <w:r>
              <w:rPr>
                <w:rFonts w:ascii="Arial" w:cs="Arial" w:eastAsia="Arial" w:hAnsi="Arial"/>
                <w:sz w:val="18"/>
                <w:szCs w:val="18"/>
                <w:b w:val="1"/>
                <w:bCs w:val="1"/>
                <w:color w:val="auto"/>
              </w:rPr>
              <w:t>Page</w:t>
            </w:r>
          </w:p>
        </w:tc>
      </w:tr>
      <w:tr>
        <w:trPr>
          <w:trHeight w:val="216"/>
        </w:trPr>
        <w:tc>
          <w:tcPr>
            <w:tcW w:w="5580" w:type="dxa"/>
            <w:vAlign w:val="bottom"/>
            <w:gridSpan w:val="2"/>
          </w:tcPr>
          <w:p>
            <w:pPr>
              <w:spacing w:after="0"/>
              <w:rPr>
                <w:sz w:val="18"/>
                <w:szCs w:val="18"/>
                <w:color w:val="auto"/>
              </w:rPr>
            </w:pPr>
          </w:p>
        </w:tc>
        <w:tc>
          <w:tcPr>
            <w:tcW w:w="5660" w:type="dxa"/>
            <w:vAlign w:val="bottom"/>
            <w:gridSpan w:val="2"/>
          </w:tcPr>
          <w:p>
            <w:pPr>
              <w:spacing w:after="0"/>
              <w:rPr>
                <w:sz w:val="18"/>
                <w:szCs w:val="18"/>
                <w:color w:val="auto"/>
              </w:rPr>
            </w:pPr>
          </w:p>
        </w:tc>
      </w:tr>
      <w:tr>
        <w:trPr>
          <w:trHeight w:val="216"/>
        </w:trPr>
        <w:tc>
          <w:tcPr>
            <w:tcW w:w="5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SECTION 1 DEFINITIONS</w:t>
            </w:r>
          </w:p>
        </w:tc>
        <w:tc>
          <w:tcPr>
            <w:tcW w:w="5660" w:type="dxa"/>
            <w:vAlign w:val="bottom"/>
            <w:gridSpan w:val="2"/>
            <w:shd w:val="clear" w:color="auto" w:fill="CCEEFF"/>
          </w:tcPr>
          <w:p>
            <w:pPr>
              <w:jc w:val="center"/>
              <w:ind w:left="4450"/>
              <w:spacing w:after="0"/>
              <w:rPr>
                <w:sz w:val="20"/>
                <w:szCs w:val="20"/>
                <w:color w:val="auto"/>
              </w:rPr>
            </w:pPr>
            <w:r>
              <w:rPr>
                <w:rFonts w:ascii="Arial" w:cs="Arial" w:eastAsia="Arial" w:hAnsi="Arial"/>
                <w:sz w:val="18"/>
                <w:szCs w:val="18"/>
                <w:color w:val="auto"/>
                <w:w w:val="79"/>
              </w:rPr>
              <w:t>1</w:t>
            </w:r>
          </w:p>
        </w:tc>
      </w:tr>
      <w:tr>
        <w:trPr>
          <w:trHeight w:val="216"/>
        </w:trPr>
        <w:tc>
          <w:tcPr>
            <w:tcW w:w="640" w:type="dxa"/>
            <w:vAlign w:val="bottom"/>
          </w:tcPr>
          <w:p>
            <w:pPr>
              <w:spacing w:after="0"/>
              <w:rPr>
                <w:sz w:val="18"/>
                <w:szCs w:val="18"/>
                <w:color w:val="auto"/>
              </w:rPr>
            </w:pPr>
          </w:p>
        </w:tc>
        <w:tc>
          <w:tcPr>
            <w:tcW w:w="4940" w:type="dxa"/>
            <w:vAlign w:val="bottom"/>
          </w:tcPr>
          <w:p>
            <w:pPr>
              <w:spacing w:after="0"/>
              <w:rPr>
                <w:sz w:val="18"/>
                <w:szCs w:val="18"/>
                <w:color w:val="auto"/>
              </w:rPr>
            </w:pPr>
          </w:p>
        </w:tc>
        <w:tc>
          <w:tcPr>
            <w:tcW w:w="5660" w:type="dxa"/>
            <w:vAlign w:val="bottom"/>
            <w:gridSpan w:val="2"/>
          </w:tcPr>
          <w:p>
            <w:pPr>
              <w:spacing w:after="0"/>
              <w:rPr>
                <w:sz w:val="18"/>
                <w:szCs w:val="18"/>
                <w:color w:val="auto"/>
              </w:rPr>
            </w:pPr>
          </w:p>
        </w:tc>
      </w:tr>
      <w:tr>
        <w:trPr>
          <w:trHeight w:val="216"/>
        </w:trPr>
        <w:tc>
          <w:tcPr>
            <w:tcW w:w="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1.1</w:t>
            </w:r>
          </w:p>
        </w:tc>
        <w:tc>
          <w:tcPr>
            <w:tcW w:w="49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w:t>
            </w:r>
            <w:r>
              <w:rPr>
                <w:rFonts w:ascii="Arial" w:cs="Arial" w:eastAsia="Arial" w:hAnsi="Arial"/>
                <w:sz w:val="12"/>
                <w:szCs w:val="12"/>
                <w:color w:val="auto"/>
              </w:rPr>
              <w:t>efined</w:t>
            </w:r>
            <w:r>
              <w:rPr>
                <w:rFonts w:ascii="Arial" w:cs="Arial" w:eastAsia="Arial" w:hAnsi="Arial"/>
                <w:sz w:val="18"/>
                <w:szCs w:val="18"/>
                <w:color w:val="auto"/>
              </w:rPr>
              <w:t xml:space="preserve"> T</w:t>
            </w:r>
            <w:r>
              <w:rPr>
                <w:rFonts w:ascii="Arial" w:cs="Arial" w:eastAsia="Arial" w:hAnsi="Arial"/>
                <w:sz w:val="12"/>
                <w:szCs w:val="12"/>
                <w:color w:val="auto"/>
              </w:rPr>
              <w:t>erms</w:t>
            </w:r>
          </w:p>
        </w:tc>
        <w:tc>
          <w:tcPr>
            <w:tcW w:w="5660" w:type="dxa"/>
            <w:vAlign w:val="bottom"/>
            <w:gridSpan w:val="2"/>
            <w:shd w:val="clear" w:color="auto" w:fill="CCEEFF"/>
          </w:tcPr>
          <w:p>
            <w:pPr>
              <w:jc w:val="center"/>
              <w:ind w:left="4450"/>
              <w:spacing w:after="0"/>
              <w:rPr>
                <w:sz w:val="20"/>
                <w:szCs w:val="20"/>
                <w:color w:val="auto"/>
              </w:rPr>
            </w:pPr>
            <w:r>
              <w:rPr>
                <w:rFonts w:ascii="Arial" w:cs="Arial" w:eastAsia="Arial" w:hAnsi="Arial"/>
                <w:sz w:val="18"/>
                <w:szCs w:val="18"/>
                <w:color w:val="auto"/>
                <w:w w:val="79"/>
              </w:rPr>
              <w:t>1</w:t>
            </w:r>
          </w:p>
        </w:tc>
      </w:tr>
      <w:tr>
        <w:trPr>
          <w:trHeight w:val="216"/>
        </w:trPr>
        <w:tc>
          <w:tcPr>
            <w:tcW w:w="640" w:type="dxa"/>
            <w:vAlign w:val="bottom"/>
          </w:tcPr>
          <w:p>
            <w:pPr>
              <w:ind w:left="180"/>
              <w:spacing w:after="0"/>
              <w:rPr>
                <w:sz w:val="20"/>
                <w:szCs w:val="20"/>
                <w:color w:val="auto"/>
              </w:rPr>
            </w:pPr>
            <w:r>
              <w:rPr>
                <w:rFonts w:ascii="Arial" w:cs="Arial" w:eastAsia="Arial" w:hAnsi="Arial"/>
                <w:sz w:val="18"/>
                <w:szCs w:val="18"/>
                <w:color w:val="auto"/>
              </w:rPr>
              <w:t>1.2</w:t>
            </w:r>
          </w:p>
        </w:tc>
        <w:tc>
          <w:tcPr>
            <w:tcW w:w="4940" w:type="dxa"/>
            <w:vAlign w:val="bottom"/>
          </w:tcPr>
          <w:p>
            <w:pPr>
              <w:ind w:left="160"/>
              <w:spacing w:after="0"/>
              <w:rPr>
                <w:sz w:val="20"/>
                <w:szCs w:val="20"/>
                <w:color w:val="auto"/>
              </w:rPr>
            </w:pPr>
            <w:r>
              <w:rPr>
                <w:rFonts w:ascii="Arial" w:cs="Arial" w:eastAsia="Arial" w:hAnsi="Arial"/>
                <w:sz w:val="18"/>
                <w:szCs w:val="18"/>
                <w:color w:val="auto"/>
              </w:rPr>
              <w:t>O</w:t>
            </w:r>
            <w:r>
              <w:rPr>
                <w:rFonts w:ascii="Arial" w:cs="Arial" w:eastAsia="Arial" w:hAnsi="Arial"/>
                <w:sz w:val="12"/>
                <w:szCs w:val="12"/>
                <w:color w:val="auto"/>
              </w:rPr>
              <w:t>ther</w:t>
            </w:r>
            <w:r>
              <w:rPr>
                <w:rFonts w:ascii="Arial" w:cs="Arial" w:eastAsia="Arial" w:hAnsi="Arial"/>
                <w:sz w:val="18"/>
                <w:szCs w:val="18"/>
                <w:color w:val="auto"/>
              </w:rPr>
              <w:t xml:space="preserve"> D</w:t>
            </w:r>
            <w:r>
              <w:rPr>
                <w:rFonts w:ascii="Arial" w:cs="Arial" w:eastAsia="Arial" w:hAnsi="Arial"/>
                <w:sz w:val="12"/>
                <w:szCs w:val="12"/>
                <w:color w:val="auto"/>
              </w:rPr>
              <w:t>efinitional</w:t>
            </w:r>
            <w:r>
              <w:rPr>
                <w:rFonts w:ascii="Arial" w:cs="Arial" w:eastAsia="Arial" w:hAnsi="Arial"/>
                <w:sz w:val="18"/>
                <w:szCs w:val="18"/>
                <w:color w:val="auto"/>
              </w:rPr>
              <w:t xml:space="preserve"> P</w:t>
            </w:r>
            <w:r>
              <w:rPr>
                <w:rFonts w:ascii="Arial" w:cs="Arial" w:eastAsia="Arial" w:hAnsi="Arial"/>
                <w:sz w:val="12"/>
                <w:szCs w:val="12"/>
                <w:color w:val="auto"/>
              </w:rPr>
              <w:t>rovisions</w:t>
            </w:r>
          </w:p>
        </w:tc>
        <w:tc>
          <w:tcPr>
            <w:tcW w:w="5660" w:type="dxa"/>
            <w:vAlign w:val="bottom"/>
            <w:gridSpan w:val="2"/>
          </w:tcPr>
          <w:p>
            <w:pPr>
              <w:jc w:val="center"/>
              <w:ind w:left="4430"/>
              <w:spacing w:after="0"/>
              <w:rPr>
                <w:sz w:val="20"/>
                <w:szCs w:val="20"/>
                <w:color w:val="auto"/>
              </w:rPr>
            </w:pPr>
            <w:r>
              <w:rPr>
                <w:rFonts w:ascii="Arial" w:cs="Arial" w:eastAsia="Arial" w:hAnsi="Arial"/>
                <w:sz w:val="18"/>
                <w:szCs w:val="18"/>
                <w:color w:val="auto"/>
                <w:w w:val="89"/>
              </w:rPr>
              <w:t>20</w:t>
            </w:r>
          </w:p>
        </w:tc>
      </w:tr>
      <w:tr>
        <w:trPr>
          <w:trHeight w:val="216"/>
        </w:trPr>
        <w:tc>
          <w:tcPr>
            <w:tcW w:w="5580" w:type="dxa"/>
            <w:vAlign w:val="bottom"/>
            <w:gridSpan w:val="2"/>
            <w:shd w:val="clear" w:color="auto" w:fill="CCEEFF"/>
          </w:tcPr>
          <w:p>
            <w:pPr>
              <w:spacing w:after="0"/>
              <w:rPr>
                <w:sz w:val="18"/>
                <w:szCs w:val="18"/>
                <w:color w:val="auto"/>
              </w:rPr>
            </w:pPr>
          </w:p>
        </w:tc>
        <w:tc>
          <w:tcPr>
            <w:tcW w:w="5660" w:type="dxa"/>
            <w:vAlign w:val="bottom"/>
            <w:gridSpan w:val="2"/>
            <w:shd w:val="clear" w:color="auto" w:fill="CCEEFF"/>
          </w:tcPr>
          <w:p>
            <w:pPr>
              <w:spacing w:after="0"/>
              <w:rPr>
                <w:sz w:val="18"/>
                <w:szCs w:val="18"/>
                <w:color w:val="auto"/>
              </w:rPr>
            </w:pPr>
          </w:p>
        </w:tc>
      </w:tr>
      <w:tr>
        <w:trPr>
          <w:trHeight w:val="216"/>
        </w:trPr>
        <w:tc>
          <w:tcPr>
            <w:tcW w:w="5580" w:type="dxa"/>
            <w:vAlign w:val="bottom"/>
            <w:gridSpan w:val="2"/>
          </w:tcPr>
          <w:p>
            <w:pPr>
              <w:spacing w:after="0"/>
              <w:rPr>
                <w:sz w:val="20"/>
                <w:szCs w:val="20"/>
                <w:color w:val="auto"/>
              </w:rPr>
            </w:pPr>
            <w:r>
              <w:rPr>
                <w:rFonts w:ascii="Arial" w:cs="Arial" w:eastAsia="Arial" w:hAnsi="Arial"/>
                <w:sz w:val="18"/>
                <w:szCs w:val="18"/>
                <w:color w:val="auto"/>
              </w:rPr>
              <w:t>SECTION 2 AMOUNT AND TERMS OF COMMITMENTS</w:t>
            </w:r>
          </w:p>
        </w:tc>
        <w:tc>
          <w:tcPr>
            <w:tcW w:w="5660" w:type="dxa"/>
            <w:vAlign w:val="bottom"/>
            <w:gridSpan w:val="2"/>
          </w:tcPr>
          <w:p>
            <w:pPr>
              <w:jc w:val="center"/>
              <w:ind w:left="4430"/>
              <w:spacing w:after="0"/>
              <w:rPr>
                <w:sz w:val="20"/>
                <w:szCs w:val="20"/>
                <w:color w:val="auto"/>
              </w:rPr>
            </w:pPr>
            <w:r>
              <w:rPr>
                <w:rFonts w:ascii="Arial" w:cs="Arial" w:eastAsia="Arial" w:hAnsi="Arial"/>
                <w:sz w:val="18"/>
                <w:szCs w:val="18"/>
                <w:color w:val="auto"/>
                <w:w w:val="89"/>
              </w:rPr>
              <w:t>21</w:t>
            </w:r>
          </w:p>
        </w:tc>
      </w:tr>
      <w:tr>
        <w:trPr>
          <w:trHeight w:val="216"/>
        </w:trPr>
        <w:tc>
          <w:tcPr>
            <w:tcW w:w="640" w:type="dxa"/>
            <w:vAlign w:val="bottom"/>
            <w:shd w:val="clear" w:color="auto" w:fill="CCEEFF"/>
          </w:tcPr>
          <w:p>
            <w:pPr>
              <w:spacing w:after="0"/>
              <w:rPr>
                <w:sz w:val="18"/>
                <w:szCs w:val="18"/>
                <w:color w:val="auto"/>
              </w:rPr>
            </w:pPr>
          </w:p>
        </w:tc>
        <w:tc>
          <w:tcPr>
            <w:tcW w:w="4940" w:type="dxa"/>
            <w:vAlign w:val="bottom"/>
            <w:shd w:val="clear" w:color="auto" w:fill="CCEEFF"/>
          </w:tcPr>
          <w:p>
            <w:pPr>
              <w:spacing w:after="0"/>
              <w:rPr>
                <w:sz w:val="18"/>
                <w:szCs w:val="18"/>
                <w:color w:val="auto"/>
              </w:rPr>
            </w:pPr>
          </w:p>
        </w:tc>
        <w:tc>
          <w:tcPr>
            <w:tcW w:w="5660" w:type="dxa"/>
            <w:vAlign w:val="bottom"/>
            <w:gridSpan w:val="2"/>
            <w:shd w:val="clear" w:color="auto" w:fill="CCEEFF"/>
          </w:tcPr>
          <w:p>
            <w:pPr>
              <w:spacing w:after="0"/>
              <w:rPr>
                <w:sz w:val="18"/>
                <w:szCs w:val="18"/>
                <w:color w:val="auto"/>
              </w:rPr>
            </w:pPr>
          </w:p>
        </w:tc>
      </w:tr>
      <w:tr>
        <w:trPr>
          <w:trHeight w:val="216"/>
        </w:trPr>
        <w:tc>
          <w:tcPr>
            <w:tcW w:w="640" w:type="dxa"/>
            <w:vAlign w:val="bottom"/>
          </w:tcPr>
          <w:p>
            <w:pPr>
              <w:ind w:left="180"/>
              <w:spacing w:after="0"/>
              <w:rPr>
                <w:sz w:val="20"/>
                <w:szCs w:val="20"/>
                <w:color w:val="auto"/>
              </w:rPr>
            </w:pPr>
            <w:r>
              <w:rPr>
                <w:rFonts w:ascii="Arial" w:cs="Arial" w:eastAsia="Arial" w:hAnsi="Arial"/>
                <w:sz w:val="18"/>
                <w:szCs w:val="18"/>
                <w:color w:val="auto"/>
              </w:rPr>
              <w:t>2.1</w:t>
            </w:r>
          </w:p>
        </w:tc>
        <w:tc>
          <w:tcPr>
            <w:tcW w:w="4940" w:type="dxa"/>
            <w:vAlign w:val="bottom"/>
          </w:tcPr>
          <w:p>
            <w:pPr>
              <w:ind w:left="160"/>
              <w:spacing w:after="0"/>
              <w:rPr>
                <w:sz w:val="20"/>
                <w:szCs w:val="20"/>
                <w:color w:val="auto"/>
              </w:rPr>
            </w:pPr>
            <w:r>
              <w:rPr>
                <w:rFonts w:ascii="Arial" w:cs="Arial" w:eastAsia="Arial" w:hAnsi="Arial"/>
                <w:sz w:val="18"/>
                <w:szCs w:val="18"/>
                <w:color w:val="auto"/>
              </w:rPr>
              <w:t>C</w:t>
            </w:r>
            <w:r>
              <w:rPr>
                <w:rFonts w:ascii="Arial" w:cs="Arial" w:eastAsia="Arial" w:hAnsi="Arial"/>
                <w:sz w:val="12"/>
                <w:szCs w:val="12"/>
                <w:color w:val="auto"/>
              </w:rPr>
              <w:t>ommitments</w:t>
            </w:r>
            <w:r>
              <w:rPr>
                <w:rFonts w:ascii="Arial" w:cs="Arial" w:eastAsia="Arial" w:hAnsi="Arial"/>
                <w:sz w:val="18"/>
                <w:szCs w:val="18"/>
                <w:color w:val="auto"/>
              </w:rPr>
              <w:t>; R</w:t>
            </w:r>
            <w:r>
              <w:rPr>
                <w:rFonts w:ascii="Arial" w:cs="Arial" w:eastAsia="Arial" w:hAnsi="Arial"/>
                <w:sz w:val="12"/>
                <w:szCs w:val="12"/>
                <w:color w:val="auto"/>
              </w:rPr>
              <w:t>epayment</w:t>
            </w:r>
          </w:p>
        </w:tc>
        <w:tc>
          <w:tcPr>
            <w:tcW w:w="5660" w:type="dxa"/>
            <w:vAlign w:val="bottom"/>
            <w:gridSpan w:val="2"/>
          </w:tcPr>
          <w:p>
            <w:pPr>
              <w:jc w:val="center"/>
              <w:ind w:left="4430"/>
              <w:spacing w:after="0"/>
              <w:rPr>
                <w:sz w:val="20"/>
                <w:szCs w:val="20"/>
                <w:color w:val="auto"/>
              </w:rPr>
            </w:pPr>
            <w:r>
              <w:rPr>
                <w:rFonts w:ascii="Arial" w:cs="Arial" w:eastAsia="Arial" w:hAnsi="Arial"/>
                <w:sz w:val="18"/>
                <w:szCs w:val="18"/>
                <w:color w:val="auto"/>
                <w:w w:val="89"/>
              </w:rPr>
              <w:t>21</w:t>
            </w:r>
          </w:p>
        </w:tc>
      </w:tr>
      <w:tr>
        <w:trPr>
          <w:trHeight w:val="216"/>
        </w:trPr>
        <w:tc>
          <w:tcPr>
            <w:tcW w:w="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2.2</w:t>
            </w:r>
          </w:p>
        </w:tc>
        <w:tc>
          <w:tcPr>
            <w:tcW w:w="49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w:t>
            </w:r>
            <w:r>
              <w:rPr>
                <w:rFonts w:ascii="Arial" w:cs="Arial" w:eastAsia="Arial" w:hAnsi="Arial"/>
                <w:sz w:val="12"/>
                <w:szCs w:val="12"/>
                <w:color w:val="auto"/>
              </w:rPr>
              <w:t>dvances</w:t>
            </w:r>
          </w:p>
        </w:tc>
        <w:tc>
          <w:tcPr>
            <w:tcW w:w="5660" w:type="dxa"/>
            <w:vAlign w:val="bottom"/>
            <w:gridSpan w:val="2"/>
            <w:shd w:val="clear" w:color="auto" w:fill="CCEEFF"/>
          </w:tcPr>
          <w:p>
            <w:pPr>
              <w:jc w:val="center"/>
              <w:ind w:left="4430"/>
              <w:spacing w:after="0"/>
              <w:rPr>
                <w:sz w:val="20"/>
                <w:szCs w:val="20"/>
                <w:color w:val="auto"/>
              </w:rPr>
            </w:pPr>
            <w:r>
              <w:rPr>
                <w:rFonts w:ascii="Arial" w:cs="Arial" w:eastAsia="Arial" w:hAnsi="Arial"/>
                <w:sz w:val="18"/>
                <w:szCs w:val="18"/>
                <w:color w:val="auto"/>
                <w:w w:val="89"/>
              </w:rPr>
              <w:t>22</w:t>
            </w:r>
          </w:p>
        </w:tc>
      </w:tr>
      <w:tr>
        <w:trPr>
          <w:trHeight w:val="216"/>
        </w:trPr>
        <w:tc>
          <w:tcPr>
            <w:tcW w:w="640" w:type="dxa"/>
            <w:vAlign w:val="bottom"/>
          </w:tcPr>
          <w:p>
            <w:pPr>
              <w:ind w:left="180"/>
              <w:spacing w:after="0"/>
              <w:rPr>
                <w:sz w:val="20"/>
                <w:szCs w:val="20"/>
                <w:color w:val="auto"/>
              </w:rPr>
            </w:pPr>
            <w:r>
              <w:rPr>
                <w:rFonts w:ascii="Arial" w:cs="Arial" w:eastAsia="Arial" w:hAnsi="Arial"/>
                <w:sz w:val="18"/>
                <w:szCs w:val="18"/>
                <w:color w:val="auto"/>
              </w:rPr>
              <w:t>2.3</w:t>
            </w:r>
          </w:p>
        </w:tc>
        <w:tc>
          <w:tcPr>
            <w:tcW w:w="4940" w:type="dxa"/>
            <w:vAlign w:val="bottom"/>
          </w:tcPr>
          <w:p>
            <w:pPr>
              <w:ind w:left="160"/>
              <w:spacing w:after="0"/>
              <w:rPr>
                <w:sz w:val="20"/>
                <w:szCs w:val="20"/>
                <w:color w:val="auto"/>
              </w:rPr>
            </w:pPr>
            <w:r>
              <w:rPr>
                <w:rFonts w:ascii="Arial" w:cs="Arial" w:eastAsia="Arial" w:hAnsi="Arial"/>
                <w:sz w:val="18"/>
                <w:szCs w:val="18"/>
                <w:color w:val="auto"/>
              </w:rPr>
              <w:t>F</w:t>
            </w:r>
            <w:r>
              <w:rPr>
                <w:rFonts w:ascii="Arial" w:cs="Arial" w:eastAsia="Arial" w:hAnsi="Arial"/>
                <w:sz w:val="12"/>
                <w:szCs w:val="12"/>
                <w:color w:val="auto"/>
              </w:rPr>
              <w:t>ees</w:t>
            </w:r>
          </w:p>
        </w:tc>
        <w:tc>
          <w:tcPr>
            <w:tcW w:w="5660" w:type="dxa"/>
            <w:vAlign w:val="bottom"/>
            <w:gridSpan w:val="2"/>
          </w:tcPr>
          <w:p>
            <w:pPr>
              <w:jc w:val="center"/>
              <w:ind w:left="4430"/>
              <w:spacing w:after="0"/>
              <w:rPr>
                <w:sz w:val="20"/>
                <w:szCs w:val="20"/>
                <w:color w:val="auto"/>
              </w:rPr>
            </w:pPr>
            <w:r>
              <w:rPr>
                <w:rFonts w:ascii="Arial" w:cs="Arial" w:eastAsia="Arial" w:hAnsi="Arial"/>
                <w:sz w:val="18"/>
                <w:szCs w:val="18"/>
                <w:color w:val="auto"/>
                <w:w w:val="89"/>
              </w:rPr>
              <w:t>22</w:t>
            </w:r>
          </w:p>
        </w:tc>
      </w:tr>
      <w:tr>
        <w:trPr>
          <w:trHeight w:val="216"/>
        </w:trPr>
        <w:tc>
          <w:tcPr>
            <w:tcW w:w="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2.4</w:t>
            </w:r>
          </w:p>
        </w:tc>
        <w:tc>
          <w:tcPr>
            <w:tcW w:w="49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w:t>
            </w:r>
            <w:r>
              <w:rPr>
                <w:rFonts w:ascii="Arial" w:cs="Arial" w:eastAsia="Arial" w:hAnsi="Arial"/>
                <w:sz w:val="12"/>
                <w:szCs w:val="12"/>
                <w:color w:val="auto"/>
              </w:rPr>
              <w:t>nterest</w:t>
            </w:r>
            <w:r>
              <w:rPr>
                <w:rFonts w:ascii="Arial" w:cs="Arial" w:eastAsia="Arial" w:hAnsi="Arial"/>
                <w:sz w:val="18"/>
                <w:szCs w:val="18"/>
                <w:color w:val="auto"/>
              </w:rPr>
              <w:t xml:space="preserve"> R</w:t>
            </w:r>
            <w:r>
              <w:rPr>
                <w:rFonts w:ascii="Arial" w:cs="Arial" w:eastAsia="Arial" w:hAnsi="Arial"/>
                <w:sz w:val="12"/>
                <w:szCs w:val="12"/>
                <w:color w:val="auto"/>
              </w:rPr>
              <w:t>ates and</w:t>
            </w:r>
            <w:r>
              <w:rPr>
                <w:rFonts w:ascii="Arial" w:cs="Arial" w:eastAsia="Arial" w:hAnsi="Arial"/>
                <w:sz w:val="18"/>
                <w:szCs w:val="18"/>
                <w:color w:val="auto"/>
              </w:rPr>
              <w:t xml:space="preserve"> P</w:t>
            </w:r>
            <w:r>
              <w:rPr>
                <w:rFonts w:ascii="Arial" w:cs="Arial" w:eastAsia="Arial" w:hAnsi="Arial"/>
                <w:sz w:val="12"/>
                <w:szCs w:val="12"/>
                <w:color w:val="auto"/>
              </w:rPr>
              <w:t>ayment</w:t>
            </w:r>
            <w:r>
              <w:rPr>
                <w:rFonts w:ascii="Arial" w:cs="Arial" w:eastAsia="Arial" w:hAnsi="Arial"/>
                <w:sz w:val="18"/>
                <w:szCs w:val="18"/>
                <w:color w:val="auto"/>
              </w:rPr>
              <w:t xml:space="preserve"> D</w:t>
            </w:r>
            <w:r>
              <w:rPr>
                <w:rFonts w:ascii="Arial" w:cs="Arial" w:eastAsia="Arial" w:hAnsi="Arial"/>
                <w:sz w:val="12"/>
                <w:szCs w:val="12"/>
                <w:color w:val="auto"/>
              </w:rPr>
              <w:t>ates</w:t>
            </w:r>
          </w:p>
        </w:tc>
        <w:tc>
          <w:tcPr>
            <w:tcW w:w="5660" w:type="dxa"/>
            <w:vAlign w:val="bottom"/>
            <w:gridSpan w:val="2"/>
            <w:shd w:val="clear" w:color="auto" w:fill="CCEEFF"/>
          </w:tcPr>
          <w:p>
            <w:pPr>
              <w:jc w:val="center"/>
              <w:ind w:left="4430"/>
              <w:spacing w:after="0"/>
              <w:rPr>
                <w:sz w:val="20"/>
                <w:szCs w:val="20"/>
                <w:color w:val="auto"/>
              </w:rPr>
            </w:pPr>
            <w:r>
              <w:rPr>
                <w:rFonts w:ascii="Arial" w:cs="Arial" w:eastAsia="Arial" w:hAnsi="Arial"/>
                <w:sz w:val="18"/>
                <w:szCs w:val="18"/>
                <w:color w:val="auto"/>
                <w:w w:val="89"/>
              </w:rPr>
              <w:t>23</w:t>
            </w:r>
          </w:p>
        </w:tc>
      </w:tr>
      <w:tr>
        <w:trPr>
          <w:trHeight w:val="216"/>
        </w:trPr>
        <w:tc>
          <w:tcPr>
            <w:tcW w:w="640" w:type="dxa"/>
            <w:vAlign w:val="bottom"/>
          </w:tcPr>
          <w:p>
            <w:pPr>
              <w:ind w:left="180"/>
              <w:spacing w:after="0"/>
              <w:rPr>
                <w:sz w:val="20"/>
                <w:szCs w:val="20"/>
                <w:color w:val="auto"/>
              </w:rPr>
            </w:pPr>
            <w:r>
              <w:rPr>
                <w:rFonts w:ascii="Arial" w:cs="Arial" w:eastAsia="Arial" w:hAnsi="Arial"/>
                <w:sz w:val="18"/>
                <w:szCs w:val="18"/>
                <w:color w:val="auto"/>
              </w:rPr>
              <w:t>2.5</w:t>
            </w:r>
          </w:p>
        </w:tc>
        <w:tc>
          <w:tcPr>
            <w:tcW w:w="4940" w:type="dxa"/>
            <w:vAlign w:val="bottom"/>
          </w:tcPr>
          <w:p>
            <w:pPr>
              <w:ind w:left="160"/>
              <w:spacing w:after="0"/>
              <w:rPr>
                <w:sz w:val="20"/>
                <w:szCs w:val="20"/>
                <w:color w:val="auto"/>
              </w:rPr>
            </w:pPr>
            <w:r>
              <w:rPr>
                <w:rFonts w:ascii="Arial" w:cs="Arial" w:eastAsia="Arial" w:hAnsi="Arial"/>
                <w:sz w:val="18"/>
                <w:szCs w:val="18"/>
                <w:color w:val="auto"/>
              </w:rPr>
              <w:t>C</w:t>
            </w:r>
            <w:r>
              <w:rPr>
                <w:rFonts w:ascii="Arial" w:cs="Arial" w:eastAsia="Arial" w:hAnsi="Arial"/>
                <w:sz w:val="12"/>
                <w:szCs w:val="12"/>
                <w:color w:val="auto"/>
              </w:rPr>
              <w:t>omputation of</w:t>
            </w:r>
            <w:r>
              <w:rPr>
                <w:rFonts w:ascii="Arial" w:cs="Arial" w:eastAsia="Arial" w:hAnsi="Arial"/>
                <w:sz w:val="18"/>
                <w:szCs w:val="18"/>
                <w:color w:val="auto"/>
              </w:rPr>
              <w:t xml:space="preserve"> I</w:t>
            </w:r>
            <w:r>
              <w:rPr>
                <w:rFonts w:ascii="Arial" w:cs="Arial" w:eastAsia="Arial" w:hAnsi="Arial"/>
                <w:sz w:val="12"/>
                <w:szCs w:val="12"/>
                <w:color w:val="auto"/>
              </w:rPr>
              <w:t>nterest and</w:t>
            </w:r>
            <w:r>
              <w:rPr>
                <w:rFonts w:ascii="Arial" w:cs="Arial" w:eastAsia="Arial" w:hAnsi="Arial"/>
                <w:sz w:val="18"/>
                <w:szCs w:val="18"/>
                <w:color w:val="auto"/>
              </w:rPr>
              <w:t xml:space="preserve"> F</w:t>
            </w:r>
            <w:r>
              <w:rPr>
                <w:rFonts w:ascii="Arial" w:cs="Arial" w:eastAsia="Arial" w:hAnsi="Arial"/>
                <w:sz w:val="12"/>
                <w:szCs w:val="12"/>
                <w:color w:val="auto"/>
              </w:rPr>
              <w:t>ees</w:t>
            </w:r>
          </w:p>
        </w:tc>
        <w:tc>
          <w:tcPr>
            <w:tcW w:w="5660" w:type="dxa"/>
            <w:vAlign w:val="bottom"/>
            <w:gridSpan w:val="2"/>
          </w:tcPr>
          <w:p>
            <w:pPr>
              <w:jc w:val="center"/>
              <w:ind w:left="4430"/>
              <w:spacing w:after="0"/>
              <w:rPr>
                <w:sz w:val="20"/>
                <w:szCs w:val="20"/>
                <w:color w:val="auto"/>
              </w:rPr>
            </w:pPr>
            <w:r>
              <w:rPr>
                <w:rFonts w:ascii="Arial" w:cs="Arial" w:eastAsia="Arial" w:hAnsi="Arial"/>
                <w:sz w:val="18"/>
                <w:szCs w:val="18"/>
                <w:color w:val="auto"/>
                <w:w w:val="89"/>
              </w:rPr>
              <w:t>23</w:t>
            </w:r>
          </w:p>
        </w:tc>
      </w:tr>
      <w:tr>
        <w:trPr>
          <w:trHeight w:val="216"/>
        </w:trPr>
        <w:tc>
          <w:tcPr>
            <w:tcW w:w="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2.6</w:t>
            </w:r>
          </w:p>
        </w:tc>
        <w:tc>
          <w:tcPr>
            <w:tcW w:w="49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w:t>
            </w:r>
            <w:r>
              <w:rPr>
                <w:rFonts w:ascii="Arial" w:cs="Arial" w:eastAsia="Arial" w:hAnsi="Arial"/>
                <w:sz w:val="12"/>
                <w:szCs w:val="12"/>
                <w:color w:val="auto"/>
              </w:rPr>
              <w:t>ayments</w:t>
            </w:r>
          </w:p>
        </w:tc>
        <w:tc>
          <w:tcPr>
            <w:tcW w:w="5660" w:type="dxa"/>
            <w:vAlign w:val="bottom"/>
            <w:gridSpan w:val="2"/>
            <w:shd w:val="clear" w:color="auto" w:fill="CCEEFF"/>
          </w:tcPr>
          <w:p>
            <w:pPr>
              <w:jc w:val="center"/>
              <w:ind w:left="4430"/>
              <w:spacing w:after="0"/>
              <w:rPr>
                <w:sz w:val="20"/>
                <w:szCs w:val="20"/>
                <w:color w:val="auto"/>
              </w:rPr>
            </w:pPr>
            <w:r>
              <w:rPr>
                <w:rFonts w:ascii="Arial" w:cs="Arial" w:eastAsia="Arial" w:hAnsi="Arial"/>
                <w:sz w:val="18"/>
                <w:szCs w:val="18"/>
                <w:color w:val="auto"/>
                <w:w w:val="89"/>
              </w:rPr>
              <w:t>23</w:t>
            </w:r>
          </w:p>
        </w:tc>
      </w:tr>
      <w:tr>
        <w:trPr>
          <w:trHeight w:val="216"/>
        </w:trPr>
        <w:tc>
          <w:tcPr>
            <w:tcW w:w="640" w:type="dxa"/>
            <w:vAlign w:val="bottom"/>
          </w:tcPr>
          <w:p>
            <w:pPr>
              <w:ind w:left="180"/>
              <w:spacing w:after="0"/>
              <w:rPr>
                <w:sz w:val="20"/>
                <w:szCs w:val="20"/>
                <w:color w:val="auto"/>
              </w:rPr>
            </w:pPr>
            <w:r>
              <w:rPr>
                <w:rFonts w:ascii="Arial" w:cs="Arial" w:eastAsia="Arial" w:hAnsi="Arial"/>
                <w:sz w:val="18"/>
                <w:szCs w:val="18"/>
                <w:color w:val="auto"/>
              </w:rPr>
              <w:t>2.7</w:t>
            </w:r>
          </w:p>
        </w:tc>
        <w:tc>
          <w:tcPr>
            <w:tcW w:w="4940" w:type="dxa"/>
            <w:vAlign w:val="bottom"/>
          </w:tcPr>
          <w:p>
            <w:pPr>
              <w:ind w:left="160"/>
              <w:spacing w:after="0"/>
              <w:rPr>
                <w:sz w:val="20"/>
                <w:szCs w:val="20"/>
                <w:color w:val="auto"/>
              </w:rPr>
            </w:pPr>
            <w:r>
              <w:rPr>
                <w:rFonts w:ascii="Arial" w:cs="Arial" w:eastAsia="Arial" w:hAnsi="Arial"/>
                <w:sz w:val="18"/>
                <w:szCs w:val="18"/>
                <w:color w:val="auto"/>
              </w:rPr>
              <w:t>[R</w:t>
            </w:r>
            <w:r>
              <w:rPr>
                <w:rFonts w:ascii="Arial" w:cs="Arial" w:eastAsia="Arial" w:hAnsi="Arial"/>
                <w:sz w:val="12"/>
                <w:szCs w:val="12"/>
                <w:color w:val="auto"/>
              </w:rPr>
              <w:t>eserved</w:t>
            </w:r>
            <w:r>
              <w:rPr>
                <w:rFonts w:ascii="Arial" w:cs="Arial" w:eastAsia="Arial" w:hAnsi="Arial"/>
                <w:sz w:val="18"/>
                <w:szCs w:val="18"/>
                <w:color w:val="auto"/>
              </w:rPr>
              <w:t>]</w:t>
            </w:r>
          </w:p>
        </w:tc>
        <w:tc>
          <w:tcPr>
            <w:tcW w:w="5660" w:type="dxa"/>
            <w:vAlign w:val="bottom"/>
            <w:gridSpan w:val="2"/>
          </w:tcPr>
          <w:p>
            <w:pPr>
              <w:jc w:val="center"/>
              <w:ind w:left="4430"/>
              <w:spacing w:after="0"/>
              <w:rPr>
                <w:sz w:val="20"/>
                <w:szCs w:val="20"/>
                <w:color w:val="auto"/>
              </w:rPr>
            </w:pPr>
            <w:r>
              <w:rPr>
                <w:rFonts w:ascii="Arial" w:cs="Arial" w:eastAsia="Arial" w:hAnsi="Arial"/>
                <w:sz w:val="18"/>
                <w:szCs w:val="18"/>
                <w:color w:val="auto"/>
                <w:w w:val="89"/>
              </w:rPr>
              <w:t>24</w:t>
            </w:r>
          </w:p>
        </w:tc>
      </w:tr>
      <w:tr>
        <w:trPr>
          <w:trHeight w:val="216"/>
        </w:trPr>
        <w:tc>
          <w:tcPr>
            <w:tcW w:w="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2.8</w:t>
            </w:r>
          </w:p>
        </w:tc>
        <w:tc>
          <w:tcPr>
            <w:tcW w:w="49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w:t>
            </w:r>
            <w:r>
              <w:rPr>
                <w:rFonts w:ascii="Arial" w:cs="Arial" w:eastAsia="Arial" w:hAnsi="Arial"/>
                <w:sz w:val="12"/>
                <w:szCs w:val="12"/>
                <w:color w:val="auto"/>
              </w:rPr>
              <w:t>axes</w:t>
            </w:r>
          </w:p>
        </w:tc>
        <w:tc>
          <w:tcPr>
            <w:tcW w:w="5660" w:type="dxa"/>
            <w:vAlign w:val="bottom"/>
            <w:gridSpan w:val="2"/>
            <w:shd w:val="clear" w:color="auto" w:fill="CCEEFF"/>
          </w:tcPr>
          <w:p>
            <w:pPr>
              <w:jc w:val="center"/>
              <w:ind w:left="4430"/>
              <w:spacing w:after="0"/>
              <w:rPr>
                <w:sz w:val="20"/>
                <w:szCs w:val="20"/>
                <w:color w:val="auto"/>
              </w:rPr>
            </w:pPr>
            <w:r>
              <w:rPr>
                <w:rFonts w:ascii="Arial" w:cs="Arial" w:eastAsia="Arial" w:hAnsi="Arial"/>
                <w:sz w:val="18"/>
                <w:szCs w:val="18"/>
                <w:color w:val="auto"/>
                <w:w w:val="89"/>
              </w:rPr>
              <w:t>24</w:t>
            </w:r>
          </w:p>
        </w:tc>
      </w:tr>
      <w:tr>
        <w:trPr>
          <w:trHeight w:val="216"/>
        </w:trPr>
        <w:tc>
          <w:tcPr>
            <w:tcW w:w="640" w:type="dxa"/>
            <w:vAlign w:val="bottom"/>
          </w:tcPr>
          <w:p>
            <w:pPr>
              <w:ind w:left="180"/>
              <w:spacing w:after="0"/>
              <w:rPr>
                <w:sz w:val="20"/>
                <w:szCs w:val="20"/>
                <w:color w:val="auto"/>
              </w:rPr>
            </w:pPr>
            <w:r>
              <w:rPr>
                <w:rFonts w:ascii="Arial" w:cs="Arial" w:eastAsia="Arial" w:hAnsi="Arial"/>
                <w:sz w:val="18"/>
                <w:szCs w:val="18"/>
                <w:color w:val="auto"/>
              </w:rPr>
              <w:t>2.9</w:t>
            </w:r>
          </w:p>
        </w:tc>
        <w:tc>
          <w:tcPr>
            <w:tcW w:w="4940" w:type="dxa"/>
            <w:vAlign w:val="bottom"/>
          </w:tcPr>
          <w:p>
            <w:pPr>
              <w:ind w:left="160"/>
              <w:spacing w:after="0"/>
              <w:rPr>
                <w:sz w:val="20"/>
                <w:szCs w:val="20"/>
                <w:color w:val="auto"/>
              </w:rPr>
            </w:pPr>
            <w:r>
              <w:rPr>
                <w:rFonts w:ascii="Arial" w:cs="Arial" w:eastAsia="Arial" w:hAnsi="Arial"/>
                <w:sz w:val="18"/>
                <w:szCs w:val="18"/>
                <w:color w:val="auto"/>
              </w:rPr>
              <w:t>C</w:t>
            </w:r>
            <w:r>
              <w:rPr>
                <w:rFonts w:ascii="Arial" w:cs="Arial" w:eastAsia="Arial" w:hAnsi="Arial"/>
                <w:sz w:val="12"/>
                <w:szCs w:val="12"/>
                <w:color w:val="auto"/>
              </w:rPr>
              <w:t>ollections</w:t>
            </w:r>
          </w:p>
        </w:tc>
        <w:tc>
          <w:tcPr>
            <w:tcW w:w="5660" w:type="dxa"/>
            <w:vAlign w:val="bottom"/>
            <w:gridSpan w:val="2"/>
          </w:tcPr>
          <w:p>
            <w:pPr>
              <w:jc w:val="center"/>
              <w:ind w:left="4430"/>
              <w:spacing w:after="0"/>
              <w:rPr>
                <w:sz w:val="20"/>
                <w:szCs w:val="20"/>
                <w:color w:val="auto"/>
              </w:rPr>
            </w:pPr>
            <w:r>
              <w:rPr>
                <w:rFonts w:ascii="Arial" w:cs="Arial" w:eastAsia="Arial" w:hAnsi="Arial"/>
                <w:sz w:val="18"/>
                <w:szCs w:val="18"/>
                <w:color w:val="auto"/>
                <w:w w:val="89"/>
              </w:rPr>
              <w:t>26</w:t>
            </w:r>
          </w:p>
        </w:tc>
      </w:tr>
      <w:tr>
        <w:trPr>
          <w:trHeight w:val="216"/>
        </w:trPr>
        <w:tc>
          <w:tcPr>
            <w:tcW w:w="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2.10</w:t>
            </w:r>
          </w:p>
        </w:tc>
        <w:tc>
          <w:tcPr>
            <w:tcW w:w="49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w:t>
            </w:r>
            <w:r>
              <w:rPr>
                <w:rFonts w:ascii="Arial" w:cs="Arial" w:eastAsia="Arial" w:hAnsi="Arial"/>
                <w:sz w:val="12"/>
                <w:szCs w:val="12"/>
                <w:color w:val="auto"/>
              </w:rPr>
              <w:t>ncreased</w:t>
            </w:r>
            <w:r>
              <w:rPr>
                <w:rFonts w:ascii="Arial" w:cs="Arial" w:eastAsia="Arial" w:hAnsi="Arial"/>
                <w:sz w:val="18"/>
                <w:szCs w:val="18"/>
                <w:color w:val="auto"/>
              </w:rPr>
              <w:t xml:space="preserve"> C</w:t>
            </w:r>
            <w:r>
              <w:rPr>
                <w:rFonts w:ascii="Arial" w:cs="Arial" w:eastAsia="Arial" w:hAnsi="Arial"/>
                <w:sz w:val="12"/>
                <w:szCs w:val="12"/>
                <w:color w:val="auto"/>
              </w:rPr>
              <w:t>osts</w:t>
            </w:r>
          </w:p>
        </w:tc>
        <w:tc>
          <w:tcPr>
            <w:tcW w:w="5660" w:type="dxa"/>
            <w:vAlign w:val="bottom"/>
            <w:gridSpan w:val="2"/>
            <w:shd w:val="clear" w:color="auto" w:fill="CCEEFF"/>
          </w:tcPr>
          <w:p>
            <w:pPr>
              <w:jc w:val="center"/>
              <w:ind w:left="4430"/>
              <w:spacing w:after="0"/>
              <w:rPr>
                <w:sz w:val="20"/>
                <w:szCs w:val="20"/>
                <w:color w:val="auto"/>
              </w:rPr>
            </w:pPr>
            <w:r>
              <w:rPr>
                <w:rFonts w:ascii="Arial" w:cs="Arial" w:eastAsia="Arial" w:hAnsi="Arial"/>
                <w:sz w:val="18"/>
                <w:szCs w:val="18"/>
                <w:color w:val="auto"/>
                <w:w w:val="89"/>
              </w:rPr>
              <w:t>27</w:t>
            </w:r>
          </w:p>
        </w:tc>
      </w:tr>
      <w:tr>
        <w:trPr>
          <w:trHeight w:val="216"/>
        </w:trPr>
        <w:tc>
          <w:tcPr>
            <w:tcW w:w="640" w:type="dxa"/>
            <w:vAlign w:val="bottom"/>
          </w:tcPr>
          <w:p>
            <w:pPr>
              <w:ind w:left="180"/>
              <w:spacing w:after="0"/>
              <w:rPr>
                <w:sz w:val="20"/>
                <w:szCs w:val="20"/>
                <w:color w:val="auto"/>
              </w:rPr>
            </w:pPr>
            <w:r>
              <w:rPr>
                <w:rFonts w:ascii="Arial" w:cs="Arial" w:eastAsia="Arial" w:hAnsi="Arial"/>
                <w:sz w:val="18"/>
                <w:szCs w:val="18"/>
                <w:color w:val="auto"/>
              </w:rPr>
              <w:t>2.11</w:t>
            </w:r>
          </w:p>
        </w:tc>
        <w:tc>
          <w:tcPr>
            <w:tcW w:w="4940" w:type="dxa"/>
            <w:vAlign w:val="bottom"/>
          </w:tcPr>
          <w:p>
            <w:pPr>
              <w:ind w:left="160"/>
              <w:spacing w:after="0"/>
              <w:rPr>
                <w:sz w:val="20"/>
                <w:szCs w:val="20"/>
                <w:color w:val="auto"/>
              </w:rPr>
            </w:pPr>
            <w:r>
              <w:rPr>
                <w:rFonts w:ascii="Arial" w:cs="Arial" w:eastAsia="Arial" w:hAnsi="Arial"/>
                <w:sz w:val="18"/>
                <w:szCs w:val="18"/>
                <w:color w:val="auto"/>
              </w:rPr>
              <w:t>M</w:t>
            </w:r>
            <w:r>
              <w:rPr>
                <w:rFonts w:ascii="Arial" w:cs="Arial" w:eastAsia="Arial" w:hAnsi="Arial"/>
                <w:sz w:val="12"/>
                <w:szCs w:val="12"/>
                <w:color w:val="auto"/>
              </w:rPr>
              <w:t>itigation</w:t>
            </w:r>
            <w:r>
              <w:rPr>
                <w:rFonts w:ascii="Arial" w:cs="Arial" w:eastAsia="Arial" w:hAnsi="Arial"/>
                <w:sz w:val="18"/>
                <w:szCs w:val="18"/>
                <w:color w:val="auto"/>
              </w:rPr>
              <w:t xml:space="preserve"> O</w:t>
            </w:r>
            <w:r>
              <w:rPr>
                <w:rFonts w:ascii="Arial" w:cs="Arial" w:eastAsia="Arial" w:hAnsi="Arial"/>
                <w:sz w:val="12"/>
                <w:szCs w:val="12"/>
                <w:color w:val="auto"/>
              </w:rPr>
              <w:t>bligations</w:t>
            </w:r>
          </w:p>
        </w:tc>
        <w:tc>
          <w:tcPr>
            <w:tcW w:w="5660" w:type="dxa"/>
            <w:vAlign w:val="bottom"/>
            <w:gridSpan w:val="2"/>
          </w:tcPr>
          <w:p>
            <w:pPr>
              <w:jc w:val="center"/>
              <w:ind w:left="4430"/>
              <w:spacing w:after="0"/>
              <w:rPr>
                <w:sz w:val="20"/>
                <w:szCs w:val="20"/>
                <w:color w:val="auto"/>
              </w:rPr>
            </w:pPr>
            <w:r>
              <w:rPr>
                <w:rFonts w:ascii="Arial" w:cs="Arial" w:eastAsia="Arial" w:hAnsi="Arial"/>
                <w:sz w:val="18"/>
                <w:szCs w:val="18"/>
                <w:color w:val="auto"/>
                <w:w w:val="89"/>
              </w:rPr>
              <w:t>27</w:t>
            </w:r>
          </w:p>
        </w:tc>
      </w:tr>
      <w:tr>
        <w:trPr>
          <w:trHeight w:val="216"/>
        </w:trPr>
        <w:tc>
          <w:tcPr>
            <w:tcW w:w="5580" w:type="dxa"/>
            <w:vAlign w:val="bottom"/>
            <w:gridSpan w:val="2"/>
            <w:shd w:val="clear" w:color="auto" w:fill="CCEEFF"/>
          </w:tcPr>
          <w:p>
            <w:pPr>
              <w:spacing w:after="0"/>
              <w:rPr>
                <w:sz w:val="18"/>
                <w:szCs w:val="18"/>
                <w:color w:val="auto"/>
              </w:rPr>
            </w:pPr>
          </w:p>
        </w:tc>
        <w:tc>
          <w:tcPr>
            <w:tcW w:w="5660" w:type="dxa"/>
            <w:vAlign w:val="bottom"/>
            <w:gridSpan w:val="2"/>
            <w:shd w:val="clear" w:color="auto" w:fill="CCEEFF"/>
          </w:tcPr>
          <w:p>
            <w:pPr>
              <w:spacing w:after="0"/>
              <w:rPr>
                <w:sz w:val="18"/>
                <w:szCs w:val="18"/>
                <w:color w:val="auto"/>
              </w:rPr>
            </w:pPr>
          </w:p>
        </w:tc>
      </w:tr>
      <w:tr>
        <w:trPr>
          <w:trHeight w:val="216"/>
        </w:trPr>
        <w:tc>
          <w:tcPr>
            <w:tcW w:w="5580" w:type="dxa"/>
            <w:vAlign w:val="bottom"/>
            <w:gridSpan w:val="2"/>
          </w:tcPr>
          <w:p>
            <w:pPr>
              <w:spacing w:after="0"/>
              <w:rPr>
                <w:sz w:val="20"/>
                <w:szCs w:val="20"/>
                <w:color w:val="auto"/>
              </w:rPr>
            </w:pPr>
            <w:r>
              <w:rPr>
                <w:rFonts w:ascii="Arial" w:cs="Arial" w:eastAsia="Arial" w:hAnsi="Arial"/>
                <w:sz w:val="18"/>
                <w:szCs w:val="18"/>
                <w:color w:val="auto"/>
              </w:rPr>
              <w:t>SECTION 3 REPRESENTATIONS AND WARRANTIES</w:t>
            </w:r>
          </w:p>
        </w:tc>
        <w:tc>
          <w:tcPr>
            <w:tcW w:w="5660" w:type="dxa"/>
            <w:vAlign w:val="bottom"/>
            <w:gridSpan w:val="2"/>
          </w:tcPr>
          <w:p>
            <w:pPr>
              <w:jc w:val="center"/>
              <w:ind w:left="4430"/>
              <w:spacing w:after="0"/>
              <w:rPr>
                <w:sz w:val="20"/>
                <w:szCs w:val="20"/>
                <w:color w:val="auto"/>
              </w:rPr>
            </w:pPr>
            <w:r>
              <w:rPr>
                <w:rFonts w:ascii="Arial" w:cs="Arial" w:eastAsia="Arial" w:hAnsi="Arial"/>
                <w:sz w:val="18"/>
                <w:szCs w:val="18"/>
                <w:color w:val="auto"/>
                <w:w w:val="89"/>
              </w:rPr>
              <w:t>28</w:t>
            </w:r>
          </w:p>
        </w:tc>
      </w:tr>
      <w:tr>
        <w:trPr>
          <w:trHeight w:val="216"/>
        </w:trPr>
        <w:tc>
          <w:tcPr>
            <w:tcW w:w="640" w:type="dxa"/>
            <w:vAlign w:val="bottom"/>
            <w:shd w:val="clear" w:color="auto" w:fill="CCEEFF"/>
          </w:tcPr>
          <w:p>
            <w:pPr>
              <w:spacing w:after="0"/>
              <w:rPr>
                <w:sz w:val="18"/>
                <w:szCs w:val="18"/>
                <w:color w:val="auto"/>
              </w:rPr>
            </w:pPr>
          </w:p>
        </w:tc>
        <w:tc>
          <w:tcPr>
            <w:tcW w:w="4940" w:type="dxa"/>
            <w:vAlign w:val="bottom"/>
            <w:shd w:val="clear" w:color="auto" w:fill="CCEEFF"/>
          </w:tcPr>
          <w:p>
            <w:pPr>
              <w:spacing w:after="0"/>
              <w:rPr>
                <w:sz w:val="18"/>
                <w:szCs w:val="18"/>
                <w:color w:val="auto"/>
              </w:rPr>
            </w:pPr>
          </w:p>
        </w:tc>
        <w:tc>
          <w:tcPr>
            <w:tcW w:w="5660" w:type="dxa"/>
            <w:vAlign w:val="bottom"/>
            <w:gridSpan w:val="2"/>
            <w:shd w:val="clear" w:color="auto" w:fill="CCEEFF"/>
          </w:tcPr>
          <w:p>
            <w:pPr>
              <w:spacing w:after="0"/>
              <w:rPr>
                <w:sz w:val="18"/>
                <w:szCs w:val="18"/>
                <w:color w:val="auto"/>
              </w:rPr>
            </w:pPr>
          </w:p>
        </w:tc>
      </w:tr>
      <w:tr>
        <w:trPr>
          <w:trHeight w:val="216"/>
        </w:trPr>
        <w:tc>
          <w:tcPr>
            <w:tcW w:w="640" w:type="dxa"/>
            <w:vAlign w:val="bottom"/>
          </w:tcPr>
          <w:p>
            <w:pPr>
              <w:ind w:left="180"/>
              <w:spacing w:after="0"/>
              <w:rPr>
                <w:sz w:val="20"/>
                <w:szCs w:val="20"/>
                <w:color w:val="auto"/>
              </w:rPr>
            </w:pPr>
            <w:r>
              <w:rPr>
                <w:rFonts w:ascii="Arial" w:cs="Arial" w:eastAsia="Arial" w:hAnsi="Arial"/>
                <w:sz w:val="18"/>
                <w:szCs w:val="18"/>
                <w:color w:val="auto"/>
              </w:rPr>
              <w:t>3.1</w:t>
            </w:r>
          </w:p>
        </w:tc>
        <w:tc>
          <w:tcPr>
            <w:tcW w:w="4940" w:type="dxa"/>
            <w:vAlign w:val="bottom"/>
          </w:tcPr>
          <w:p>
            <w:pPr>
              <w:ind w:left="160"/>
              <w:spacing w:after="0"/>
              <w:rPr>
                <w:sz w:val="20"/>
                <w:szCs w:val="20"/>
                <w:color w:val="auto"/>
              </w:rPr>
            </w:pPr>
            <w:r>
              <w:rPr>
                <w:rFonts w:ascii="Arial" w:cs="Arial" w:eastAsia="Arial" w:hAnsi="Arial"/>
                <w:sz w:val="18"/>
                <w:szCs w:val="18"/>
                <w:color w:val="auto"/>
              </w:rPr>
              <w:t>F</w:t>
            </w:r>
            <w:r>
              <w:rPr>
                <w:rFonts w:ascii="Arial" w:cs="Arial" w:eastAsia="Arial" w:hAnsi="Arial"/>
                <w:sz w:val="12"/>
                <w:szCs w:val="12"/>
                <w:color w:val="auto"/>
              </w:rPr>
              <w:t>inancial</w:t>
            </w:r>
            <w:r>
              <w:rPr>
                <w:rFonts w:ascii="Arial" w:cs="Arial" w:eastAsia="Arial" w:hAnsi="Arial"/>
                <w:sz w:val="18"/>
                <w:szCs w:val="18"/>
                <w:color w:val="auto"/>
              </w:rPr>
              <w:t xml:space="preserve"> C</w:t>
            </w:r>
            <w:r>
              <w:rPr>
                <w:rFonts w:ascii="Arial" w:cs="Arial" w:eastAsia="Arial" w:hAnsi="Arial"/>
                <w:sz w:val="12"/>
                <w:szCs w:val="12"/>
                <w:color w:val="auto"/>
              </w:rPr>
              <w:t>ondition</w:t>
            </w:r>
          </w:p>
        </w:tc>
        <w:tc>
          <w:tcPr>
            <w:tcW w:w="5660" w:type="dxa"/>
            <w:vAlign w:val="bottom"/>
            <w:gridSpan w:val="2"/>
          </w:tcPr>
          <w:p>
            <w:pPr>
              <w:jc w:val="center"/>
              <w:ind w:left="4430"/>
              <w:spacing w:after="0"/>
              <w:rPr>
                <w:sz w:val="20"/>
                <w:szCs w:val="20"/>
                <w:color w:val="auto"/>
              </w:rPr>
            </w:pPr>
            <w:r>
              <w:rPr>
                <w:rFonts w:ascii="Arial" w:cs="Arial" w:eastAsia="Arial" w:hAnsi="Arial"/>
                <w:sz w:val="18"/>
                <w:szCs w:val="18"/>
                <w:color w:val="auto"/>
                <w:w w:val="89"/>
              </w:rPr>
              <w:t>28</w:t>
            </w:r>
          </w:p>
        </w:tc>
      </w:tr>
      <w:tr>
        <w:trPr>
          <w:trHeight w:val="216"/>
        </w:trPr>
        <w:tc>
          <w:tcPr>
            <w:tcW w:w="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3.2</w:t>
            </w:r>
          </w:p>
        </w:tc>
        <w:tc>
          <w:tcPr>
            <w:tcW w:w="49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w:t>
            </w:r>
            <w:r>
              <w:rPr>
                <w:rFonts w:ascii="Arial" w:cs="Arial" w:eastAsia="Arial" w:hAnsi="Arial"/>
                <w:sz w:val="12"/>
                <w:szCs w:val="12"/>
                <w:color w:val="auto"/>
              </w:rPr>
              <w:t>o</w:t>
            </w:r>
            <w:r>
              <w:rPr>
                <w:rFonts w:ascii="Arial" w:cs="Arial" w:eastAsia="Arial" w:hAnsi="Arial"/>
                <w:sz w:val="18"/>
                <w:szCs w:val="18"/>
                <w:color w:val="auto"/>
              </w:rPr>
              <w:t xml:space="preserve"> C</w:t>
            </w:r>
            <w:r>
              <w:rPr>
                <w:rFonts w:ascii="Arial" w:cs="Arial" w:eastAsia="Arial" w:hAnsi="Arial"/>
                <w:sz w:val="12"/>
                <w:szCs w:val="12"/>
                <w:color w:val="auto"/>
              </w:rPr>
              <w:t>hange</w:t>
            </w:r>
          </w:p>
        </w:tc>
        <w:tc>
          <w:tcPr>
            <w:tcW w:w="5660" w:type="dxa"/>
            <w:vAlign w:val="bottom"/>
            <w:gridSpan w:val="2"/>
            <w:shd w:val="clear" w:color="auto" w:fill="CCEEFF"/>
          </w:tcPr>
          <w:p>
            <w:pPr>
              <w:jc w:val="center"/>
              <w:ind w:left="4430"/>
              <w:spacing w:after="0"/>
              <w:rPr>
                <w:sz w:val="20"/>
                <w:szCs w:val="20"/>
                <w:color w:val="auto"/>
              </w:rPr>
            </w:pPr>
            <w:r>
              <w:rPr>
                <w:rFonts w:ascii="Arial" w:cs="Arial" w:eastAsia="Arial" w:hAnsi="Arial"/>
                <w:sz w:val="18"/>
                <w:szCs w:val="18"/>
                <w:color w:val="auto"/>
                <w:w w:val="89"/>
              </w:rPr>
              <w:t>28</w:t>
            </w:r>
          </w:p>
        </w:tc>
      </w:tr>
      <w:tr>
        <w:trPr>
          <w:trHeight w:val="216"/>
        </w:trPr>
        <w:tc>
          <w:tcPr>
            <w:tcW w:w="640" w:type="dxa"/>
            <w:vAlign w:val="bottom"/>
          </w:tcPr>
          <w:p>
            <w:pPr>
              <w:ind w:left="180"/>
              <w:spacing w:after="0"/>
              <w:rPr>
                <w:sz w:val="20"/>
                <w:szCs w:val="20"/>
                <w:color w:val="auto"/>
              </w:rPr>
            </w:pPr>
            <w:r>
              <w:rPr>
                <w:rFonts w:ascii="Arial" w:cs="Arial" w:eastAsia="Arial" w:hAnsi="Arial"/>
                <w:sz w:val="18"/>
                <w:szCs w:val="18"/>
                <w:color w:val="auto"/>
              </w:rPr>
              <w:t>3.3</w:t>
            </w:r>
          </w:p>
        </w:tc>
        <w:tc>
          <w:tcPr>
            <w:tcW w:w="4940" w:type="dxa"/>
            <w:vAlign w:val="bottom"/>
          </w:tcPr>
          <w:p>
            <w:pPr>
              <w:ind w:left="160"/>
              <w:spacing w:after="0"/>
              <w:rPr>
                <w:sz w:val="20"/>
                <w:szCs w:val="20"/>
                <w:color w:val="auto"/>
              </w:rPr>
            </w:pPr>
            <w:r>
              <w:rPr>
                <w:rFonts w:ascii="Arial" w:cs="Arial" w:eastAsia="Arial" w:hAnsi="Arial"/>
                <w:sz w:val="18"/>
                <w:szCs w:val="18"/>
                <w:color w:val="auto"/>
              </w:rPr>
              <w:t>E</w:t>
            </w:r>
            <w:r>
              <w:rPr>
                <w:rFonts w:ascii="Arial" w:cs="Arial" w:eastAsia="Arial" w:hAnsi="Arial"/>
                <w:sz w:val="12"/>
                <w:szCs w:val="12"/>
                <w:color w:val="auto"/>
              </w:rPr>
              <w:t>xistence</w:t>
            </w:r>
            <w:r>
              <w:rPr>
                <w:rFonts w:ascii="Arial" w:cs="Arial" w:eastAsia="Arial" w:hAnsi="Arial"/>
                <w:sz w:val="18"/>
                <w:szCs w:val="18"/>
                <w:color w:val="auto"/>
              </w:rPr>
              <w:t>; C</w:t>
            </w:r>
            <w:r>
              <w:rPr>
                <w:rFonts w:ascii="Arial" w:cs="Arial" w:eastAsia="Arial" w:hAnsi="Arial"/>
                <w:sz w:val="12"/>
                <w:szCs w:val="12"/>
                <w:color w:val="auto"/>
              </w:rPr>
              <w:t>ompliance with</w:t>
            </w:r>
            <w:r>
              <w:rPr>
                <w:rFonts w:ascii="Arial" w:cs="Arial" w:eastAsia="Arial" w:hAnsi="Arial"/>
                <w:sz w:val="18"/>
                <w:szCs w:val="18"/>
                <w:color w:val="auto"/>
              </w:rPr>
              <w:t xml:space="preserve"> L</w:t>
            </w:r>
            <w:r>
              <w:rPr>
                <w:rFonts w:ascii="Arial" w:cs="Arial" w:eastAsia="Arial" w:hAnsi="Arial"/>
                <w:sz w:val="12"/>
                <w:szCs w:val="12"/>
                <w:color w:val="auto"/>
              </w:rPr>
              <w:t>aw</w:t>
            </w:r>
          </w:p>
        </w:tc>
        <w:tc>
          <w:tcPr>
            <w:tcW w:w="5660" w:type="dxa"/>
            <w:vAlign w:val="bottom"/>
            <w:gridSpan w:val="2"/>
          </w:tcPr>
          <w:p>
            <w:pPr>
              <w:jc w:val="center"/>
              <w:ind w:left="4430"/>
              <w:spacing w:after="0"/>
              <w:rPr>
                <w:sz w:val="20"/>
                <w:szCs w:val="20"/>
                <w:color w:val="auto"/>
              </w:rPr>
            </w:pPr>
            <w:r>
              <w:rPr>
                <w:rFonts w:ascii="Arial" w:cs="Arial" w:eastAsia="Arial" w:hAnsi="Arial"/>
                <w:sz w:val="18"/>
                <w:szCs w:val="18"/>
                <w:color w:val="auto"/>
                <w:w w:val="89"/>
              </w:rPr>
              <w:t>28</w:t>
            </w:r>
          </w:p>
        </w:tc>
      </w:tr>
      <w:tr>
        <w:trPr>
          <w:trHeight w:val="216"/>
        </w:trPr>
        <w:tc>
          <w:tcPr>
            <w:tcW w:w="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3.4</w:t>
            </w:r>
          </w:p>
        </w:tc>
        <w:tc>
          <w:tcPr>
            <w:tcW w:w="49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w:t>
            </w:r>
            <w:r>
              <w:rPr>
                <w:rFonts w:ascii="Arial" w:cs="Arial" w:eastAsia="Arial" w:hAnsi="Arial"/>
                <w:sz w:val="12"/>
                <w:szCs w:val="12"/>
                <w:color w:val="auto"/>
              </w:rPr>
              <w:t>ower</w:t>
            </w:r>
            <w:r>
              <w:rPr>
                <w:rFonts w:ascii="Arial" w:cs="Arial" w:eastAsia="Arial" w:hAnsi="Arial"/>
                <w:sz w:val="18"/>
                <w:szCs w:val="18"/>
                <w:color w:val="auto"/>
              </w:rPr>
              <w:t>, A</w:t>
            </w:r>
            <w:r>
              <w:rPr>
                <w:rFonts w:ascii="Arial" w:cs="Arial" w:eastAsia="Arial" w:hAnsi="Arial"/>
                <w:sz w:val="12"/>
                <w:szCs w:val="12"/>
                <w:color w:val="auto"/>
              </w:rPr>
              <w:t>uthorization</w:t>
            </w:r>
            <w:r>
              <w:rPr>
                <w:rFonts w:ascii="Arial" w:cs="Arial" w:eastAsia="Arial" w:hAnsi="Arial"/>
                <w:sz w:val="18"/>
                <w:szCs w:val="18"/>
                <w:color w:val="auto"/>
              </w:rPr>
              <w:t>; E</w:t>
            </w:r>
            <w:r>
              <w:rPr>
                <w:rFonts w:ascii="Arial" w:cs="Arial" w:eastAsia="Arial" w:hAnsi="Arial"/>
                <w:sz w:val="12"/>
                <w:szCs w:val="12"/>
                <w:color w:val="auto"/>
              </w:rPr>
              <w:t>nforceable</w:t>
            </w:r>
            <w:r>
              <w:rPr>
                <w:rFonts w:ascii="Arial" w:cs="Arial" w:eastAsia="Arial" w:hAnsi="Arial"/>
                <w:sz w:val="18"/>
                <w:szCs w:val="18"/>
                <w:color w:val="auto"/>
              </w:rPr>
              <w:t xml:space="preserve"> O</w:t>
            </w:r>
            <w:r>
              <w:rPr>
                <w:rFonts w:ascii="Arial" w:cs="Arial" w:eastAsia="Arial" w:hAnsi="Arial"/>
                <w:sz w:val="12"/>
                <w:szCs w:val="12"/>
                <w:color w:val="auto"/>
              </w:rPr>
              <w:t>bligations</w:t>
            </w:r>
          </w:p>
        </w:tc>
        <w:tc>
          <w:tcPr>
            <w:tcW w:w="5660" w:type="dxa"/>
            <w:vAlign w:val="bottom"/>
            <w:gridSpan w:val="2"/>
            <w:shd w:val="clear" w:color="auto" w:fill="CCEEFF"/>
          </w:tcPr>
          <w:p>
            <w:pPr>
              <w:jc w:val="center"/>
              <w:ind w:left="4430"/>
              <w:spacing w:after="0"/>
              <w:rPr>
                <w:sz w:val="20"/>
                <w:szCs w:val="20"/>
                <w:color w:val="auto"/>
              </w:rPr>
            </w:pPr>
            <w:r>
              <w:rPr>
                <w:rFonts w:ascii="Arial" w:cs="Arial" w:eastAsia="Arial" w:hAnsi="Arial"/>
                <w:sz w:val="18"/>
                <w:szCs w:val="18"/>
                <w:color w:val="auto"/>
                <w:w w:val="89"/>
              </w:rPr>
              <w:t>28</w:t>
            </w:r>
          </w:p>
        </w:tc>
      </w:tr>
      <w:tr>
        <w:trPr>
          <w:trHeight w:val="216"/>
        </w:trPr>
        <w:tc>
          <w:tcPr>
            <w:tcW w:w="640" w:type="dxa"/>
            <w:vAlign w:val="bottom"/>
          </w:tcPr>
          <w:p>
            <w:pPr>
              <w:ind w:left="180"/>
              <w:spacing w:after="0"/>
              <w:rPr>
                <w:sz w:val="20"/>
                <w:szCs w:val="20"/>
                <w:color w:val="auto"/>
              </w:rPr>
            </w:pPr>
            <w:r>
              <w:rPr>
                <w:rFonts w:ascii="Arial" w:cs="Arial" w:eastAsia="Arial" w:hAnsi="Arial"/>
                <w:sz w:val="18"/>
                <w:szCs w:val="18"/>
                <w:color w:val="auto"/>
              </w:rPr>
              <w:t>3.5</w:t>
            </w:r>
          </w:p>
        </w:tc>
        <w:tc>
          <w:tcPr>
            <w:tcW w:w="4940" w:type="dxa"/>
            <w:vAlign w:val="bottom"/>
          </w:tcPr>
          <w:p>
            <w:pPr>
              <w:ind w:left="160"/>
              <w:spacing w:after="0"/>
              <w:rPr>
                <w:sz w:val="20"/>
                <w:szCs w:val="20"/>
                <w:color w:val="auto"/>
              </w:rPr>
            </w:pPr>
            <w:r>
              <w:rPr>
                <w:rFonts w:ascii="Arial" w:cs="Arial" w:eastAsia="Arial" w:hAnsi="Arial"/>
                <w:sz w:val="18"/>
                <w:szCs w:val="18"/>
                <w:color w:val="auto"/>
              </w:rPr>
              <w:t>N</w:t>
            </w:r>
            <w:r>
              <w:rPr>
                <w:rFonts w:ascii="Arial" w:cs="Arial" w:eastAsia="Arial" w:hAnsi="Arial"/>
                <w:sz w:val="12"/>
                <w:szCs w:val="12"/>
                <w:color w:val="auto"/>
              </w:rPr>
              <w:t>o</w:t>
            </w:r>
            <w:r>
              <w:rPr>
                <w:rFonts w:ascii="Arial" w:cs="Arial" w:eastAsia="Arial" w:hAnsi="Arial"/>
                <w:sz w:val="18"/>
                <w:szCs w:val="18"/>
                <w:color w:val="auto"/>
              </w:rPr>
              <w:t xml:space="preserve"> L</w:t>
            </w:r>
            <w:r>
              <w:rPr>
                <w:rFonts w:ascii="Arial" w:cs="Arial" w:eastAsia="Arial" w:hAnsi="Arial"/>
                <w:sz w:val="12"/>
                <w:szCs w:val="12"/>
                <w:color w:val="auto"/>
              </w:rPr>
              <w:t>egal</w:t>
            </w:r>
            <w:r>
              <w:rPr>
                <w:rFonts w:ascii="Arial" w:cs="Arial" w:eastAsia="Arial" w:hAnsi="Arial"/>
                <w:sz w:val="18"/>
                <w:szCs w:val="18"/>
                <w:color w:val="auto"/>
              </w:rPr>
              <w:t xml:space="preserve"> B</w:t>
            </w:r>
            <w:r>
              <w:rPr>
                <w:rFonts w:ascii="Arial" w:cs="Arial" w:eastAsia="Arial" w:hAnsi="Arial"/>
                <w:sz w:val="12"/>
                <w:szCs w:val="12"/>
                <w:color w:val="auto"/>
              </w:rPr>
              <w:t>ar</w:t>
            </w:r>
          </w:p>
        </w:tc>
        <w:tc>
          <w:tcPr>
            <w:tcW w:w="5660" w:type="dxa"/>
            <w:vAlign w:val="bottom"/>
            <w:gridSpan w:val="2"/>
          </w:tcPr>
          <w:p>
            <w:pPr>
              <w:jc w:val="center"/>
              <w:ind w:left="4430"/>
              <w:spacing w:after="0"/>
              <w:rPr>
                <w:sz w:val="20"/>
                <w:szCs w:val="20"/>
                <w:color w:val="auto"/>
              </w:rPr>
            </w:pPr>
            <w:r>
              <w:rPr>
                <w:rFonts w:ascii="Arial" w:cs="Arial" w:eastAsia="Arial" w:hAnsi="Arial"/>
                <w:sz w:val="18"/>
                <w:szCs w:val="18"/>
                <w:color w:val="auto"/>
                <w:w w:val="89"/>
              </w:rPr>
              <w:t>28</w:t>
            </w:r>
          </w:p>
        </w:tc>
      </w:tr>
      <w:tr>
        <w:trPr>
          <w:trHeight w:val="216"/>
        </w:trPr>
        <w:tc>
          <w:tcPr>
            <w:tcW w:w="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3.6</w:t>
            </w:r>
          </w:p>
        </w:tc>
        <w:tc>
          <w:tcPr>
            <w:tcW w:w="49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L</w:t>
            </w:r>
            <w:r>
              <w:rPr>
                <w:rFonts w:ascii="Arial" w:cs="Arial" w:eastAsia="Arial" w:hAnsi="Arial"/>
                <w:sz w:val="12"/>
                <w:szCs w:val="12"/>
                <w:color w:val="auto"/>
              </w:rPr>
              <w:t>itigation</w:t>
            </w:r>
          </w:p>
        </w:tc>
        <w:tc>
          <w:tcPr>
            <w:tcW w:w="5660" w:type="dxa"/>
            <w:vAlign w:val="bottom"/>
            <w:gridSpan w:val="2"/>
            <w:shd w:val="clear" w:color="auto" w:fill="CCEEFF"/>
          </w:tcPr>
          <w:p>
            <w:pPr>
              <w:jc w:val="center"/>
              <w:ind w:left="4430"/>
              <w:spacing w:after="0"/>
              <w:rPr>
                <w:sz w:val="20"/>
                <w:szCs w:val="20"/>
                <w:color w:val="auto"/>
              </w:rPr>
            </w:pPr>
            <w:r>
              <w:rPr>
                <w:rFonts w:ascii="Arial" w:cs="Arial" w:eastAsia="Arial" w:hAnsi="Arial"/>
                <w:sz w:val="18"/>
                <w:szCs w:val="18"/>
                <w:color w:val="auto"/>
                <w:w w:val="89"/>
              </w:rPr>
              <w:t>29</w:t>
            </w:r>
          </w:p>
        </w:tc>
      </w:tr>
      <w:tr>
        <w:trPr>
          <w:trHeight w:val="216"/>
        </w:trPr>
        <w:tc>
          <w:tcPr>
            <w:tcW w:w="640" w:type="dxa"/>
            <w:vAlign w:val="bottom"/>
          </w:tcPr>
          <w:p>
            <w:pPr>
              <w:ind w:left="180"/>
              <w:spacing w:after="0"/>
              <w:rPr>
                <w:sz w:val="20"/>
                <w:szCs w:val="20"/>
                <w:color w:val="auto"/>
              </w:rPr>
            </w:pPr>
            <w:r>
              <w:rPr>
                <w:rFonts w:ascii="Arial" w:cs="Arial" w:eastAsia="Arial" w:hAnsi="Arial"/>
                <w:sz w:val="18"/>
                <w:szCs w:val="18"/>
                <w:color w:val="auto"/>
              </w:rPr>
              <w:t>3.7</w:t>
            </w:r>
          </w:p>
        </w:tc>
        <w:tc>
          <w:tcPr>
            <w:tcW w:w="4940" w:type="dxa"/>
            <w:vAlign w:val="bottom"/>
          </w:tcPr>
          <w:p>
            <w:pPr>
              <w:ind w:left="160"/>
              <w:spacing w:after="0"/>
              <w:rPr>
                <w:sz w:val="20"/>
                <w:szCs w:val="20"/>
                <w:color w:val="auto"/>
              </w:rPr>
            </w:pPr>
            <w:r>
              <w:rPr>
                <w:rFonts w:ascii="Arial" w:cs="Arial" w:eastAsia="Arial" w:hAnsi="Arial"/>
                <w:sz w:val="18"/>
                <w:szCs w:val="18"/>
                <w:color w:val="auto"/>
              </w:rPr>
              <w:t>N</w:t>
            </w:r>
            <w:r>
              <w:rPr>
                <w:rFonts w:ascii="Arial" w:cs="Arial" w:eastAsia="Arial" w:hAnsi="Arial"/>
                <w:sz w:val="12"/>
                <w:szCs w:val="12"/>
                <w:color w:val="auto"/>
              </w:rPr>
              <w:t>o</w:t>
            </w:r>
            <w:r>
              <w:rPr>
                <w:rFonts w:ascii="Arial" w:cs="Arial" w:eastAsia="Arial" w:hAnsi="Arial"/>
                <w:sz w:val="18"/>
                <w:szCs w:val="18"/>
                <w:color w:val="auto"/>
              </w:rPr>
              <w:t xml:space="preserve"> D</w:t>
            </w:r>
            <w:r>
              <w:rPr>
                <w:rFonts w:ascii="Arial" w:cs="Arial" w:eastAsia="Arial" w:hAnsi="Arial"/>
                <w:sz w:val="12"/>
                <w:szCs w:val="12"/>
                <w:color w:val="auto"/>
              </w:rPr>
              <w:t>efault</w:t>
            </w:r>
          </w:p>
        </w:tc>
        <w:tc>
          <w:tcPr>
            <w:tcW w:w="5660" w:type="dxa"/>
            <w:vAlign w:val="bottom"/>
            <w:gridSpan w:val="2"/>
          </w:tcPr>
          <w:p>
            <w:pPr>
              <w:jc w:val="center"/>
              <w:ind w:left="4430"/>
              <w:spacing w:after="0"/>
              <w:rPr>
                <w:sz w:val="20"/>
                <w:szCs w:val="20"/>
                <w:color w:val="auto"/>
              </w:rPr>
            </w:pPr>
            <w:r>
              <w:rPr>
                <w:rFonts w:ascii="Arial" w:cs="Arial" w:eastAsia="Arial" w:hAnsi="Arial"/>
                <w:sz w:val="18"/>
                <w:szCs w:val="18"/>
                <w:color w:val="auto"/>
                <w:w w:val="89"/>
              </w:rPr>
              <w:t>29</w:t>
            </w:r>
          </w:p>
        </w:tc>
      </w:tr>
      <w:tr>
        <w:trPr>
          <w:trHeight w:val="216"/>
        </w:trPr>
        <w:tc>
          <w:tcPr>
            <w:tcW w:w="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3.8</w:t>
            </w:r>
          </w:p>
        </w:tc>
        <w:tc>
          <w:tcPr>
            <w:tcW w:w="49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w:t>
            </w:r>
            <w:r>
              <w:rPr>
                <w:rFonts w:ascii="Arial" w:cs="Arial" w:eastAsia="Arial" w:hAnsi="Arial"/>
                <w:sz w:val="12"/>
                <w:szCs w:val="12"/>
                <w:color w:val="auto"/>
              </w:rPr>
              <w:t>axes</w:t>
            </w:r>
          </w:p>
        </w:tc>
        <w:tc>
          <w:tcPr>
            <w:tcW w:w="5660" w:type="dxa"/>
            <w:vAlign w:val="bottom"/>
            <w:gridSpan w:val="2"/>
            <w:shd w:val="clear" w:color="auto" w:fill="CCEEFF"/>
          </w:tcPr>
          <w:p>
            <w:pPr>
              <w:jc w:val="center"/>
              <w:ind w:left="4430"/>
              <w:spacing w:after="0"/>
              <w:rPr>
                <w:sz w:val="20"/>
                <w:szCs w:val="20"/>
                <w:color w:val="auto"/>
              </w:rPr>
            </w:pPr>
            <w:r>
              <w:rPr>
                <w:rFonts w:ascii="Arial" w:cs="Arial" w:eastAsia="Arial" w:hAnsi="Arial"/>
                <w:sz w:val="18"/>
                <w:szCs w:val="18"/>
                <w:color w:val="auto"/>
                <w:w w:val="89"/>
              </w:rPr>
              <w:t>29</w:t>
            </w:r>
          </w:p>
        </w:tc>
      </w:tr>
      <w:tr>
        <w:trPr>
          <w:trHeight w:val="216"/>
        </w:trPr>
        <w:tc>
          <w:tcPr>
            <w:tcW w:w="640" w:type="dxa"/>
            <w:vAlign w:val="bottom"/>
          </w:tcPr>
          <w:p>
            <w:pPr>
              <w:ind w:left="180"/>
              <w:spacing w:after="0"/>
              <w:rPr>
                <w:sz w:val="20"/>
                <w:szCs w:val="20"/>
                <w:color w:val="auto"/>
              </w:rPr>
            </w:pPr>
            <w:r>
              <w:rPr>
                <w:rFonts w:ascii="Arial" w:cs="Arial" w:eastAsia="Arial" w:hAnsi="Arial"/>
                <w:sz w:val="18"/>
                <w:szCs w:val="18"/>
                <w:color w:val="auto"/>
              </w:rPr>
              <w:t>3.9</w:t>
            </w:r>
          </w:p>
        </w:tc>
        <w:tc>
          <w:tcPr>
            <w:tcW w:w="4940" w:type="dxa"/>
            <w:vAlign w:val="bottom"/>
          </w:tcPr>
          <w:p>
            <w:pPr>
              <w:ind w:left="160"/>
              <w:spacing w:after="0"/>
              <w:rPr>
                <w:sz w:val="20"/>
                <w:szCs w:val="20"/>
                <w:color w:val="auto"/>
              </w:rPr>
            </w:pPr>
            <w:r>
              <w:rPr>
                <w:rFonts w:ascii="Arial" w:cs="Arial" w:eastAsia="Arial" w:hAnsi="Arial"/>
                <w:sz w:val="18"/>
                <w:szCs w:val="18"/>
                <w:color w:val="auto"/>
              </w:rPr>
              <w:t>M</w:t>
            </w:r>
            <w:r>
              <w:rPr>
                <w:rFonts w:ascii="Arial" w:cs="Arial" w:eastAsia="Arial" w:hAnsi="Arial"/>
                <w:sz w:val="12"/>
                <w:szCs w:val="12"/>
                <w:color w:val="auto"/>
              </w:rPr>
              <w:t>argin</w:t>
            </w:r>
            <w:r>
              <w:rPr>
                <w:rFonts w:ascii="Arial" w:cs="Arial" w:eastAsia="Arial" w:hAnsi="Arial"/>
                <w:sz w:val="18"/>
                <w:szCs w:val="18"/>
                <w:color w:val="auto"/>
              </w:rPr>
              <w:t xml:space="preserve"> S</w:t>
            </w:r>
            <w:r>
              <w:rPr>
                <w:rFonts w:ascii="Arial" w:cs="Arial" w:eastAsia="Arial" w:hAnsi="Arial"/>
                <w:sz w:val="12"/>
                <w:szCs w:val="12"/>
                <w:color w:val="auto"/>
              </w:rPr>
              <w:t>tock</w:t>
            </w:r>
          </w:p>
        </w:tc>
        <w:tc>
          <w:tcPr>
            <w:tcW w:w="5660" w:type="dxa"/>
            <w:vAlign w:val="bottom"/>
            <w:gridSpan w:val="2"/>
          </w:tcPr>
          <w:p>
            <w:pPr>
              <w:jc w:val="center"/>
              <w:ind w:left="4430"/>
              <w:spacing w:after="0"/>
              <w:rPr>
                <w:sz w:val="20"/>
                <w:szCs w:val="20"/>
                <w:color w:val="auto"/>
              </w:rPr>
            </w:pPr>
            <w:r>
              <w:rPr>
                <w:rFonts w:ascii="Arial" w:cs="Arial" w:eastAsia="Arial" w:hAnsi="Arial"/>
                <w:sz w:val="18"/>
                <w:szCs w:val="18"/>
                <w:color w:val="auto"/>
                <w:w w:val="89"/>
              </w:rPr>
              <w:t>29</w:t>
            </w:r>
          </w:p>
        </w:tc>
      </w:tr>
      <w:tr>
        <w:trPr>
          <w:trHeight w:val="216"/>
        </w:trPr>
        <w:tc>
          <w:tcPr>
            <w:tcW w:w="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3.10</w:t>
            </w:r>
          </w:p>
        </w:tc>
        <w:tc>
          <w:tcPr>
            <w:tcW w:w="49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ERISA</w:t>
            </w:r>
          </w:p>
        </w:tc>
        <w:tc>
          <w:tcPr>
            <w:tcW w:w="5660" w:type="dxa"/>
            <w:vAlign w:val="bottom"/>
            <w:gridSpan w:val="2"/>
            <w:shd w:val="clear" w:color="auto" w:fill="CCEEFF"/>
          </w:tcPr>
          <w:p>
            <w:pPr>
              <w:jc w:val="center"/>
              <w:ind w:left="4430"/>
              <w:spacing w:after="0"/>
              <w:rPr>
                <w:sz w:val="20"/>
                <w:szCs w:val="20"/>
                <w:color w:val="auto"/>
              </w:rPr>
            </w:pPr>
            <w:r>
              <w:rPr>
                <w:rFonts w:ascii="Arial" w:cs="Arial" w:eastAsia="Arial" w:hAnsi="Arial"/>
                <w:sz w:val="18"/>
                <w:szCs w:val="18"/>
                <w:color w:val="auto"/>
                <w:w w:val="89"/>
              </w:rPr>
              <w:t>29</w:t>
            </w:r>
          </w:p>
        </w:tc>
      </w:tr>
      <w:tr>
        <w:trPr>
          <w:trHeight w:val="216"/>
        </w:trPr>
        <w:tc>
          <w:tcPr>
            <w:tcW w:w="640" w:type="dxa"/>
            <w:vAlign w:val="bottom"/>
          </w:tcPr>
          <w:p>
            <w:pPr>
              <w:ind w:left="180"/>
              <w:spacing w:after="0"/>
              <w:rPr>
                <w:sz w:val="20"/>
                <w:szCs w:val="20"/>
                <w:color w:val="auto"/>
              </w:rPr>
            </w:pPr>
            <w:r>
              <w:rPr>
                <w:rFonts w:ascii="Arial" w:cs="Arial" w:eastAsia="Arial" w:hAnsi="Arial"/>
                <w:sz w:val="18"/>
                <w:szCs w:val="18"/>
                <w:color w:val="auto"/>
              </w:rPr>
              <w:t>3.11</w:t>
            </w:r>
          </w:p>
        </w:tc>
        <w:tc>
          <w:tcPr>
            <w:tcW w:w="4940" w:type="dxa"/>
            <w:vAlign w:val="bottom"/>
          </w:tcPr>
          <w:p>
            <w:pPr>
              <w:ind w:left="160"/>
              <w:spacing w:after="0"/>
              <w:rPr>
                <w:sz w:val="20"/>
                <w:szCs w:val="20"/>
                <w:color w:val="auto"/>
              </w:rPr>
            </w:pPr>
            <w:r>
              <w:rPr>
                <w:rFonts w:ascii="Arial" w:cs="Arial" w:eastAsia="Arial" w:hAnsi="Arial"/>
                <w:sz w:val="18"/>
                <w:szCs w:val="18"/>
                <w:color w:val="auto"/>
              </w:rPr>
              <w:t>I</w:t>
            </w:r>
            <w:r>
              <w:rPr>
                <w:rFonts w:ascii="Arial" w:cs="Arial" w:eastAsia="Arial" w:hAnsi="Arial"/>
                <w:sz w:val="12"/>
                <w:szCs w:val="12"/>
                <w:color w:val="auto"/>
              </w:rPr>
              <w:t>nvestment</w:t>
            </w:r>
            <w:r>
              <w:rPr>
                <w:rFonts w:ascii="Arial" w:cs="Arial" w:eastAsia="Arial" w:hAnsi="Arial"/>
                <w:sz w:val="18"/>
                <w:szCs w:val="18"/>
                <w:color w:val="auto"/>
              </w:rPr>
              <w:t xml:space="preserve"> C</w:t>
            </w:r>
            <w:r>
              <w:rPr>
                <w:rFonts w:ascii="Arial" w:cs="Arial" w:eastAsia="Arial" w:hAnsi="Arial"/>
                <w:sz w:val="12"/>
                <w:szCs w:val="12"/>
                <w:color w:val="auto"/>
              </w:rPr>
              <w:t>ompany</w:t>
            </w:r>
            <w:r>
              <w:rPr>
                <w:rFonts w:ascii="Arial" w:cs="Arial" w:eastAsia="Arial" w:hAnsi="Arial"/>
                <w:sz w:val="18"/>
                <w:szCs w:val="18"/>
                <w:color w:val="auto"/>
              </w:rPr>
              <w:t xml:space="preserve"> A</w:t>
            </w:r>
            <w:r>
              <w:rPr>
                <w:rFonts w:ascii="Arial" w:cs="Arial" w:eastAsia="Arial" w:hAnsi="Arial"/>
                <w:sz w:val="12"/>
                <w:szCs w:val="12"/>
                <w:color w:val="auto"/>
              </w:rPr>
              <w:t>ct</w:t>
            </w:r>
          </w:p>
        </w:tc>
        <w:tc>
          <w:tcPr>
            <w:tcW w:w="5660" w:type="dxa"/>
            <w:vAlign w:val="bottom"/>
            <w:gridSpan w:val="2"/>
          </w:tcPr>
          <w:p>
            <w:pPr>
              <w:jc w:val="center"/>
              <w:ind w:left="4430"/>
              <w:spacing w:after="0"/>
              <w:rPr>
                <w:sz w:val="20"/>
                <w:szCs w:val="20"/>
                <w:color w:val="auto"/>
              </w:rPr>
            </w:pPr>
            <w:r>
              <w:rPr>
                <w:rFonts w:ascii="Arial" w:cs="Arial" w:eastAsia="Arial" w:hAnsi="Arial"/>
                <w:sz w:val="18"/>
                <w:szCs w:val="18"/>
                <w:color w:val="auto"/>
                <w:w w:val="89"/>
              </w:rPr>
              <w:t>29</w:t>
            </w:r>
          </w:p>
        </w:tc>
      </w:tr>
      <w:tr>
        <w:trPr>
          <w:trHeight w:val="216"/>
        </w:trPr>
        <w:tc>
          <w:tcPr>
            <w:tcW w:w="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3.12</w:t>
            </w:r>
          </w:p>
        </w:tc>
        <w:tc>
          <w:tcPr>
            <w:tcW w:w="49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U</w:t>
            </w:r>
            <w:r>
              <w:rPr>
                <w:rFonts w:ascii="Arial" w:cs="Arial" w:eastAsia="Arial" w:hAnsi="Arial"/>
                <w:sz w:val="12"/>
                <w:szCs w:val="12"/>
                <w:color w:val="auto"/>
              </w:rPr>
              <w:t>se of</w:t>
            </w:r>
            <w:r>
              <w:rPr>
                <w:rFonts w:ascii="Arial" w:cs="Arial" w:eastAsia="Arial" w:hAnsi="Arial"/>
                <w:sz w:val="18"/>
                <w:szCs w:val="18"/>
                <w:color w:val="auto"/>
              </w:rPr>
              <w:t xml:space="preserve"> P</w:t>
            </w:r>
            <w:r>
              <w:rPr>
                <w:rFonts w:ascii="Arial" w:cs="Arial" w:eastAsia="Arial" w:hAnsi="Arial"/>
                <w:sz w:val="12"/>
                <w:szCs w:val="12"/>
                <w:color w:val="auto"/>
              </w:rPr>
              <w:t>roceeds</w:t>
            </w:r>
          </w:p>
        </w:tc>
        <w:tc>
          <w:tcPr>
            <w:tcW w:w="5660" w:type="dxa"/>
            <w:vAlign w:val="bottom"/>
            <w:gridSpan w:val="2"/>
            <w:shd w:val="clear" w:color="auto" w:fill="CCEEFF"/>
          </w:tcPr>
          <w:p>
            <w:pPr>
              <w:jc w:val="center"/>
              <w:ind w:left="4430"/>
              <w:spacing w:after="0"/>
              <w:rPr>
                <w:sz w:val="20"/>
                <w:szCs w:val="20"/>
                <w:color w:val="auto"/>
              </w:rPr>
            </w:pPr>
            <w:r>
              <w:rPr>
                <w:rFonts w:ascii="Arial" w:cs="Arial" w:eastAsia="Arial" w:hAnsi="Arial"/>
                <w:sz w:val="18"/>
                <w:szCs w:val="18"/>
                <w:color w:val="auto"/>
                <w:w w:val="89"/>
              </w:rPr>
              <w:t>30</w:t>
            </w:r>
          </w:p>
        </w:tc>
      </w:tr>
      <w:tr>
        <w:trPr>
          <w:trHeight w:val="216"/>
        </w:trPr>
        <w:tc>
          <w:tcPr>
            <w:tcW w:w="640" w:type="dxa"/>
            <w:vAlign w:val="bottom"/>
          </w:tcPr>
          <w:p>
            <w:pPr>
              <w:ind w:left="180"/>
              <w:spacing w:after="0"/>
              <w:rPr>
                <w:sz w:val="20"/>
                <w:szCs w:val="20"/>
                <w:color w:val="auto"/>
              </w:rPr>
            </w:pPr>
            <w:r>
              <w:rPr>
                <w:rFonts w:ascii="Arial" w:cs="Arial" w:eastAsia="Arial" w:hAnsi="Arial"/>
                <w:sz w:val="18"/>
                <w:szCs w:val="18"/>
                <w:color w:val="auto"/>
              </w:rPr>
              <w:t>3.13</w:t>
            </w:r>
          </w:p>
        </w:tc>
        <w:tc>
          <w:tcPr>
            <w:tcW w:w="4940" w:type="dxa"/>
            <w:vAlign w:val="bottom"/>
          </w:tcPr>
          <w:p>
            <w:pPr>
              <w:ind w:left="160"/>
              <w:spacing w:after="0"/>
              <w:rPr>
                <w:sz w:val="20"/>
                <w:szCs w:val="20"/>
                <w:color w:val="auto"/>
              </w:rPr>
            </w:pPr>
            <w:r>
              <w:rPr>
                <w:rFonts w:ascii="Arial" w:cs="Arial" w:eastAsia="Arial" w:hAnsi="Arial"/>
                <w:sz w:val="18"/>
                <w:szCs w:val="18"/>
                <w:color w:val="auto"/>
              </w:rPr>
              <w:t>E</w:t>
            </w:r>
            <w:r>
              <w:rPr>
                <w:rFonts w:ascii="Arial" w:cs="Arial" w:eastAsia="Arial" w:hAnsi="Arial"/>
                <w:sz w:val="12"/>
                <w:szCs w:val="12"/>
                <w:color w:val="auto"/>
              </w:rPr>
              <w:t>nvironmental</w:t>
            </w:r>
            <w:r>
              <w:rPr>
                <w:rFonts w:ascii="Arial" w:cs="Arial" w:eastAsia="Arial" w:hAnsi="Arial"/>
                <w:sz w:val="18"/>
                <w:szCs w:val="18"/>
                <w:color w:val="auto"/>
              </w:rPr>
              <w:t xml:space="preserve"> M</w:t>
            </w:r>
            <w:r>
              <w:rPr>
                <w:rFonts w:ascii="Arial" w:cs="Arial" w:eastAsia="Arial" w:hAnsi="Arial"/>
                <w:sz w:val="12"/>
                <w:szCs w:val="12"/>
                <w:color w:val="auto"/>
              </w:rPr>
              <w:t>atters</w:t>
            </w:r>
          </w:p>
        </w:tc>
        <w:tc>
          <w:tcPr>
            <w:tcW w:w="5660" w:type="dxa"/>
            <w:vAlign w:val="bottom"/>
            <w:gridSpan w:val="2"/>
          </w:tcPr>
          <w:p>
            <w:pPr>
              <w:jc w:val="center"/>
              <w:ind w:left="4430"/>
              <w:spacing w:after="0"/>
              <w:rPr>
                <w:sz w:val="20"/>
                <w:szCs w:val="20"/>
                <w:color w:val="auto"/>
              </w:rPr>
            </w:pPr>
            <w:r>
              <w:rPr>
                <w:rFonts w:ascii="Arial" w:cs="Arial" w:eastAsia="Arial" w:hAnsi="Arial"/>
                <w:sz w:val="18"/>
                <w:szCs w:val="18"/>
                <w:color w:val="auto"/>
                <w:w w:val="89"/>
              </w:rPr>
              <w:t>30</w:t>
            </w:r>
          </w:p>
        </w:tc>
      </w:tr>
      <w:tr>
        <w:trPr>
          <w:trHeight w:val="216"/>
        </w:trPr>
        <w:tc>
          <w:tcPr>
            <w:tcW w:w="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3.14</w:t>
            </w:r>
          </w:p>
        </w:tc>
        <w:tc>
          <w:tcPr>
            <w:tcW w:w="49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w:t>
            </w:r>
            <w:r>
              <w:rPr>
                <w:rFonts w:ascii="Arial" w:cs="Arial" w:eastAsia="Arial" w:hAnsi="Arial"/>
                <w:sz w:val="12"/>
                <w:szCs w:val="12"/>
                <w:color w:val="auto"/>
              </w:rPr>
              <w:t>ccuracy of</w:t>
            </w:r>
            <w:r>
              <w:rPr>
                <w:rFonts w:ascii="Arial" w:cs="Arial" w:eastAsia="Arial" w:hAnsi="Arial"/>
                <w:sz w:val="18"/>
                <w:szCs w:val="18"/>
                <w:color w:val="auto"/>
              </w:rPr>
              <w:t xml:space="preserve"> I</w:t>
            </w:r>
            <w:r>
              <w:rPr>
                <w:rFonts w:ascii="Arial" w:cs="Arial" w:eastAsia="Arial" w:hAnsi="Arial"/>
                <w:sz w:val="12"/>
                <w:szCs w:val="12"/>
                <w:color w:val="auto"/>
              </w:rPr>
              <w:t>nformation</w:t>
            </w:r>
            <w:r>
              <w:rPr>
                <w:rFonts w:ascii="Arial" w:cs="Arial" w:eastAsia="Arial" w:hAnsi="Arial"/>
                <w:sz w:val="18"/>
                <w:szCs w:val="18"/>
                <w:color w:val="auto"/>
              </w:rPr>
              <w:t xml:space="preserve">, </w:t>
            </w:r>
            <w:r>
              <w:rPr>
                <w:rFonts w:ascii="Arial" w:cs="Arial" w:eastAsia="Arial" w:hAnsi="Arial"/>
                <w:sz w:val="12"/>
                <w:szCs w:val="12"/>
                <w:color w:val="auto"/>
              </w:rPr>
              <w:t>etc</w:t>
            </w:r>
            <w:r>
              <w:rPr>
                <w:rFonts w:ascii="Arial" w:cs="Arial" w:eastAsia="Arial" w:hAnsi="Arial"/>
                <w:sz w:val="18"/>
                <w:szCs w:val="18"/>
                <w:color w:val="auto"/>
              </w:rPr>
              <w:t>.</w:t>
            </w:r>
          </w:p>
        </w:tc>
        <w:tc>
          <w:tcPr>
            <w:tcW w:w="5660" w:type="dxa"/>
            <w:vAlign w:val="bottom"/>
            <w:gridSpan w:val="2"/>
            <w:shd w:val="clear" w:color="auto" w:fill="CCEEFF"/>
          </w:tcPr>
          <w:p>
            <w:pPr>
              <w:jc w:val="center"/>
              <w:ind w:left="4430"/>
              <w:spacing w:after="0"/>
              <w:rPr>
                <w:sz w:val="20"/>
                <w:szCs w:val="20"/>
                <w:color w:val="auto"/>
              </w:rPr>
            </w:pPr>
            <w:r>
              <w:rPr>
                <w:rFonts w:ascii="Arial" w:cs="Arial" w:eastAsia="Arial" w:hAnsi="Arial"/>
                <w:sz w:val="18"/>
                <w:szCs w:val="18"/>
                <w:color w:val="auto"/>
                <w:w w:val="89"/>
              </w:rPr>
              <w:t>30</w:t>
            </w:r>
          </w:p>
        </w:tc>
      </w:tr>
      <w:tr>
        <w:trPr>
          <w:trHeight w:val="216"/>
        </w:trPr>
        <w:tc>
          <w:tcPr>
            <w:tcW w:w="640" w:type="dxa"/>
            <w:vAlign w:val="bottom"/>
          </w:tcPr>
          <w:p>
            <w:pPr>
              <w:ind w:left="180"/>
              <w:spacing w:after="0"/>
              <w:rPr>
                <w:sz w:val="20"/>
                <w:szCs w:val="20"/>
                <w:color w:val="auto"/>
              </w:rPr>
            </w:pPr>
            <w:r>
              <w:rPr>
                <w:rFonts w:ascii="Arial" w:cs="Arial" w:eastAsia="Arial" w:hAnsi="Arial"/>
                <w:sz w:val="18"/>
                <w:szCs w:val="18"/>
                <w:color w:val="auto"/>
              </w:rPr>
              <w:t>3.15</w:t>
            </w:r>
          </w:p>
        </w:tc>
        <w:tc>
          <w:tcPr>
            <w:tcW w:w="4940" w:type="dxa"/>
            <w:vAlign w:val="bottom"/>
          </w:tcPr>
          <w:p>
            <w:pPr>
              <w:ind w:left="160"/>
              <w:spacing w:after="0"/>
              <w:rPr>
                <w:sz w:val="20"/>
                <w:szCs w:val="20"/>
                <w:color w:val="auto"/>
              </w:rPr>
            </w:pPr>
            <w:r>
              <w:rPr>
                <w:rFonts w:ascii="Arial" w:cs="Arial" w:eastAsia="Arial" w:hAnsi="Arial"/>
                <w:sz w:val="18"/>
                <w:szCs w:val="18"/>
                <w:color w:val="auto"/>
              </w:rPr>
              <w:t>S</w:t>
            </w:r>
            <w:r>
              <w:rPr>
                <w:rFonts w:ascii="Arial" w:cs="Arial" w:eastAsia="Arial" w:hAnsi="Arial"/>
                <w:sz w:val="12"/>
                <w:szCs w:val="12"/>
                <w:color w:val="auto"/>
              </w:rPr>
              <w:t>ecurity</w:t>
            </w:r>
            <w:r>
              <w:rPr>
                <w:rFonts w:ascii="Arial" w:cs="Arial" w:eastAsia="Arial" w:hAnsi="Arial"/>
                <w:sz w:val="18"/>
                <w:szCs w:val="18"/>
                <w:color w:val="auto"/>
              </w:rPr>
              <w:t xml:space="preserve"> D</w:t>
            </w:r>
            <w:r>
              <w:rPr>
                <w:rFonts w:ascii="Arial" w:cs="Arial" w:eastAsia="Arial" w:hAnsi="Arial"/>
                <w:sz w:val="12"/>
                <w:szCs w:val="12"/>
                <w:color w:val="auto"/>
              </w:rPr>
              <w:t>ocuments</w:t>
            </w:r>
          </w:p>
        </w:tc>
        <w:tc>
          <w:tcPr>
            <w:tcW w:w="5660" w:type="dxa"/>
            <w:vAlign w:val="bottom"/>
            <w:gridSpan w:val="2"/>
          </w:tcPr>
          <w:p>
            <w:pPr>
              <w:jc w:val="center"/>
              <w:ind w:left="4430"/>
              <w:spacing w:after="0"/>
              <w:rPr>
                <w:sz w:val="20"/>
                <w:szCs w:val="20"/>
                <w:color w:val="auto"/>
              </w:rPr>
            </w:pPr>
            <w:r>
              <w:rPr>
                <w:rFonts w:ascii="Arial" w:cs="Arial" w:eastAsia="Arial" w:hAnsi="Arial"/>
                <w:sz w:val="18"/>
                <w:szCs w:val="18"/>
                <w:color w:val="auto"/>
                <w:w w:val="89"/>
              </w:rPr>
              <w:t>30</w:t>
            </w:r>
          </w:p>
        </w:tc>
      </w:tr>
      <w:tr>
        <w:trPr>
          <w:trHeight w:val="216"/>
        </w:trPr>
        <w:tc>
          <w:tcPr>
            <w:tcW w:w="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3.16</w:t>
            </w:r>
          </w:p>
        </w:tc>
        <w:tc>
          <w:tcPr>
            <w:tcW w:w="49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w:t>
            </w:r>
            <w:r>
              <w:rPr>
                <w:rFonts w:ascii="Arial" w:cs="Arial" w:eastAsia="Arial" w:hAnsi="Arial"/>
                <w:sz w:val="12"/>
                <w:szCs w:val="12"/>
                <w:color w:val="auto"/>
              </w:rPr>
              <w:t>olvency</w:t>
            </w:r>
          </w:p>
        </w:tc>
        <w:tc>
          <w:tcPr>
            <w:tcW w:w="5660" w:type="dxa"/>
            <w:vAlign w:val="bottom"/>
            <w:gridSpan w:val="2"/>
            <w:shd w:val="clear" w:color="auto" w:fill="CCEEFF"/>
          </w:tcPr>
          <w:p>
            <w:pPr>
              <w:jc w:val="center"/>
              <w:ind w:left="4430"/>
              <w:spacing w:after="0"/>
              <w:rPr>
                <w:sz w:val="20"/>
                <w:szCs w:val="20"/>
                <w:color w:val="auto"/>
              </w:rPr>
            </w:pPr>
            <w:r>
              <w:rPr>
                <w:rFonts w:ascii="Arial" w:cs="Arial" w:eastAsia="Arial" w:hAnsi="Arial"/>
                <w:sz w:val="18"/>
                <w:szCs w:val="18"/>
                <w:color w:val="auto"/>
                <w:w w:val="89"/>
              </w:rPr>
              <w:t>30</w:t>
            </w:r>
          </w:p>
        </w:tc>
      </w:tr>
      <w:tr>
        <w:trPr>
          <w:trHeight w:val="216"/>
        </w:trPr>
        <w:tc>
          <w:tcPr>
            <w:tcW w:w="640" w:type="dxa"/>
            <w:vAlign w:val="bottom"/>
          </w:tcPr>
          <w:p>
            <w:pPr>
              <w:ind w:left="180"/>
              <w:spacing w:after="0"/>
              <w:rPr>
                <w:sz w:val="20"/>
                <w:szCs w:val="20"/>
                <w:color w:val="auto"/>
              </w:rPr>
            </w:pPr>
            <w:r>
              <w:rPr>
                <w:rFonts w:ascii="Arial" w:cs="Arial" w:eastAsia="Arial" w:hAnsi="Arial"/>
                <w:sz w:val="18"/>
                <w:szCs w:val="18"/>
                <w:color w:val="auto"/>
              </w:rPr>
              <w:t>3.17</w:t>
            </w:r>
          </w:p>
        </w:tc>
        <w:tc>
          <w:tcPr>
            <w:tcW w:w="4940" w:type="dxa"/>
            <w:vAlign w:val="bottom"/>
          </w:tcPr>
          <w:p>
            <w:pPr>
              <w:ind w:left="160"/>
              <w:spacing w:after="0"/>
              <w:rPr>
                <w:sz w:val="20"/>
                <w:szCs w:val="20"/>
                <w:color w:val="auto"/>
              </w:rPr>
            </w:pPr>
            <w:r>
              <w:rPr>
                <w:rFonts w:ascii="Arial" w:cs="Arial" w:eastAsia="Arial" w:hAnsi="Arial"/>
                <w:sz w:val="18"/>
                <w:szCs w:val="18"/>
                <w:color w:val="auto"/>
              </w:rPr>
              <w:t>I</w:t>
            </w:r>
            <w:r>
              <w:rPr>
                <w:rFonts w:ascii="Arial" w:cs="Arial" w:eastAsia="Arial" w:hAnsi="Arial"/>
                <w:sz w:val="12"/>
                <w:szCs w:val="12"/>
                <w:color w:val="auto"/>
              </w:rPr>
              <w:t>nsurance</w:t>
            </w:r>
          </w:p>
        </w:tc>
        <w:tc>
          <w:tcPr>
            <w:tcW w:w="5660" w:type="dxa"/>
            <w:vAlign w:val="bottom"/>
            <w:gridSpan w:val="2"/>
          </w:tcPr>
          <w:p>
            <w:pPr>
              <w:jc w:val="center"/>
              <w:ind w:left="4430"/>
              <w:spacing w:after="0"/>
              <w:rPr>
                <w:sz w:val="20"/>
                <w:szCs w:val="20"/>
                <w:color w:val="auto"/>
              </w:rPr>
            </w:pPr>
            <w:r>
              <w:rPr>
                <w:rFonts w:ascii="Arial" w:cs="Arial" w:eastAsia="Arial" w:hAnsi="Arial"/>
                <w:sz w:val="18"/>
                <w:szCs w:val="18"/>
                <w:color w:val="auto"/>
                <w:w w:val="89"/>
              </w:rPr>
              <w:t>30</w:t>
            </w:r>
          </w:p>
        </w:tc>
      </w:tr>
      <w:tr>
        <w:trPr>
          <w:trHeight w:val="216"/>
        </w:trPr>
        <w:tc>
          <w:tcPr>
            <w:tcW w:w="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3.18</w:t>
            </w:r>
          </w:p>
        </w:tc>
        <w:tc>
          <w:tcPr>
            <w:tcW w:w="49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w:t>
            </w:r>
            <w:r>
              <w:rPr>
                <w:rFonts w:ascii="Arial" w:cs="Arial" w:eastAsia="Arial" w:hAnsi="Arial"/>
                <w:sz w:val="12"/>
                <w:szCs w:val="12"/>
                <w:color w:val="auto"/>
              </w:rPr>
              <w:t>itle</w:t>
            </w:r>
          </w:p>
        </w:tc>
        <w:tc>
          <w:tcPr>
            <w:tcW w:w="5660" w:type="dxa"/>
            <w:vAlign w:val="bottom"/>
            <w:gridSpan w:val="2"/>
            <w:shd w:val="clear" w:color="auto" w:fill="CCEEFF"/>
          </w:tcPr>
          <w:p>
            <w:pPr>
              <w:jc w:val="center"/>
              <w:ind w:left="4430"/>
              <w:spacing w:after="0"/>
              <w:rPr>
                <w:sz w:val="20"/>
                <w:szCs w:val="20"/>
                <w:color w:val="auto"/>
              </w:rPr>
            </w:pPr>
            <w:r>
              <w:rPr>
                <w:rFonts w:ascii="Arial" w:cs="Arial" w:eastAsia="Arial" w:hAnsi="Arial"/>
                <w:sz w:val="18"/>
                <w:szCs w:val="18"/>
                <w:color w:val="auto"/>
                <w:w w:val="89"/>
              </w:rPr>
              <w:t>30</w:t>
            </w:r>
          </w:p>
        </w:tc>
      </w:tr>
      <w:tr>
        <w:trPr>
          <w:trHeight w:val="216"/>
        </w:trPr>
        <w:tc>
          <w:tcPr>
            <w:tcW w:w="640" w:type="dxa"/>
            <w:vAlign w:val="bottom"/>
          </w:tcPr>
          <w:p>
            <w:pPr>
              <w:ind w:left="180"/>
              <w:spacing w:after="0"/>
              <w:rPr>
                <w:sz w:val="20"/>
                <w:szCs w:val="20"/>
                <w:color w:val="auto"/>
              </w:rPr>
            </w:pPr>
            <w:r>
              <w:rPr>
                <w:rFonts w:ascii="Arial" w:cs="Arial" w:eastAsia="Arial" w:hAnsi="Arial"/>
                <w:sz w:val="18"/>
                <w:szCs w:val="18"/>
                <w:color w:val="auto"/>
              </w:rPr>
              <w:t>3.19</w:t>
            </w:r>
          </w:p>
        </w:tc>
        <w:tc>
          <w:tcPr>
            <w:tcW w:w="4940" w:type="dxa"/>
            <w:vAlign w:val="bottom"/>
          </w:tcPr>
          <w:p>
            <w:pPr>
              <w:ind w:left="160"/>
              <w:spacing w:after="0"/>
              <w:rPr>
                <w:sz w:val="20"/>
                <w:szCs w:val="20"/>
                <w:color w:val="auto"/>
              </w:rPr>
            </w:pPr>
            <w:r>
              <w:rPr>
                <w:rFonts w:ascii="Arial" w:cs="Arial" w:eastAsia="Arial" w:hAnsi="Arial"/>
                <w:sz w:val="18"/>
                <w:szCs w:val="18"/>
                <w:color w:val="auto"/>
              </w:rPr>
              <w:t>S</w:t>
            </w:r>
            <w:r>
              <w:rPr>
                <w:rFonts w:ascii="Arial" w:cs="Arial" w:eastAsia="Arial" w:hAnsi="Arial"/>
                <w:sz w:val="12"/>
                <w:szCs w:val="12"/>
                <w:color w:val="auto"/>
              </w:rPr>
              <w:t>ubsidiaries</w:t>
            </w:r>
          </w:p>
        </w:tc>
        <w:tc>
          <w:tcPr>
            <w:tcW w:w="5660" w:type="dxa"/>
            <w:vAlign w:val="bottom"/>
            <w:gridSpan w:val="2"/>
          </w:tcPr>
          <w:p>
            <w:pPr>
              <w:jc w:val="center"/>
              <w:ind w:left="4430"/>
              <w:spacing w:after="0"/>
              <w:rPr>
                <w:sz w:val="20"/>
                <w:szCs w:val="20"/>
                <w:color w:val="auto"/>
              </w:rPr>
            </w:pPr>
            <w:r>
              <w:rPr>
                <w:rFonts w:ascii="Arial" w:cs="Arial" w:eastAsia="Arial" w:hAnsi="Arial"/>
                <w:sz w:val="18"/>
                <w:szCs w:val="18"/>
                <w:color w:val="auto"/>
                <w:w w:val="89"/>
              </w:rPr>
              <w:t>30</w:t>
            </w:r>
          </w:p>
        </w:tc>
      </w:tr>
      <w:tr>
        <w:trPr>
          <w:trHeight w:val="216"/>
        </w:trPr>
        <w:tc>
          <w:tcPr>
            <w:tcW w:w="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3.20</w:t>
            </w:r>
          </w:p>
        </w:tc>
        <w:tc>
          <w:tcPr>
            <w:tcW w:w="49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w:t>
            </w:r>
            <w:r>
              <w:rPr>
                <w:rFonts w:ascii="Arial" w:cs="Arial" w:eastAsia="Arial" w:hAnsi="Arial"/>
                <w:sz w:val="12"/>
                <w:szCs w:val="12"/>
                <w:color w:val="auto"/>
              </w:rPr>
              <w:t>mployees</w:t>
            </w:r>
          </w:p>
        </w:tc>
        <w:tc>
          <w:tcPr>
            <w:tcW w:w="5660" w:type="dxa"/>
            <w:vAlign w:val="bottom"/>
            <w:gridSpan w:val="2"/>
            <w:shd w:val="clear" w:color="auto" w:fill="CCEEFF"/>
          </w:tcPr>
          <w:p>
            <w:pPr>
              <w:jc w:val="center"/>
              <w:ind w:left="4430"/>
              <w:spacing w:after="0"/>
              <w:rPr>
                <w:sz w:val="20"/>
                <w:szCs w:val="20"/>
                <w:color w:val="auto"/>
              </w:rPr>
            </w:pPr>
            <w:r>
              <w:rPr>
                <w:rFonts w:ascii="Arial" w:cs="Arial" w:eastAsia="Arial" w:hAnsi="Arial"/>
                <w:sz w:val="18"/>
                <w:szCs w:val="18"/>
                <w:color w:val="auto"/>
                <w:w w:val="89"/>
              </w:rPr>
              <w:t>31</w:t>
            </w:r>
          </w:p>
        </w:tc>
      </w:tr>
      <w:tr>
        <w:trPr>
          <w:trHeight w:val="216"/>
        </w:trPr>
        <w:tc>
          <w:tcPr>
            <w:tcW w:w="640" w:type="dxa"/>
            <w:vAlign w:val="bottom"/>
          </w:tcPr>
          <w:p>
            <w:pPr>
              <w:ind w:left="180"/>
              <w:spacing w:after="0"/>
              <w:rPr>
                <w:sz w:val="20"/>
                <w:szCs w:val="20"/>
                <w:color w:val="auto"/>
              </w:rPr>
            </w:pPr>
            <w:r>
              <w:rPr>
                <w:rFonts w:ascii="Arial" w:cs="Arial" w:eastAsia="Arial" w:hAnsi="Arial"/>
                <w:sz w:val="18"/>
                <w:szCs w:val="18"/>
                <w:color w:val="auto"/>
              </w:rPr>
              <w:t>3.21</w:t>
            </w:r>
          </w:p>
        </w:tc>
        <w:tc>
          <w:tcPr>
            <w:tcW w:w="4940" w:type="dxa"/>
            <w:vAlign w:val="bottom"/>
          </w:tcPr>
          <w:p>
            <w:pPr>
              <w:ind w:left="160"/>
              <w:spacing w:after="0"/>
              <w:rPr>
                <w:sz w:val="20"/>
                <w:szCs w:val="20"/>
                <w:color w:val="auto"/>
              </w:rPr>
            </w:pPr>
            <w:r>
              <w:rPr>
                <w:rFonts w:ascii="Arial" w:cs="Arial" w:eastAsia="Arial" w:hAnsi="Arial"/>
                <w:sz w:val="18"/>
                <w:szCs w:val="18"/>
                <w:color w:val="auto"/>
              </w:rPr>
              <w:t>C</w:t>
            </w:r>
            <w:r>
              <w:rPr>
                <w:rFonts w:ascii="Arial" w:cs="Arial" w:eastAsia="Arial" w:hAnsi="Arial"/>
                <w:sz w:val="12"/>
                <w:szCs w:val="12"/>
                <w:color w:val="auto"/>
              </w:rPr>
              <w:t>ollateral</w:t>
            </w:r>
          </w:p>
        </w:tc>
        <w:tc>
          <w:tcPr>
            <w:tcW w:w="5660" w:type="dxa"/>
            <w:vAlign w:val="bottom"/>
            <w:gridSpan w:val="2"/>
          </w:tcPr>
          <w:p>
            <w:pPr>
              <w:jc w:val="center"/>
              <w:ind w:left="4430"/>
              <w:spacing w:after="0"/>
              <w:rPr>
                <w:sz w:val="20"/>
                <w:szCs w:val="20"/>
                <w:color w:val="auto"/>
              </w:rPr>
            </w:pPr>
            <w:r>
              <w:rPr>
                <w:rFonts w:ascii="Arial" w:cs="Arial" w:eastAsia="Arial" w:hAnsi="Arial"/>
                <w:sz w:val="18"/>
                <w:szCs w:val="18"/>
                <w:color w:val="auto"/>
                <w:w w:val="89"/>
              </w:rPr>
              <w:t>31</w:t>
            </w:r>
          </w:p>
        </w:tc>
      </w:tr>
      <w:tr>
        <w:trPr>
          <w:trHeight w:val="216"/>
        </w:trPr>
        <w:tc>
          <w:tcPr>
            <w:tcW w:w="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3.22</w:t>
            </w:r>
          </w:p>
        </w:tc>
        <w:tc>
          <w:tcPr>
            <w:tcW w:w="49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w:t>
            </w:r>
            <w:r>
              <w:rPr>
                <w:rFonts w:ascii="Arial" w:cs="Arial" w:eastAsia="Arial" w:hAnsi="Arial"/>
                <w:sz w:val="12"/>
                <w:szCs w:val="12"/>
                <w:color w:val="auto"/>
              </w:rPr>
              <w:t>ntellectual</w:t>
            </w:r>
            <w:r>
              <w:rPr>
                <w:rFonts w:ascii="Arial" w:cs="Arial" w:eastAsia="Arial" w:hAnsi="Arial"/>
                <w:sz w:val="18"/>
                <w:szCs w:val="18"/>
                <w:color w:val="auto"/>
              </w:rPr>
              <w:t xml:space="preserve"> P</w:t>
            </w:r>
            <w:r>
              <w:rPr>
                <w:rFonts w:ascii="Arial" w:cs="Arial" w:eastAsia="Arial" w:hAnsi="Arial"/>
                <w:sz w:val="12"/>
                <w:szCs w:val="12"/>
                <w:color w:val="auto"/>
              </w:rPr>
              <w:t>roperty</w:t>
            </w:r>
          </w:p>
        </w:tc>
        <w:tc>
          <w:tcPr>
            <w:tcW w:w="5660" w:type="dxa"/>
            <w:vAlign w:val="bottom"/>
            <w:gridSpan w:val="2"/>
            <w:shd w:val="clear" w:color="auto" w:fill="CCEEFF"/>
          </w:tcPr>
          <w:p>
            <w:pPr>
              <w:jc w:val="center"/>
              <w:ind w:left="4430"/>
              <w:spacing w:after="0"/>
              <w:rPr>
                <w:sz w:val="20"/>
                <w:szCs w:val="20"/>
                <w:color w:val="auto"/>
              </w:rPr>
            </w:pPr>
            <w:r>
              <w:rPr>
                <w:rFonts w:ascii="Arial" w:cs="Arial" w:eastAsia="Arial" w:hAnsi="Arial"/>
                <w:sz w:val="18"/>
                <w:szCs w:val="18"/>
                <w:color w:val="auto"/>
                <w:w w:val="89"/>
              </w:rPr>
              <w:t>31</w:t>
            </w:r>
          </w:p>
        </w:tc>
      </w:tr>
      <w:tr>
        <w:trPr>
          <w:trHeight w:val="216"/>
        </w:trPr>
        <w:tc>
          <w:tcPr>
            <w:tcW w:w="640" w:type="dxa"/>
            <w:vAlign w:val="bottom"/>
          </w:tcPr>
          <w:p>
            <w:pPr>
              <w:ind w:left="180"/>
              <w:spacing w:after="0"/>
              <w:rPr>
                <w:sz w:val="20"/>
                <w:szCs w:val="20"/>
                <w:color w:val="auto"/>
              </w:rPr>
            </w:pPr>
            <w:r>
              <w:rPr>
                <w:rFonts w:ascii="Arial" w:cs="Arial" w:eastAsia="Arial" w:hAnsi="Arial"/>
                <w:sz w:val="18"/>
                <w:szCs w:val="18"/>
                <w:color w:val="auto"/>
              </w:rPr>
              <w:t>3.23</w:t>
            </w:r>
          </w:p>
        </w:tc>
        <w:tc>
          <w:tcPr>
            <w:tcW w:w="4940" w:type="dxa"/>
            <w:vAlign w:val="bottom"/>
          </w:tcPr>
          <w:p>
            <w:pPr>
              <w:ind w:left="160"/>
              <w:spacing w:after="0"/>
              <w:rPr>
                <w:sz w:val="20"/>
                <w:szCs w:val="20"/>
                <w:color w:val="auto"/>
              </w:rPr>
            </w:pPr>
            <w:r>
              <w:rPr>
                <w:rFonts w:ascii="Arial" w:cs="Arial" w:eastAsia="Arial" w:hAnsi="Arial"/>
                <w:sz w:val="18"/>
                <w:szCs w:val="18"/>
                <w:color w:val="auto"/>
              </w:rPr>
              <w:t>C</w:t>
            </w:r>
            <w:r>
              <w:rPr>
                <w:rFonts w:ascii="Arial" w:cs="Arial" w:eastAsia="Arial" w:hAnsi="Arial"/>
                <w:sz w:val="12"/>
                <w:szCs w:val="12"/>
                <w:color w:val="auto"/>
              </w:rPr>
              <w:t>apitalization</w:t>
            </w:r>
          </w:p>
        </w:tc>
        <w:tc>
          <w:tcPr>
            <w:tcW w:w="5660" w:type="dxa"/>
            <w:vAlign w:val="bottom"/>
            <w:gridSpan w:val="2"/>
          </w:tcPr>
          <w:p>
            <w:pPr>
              <w:jc w:val="center"/>
              <w:ind w:left="4430"/>
              <w:spacing w:after="0"/>
              <w:rPr>
                <w:sz w:val="20"/>
                <w:szCs w:val="20"/>
                <w:color w:val="auto"/>
              </w:rPr>
            </w:pPr>
            <w:r>
              <w:rPr>
                <w:rFonts w:ascii="Arial" w:cs="Arial" w:eastAsia="Arial" w:hAnsi="Arial"/>
                <w:sz w:val="18"/>
                <w:szCs w:val="18"/>
                <w:color w:val="auto"/>
                <w:w w:val="89"/>
              </w:rPr>
              <w:t>31</w:t>
            </w:r>
          </w:p>
        </w:tc>
      </w:tr>
      <w:tr>
        <w:trPr>
          <w:trHeight w:val="216"/>
        </w:trPr>
        <w:tc>
          <w:tcPr>
            <w:tcW w:w="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3.24</w:t>
            </w:r>
          </w:p>
        </w:tc>
        <w:tc>
          <w:tcPr>
            <w:tcW w:w="49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w:t>
            </w:r>
            <w:r>
              <w:rPr>
                <w:rFonts w:ascii="Arial" w:cs="Arial" w:eastAsia="Arial" w:hAnsi="Arial"/>
                <w:sz w:val="12"/>
                <w:szCs w:val="12"/>
                <w:color w:val="auto"/>
              </w:rPr>
              <w:t>ransactions with</w:t>
            </w:r>
            <w:r>
              <w:rPr>
                <w:rFonts w:ascii="Arial" w:cs="Arial" w:eastAsia="Arial" w:hAnsi="Arial"/>
                <w:sz w:val="18"/>
                <w:szCs w:val="18"/>
                <w:color w:val="auto"/>
              </w:rPr>
              <w:t xml:space="preserve"> A</w:t>
            </w:r>
            <w:r>
              <w:rPr>
                <w:rFonts w:ascii="Arial" w:cs="Arial" w:eastAsia="Arial" w:hAnsi="Arial"/>
                <w:sz w:val="12"/>
                <w:szCs w:val="12"/>
                <w:color w:val="auto"/>
              </w:rPr>
              <w:t>ffiliates</w:t>
            </w:r>
          </w:p>
        </w:tc>
        <w:tc>
          <w:tcPr>
            <w:tcW w:w="5660" w:type="dxa"/>
            <w:vAlign w:val="bottom"/>
            <w:gridSpan w:val="2"/>
            <w:shd w:val="clear" w:color="auto" w:fill="CCEEFF"/>
          </w:tcPr>
          <w:p>
            <w:pPr>
              <w:jc w:val="center"/>
              <w:ind w:left="4430"/>
              <w:spacing w:after="0"/>
              <w:rPr>
                <w:sz w:val="20"/>
                <w:szCs w:val="20"/>
                <w:color w:val="auto"/>
              </w:rPr>
            </w:pPr>
            <w:r>
              <w:rPr>
                <w:rFonts w:ascii="Arial" w:cs="Arial" w:eastAsia="Arial" w:hAnsi="Arial"/>
                <w:sz w:val="18"/>
                <w:szCs w:val="18"/>
                <w:color w:val="auto"/>
                <w:w w:val="89"/>
              </w:rPr>
              <w:t>31</w:t>
            </w:r>
          </w:p>
        </w:tc>
      </w:tr>
      <w:tr>
        <w:trPr>
          <w:trHeight w:val="216"/>
        </w:trPr>
        <w:tc>
          <w:tcPr>
            <w:tcW w:w="640" w:type="dxa"/>
            <w:vAlign w:val="bottom"/>
          </w:tcPr>
          <w:p>
            <w:pPr>
              <w:ind w:left="180"/>
              <w:spacing w:after="0"/>
              <w:rPr>
                <w:sz w:val="20"/>
                <w:szCs w:val="20"/>
                <w:color w:val="auto"/>
              </w:rPr>
            </w:pPr>
            <w:r>
              <w:rPr>
                <w:rFonts w:ascii="Arial" w:cs="Arial" w:eastAsia="Arial" w:hAnsi="Arial"/>
                <w:sz w:val="18"/>
                <w:szCs w:val="18"/>
                <w:color w:val="auto"/>
              </w:rPr>
              <w:t>3.25</w:t>
            </w:r>
          </w:p>
        </w:tc>
        <w:tc>
          <w:tcPr>
            <w:tcW w:w="4940" w:type="dxa"/>
            <w:vAlign w:val="bottom"/>
          </w:tcPr>
          <w:p>
            <w:pPr>
              <w:ind w:left="160"/>
              <w:spacing w:after="0"/>
              <w:rPr>
                <w:sz w:val="20"/>
                <w:szCs w:val="20"/>
                <w:color w:val="auto"/>
              </w:rPr>
            </w:pPr>
            <w:r>
              <w:rPr>
                <w:rFonts w:ascii="Arial" w:cs="Arial" w:eastAsia="Arial" w:hAnsi="Arial"/>
                <w:sz w:val="18"/>
                <w:szCs w:val="18"/>
                <w:color w:val="auto"/>
              </w:rPr>
              <w:t>N</w:t>
            </w:r>
            <w:r>
              <w:rPr>
                <w:rFonts w:ascii="Arial" w:cs="Arial" w:eastAsia="Arial" w:hAnsi="Arial"/>
                <w:sz w:val="12"/>
                <w:szCs w:val="12"/>
                <w:color w:val="auto"/>
              </w:rPr>
              <w:t>o</w:t>
            </w:r>
            <w:r>
              <w:rPr>
                <w:rFonts w:ascii="Arial" w:cs="Arial" w:eastAsia="Arial" w:hAnsi="Arial"/>
                <w:sz w:val="18"/>
                <w:szCs w:val="18"/>
                <w:color w:val="auto"/>
              </w:rPr>
              <w:t xml:space="preserve"> B</w:t>
            </w:r>
            <w:r>
              <w:rPr>
                <w:rFonts w:ascii="Arial" w:cs="Arial" w:eastAsia="Arial" w:hAnsi="Arial"/>
                <w:sz w:val="12"/>
                <w:szCs w:val="12"/>
                <w:color w:val="auto"/>
              </w:rPr>
              <w:t>urdensome</w:t>
            </w:r>
            <w:r>
              <w:rPr>
                <w:rFonts w:ascii="Arial" w:cs="Arial" w:eastAsia="Arial" w:hAnsi="Arial"/>
                <w:sz w:val="18"/>
                <w:szCs w:val="18"/>
                <w:color w:val="auto"/>
              </w:rPr>
              <w:t xml:space="preserve"> R</w:t>
            </w:r>
            <w:r>
              <w:rPr>
                <w:rFonts w:ascii="Arial" w:cs="Arial" w:eastAsia="Arial" w:hAnsi="Arial"/>
                <w:sz w:val="12"/>
                <w:szCs w:val="12"/>
                <w:color w:val="auto"/>
              </w:rPr>
              <w:t>estrictions</w:t>
            </w:r>
          </w:p>
        </w:tc>
        <w:tc>
          <w:tcPr>
            <w:tcW w:w="5660" w:type="dxa"/>
            <w:vAlign w:val="bottom"/>
            <w:gridSpan w:val="2"/>
          </w:tcPr>
          <w:p>
            <w:pPr>
              <w:jc w:val="center"/>
              <w:ind w:left="4430"/>
              <w:spacing w:after="0"/>
              <w:rPr>
                <w:sz w:val="20"/>
                <w:szCs w:val="20"/>
                <w:color w:val="auto"/>
              </w:rPr>
            </w:pPr>
            <w:r>
              <w:rPr>
                <w:rFonts w:ascii="Arial" w:cs="Arial" w:eastAsia="Arial" w:hAnsi="Arial"/>
                <w:sz w:val="18"/>
                <w:szCs w:val="18"/>
                <w:color w:val="auto"/>
                <w:w w:val="89"/>
              </w:rPr>
              <w:t>31</w:t>
            </w:r>
          </w:p>
        </w:tc>
      </w:tr>
      <w:tr>
        <w:trPr>
          <w:trHeight w:val="216"/>
        </w:trPr>
        <w:tc>
          <w:tcPr>
            <w:tcW w:w="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3.26</w:t>
            </w:r>
          </w:p>
        </w:tc>
        <w:tc>
          <w:tcPr>
            <w:tcW w:w="49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w:t>
            </w:r>
            <w:r>
              <w:rPr>
                <w:rFonts w:ascii="Arial" w:cs="Arial" w:eastAsia="Arial" w:hAnsi="Arial"/>
                <w:sz w:val="12"/>
                <w:szCs w:val="12"/>
                <w:color w:val="auto"/>
              </w:rPr>
              <w:t>atriot</w:t>
            </w:r>
            <w:r>
              <w:rPr>
                <w:rFonts w:ascii="Arial" w:cs="Arial" w:eastAsia="Arial" w:hAnsi="Arial"/>
                <w:sz w:val="18"/>
                <w:szCs w:val="18"/>
                <w:color w:val="auto"/>
              </w:rPr>
              <w:t xml:space="preserve"> A</w:t>
            </w:r>
            <w:r>
              <w:rPr>
                <w:rFonts w:ascii="Arial" w:cs="Arial" w:eastAsia="Arial" w:hAnsi="Arial"/>
                <w:sz w:val="12"/>
                <w:szCs w:val="12"/>
                <w:color w:val="auto"/>
              </w:rPr>
              <w:t>ct</w:t>
            </w:r>
          </w:p>
        </w:tc>
        <w:tc>
          <w:tcPr>
            <w:tcW w:w="5660" w:type="dxa"/>
            <w:vAlign w:val="bottom"/>
            <w:gridSpan w:val="2"/>
            <w:shd w:val="clear" w:color="auto" w:fill="CCEEFF"/>
          </w:tcPr>
          <w:p>
            <w:pPr>
              <w:jc w:val="center"/>
              <w:ind w:left="4430"/>
              <w:spacing w:after="0"/>
              <w:rPr>
                <w:sz w:val="20"/>
                <w:szCs w:val="20"/>
                <w:color w:val="auto"/>
              </w:rPr>
            </w:pPr>
            <w:r>
              <w:rPr>
                <w:rFonts w:ascii="Arial" w:cs="Arial" w:eastAsia="Arial" w:hAnsi="Arial"/>
                <w:sz w:val="18"/>
                <w:szCs w:val="18"/>
                <w:color w:val="auto"/>
                <w:w w:val="89"/>
              </w:rPr>
              <w:t>32</w:t>
            </w:r>
          </w:p>
        </w:tc>
      </w:tr>
      <w:tr>
        <w:trPr>
          <w:trHeight w:val="216"/>
        </w:trPr>
        <w:tc>
          <w:tcPr>
            <w:tcW w:w="640" w:type="dxa"/>
            <w:vAlign w:val="bottom"/>
          </w:tcPr>
          <w:p>
            <w:pPr>
              <w:ind w:left="180"/>
              <w:spacing w:after="0"/>
              <w:rPr>
                <w:sz w:val="20"/>
                <w:szCs w:val="20"/>
                <w:color w:val="auto"/>
              </w:rPr>
            </w:pPr>
            <w:r>
              <w:rPr>
                <w:rFonts w:ascii="Arial" w:cs="Arial" w:eastAsia="Arial" w:hAnsi="Arial"/>
                <w:sz w:val="18"/>
                <w:szCs w:val="18"/>
                <w:color w:val="auto"/>
              </w:rPr>
              <w:t>3.27</w:t>
            </w:r>
          </w:p>
        </w:tc>
        <w:tc>
          <w:tcPr>
            <w:tcW w:w="4940" w:type="dxa"/>
            <w:vAlign w:val="bottom"/>
          </w:tcPr>
          <w:p>
            <w:pPr>
              <w:ind w:left="160"/>
              <w:spacing w:after="0"/>
              <w:rPr>
                <w:sz w:val="20"/>
                <w:szCs w:val="20"/>
                <w:color w:val="auto"/>
              </w:rPr>
            </w:pPr>
            <w:r>
              <w:rPr>
                <w:rFonts w:ascii="Arial" w:cs="Arial" w:eastAsia="Arial" w:hAnsi="Arial"/>
                <w:sz w:val="18"/>
                <w:szCs w:val="18"/>
                <w:color w:val="auto"/>
              </w:rPr>
              <w:t>F</w:t>
            </w:r>
            <w:r>
              <w:rPr>
                <w:rFonts w:ascii="Arial" w:cs="Arial" w:eastAsia="Arial" w:hAnsi="Arial"/>
                <w:sz w:val="12"/>
                <w:szCs w:val="12"/>
                <w:color w:val="auto"/>
              </w:rPr>
              <w:t>oreign</w:t>
            </w:r>
            <w:r>
              <w:rPr>
                <w:rFonts w:ascii="Arial" w:cs="Arial" w:eastAsia="Arial" w:hAnsi="Arial"/>
                <w:sz w:val="18"/>
                <w:szCs w:val="18"/>
                <w:color w:val="auto"/>
              </w:rPr>
              <w:t xml:space="preserve"> A</w:t>
            </w:r>
            <w:r>
              <w:rPr>
                <w:rFonts w:ascii="Arial" w:cs="Arial" w:eastAsia="Arial" w:hAnsi="Arial"/>
                <w:sz w:val="12"/>
                <w:szCs w:val="12"/>
                <w:color w:val="auto"/>
              </w:rPr>
              <w:t>ssets</w:t>
            </w:r>
            <w:r>
              <w:rPr>
                <w:rFonts w:ascii="Arial" w:cs="Arial" w:eastAsia="Arial" w:hAnsi="Arial"/>
                <w:sz w:val="18"/>
                <w:szCs w:val="18"/>
                <w:color w:val="auto"/>
              </w:rPr>
              <w:t xml:space="preserve"> C</w:t>
            </w:r>
            <w:r>
              <w:rPr>
                <w:rFonts w:ascii="Arial" w:cs="Arial" w:eastAsia="Arial" w:hAnsi="Arial"/>
                <w:sz w:val="12"/>
                <w:szCs w:val="12"/>
                <w:color w:val="auto"/>
              </w:rPr>
              <w:t>ontrol</w:t>
            </w:r>
            <w:r>
              <w:rPr>
                <w:rFonts w:ascii="Arial" w:cs="Arial" w:eastAsia="Arial" w:hAnsi="Arial"/>
                <w:sz w:val="18"/>
                <w:szCs w:val="18"/>
                <w:color w:val="auto"/>
              </w:rPr>
              <w:t xml:space="preserve"> R</w:t>
            </w:r>
            <w:r>
              <w:rPr>
                <w:rFonts w:ascii="Arial" w:cs="Arial" w:eastAsia="Arial" w:hAnsi="Arial"/>
                <w:sz w:val="12"/>
                <w:szCs w:val="12"/>
                <w:color w:val="auto"/>
              </w:rPr>
              <w:t>egulations and</w:t>
            </w:r>
            <w:r>
              <w:rPr>
                <w:rFonts w:ascii="Arial" w:cs="Arial" w:eastAsia="Arial" w:hAnsi="Arial"/>
                <w:sz w:val="18"/>
                <w:szCs w:val="18"/>
                <w:color w:val="auto"/>
              </w:rPr>
              <w:t xml:space="preserve"> A</w:t>
            </w:r>
            <w:r>
              <w:rPr>
                <w:rFonts w:ascii="Arial" w:cs="Arial" w:eastAsia="Arial" w:hAnsi="Arial"/>
                <w:sz w:val="12"/>
                <w:szCs w:val="12"/>
                <w:color w:val="auto"/>
              </w:rPr>
              <w:t>nti</w:t>
            </w:r>
            <w:r>
              <w:rPr>
                <w:rFonts w:ascii="Arial" w:cs="Arial" w:eastAsia="Arial" w:hAnsi="Arial"/>
                <w:sz w:val="18"/>
                <w:szCs w:val="18"/>
                <w:color w:val="auto"/>
              </w:rPr>
              <w:t>-M</w:t>
            </w:r>
            <w:r>
              <w:rPr>
                <w:rFonts w:ascii="Arial" w:cs="Arial" w:eastAsia="Arial" w:hAnsi="Arial"/>
                <w:sz w:val="12"/>
                <w:szCs w:val="12"/>
                <w:color w:val="auto"/>
              </w:rPr>
              <w:t>oney</w:t>
            </w:r>
            <w:r>
              <w:rPr>
                <w:rFonts w:ascii="Arial" w:cs="Arial" w:eastAsia="Arial" w:hAnsi="Arial"/>
                <w:sz w:val="18"/>
                <w:szCs w:val="18"/>
                <w:color w:val="auto"/>
              </w:rPr>
              <w:t xml:space="preserve"> L</w:t>
            </w:r>
            <w:r>
              <w:rPr>
                <w:rFonts w:ascii="Arial" w:cs="Arial" w:eastAsia="Arial" w:hAnsi="Arial"/>
                <w:sz w:val="12"/>
                <w:szCs w:val="12"/>
                <w:color w:val="auto"/>
              </w:rPr>
              <w:t>aundering</w:t>
            </w:r>
          </w:p>
        </w:tc>
        <w:tc>
          <w:tcPr>
            <w:tcW w:w="5660" w:type="dxa"/>
            <w:vAlign w:val="bottom"/>
            <w:gridSpan w:val="2"/>
          </w:tcPr>
          <w:p>
            <w:pPr>
              <w:jc w:val="center"/>
              <w:ind w:left="4430"/>
              <w:spacing w:after="0"/>
              <w:rPr>
                <w:sz w:val="20"/>
                <w:szCs w:val="20"/>
                <w:color w:val="auto"/>
              </w:rPr>
            </w:pPr>
            <w:r>
              <w:rPr>
                <w:rFonts w:ascii="Arial" w:cs="Arial" w:eastAsia="Arial" w:hAnsi="Arial"/>
                <w:sz w:val="18"/>
                <w:szCs w:val="18"/>
                <w:color w:val="auto"/>
                <w:w w:val="89"/>
              </w:rPr>
              <w:t>32</w:t>
            </w:r>
          </w:p>
        </w:tc>
      </w:tr>
      <w:tr>
        <w:trPr>
          <w:trHeight w:val="216"/>
        </w:trPr>
        <w:tc>
          <w:tcPr>
            <w:tcW w:w="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3.28</w:t>
            </w:r>
          </w:p>
        </w:tc>
        <w:tc>
          <w:tcPr>
            <w:tcW w:w="49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w:t>
            </w:r>
            <w:r>
              <w:rPr>
                <w:rFonts w:ascii="Arial" w:cs="Arial" w:eastAsia="Arial" w:hAnsi="Arial"/>
                <w:sz w:val="12"/>
                <w:szCs w:val="12"/>
                <w:color w:val="auto"/>
              </w:rPr>
              <w:t>arent</w:t>
            </w:r>
          </w:p>
        </w:tc>
        <w:tc>
          <w:tcPr>
            <w:tcW w:w="5660" w:type="dxa"/>
            <w:vAlign w:val="bottom"/>
            <w:gridSpan w:val="2"/>
            <w:shd w:val="clear" w:color="auto" w:fill="CCEEFF"/>
          </w:tcPr>
          <w:p>
            <w:pPr>
              <w:jc w:val="center"/>
              <w:ind w:left="4430"/>
              <w:spacing w:after="0"/>
              <w:rPr>
                <w:sz w:val="20"/>
                <w:szCs w:val="20"/>
                <w:color w:val="auto"/>
              </w:rPr>
            </w:pPr>
            <w:r>
              <w:rPr>
                <w:rFonts w:ascii="Arial" w:cs="Arial" w:eastAsia="Arial" w:hAnsi="Arial"/>
                <w:sz w:val="18"/>
                <w:szCs w:val="18"/>
                <w:color w:val="auto"/>
                <w:w w:val="89"/>
              </w:rPr>
              <w:t>32</w:t>
            </w:r>
          </w:p>
        </w:tc>
      </w:tr>
      <w:tr>
        <w:trPr>
          <w:trHeight w:val="216"/>
        </w:trPr>
        <w:tc>
          <w:tcPr>
            <w:tcW w:w="640" w:type="dxa"/>
            <w:vAlign w:val="bottom"/>
          </w:tcPr>
          <w:p>
            <w:pPr>
              <w:ind w:left="180"/>
              <w:spacing w:after="0"/>
              <w:rPr>
                <w:sz w:val="20"/>
                <w:szCs w:val="20"/>
                <w:color w:val="auto"/>
              </w:rPr>
            </w:pPr>
            <w:r>
              <w:rPr>
                <w:rFonts w:ascii="Arial" w:cs="Arial" w:eastAsia="Arial" w:hAnsi="Arial"/>
                <w:sz w:val="18"/>
                <w:szCs w:val="18"/>
                <w:color w:val="auto"/>
              </w:rPr>
              <w:t>3.29</w:t>
            </w:r>
          </w:p>
        </w:tc>
        <w:tc>
          <w:tcPr>
            <w:tcW w:w="4940" w:type="dxa"/>
            <w:vAlign w:val="bottom"/>
          </w:tcPr>
          <w:p>
            <w:pPr>
              <w:ind w:left="160"/>
              <w:spacing w:after="0"/>
              <w:rPr>
                <w:sz w:val="20"/>
                <w:szCs w:val="20"/>
                <w:color w:val="auto"/>
              </w:rPr>
            </w:pPr>
            <w:r>
              <w:rPr>
                <w:rFonts w:ascii="Arial" w:cs="Arial" w:eastAsia="Arial" w:hAnsi="Arial"/>
                <w:sz w:val="18"/>
                <w:szCs w:val="18"/>
                <w:color w:val="auto"/>
              </w:rPr>
              <w:t>PPP L</w:t>
            </w:r>
            <w:r>
              <w:rPr>
                <w:rFonts w:ascii="Arial" w:cs="Arial" w:eastAsia="Arial" w:hAnsi="Arial"/>
                <w:sz w:val="12"/>
                <w:szCs w:val="12"/>
                <w:color w:val="auto"/>
              </w:rPr>
              <w:t>oans</w:t>
            </w:r>
          </w:p>
        </w:tc>
        <w:tc>
          <w:tcPr>
            <w:tcW w:w="5660" w:type="dxa"/>
            <w:vAlign w:val="bottom"/>
            <w:gridSpan w:val="2"/>
          </w:tcPr>
          <w:p>
            <w:pPr>
              <w:jc w:val="center"/>
              <w:ind w:left="4430"/>
              <w:spacing w:after="0"/>
              <w:rPr>
                <w:sz w:val="20"/>
                <w:szCs w:val="20"/>
                <w:color w:val="auto"/>
              </w:rPr>
            </w:pPr>
            <w:r>
              <w:rPr>
                <w:rFonts w:ascii="Arial" w:cs="Arial" w:eastAsia="Arial" w:hAnsi="Arial"/>
                <w:sz w:val="18"/>
                <w:szCs w:val="18"/>
                <w:color w:val="auto"/>
                <w:w w:val="89"/>
              </w:rPr>
              <w:t>32</w:t>
            </w:r>
          </w:p>
        </w:tc>
      </w:tr>
      <w:tr>
        <w:trPr>
          <w:trHeight w:val="216"/>
        </w:trPr>
        <w:tc>
          <w:tcPr>
            <w:tcW w:w="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3.30</w:t>
            </w:r>
          </w:p>
        </w:tc>
        <w:tc>
          <w:tcPr>
            <w:tcW w:w="49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SPAC T</w:t>
            </w:r>
            <w:r>
              <w:rPr>
                <w:rFonts w:ascii="Arial" w:cs="Arial" w:eastAsia="Arial" w:hAnsi="Arial"/>
                <w:sz w:val="12"/>
                <w:szCs w:val="12"/>
                <w:color w:val="auto"/>
              </w:rPr>
              <w:t>ransaction</w:t>
            </w:r>
          </w:p>
        </w:tc>
        <w:tc>
          <w:tcPr>
            <w:tcW w:w="5660" w:type="dxa"/>
            <w:vAlign w:val="bottom"/>
            <w:gridSpan w:val="2"/>
            <w:shd w:val="clear" w:color="auto" w:fill="CCEEFF"/>
          </w:tcPr>
          <w:p>
            <w:pPr>
              <w:jc w:val="center"/>
              <w:ind w:left="4430"/>
              <w:spacing w:after="0"/>
              <w:rPr>
                <w:sz w:val="20"/>
                <w:szCs w:val="20"/>
                <w:color w:val="auto"/>
              </w:rPr>
            </w:pPr>
            <w:r>
              <w:rPr>
                <w:rFonts w:ascii="Arial" w:cs="Arial" w:eastAsia="Arial" w:hAnsi="Arial"/>
                <w:sz w:val="18"/>
                <w:szCs w:val="18"/>
                <w:color w:val="auto"/>
                <w:w w:val="89"/>
              </w:rPr>
              <w:t>32</w:t>
            </w:r>
          </w:p>
        </w:tc>
      </w:tr>
      <w:tr>
        <w:trPr>
          <w:trHeight w:val="682"/>
        </w:trPr>
        <w:tc>
          <w:tcPr>
            <w:tcW w:w="55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Presto Credit Agreement</w:t>
            </w:r>
          </w:p>
        </w:tc>
        <w:tc>
          <w:tcPr>
            <w:tcW w:w="5660" w:type="dxa"/>
            <w:vAlign w:val="bottom"/>
            <w:tcBorders>
              <w:bottom w:val="single" w:sz="8" w:color="auto"/>
            </w:tcBorders>
            <w:gridSpan w:val="2"/>
          </w:tcPr>
          <w:p>
            <w:pPr>
              <w:jc w:val="center"/>
              <w:ind w:right="5490"/>
              <w:spacing w:after="0"/>
              <w:rPr>
                <w:sz w:val="20"/>
                <w:szCs w:val="20"/>
                <w:color w:val="auto"/>
              </w:rPr>
            </w:pPr>
            <w:r>
              <w:rPr>
                <w:rFonts w:ascii="Arial" w:cs="Arial" w:eastAsia="Arial" w:hAnsi="Arial"/>
                <w:sz w:val="18"/>
                <w:szCs w:val="18"/>
                <w:color w:val="auto"/>
                <w:w w:val="98"/>
              </w:rPr>
              <w:t>i</w:t>
            </w:r>
          </w:p>
        </w:tc>
      </w:tr>
    </w:tbl>
    <w:p>
      <w:pPr>
        <w:sectPr>
          <w:pgSz w:w="11900" w:h="16838" w:orient="portrait"/>
          <w:cols w:equalWidth="0" w:num="1">
            <w:col w:w="11240"/>
          </w:cols>
          <w:pgMar w:left="320" w:top="904" w:right="339" w:bottom="1440" w:gutter="0" w:footer="0" w:header="0"/>
        </w:sectPr>
      </w:pPr>
    </w:p>
    <w:bookmarkStart w:id="84" w:name="page85"/>
    <w:bookmarkEnd w:id="8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SECTION 4 CONDITIONS PRECEDENT</w:t>
            </w:r>
          </w:p>
        </w:tc>
        <w:tc>
          <w:tcPr>
            <w:tcW w:w="460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33</w:t>
            </w:r>
          </w:p>
        </w:tc>
      </w:tr>
      <w:tr>
        <w:trPr>
          <w:trHeight w:val="216"/>
        </w:trPr>
        <w:tc>
          <w:tcPr>
            <w:tcW w:w="640" w:type="dxa"/>
            <w:vAlign w:val="bottom"/>
          </w:tcPr>
          <w:p>
            <w:pPr>
              <w:spacing w:after="0"/>
              <w:rPr>
                <w:sz w:val="18"/>
                <w:szCs w:val="18"/>
                <w:color w:val="auto"/>
              </w:rPr>
            </w:pPr>
          </w:p>
        </w:tc>
        <w:tc>
          <w:tcPr>
            <w:tcW w:w="4920" w:type="dxa"/>
            <w:vAlign w:val="bottom"/>
          </w:tcPr>
          <w:p>
            <w:pPr>
              <w:spacing w:after="0"/>
              <w:rPr>
                <w:sz w:val="18"/>
                <w:szCs w:val="18"/>
                <w:color w:val="auto"/>
              </w:rPr>
            </w:pPr>
          </w:p>
        </w:tc>
        <w:tc>
          <w:tcPr>
            <w:tcW w:w="460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16"/>
        </w:trPr>
        <w:tc>
          <w:tcPr>
            <w:tcW w:w="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4.1</w:t>
            </w:r>
          </w:p>
        </w:tc>
        <w:tc>
          <w:tcPr>
            <w:tcW w:w="49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w:t>
            </w:r>
            <w:r>
              <w:rPr>
                <w:rFonts w:ascii="Arial" w:cs="Arial" w:eastAsia="Arial" w:hAnsi="Arial"/>
                <w:sz w:val="12"/>
                <w:szCs w:val="12"/>
                <w:color w:val="auto"/>
              </w:rPr>
              <w:t>onditions to</w:t>
            </w:r>
            <w:r>
              <w:rPr>
                <w:rFonts w:ascii="Arial" w:cs="Arial" w:eastAsia="Arial" w:hAnsi="Arial"/>
                <w:sz w:val="18"/>
                <w:szCs w:val="18"/>
                <w:color w:val="auto"/>
              </w:rPr>
              <w:t xml:space="preserve"> C</w:t>
            </w:r>
            <w:r>
              <w:rPr>
                <w:rFonts w:ascii="Arial" w:cs="Arial" w:eastAsia="Arial" w:hAnsi="Arial"/>
                <w:sz w:val="12"/>
                <w:szCs w:val="12"/>
                <w:color w:val="auto"/>
              </w:rPr>
              <w:t>losing</w:t>
            </w:r>
          </w:p>
        </w:tc>
        <w:tc>
          <w:tcPr>
            <w:tcW w:w="460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33</w:t>
            </w:r>
          </w:p>
        </w:tc>
      </w:tr>
      <w:tr>
        <w:trPr>
          <w:trHeight w:val="216"/>
        </w:trPr>
        <w:tc>
          <w:tcPr>
            <w:tcW w:w="5560" w:type="dxa"/>
            <w:vAlign w:val="bottom"/>
            <w:gridSpan w:val="2"/>
          </w:tcPr>
          <w:p>
            <w:pPr>
              <w:spacing w:after="0"/>
              <w:rPr>
                <w:sz w:val="18"/>
                <w:szCs w:val="18"/>
                <w:color w:val="auto"/>
              </w:rPr>
            </w:pPr>
          </w:p>
        </w:tc>
        <w:tc>
          <w:tcPr>
            <w:tcW w:w="460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16"/>
        </w:trPr>
        <w:tc>
          <w:tcPr>
            <w:tcW w:w="5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SECTION 5 AFFIRMATIVE COVENANTS</w:t>
            </w:r>
          </w:p>
        </w:tc>
        <w:tc>
          <w:tcPr>
            <w:tcW w:w="460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37</w:t>
            </w:r>
          </w:p>
        </w:tc>
      </w:tr>
      <w:tr>
        <w:trPr>
          <w:trHeight w:val="216"/>
        </w:trPr>
        <w:tc>
          <w:tcPr>
            <w:tcW w:w="640" w:type="dxa"/>
            <w:vAlign w:val="bottom"/>
          </w:tcPr>
          <w:p>
            <w:pPr>
              <w:spacing w:after="0"/>
              <w:rPr>
                <w:sz w:val="18"/>
                <w:szCs w:val="18"/>
                <w:color w:val="auto"/>
              </w:rPr>
            </w:pPr>
          </w:p>
        </w:tc>
        <w:tc>
          <w:tcPr>
            <w:tcW w:w="4920" w:type="dxa"/>
            <w:vAlign w:val="bottom"/>
          </w:tcPr>
          <w:p>
            <w:pPr>
              <w:spacing w:after="0"/>
              <w:rPr>
                <w:sz w:val="18"/>
                <w:szCs w:val="18"/>
                <w:color w:val="auto"/>
              </w:rPr>
            </w:pPr>
          </w:p>
        </w:tc>
        <w:tc>
          <w:tcPr>
            <w:tcW w:w="460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16"/>
        </w:trPr>
        <w:tc>
          <w:tcPr>
            <w:tcW w:w="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5.1</w:t>
            </w:r>
          </w:p>
        </w:tc>
        <w:tc>
          <w:tcPr>
            <w:tcW w:w="49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F</w:t>
            </w:r>
            <w:r>
              <w:rPr>
                <w:rFonts w:ascii="Arial" w:cs="Arial" w:eastAsia="Arial" w:hAnsi="Arial"/>
                <w:sz w:val="12"/>
                <w:szCs w:val="12"/>
                <w:color w:val="auto"/>
              </w:rPr>
              <w:t>inancial</w:t>
            </w:r>
            <w:r>
              <w:rPr>
                <w:rFonts w:ascii="Arial" w:cs="Arial" w:eastAsia="Arial" w:hAnsi="Arial"/>
                <w:sz w:val="18"/>
                <w:szCs w:val="18"/>
                <w:color w:val="auto"/>
              </w:rPr>
              <w:t xml:space="preserve"> S</w:t>
            </w:r>
            <w:r>
              <w:rPr>
                <w:rFonts w:ascii="Arial" w:cs="Arial" w:eastAsia="Arial" w:hAnsi="Arial"/>
                <w:sz w:val="12"/>
                <w:szCs w:val="12"/>
                <w:color w:val="auto"/>
              </w:rPr>
              <w:t>tatements</w:t>
            </w:r>
          </w:p>
        </w:tc>
        <w:tc>
          <w:tcPr>
            <w:tcW w:w="460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37</w:t>
            </w:r>
          </w:p>
        </w:tc>
      </w:tr>
      <w:tr>
        <w:trPr>
          <w:trHeight w:val="216"/>
        </w:trPr>
        <w:tc>
          <w:tcPr>
            <w:tcW w:w="640" w:type="dxa"/>
            <w:vAlign w:val="bottom"/>
          </w:tcPr>
          <w:p>
            <w:pPr>
              <w:ind w:left="180"/>
              <w:spacing w:after="0"/>
              <w:rPr>
                <w:sz w:val="20"/>
                <w:szCs w:val="20"/>
                <w:color w:val="auto"/>
              </w:rPr>
            </w:pPr>
            <w:r>
              <w:rPr>
                <w:rFonts w:ascii="Arial" w:cs="Arial" w:eastAsia="Arial" w:hAnsi="Arial"/>
                <w:sz w:val="18"/>
                <w:szCs w:val="18"/>
                <w:color w:val="auto"/>
              </w:rPr>
              <w:t>5.2</w:t>
            </w:r>
          </w:p>
        </w:tc>
        <w:tc>
          <w:tcPr>
            <w:tcW w:w="4920" w:type="dxa"/>
            <w:vAlign w:val="bottom"/>
          </w:tcPr>
          <w:p>
            <w:pPr>
              <w:ind w:left="160"/>
              <w:spacing w:after="0"/>
              <w:rPr>
                <w:sz w:val="20"/>
                <w:szCs w:val="20"/>
                <w:color w:val="auto"/>
              </w:rPr>
            </w:pPr>
            <w:r>
              <w:rPr>
                <w:rFonts w:ascii="Arial" w:cs="Arial" w:eastAsia="Arial" w:hAnsi="Arial"/>
                <w:sz w:val="18"/>
                <w:szCs w:val="18"/>
                <w:color w:val="auto"/>
              </w:rPr>
              <w:t>C</w:t>
            </w:r>
            <w:r>
              <w:rPr>
                <w:rFonts w:ascii="Arial" w:cs="Arial" w:eastAsia="Arial" w:hAnsi="Arial"/>
                <w:sz w:val="12"/>
                <w:szCs w:val="12"/>
                <w:color w:val="auto"/>
              </w:rPr>
              <w:t>ertificates</w:t>
            </w:r>
            <w:r>
              <w:rPr>
                <w:rFonts w:ascii="Arial" w:cs="Arial" w:eastAsia="Arial" w:hAnsi="Arial"/>
                <w:sz w:val="18"/>
                <w:szCs w:val="18"/>
                <w:color w:val="auto"/>
              </w:rPr>
              <w:t>; R</w:t>
            </w:r>
            <w:r>
              <w:rPr>
                <w:rFonts w:ascii="Arial" w:cs="Arial" w:eastAsia="Arial" w:hAnsi="Arial"/>
                <w:sz w:val="12"/>
                <w:szCs w:val="12"/>
                <w:color w:val="auto"/>
              </w:rPr>
              <w:t>eports</w:t>
            </w:r>
            <w:r>
              <w:rPr>
                <w:rFonts w:ascii="Arial" w:cs="Arial" w:eastAsia="Arial" w:hAnsi="Arial"/>
                <w:sz w:val="18"/>
                <w:szCs w:val="18"/>
                <w:color w:val="auto"/>
              </w:rPr>
              <w:t>; O</w:t>
            </w:r>
            <w:r>
              <w:rPr>
                <w:rFonts w:ascii="Arial" w:cs="Arial" w:eastAsia="Arial" w:hAnsi="Arial"/>
                <w:sz w:val="12"/>
                <w:szCs w:val="12"/>
                <w:color w:val="auto"/>
              </w:rPr>
              <w:t>ther</w:t>
            </w:r>
            <w:r>
              <w:rPr>
                <w:rFonts w:ascii="Arial" w:cs="Arial" w:eastAsia="Arial" w:hAnsi="Arial"/>
                <w:sz w:val="18"/>
                <w:szCs w:val="18"/>
                <w:color w:val="auto"/>
              </w:rPr>
              <w:t xml:space="preserve"> I</w:t>
            </w:r>
            <w:r>
              <w:rPr>
                <w:rFonts w:ascii="Arial" w:cs="Arial" w:eastAsia="Arial" w:hAnsi="Arial"/>
                <w:sz w:val="12"/>
                <w:szCs w:val="12"/>
                <w:color w:val="auto"/>
              </w:rPr>
              <w:t>nformation</w:t>
            </w:r>
          </w:p>
        </w:tc>
        <w:tc>
          <w:tcPr>
            <w:tcW w:w="4600" w:type="dxa"/>
            <w:vAlign w:val="bottom"/>
          </w:tcPr>
          <w:p>
            <w:pPr>
              <w:spacing w:after="0"/>
              <w:rPr>
                <w:sz w:val="18"/>
                <w:szCs w:val="18"/>
                <w:color w:val="auto"/>
              </w:rPr>
            </w:pPr>
          </w:p>
        </w:tc>
        <w:tc>
          <w:tcPr>
            <w:tcW w:w="1080" w:type="dxa"/>
            <w:vAlign w:val="bottom"/>
          </w:tcPr>
          <w:p>
            <w:pPr>
              <w:jc w:val="right"/>
              <w:ind w:right="390"/>
              <w:spacing w:after="0"/>
              <w:rPr>
                <w:sz w:val="20"/>
                <w:szCs w:val="20"/>
                <w:color w:val="auto"/>
              </w:rPr>
            </w:pPr>
            <w:r>
              <w:rPr>
                <w:rFonts w:ascii="Arial" w:cs="Arial" w:eastAsia="Arial" w:hAnsi="Arial"/>
                <w:sz w:val="18"/>
                <w:szCs w:val="18"/>
                <w:color w:val="auto"/>
              </w:rPr>
              <w:t>38</w:t>
            </w:r>
          </w:p>
        </w:tc>
      </w:tr>
      <w:tr>
        <w:trPr>
          <w:trHeight w:val="216"/>
        </w:trPr>
        <w:tc>
          <w:tcPr>
            <w:tcW w:w="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5.3</w:t>
            </w:r>
          </w:p>
        </w:tc>
        <w:tc>
          <w:tcPr>
            <w:tcW w:w="49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w:t>
            </w:r>
            <w:r>
              <w:rPr>
                <w:rFonts w:ascii="Arial" w:cs="Arial" w:eastAsia="Arial" w:hAnsi="Arial"/>
                <w:sz w:val="12"/>
                <w:szCs w:val="12"/>
                <w:color w:val="auto"/>
              </w:rPr>
              <w:t>ayment of</w:t>
            </w:r>
            <w:r>
              <w:rPr>
                <w:rFonts w:ascii="Arial" w:cs="Arial" w:eastAsia="Arial" w:hAnsi="Arial"/>
                <w:sz w:val="18"/>
                <w:szCs w:val="18"/>
                <w:color w:val="auto"/>
              </w:rPr>
              <w:t xml:space="preserve"> O</w:t>
            </w:r>
            <w:r>
              <w:rPr>
                <w:rFonts w:ascii="Arial" w:cs="Arial" w:eastAsia="Arial" w:hAnsi="Arial"/>
                <w:sz w:val="12"/>
                <w:szCs w:val="12"/>
                <w:color w:val="auto"/>
              </w:rPr>
              <w:t>bligations</w:t>
            </w:r>
          </w:p>
        </w:tc>
        <w:tc>
          <w:tcPr>
            <w:tcW w:w="460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39</w:t>
            </w:r>
          </w:p>
        </w:tc>
      </w:tr>
      <w:tr>
        <w:trPr>
          <w:trHeight w:val="216"/>
        </w:trPr>
        <w:tc>
          <w:tcPr>
            <w:tcW w:w="640" w:type="dxa"/>
            <w:vAlign w:val="bottom"/>
          </w:tcPr>
          <w:p>
            <w:pPr>
              <w:ind w:left="180"/>
              <w:spacing w:after="0"/>
              <w:rPr>
                <w:sz w:val="20"/>
                <w:szCs w:val="20"/>
                <w:color w:val="auto"/>
              </w:rPr>
            </w:pPr>
            <w:r>
              <w:rPr>
                <w:rFonts w:ascii="Arial" w:cs="Arial" w:eastAsia="Arial" w:hAnsi="Arial"/>
                <w:sz w:val="18"/>
                <w:szCs w:val="18"/>
                <w:color w:val="auto"/>
              </w:rPr>
              <w:t>5.4</w:t>
            </w:r>
          </w:p>
        </w:tc>
        <w:tc>
          <w:tcPr>
            <w:tcW w:w="4920" w:type="dxa"/>
            <w:vAlign w:val="bottom"/>
          </w:tcPr>
          <w:p>
            <w:pPr>
              <w:ind w:left="160"/>
              <w:spacing w:after="0"/>
              <w:rPr>
                <w:sz w:val="20"/>
                <w:szCs w:val="20"/>
                <w:color w:val="auto"/>
              </w:rPr>
            </w:pPr>
            <w:r>
              <w:rPr>
                <w:rFonts w:ascii="Arial" w:cs="Arial" w:eastAsia="Arial" w:hAnsi="Arial"/>
                <w:sz w:val="18"/>
                <w:szCs w:val="18"/>
                <w:color w:val="auto"/>
              </w:rPr>
              <w:t>M</w:t>
            </w:r>
            <w:r>
              <w:rPr>
                <w:rFonts w:ascii="Arial" w:cs="Arial" w:eastAsia="Arial" w:hAnsi="Arial"/>
                <w:sz w:val="12"/>
                <w:szCs w:val="12"/>
                <w:color w:val="auto"/>
              </w:rPr>
              <w:t>aintenance of</w:t>
            </w:r>
            <w:r>
              <w:rPr>
                <w:rFonts w:ascii="Arial" w:cs="Arial" w:eastAsia="Arial" w:hAnsi="Arial"/>
                <w:sz w:val="18"/>
                <w:szCs w:val="18"/>
                <w:color w:val="auto"/>
              </w:rPr>
              <w:t xml:space="preserve"> E</w:t>
            </w:r>
            <w:r>
              <w:rPr>
                <w:rFonts w:ascii="Arial" w:cs="Arial" w:eastAsia="Arial" w:hAnsi="Arial"/>
                <w:sz w:val="12"/>
                <w:szCs w:val="12"/>
                <w:color w:val="auto"/>
              </w:rPr>
              <w:t>xistence</w:t>
            </w:r>
            <w:r>
              <w:rPr>
                <w:rFonts w:ascii="Arial" w:cs="Arial" w:eastAsia="Arial" w:hAnsi="Arial"/>
                <w:sz w:val="18"/>
                <w:szCs w:val="18"/>
                <w:color w:val="auto"/>
              </w:rPr>
              <w:t>; C</w:t>
            </w:r>
            <w:r>
              <w:rPr>
                <w:rFonts w:ascii="Arial" w:cs="Arial" w:eastAsia="Arial" w:hAnsi="Arial"/>
                <w:sz w:val="12"/>
                <w:szCs w:val="12"/>
                <w:color w:val="auto"/>
              </w:rPr>
              <w:t>ompliance with</w:t>
            </w:r>
            <w:r>
              <w:rPr>
                <w:rFonts w:ascii="Arial" w:cs="Arial" w:eastAsia="Arial" w:hAnsi="Arial"/>
                <w:sz w:val="18"/>
                <w:szCs w:val="18"/>
                <w:color w:val="auto"/>
              </w:rPr>
              <w:t xml:space="preserve"> R</w:t>
            </w:r>
            <w:r>
              <w:rPr>
                <w:rFonts w:ascii="Arial" w:cs="Arial" w:eastAsia="Arial" w:hAnsi="Arial"/>
                <w:sz w:val="12"/>
                <w:szCs w:val="12"/>
                <w:color w:val="auto"/>
              </w:rPr>
              <w:t>equirements of</w:t>
            </w:r>
            <w:r>
              <w:rPr>
                <w:rFonts w:ascii="Arial" w:cs="Arial" w:eastAsia="Arial" w:hAnsi="Arial"/>
                <w:sz w:val="18"/>
                <w:szCs w:val="18"/>
                <w:color w:val="auto"/>
              </w:rPr>
              <w:t xml:space="preserve"> L</w:t>
            </w:r>
            <w:r>
              <w:rPr>
                <w:rFonts w:ascii="Arial" w:cs="Arial" w:eastAsia="Arial" w:hAnsi="Arial"/>
                <w:sz w:val="12"/>
                <w:szCs w:val="12"/>
                <w:color w:val="auto"/>
              </w:rPr>
              <w:t>aw</w:t>
            </w:r>
          </w:p>
        </w:tc>
        <w:tc>
          <w:tcPr>
            <w:tcW w:w="4600" w:type="dxa"/>
            <w:vAlign w:val="bottom"/>
          </w:tcPr>
          <w:p>
            <w:pPr>
              <w:spacing w:after="0"/>
              <w:rPr>
                <w:sz w:val="18"/>
                <w:szCs w:val="18"/>
                <w:color w:val="auto"/>
              </w:rPr>
            </w:pPr>
          </w:p>
        </w:tc>
        <w:tc>
          <w:tcPr>
            <w:tcW w:w="1080" w:type="dxa"/>
            <w:vAlign w:val="bottom"/>
          </w:tcPr>
          <w:p>
            <w:pPr>
              <w:jc w:val="right"/>
              <w:ind w:right="390"/>
              <w:spacing w:after="0"/>
              <w:rPr>
                <w:sz w:val="20"/>
                <w:szCs w:val="20"/>
                <w:color w:val="auto"/>
              </w:rPr>
            </w:pPr>
            <w:r>
              <w:rPr>
                <w:rFonts w:ascii="Arial" w:cs="Arial" w:eastAsia="Arial" w:hAnsi="Arial"/>
                <w:sz w:val="18"/>
                <w:szCs w:val="18"/>
                <w:color w:val="auto"/>
              </w:rPr>
              <w:t>39</w:t>
            </w:r>
          </w:p>
        </w:tc>
      </w:tr>
      <w:tr>
        <w:trPr>
          <w:trHeight w:val="216"/>
        </w:trPr>
        <w:tc>
          <w:tcPr>
            <w:tcW w:w="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5.5</w:t>
            </w:r>
          </w:p>
        </w:tc>
        <w:tc>
          <w:tcPr>
            <w:tcW w:w="49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M</w:t>
            </w:r>
            <w:r>
              <w:rPr>
                <w:rFonts w:ascii="Arial" w:cs="Arial" w:eastAsia="Arial" w:hAnsi="Arial"/>
                <w:sz w:val="12"/>
                <w:szCs w:val="12"/>
                <w:color w:val="auto"/>
              </w:rPr>
              <w:t>aintenance of</w:t>
            </w:r>
            <w:r>
              <w:rPr>
                <w:rFonts w:ascii="Arial" w:cs="Arial" w:eastAsia="Arial" w:hAnsi="Arial"/>
                <w:sz w:val="18"/>
                <w:szCs w:val="18"/>
                <w:color w:val="auto"/>
              </w:rPr>
              <w:t xml:space="preserve"> P</w:t>
            </w:r>
            <w:r>
              <w:rPr>
                <w:rFonts w:ascii="Arial" w:cs="Arial" w:eastAsia="Arial" w:hAnsi="Arial"/>
                <w:sz w:val="12"/>
                <w:szCs w:val="12"/>
                <w:color w:val="auto"/>
              </w:rPr>
              <w:t>roperty</w:t>
            </w:r>
            <w:r>
              <w:rPr>
                <w:rFonts w:ascii="Arial" w:cs="Arial" w:eastAsia="Arial" w:hAnsi="Arial"/>
                <w:sz w:val="18"/>
                <w:szCs w:val="18"/>
                <w:color w:val="auto"/>
              </w:rPr>
              <w:t>; I</w:t>
            </w:r>
            <w:r>
              <w:rPr>
                <w:rFonts w:ascii="Arial" w:cs="Arial" w:eastAsia="Arial" w:hAnsi="Arial"/>
                <w:sz w:val="12"/>
                <w:szCs w:val="12"/>
                <w:color w:val="auto"/>
              </w:rPr>
              <w:t>nsurance</w:t>
            </w:r>
          </w:p>
        </w:tc>
        <w:tc>
          <w:tcPr>
            <w:tcW w:w="460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39</w:t>
            </w:r>
          </w:p>
        </w:tc>
      </w:tr>
      <w:tr>
        <w:trPr>
          <w:trHeight w:val="216"/>
        </w:trPr>
        <w:tc>
          <w:tcPr>
            <w:tcW w:w="640" w:type="dxa"/>
            <w:vAlign w:val="bottom"/>
          </w:tcPr>
          <w:p>
            <w:pPr>
              <w:ind w:left="180"/>
              <w:spacing w:after="0"/>
              <w:rPr>
                <w:sz w:val="20"/>
                <w:szCs w:val="20"/>
                <w:color w:val="auto"/>
              </w:rPr>
            </w:pPr>
            <w:r>
              <w:rPr>
                <w:rFonts w:ascii="Arial" w:cs="Arial" w:eastAsia="Arial" w:hAnsi="Arial"/>
                <w:sz w:val="18"/>
                <w:szCs w:val="18"/>
                <w:color w:val="auto"/>
              </w:rPr>
              <w:t>5.6</w:t>
            </w:r>
          </w:p>
        </w:tc>
        <w:tc>
          <w:tcPr>
            <w:tcW w:w="4920" w:type="dxa"/>
            <w:vAlign w:val="bottom"/>
          </w:tcPr>
          <w:p>
            <w:pPr>
              <w:ind w:left="160"/>
              <w:spacing w:after="0"/>
              <w:rPr>
                <w:sz w:val="20"/>
                <w:szCs w:val="20"/>
                <w:color w:val="auto"/>
              </w:rPr>
            </w:pPr>
            <w:r>
              <w:rPr>
                <w:rFonts w:ascii="Arial" w:cs="Arial" w:eastAsia="Arial" w:hAnsi="Arial"/>
                <w:sz w:val="18"/>
                <w:szCs w:val="18"/>
                <w:color w:val="auto"/>
              </w:rPr>
              <w:t>I</w:t>
            </w:r>
            <w:r>
              <w:rPr>
                <w:rFonts w:ascii="Arial" w:cs="Arial" w:eastAsia="Arial" w:hAnsi="Arial"/>
                <w:sz w:val="12"/>
                <w:szCs w:val="12"/>
                <w:color w:val="auto"/>
              </w:rPr>
              <w:t>nspection of</w:t>
            </w:r>
            <w:r>
              <w:rPr>
                <w:rFonts w:ascii="Arial" w:cs="Arial" w:eastAsia="Arial" w:hAnsi="Arial"/>
                <w:sz w:val="18"/>
                <w:szCs w:val="18"/>
                <w:color w:val="auto"/>
              </w:rPr>
              <w:t xml:space="preserve"> P</w:t>
            </w:r>
            <w:r>
              <w:rPr>
                <w:rFonts w:ascii="Arial" w:cs="Arial" w:eastAsia="Arial" w:hAnsi="Arial"/>
                <w:sz w:val="12"/>
                <w:szCs w:val="12"/>
                <w:color w:val="auto"/>
              </w:rPr>
              <w:t>roperty</w:t>
            </w:r>
            <w:r>
              <w:rPr>
                <w:rFonts w:ascii="Arial" w:cs="Arial" w:eastAsia="Arial" w:hAnsi="Arial"/>
                <w:sz w:val="18"/>
                <w:szCs w:val="18"/>
                <w:color w:val="auto"/>
              </w:rPr>
              <w:t>; B</w:t>
            </w:r>
            <w:r>
              <w:rPr>
                <w:rFonts w:ascii="Arial" w:cs="Arial" w:eastAsia="Arial" w:hAnsi="Arial"/>
                <w:sz w:val="12"/>
                <w:szCs w:val="12"/>
                <w:color w:val="auto"/>
              </w:rPr>
              <w:t>ooks and</w:t>
            </w:r>
            <w:r>
              <w:rPr>
                <w:rFonts w:ascii="Arial" w:cs="Arial" w:eastAsia="Arial" w:hAnsi="Arial"/>
                <w:sz w:val="18"/>
                <w:szCs w:val="18"/>
                <w:color w:val="auto"/>
              </w:rPr>
              <w:t xml:space="preserve"> R</w:t>
            </w:r>
            <w:r>
              <w:rPr>
                <w:rFonts w:ascii="Arial" w:cs="Arial" w:eastAsia="Arial" w:hAnsi="Arial"/>
                <w:sz w:val="12"/>
                <w:szCs w:val="12"/>
                <w:color w:val="auto"/>
              </w:rPr>
              <w:t>ecords</w:t>
            </w:r>
            <w:r>
              <w:rPr>
                <w:rFonts w:ascii="Arial" w:cs="Arial" w:eastAsia="Arial" w:hAnsi="Arial"/>
                <w:sz w:val="18"/>
                <w:szCs w:val="18"/>
                <w:color w:val="auto"/>
              </w:rPr>
              <w:t>; D</w:t>
            </w:r>
            <w:r>
              <w:rPr>
                <w:rFonts w:ascii="Arial" w:cs="Arial" w:eastAsia="Arial" w:hAnsi="Arial"/>
                <w:sz w:val="12"/>
                <w:szCs w:val="12"/>
                <w:color w:val="auto"/>
              </w:rPr>
              <w:t>iscussions</w:t>
            </w:r>
          </w:p>
        </w:tc>
        <w:tc>
          <w:tcPr>
            <w:tcW w:w="4600" w:type="dxa"/>
            <w:vAlign w:val="bottom"/>
          </w:tcPr>
          <w:p>
            <w:pPr>
              <w:spacing w:after="0"/>
              <w:rPr>
                <w:sz w:val="18"/>
                <w:szCs w:val="18"/>
                <w:color w:val="auto"/>
              </w:rPr>
            </w:pPr>
          </w:p>
        </w:tc>
        <w:tc>
          <w:tcPr>
            <w:tcW w:w="1080" w:type="dxa"/>
            <w:vAlign w:val="bottom"/>
          </w:tcPr>
          <w:p>
            <w:pPr>
              <w:jc w:val="right"/>
              <w:ind w:right="390"/>
              <w:spacing w:after="0"/>
              <w:rPr>
                <w:sz w:val="20"/>
                <w:szCs w:val="20"/>
                <w:color w:val="auto"/>
              </w:rPr>
            </w:pPr>
            <w:r>
              <w:rPr>
                <w:rFonts w:ascii="Arial" w:cs="Arial" w:eastAsia="Arial" w:hAnsi="Arial"/>
                <w:sz w:val="18"/>
                <w:szCs w:val="18"/>
                <w:color w:val="auto"/>
              </w:rPr>
              <w:t>40</w:t>
            </w:r>
          </w:p>
        </w:tc>
      </w:tr>
      <w:tr>
        <w:trPr>
          <w:trHeight w:val="216"/>
        </w:trPr>
        <w:tc>
          <w:tcPr>
            <w:tcW w:w="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5.7</w:t>
            </w:r>
          </w:p>
        </w:tc>
        <w:tc>
          <w:tcPr>
            <w:tcW w:w="49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w:t>
            </w:r>
            <w:r>
              <w:rPr>
                <w:rFonts w:ascii="Arial" w:cs="Arial" w:eastAsia="Arial" w:hAnsi="Arial"/>
                <w:sz w:val="12"/>
                <w:szCs w:val="12"/>
                <w:color w:val="auto"/>
              </w:rPr>
              <w:t>otices</w:t>
            </w:r>
          </w:p>
        </w:tc>
        <w:tc>
          <w:tcPr>
            <w:tcW w:w="460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40</w:t>
            </w:r>
          </w:p>
        </w:tc>
      </w:tr>
      <w:tr>
        <w:trPr>
          <w:trHeight w:val="216"/>
        </w:trPr>
        <w:tc>
          <w:tcPr>
            <w:tcW w:w="640" w:type="dxa"/>
            <w:vAlign w:val="bottom"/>
          </w:tcPr>
          <w:p>
            <w:pPr>
              <w:ind w:left="180"/>
              <w:spacing w:after="0"/>
              <w:rPr>
                <w:sz w:val="20"/>
                <w:szCs w:val="20"/>
                <w:color w:val="auto"/>
              </w:rPr>
            </w:pPr>
            <w:r>
              <w:rPr>
                <w:rFonts w:ascii="Arial" w:cs="Arial" w:eastAsia="Arial" w:hAnsi="Arial"/>
                <w:sz w:val="18"/>
                <w:szCs w:val="18"/>
                <w:color w:val="auto"/>
              </w:rPr>
              <w:t>5.8</w:t>
            </w:r>
          </w:p>
        </w:tc>
        <w:tc>
          <w:tcPr>
            <w:tcW w:w="4920" w:type="dxa"/>
            <w:vAlign w:val="bottom"/>
          </w:tcPr>
          <w:p>
            <w:pPr>
              <w:ind w:left="160"/>
              <w:spacing w:after="0"/>
              <w:rPr>
                <w:sz w:val="20"/>
                <w:szCs w:val="20"/>
                <w:color w:val="auto"/>
              </w:rPr>
            </w:pPr>
            <w:r>
              <w:rPr>
                <w:rFonts w:ascii="Arial" w:cs="Arial" w:eastAsia="Arial" w:hAnsi="Arial"/>
                <w:sz w:val="18"/>
                <w:szCs w:val="18"/>
                <w:color w:val="auto"/>
              </w:rPr>
              <w:t>C</w:t>
            </w:r>
            <w:r>
              <w:rPr>
                <w:rFonts w:ascii="Arial" w:cs="Arial" w:eastAsia="Arial" w:hAnsi="Arial"/>
                <w:sz w:val="12"/>
                <w:szCs w:val="12"/>
                <w:color w:val="auto"/>
              </w:rPr>
              <w:t>ompliance with</w:t>
            </w:r>
            <w:r>
              <w:rPr>
                <w:rFonts w:ascii="Arial" w:cs="Arial" w:eastAsia="Arial" w:hAnsi="Arial"/>
                <w:sz w:val="18"/>
                <w:szCs w:val="18"/>
                <w:color w:val="auto"/>
              </w:rPr>
              <w:t xml:space="preserve"> L</w:t>
            </w:r>
            <w:r>
              <w:rPr>
                <w:rFonts w:ascii="Arial" w:cs="Arial" w:eastAsia="Arial" w:hAnsi="Arial"/>
                <w:sz w:val="12"/>
                <w:szCs w:val="12"/>
                <w:color w:val="auto"/>
              </w:rPr>
              <w:t>aws</w:t>
            </w:r>
          </w:p>
        </w:tc>
        <w:tc>
          <w:tcPr>
            <w:tcW w:w="4600" w:type="dxa"/>
            <w:vAlign w:val="bottom"/>
          </w:tcPr>
          <w:p>
            <w:pPr>
              <w:spacing w:after="0"/>
              <w:rPr>
                <w:sz w:val="18"/>
                <w:szCs w:val="18"/>
                <w:color w:val="auto"/>
              </w:rPr>
            </w:pPr>
          </w:p>
        </w:tc>
        <w:tc>
          <w:tcPr>
            <w:tcW w:w="1080" w:type="dxa"/>
            <w:vAlign w:val="bottom"/>
          </w:tcPr>
          <w:p>
            <w:pPr>
              <w:jc w:val="right"/>
              <w:ind w:right="390"/>
              <w:spacing w:after="0"/>
              <w:rPr>
                <w:sz w:val="20"/>
                <w:szCs w:val="20"/>
                <w:color w:val="auto"/>
              </w:rPr>
            </w:pPr>
            <w:r>
              <w:rPr>
                <w:rFonts w:ascii="Arial" w:cs="Arial" w:eastAsia="Arial" w:hAnsi="Arial"/>
                <w:sz w:val="18"/>
                <w:szCs w:val="18"/>
                <w:color w:val="auto"/>
              </w:rPr>
              <w:t>41</w:t>
            </w:r>
          </w:p>
        </w:tc>
      </w:tr>
      <w:tr>
        <w:trPr>
          <w:trHeight w:val="216"/>
        </w:trPr>
        <w:tc>
          <w:tcPr>
            <w:tcW w:w="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5.9</w:t>
            </w:r>
          </w:p>
        </w:tc>
        <w:tc>
          <w:tcPr>
            <w:tcW w:w="49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w:t>
            </w:r>
            <w:r>
              <w:rPr>
                <w:rFonts w:ascii="Arial" w:cs="Arial" w:eastAsia="Arial" w:hAnsi="Arial"/>
                <w:sz w:val="12"/>
                <w:szCs w:val="12"/>
                <w:color w:val="auto"/>
              </w:rPr>
              <w:t>udits</w:t>
            </w:r>
          </w:p>
        </w:tc>
        <w:tc>
          <w:tcPr>
            <w:tcW w:w="460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41</w:t>
            </w:r>
          </w:p>
        </w:tc>
      </w:tr>
      <w:tr>
        <w:trPr>
          <w:trHeight w:val="216"/>
        </w:trPr>
        <w:tc>
          <w:tcPr>
            <w:tcW w:w="640" w:type="dxa"/>
            <w:vAlign w:val="bottom"/>
          </w:tcPr>
          <w:p>
            <w:pPr>
              <w:ind w:left="180"/>
              <w:spacing w:after="0"/>
              <w:rPr>
                <w:sz w:val="20"/>
                <w:szCs w:val="20"/>
                <w:color w:val="auto"/>
              </w:rPr>
            </w:pPr>
            <w:r>
              <w:rPr>
                <w:rFonts w:ascii="Arial" w:cs="Arial" w:eastAsia="Arial" w:hAnsi="Arial"/>
                <w:sz w:val="18"/>
                <w:szCs w:val="18"/>
                <w:color w:val="auto"/>
              </w:rPr>
              <w:t>5.10</w:t>
            </w:r>
          </w:p>
        </w:tc>
        <w:tc>
          <w:tcPr>
            <w:tcW w:w="4920" w:type="dxa"/>
            <w:vAlign w:val="bottom"/>
          </w:tcPr>
          <w:p>
            <w:pPr>
              <w:ind w:left="160"/>
              <w:spacing w:after="0"/>
              <w:rPr>
                <w:sz w:val="20"/>
                <w:szCs w:val="20"/>
                <w:color w:val="auto"/>
              </w:rPr>
            </w:pPr>
            <w:r>
              <w:rPr>
                <w:rFonts w:ascii="Arial" w:cs="Arial" w:eastAsia="Arial" w:hAnsi="Arial"/>
                <w:sz w:val="18"/>
                <w:szCs w:val="18"/>
                <w:color w:val="auto"/>
              </w:rPr>
              <w:t>F</w:t>
            </w:r>
            <w:r>
              <w:rPr>
                <w:rFonts w:ascii="Arial" w:cs="Arial" w:eastAsia="Arial" w:hAnsi="Arial"/>
                <w:sz w:val="12"/>
                <w:szCs w:val="12"/>
                <w:color w:val="auto"/>
              </w:rPr>
              <w:t>urther</w:t>
            </w:r>
            <w:r>
              <w:rPr>
                <w:rFonts w:ascii="Arial" w:cs="Arial" w:eastAsia="Arial" w:hAnsi="Arial"/>
                <w:sz w:val="18"/>
                <w:szCs w:val="18"/>
                <w:color w:val="auto"/>
              </w:rPr>
              <w:t xml:space="preserve"> A</w:t>
            </w:r>
            <w:r>
              <w:rPr>
                <w:rFonts w:ascii="Arial" w:cs="Arial" w:eastAsia="Arial" w:hAnsi="Arial"/>
                <w:sz w:val="12"/>
                <w:szCs w:val="12"/>
                <w:color w:val="auto"/>
              </w:rPr>
              <w:t>ssurances</w:t>
            </w:r>
          </w:p>
        </w:tc>
        <w:tc>
          <w:tcPr>
            <w:tcW w:w="4600" w:type="dxa"/>
            <w:vAlign w:val="bottom"/>
          </w:tcPr>
          <w:p>
            <w:pPr>
              <w:spacing w:after="0"/>
              <w:rPr>
                <w:sz w:val="18"/>
                <w:szCs w:val="18"/>
                <w:color w:val="auto"/>
              </w:rPr>
            </w:pPr>
          </w:p>
        </w:tc>
        <w:tc>
          <w:tcPr>
            <w:tcW w:w="1080" w:type="dxa"/>
            <w:vAlign w:val="bottom"/>
          </w:tcPr>
          <w:p>
            <w:pPr>
              <w:jc w:val="right"/>
              <w:ind w:right="390"/>
              <w:spacing w:after="0"/>
              <w:rPr>
                <w:sz w:val="20"/>
                <w:szCs w:val="20"/>
                <w:color w:val="auto"/>
              </w:rPr>
            </w:pPr>
            <w:r>
              <w:rPr>
                <w:rFonts w:ascii="Arial" w:cs="Arial" w:eastAsia="Arial" w:hAnsi="Arial"/>
                <w:sz w:val="18"/>
                <w:szCs w:val="18"/>
                <w:color w:val="auto"/>
              </w:rPr>
              <w:t>41</w:t>
            </w:r>
          </w:p>
        </w:tc>
      </w:tr>
      <w:tr>
        <w:trPr>
          <w:trHeight w:val="216"/>
        </w:trPr>
        <w:tc>
          <w:tcPr>
            <w:tcW w:w="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5.11</w:t>
            </w:r>
          </w:p>
        </w:tc>
        <w:tc>
          <w:tcPr>
            <w:tcW w:w="49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U</w:t>
            </w:r>
            <w:r>
              <w:rPr>
                <w:rFonts w:ascii="Arial" w:cs="Arial" w:eastAsia="Arial" w:hAnsi="Arial"/>
                <w:sz w:val="12"/>
                <w:szCs w:val="12"/>
                <w:color w:val="auto"/>
              </w:rPr>
              <w:t>se of</w:t>
            </w:r>
            <w:r>
              <w:rPr>
                <w:rFonts w:ascii="Arial" w:cs="Arial" w:eastAsia="Arial" w:hAnsi="Arial"/>
                <w:sz w:val="18"/>
                <w:szCs w:val="18"/>
                <w:color w:val="auto"/>
              </w:rPr>
              <w:t xml:space="preserve"> P</w:t>
            </w:r>
            <w:r>
              <w:rPr>
                <w:rFonts w:ascii="Arial" w:cs="Arial" w:eastAsia="Arial" w:hAnsi="Arial"/>
                <w:sz w:val="12"/>
                <w:szCs w:val="12"/>
                <w:color w:val="auto"/>
              </w:rPr>
              <w:t>roceeds</w:t>
            </w:r>
          </w:p>
        </w:tc>
        <w:tc>
          <w:tcPr>
            <w:tcW w:w="460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42</w:t>
            </w:r>
          </w:p>
        </w:tc>
      </w:tr>
      <w:tr>
        <w:trPr>
          <w:trHeight w:val="216"/>
        </w:trPr>
        <w:tc>
          <w:tcPr>
            <w:tcW w:w="640" w:type="dxa"/>
            <w:vAlign w:val="bottom"/>
          </w:tcPr>
          <w:p>
            <w:pPr>
              <w:ind w:left="180"/>
              <w:spacing w:after="0"/>
              <w:rPr>
                <w:sz w:val="20"/>
                <w:szCs w:val="20"/>
                <w:color w:val="auto"/>
              </w:rPr>
            </w:pPr>
            <w:r>
              <w:rPr>
                <w:rFonts w:ascii="Arial" w:cs="Arial" w:eastAsia="Arial" w:hAnsi="Arial"/>
                <w:sz w:val="18"/>
                <w:szCs w:val="18"/>
                <w:color w:val="auto"/>
              </w:rPr>
              <w:t>5.12</w:t>
            </w:r>
          </w:p>
        </w:tc>
        <w:tc>
          <w:tcPr>
            <w:tcW w:w="4920" w:type="dxa"/>
            <w:vAlign w:val="bottom"/>
          </w:tcPr>
          <w:p>
            <w:pPr>
              <w:ind w:left="160"/>
              <w:spacing w:after="0"/>
              <w:rPr>
                <w:sz w:val="20"/>
                <w:szCs w:val="20"/>
                <w:color w:val="auto"/>
              </w:rPr>
            </w:pPr>
            <w:r>
              <w:rPr>
                <w:rFonts w:ascii="Arial" w:cs="Arial" w:eastAsia="Arial" w:hAnsi="Arial"/>
                <w:sz w:val="18"/>
                <w:szCs w:val="18"/>
                <w:color w:val="auto"/>
              </w:rPr>
              <w:t>T</w:t>
            </w:r>
            <w:r>
              <w:rPr>
                <w:rFonts w:ascii="Arial" w:cs="Arial" w:eastAsia="Arial" w:hAnsi="Arial"/>
                <w:sz w:val="12"/>
                <w:szCs w:val="12"/>
                <w:color w:val="auto"/>
              </w:rPr>
              <w:t>axes</w:t>
            </w:r>
          </w:p>
        </w:tc>
        <w:tc>
          <w:tcPr>
            <w:tcW w:w="4600" w:type="dxa"/>
            <w:vAlign w:val="bottom"/>
          </w:tcPr>
          <w:p>
            <w:pPr>
              <w:spacing w:after="0"/>
              <w:rPr>
                <w:sz w:val="18"/>
                <w:szCs w:val="18"/>
                <w:color w:val="auto"/>
              </w:rPr>
            </w:pPr>
          </w:p>
        </w:tc>
        <w:tc>
          <w:tcPr>
            <w:tcW w:w="1080" w:type="dxa"/>
            <w:vAlign w:val="bottom"/>
          </w:tcPr>
          <w:p>
            <w:pPr>
              <w:jc w:val="right"/>
              <w:ind w:right="390"/>
              <w:spacing w:after="0"/>
              <w:rPr>
                <w:sz w:val="20"/>
                <w:szCs w:val="20"/>
                <w:color w:val="auto"/>
              </w:rPr>
            </w:pPr>
            <w:r>
              <w:rPr>
                <w:rFonts w:ascii="Arial" w:cs="Arial" w:eastAsia="Arial" w:hAnsi="Arial"/>
                <w:sz w:val="18"/>
                <w:szCs w:val="18"/>
                <w:color w:val="auto"/>
              </w:rPr>
              <w:t>42</w:t>
            </w:r>
          </w:p>
        </w:tc>
      </w:tr>
      <w:tr>
        <w:trPr>
          <w:trHeight w:val="216"/>
        </w:trPr>
        <w:tc>
          <w:tcPr>
            <w:tcW w:w="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5.13</w:t>
            </w:r>
          </w:p>
        </w:tc>
        <w:tc>
          <w:tcPr>
            <w:tcW w:w="49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w:t>
            </w:r>
            <w:r>
              <w:rPr>
                <w:rFonts w:ascii="Arial" w:cs="Arial" w:eastAsia="Arial" w:hAnsi="Arial"/>
                <w:sz w:val="12"/>
                <w:szCs w:val="12"/>
                <w:color w:val="auto"/>
              </w:rPr>
              <w:t>ost</w:t>
            </w:r>
            <w:r>
              <w:rPr>
                <w:rFonts w:ascii="Arial" w:cs="Arial" w:eastAsia="Arial" w:hAnsi="Arial"/>
                <w:sz w:val="18"/>
                <w:szCs w:val="18"/>
                <w:color w:val="auto"/>
              </w:rPr>
              <w:t>-C</w:t>
            </w:r>
            <w:r>
              <w:rPr>
                <w:rFonts w:ascii="Arial" w:cs="Arial" w:eastAsia="Arial" w:hAnsi="Arial"/>
                <w:sz w:val="12"/>
                <w:szCs w:val="12"/>
                <w:color w:val="auto"/>
              </w:rPr>
              <w:t>losing</w:t>
            </w:r>
            <w:r>
              <w:rPr>
                <w:rFonts w:ascii="Arial" w:cs="Arial" w:eastAsia="Arial" w:hAnsi="Arial"/>
                <w:sz w:val="18"/>
                <w:szCs w:val="18"/>
                <w:color w:val="auto"/>
              </w:rPr>
              <w:t xml:space="preserve"> O</w:t>
            </w:r>
            <w:r>
              <w:rPr>
                <w:rFonts w:ascii="Arial" w:cs="Arial" w:eastAsia="Arial" w:hAnsi="Arial"/>
                <w:sz w:val="12"/>
                <w:szCs w:val="12"/>
                <w:color w:val="auto"/>
              </w:rPr>
              <w:t>bligations</w:t>
            </w:r>
          </w:p>
        </w:tc>
        <w:tc>
          <w:tcPr>
            <w:tcW w:w="460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42</w:t>
            </w:r>
          </w:p>
        </w:tc>
      </w:tr>
      <w:tr>
        <w:trPr>
          <w:trHeight w:val="216"/>
        </w:trPr>
        <w:tc>
          <w:tcPr>
            <w:tcW w:w="640" w:type="dxa"/>
            <w:vAlign w:val="bottom"/>
          </w:tcPr>
          <w:p>
            <w:pPr>
              <w:ind w:left="180"/>
              <w:spacing w:after="0"/>
              <w:rPr>
                <w:sz w:val="20"/>
                <w:szCs w:val="20"/>
                <w:color w:val="auto"/>
              </w:rPr>
            </w:pPr>
            <w:r>
              <w:rPr>
                <w:rFonts w:ascii="Arial" w:cs="Arial" w:eastAsia="Arial" w:hAnsi="Arial"/>
                <w:sz w:val="18"/>
                <w:szCs w:val="18"/>
                <w:color w:val="auto"/>
              </w:rPr>
              <w:t>5.14</w:t>
            </w:r>
          </w:p>
        </w:tc>
        <w:tc>
          <w:tcPr>
            <w:tcW w:w="4920" w:type="dxa"/>
            <w:vAlign w:val="bottom"/>
          </w:tcPr>
          <w:p>
            <w:pPr>
              <w:ind w:left="160"/>
              <w:spacing w:after="0"/>
              <w:rPr>
                <w:sz w:val="20"/>
                <w:szCs w:val="20"/>
                <w:color w:val="auto"/>
              </w:rPr>
            </w:pPr>
            <w:r>
              <w:rPr>
                <w:rFonts w:ascii="Arial" w:cs="Arial" w:eastAsia="Arial" w:hAnsi="Arial"/>
                <w:sz w:val="18"/>
                <w:szCs w:val="18"/>
                <w:color w:val="auto"/>
              </w:rPr>
              <w:t>L</w:t>
            </w:r>
            <w:r>
              <w:rPr>
                <w:rFonts w:ascii="Arial" w:cs="Arial" w:eastAsia="Arial" w:hAnsi="Arial"/>
                <w:sz w:val="12"/>
                <w:szCs w:val="12"/>
                <w:color w:val="auto"/>
              </w:rPr>
              <w:t>ocation of</w:t>
            </w:r>
            <w:r>
              <w:rPr>
                <w:rFonts w:ascii="Arial" w:cs="Arial" w:eastAsia="Arial" w:hAnsi="Arial"/>
                <w:sz w:val="18"/>
                <w:szCs w:val="18"/>
                <w:color w:val="auto"/>
              </w:rPr>
              <w:t xml:space="preserve"> A</w:t>
            </w:r>
            <w:r>
              <w:rPr>
                <w:rFonts w:ascii="Arial" w:cs="Arial" w:eastAsia="Arial" w:hAnsi="Arial"/>
                <w:sz w:val="12"/>
                <w:szCs w:val="12"/>
                <w:color w:val="auto"/>
              </w:rPr>
              <w:t>ssets</w:t>
            </w:r>
          </w:p>
        </w:tc>
        <w:tc>
          <w:tcPr>
            <w:tcW w:w="4600" w:type="dxa"/>
            <w:vAlign w:val="bottom"/>
          </w:tcPr>
          <w:p>
            <w:pPr>
              <w:spacing w:after="0"/>
              <w:rPr>
                <w:sz w:val="18"/>
                <w:szCs w:val="18"/>
                <w:color w:val="auto"/>
              </w:rPr>
            </w:pPr>
          </w:p>
        </w:tc>
        <w:tc>
          <w:tcPr>
            <w:tcW w:w="1080" w:type="dxa"/>
            <w:vAlign w:val="bottom"/>
          </w:tcPr>
          <w:p>
            <w:pPr>
              <w:jc w:val="right"/>
              <w:ind w:right="390"/>
              <w:spacing w:after="0"/>
              <w:rPr>
                <w:sz w:val="20"/>
                <w:szCs w:val="20"/>
                <w:color w:val="auto"/>
              </w:rPr>
            </w:pPr>
            <w:r>
              <w:rPr>
                <w:rFonts w:ascii="Arial" w:cs="Arial" w:eastAsia="Arial" w:hAnsi="Arial"/>
                <w:sz w:val="18"/>
                <w:szCs w:val="18"/>
                <w:color w:val="auto"/>
              </w:rPr>
              <w:t>43</w:t>
            </w:r>
          </w:p>
        </w:tc>
      </w:tr>
      <w:tr>
        <w:trPr>
          <w:trHeight w:val="216"/>
        </w:trPr>
        <w:tc>
          <w:tcPr>
            <w:tcW w:w="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5.15</w:t>
            </w:r>
          </w:p>
        </w:tc>
        <w:tc>
          <w:tcPr>
            <w:tcW w:w="49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w:t>
            </w:r>
            <w:r>
              <w:rPr>
                <w:rFonts w:ascii="Arial" w:cs="Arial" w:eastAsia="Arial" w:hAnsi="Arial"/>
                <w:sz w:val="12"/>
                <w:szCs w:val="12"/>
                <w:color w:val="auto"/>
              </w:rPr>
              <w:t>dditional</w:t>
            </w:r>
            <w:r>
              <w:rPr>
                <w:rFonts w:ascii="Arial" w:cs="Arial" w:eastAsia="Arial" w:hAnsi="Arial"/>
                <w:sz w:val="18"/>
                <w:szCs w:val="18"/>
                <w:color w:val="auto"/>
              </w:rPr>
              <w:t xml:space="preserve"> S</w:t>
            </w:r>
            <w:r>
              <w:rPr>
                <w:rFonts w:ascii="Arial" w:cs="Arial" w:eastAsia="Arial" w:hAnsi="Arial"/>
                <w:sz w:val="12"/>
                <w:szCs w:val="12"/>
                <w:color w:val="auto"/>
              </w:rPr>
              <w:t>ubsidiaries</w:t>
            </w:r>
          </w:p>
        </w:tc>
        <w:tc>
          <w:tcPr>
            <w:tcW w:w="460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43</w:t>
            </w:r>
          </w:p>
        </w:tc>
      </w:tr>
      <w:tr>
        <w:trPr>
          <w:trHeight w:val="216"/>
        </w:trPr>
        <w:tc>
          <w:tcPr>
            <w:tcW w:w="640" w:type="dxa"/>
            <w:vAlign w:val="bottom"/>
          </w:tcPr>
          <w:p>
            <w:pPr>
              <w:ind w:left="180"/>
              <w:spacing w:after="0"/>
              <w:rPr>
                <w:sz w:val="20"/>
                <w:szCs w:val="20"/>
                <w:color w:val="auto"/>
              </w:rPr>
            </w:pPr>
            <w:r>
              <w:rPr>
                <w:rFonts w:ascii="Arial" w:cs="Arial" w:eastAsia="Arial" w:hAnsi="Arial"/>
                <w:sz w:val="18"/>
                <w:szCs w:val="18"/>
                <w:color w:val="auto"/>
              </w:rPr>
              <w:t>5.16</w:t>
            </w:r>
          </w:p>
        </w:tc>
        <w:tc>
          <w:tcPr>
            <w:tcW w:w="4920" w:type="dxa"/>
            <w:vAlign w:val="bottom"/>
          </w:tcPr>
          <w:p>
            <w:pPr>
              <w:ind w:left="160"/>
              <w:spacing w:after="0"/>
              <w:rPr>
                <w:sz w:val="20"/>
                <w:szCs w:val="20"/>
                <w:color w:val="auto"/>
              </w:rPr>
            </w:pPr>
            <w:r>
              <w:rPr>
                <w:rFonts w:ascii="Arial" w:cs="Arial" w:eastAsia="Arial" w:hAnsi="Arial"/>
                <w:sz w:val="18"/>
                <w:szCs w:val="18"/>
                <w:color w:val="auto"/>
              </w:rPr>
              <w:t>B</w:t>
            </w:r>
            <w:r>
              <w:rPr>
                <w:rFonts w:ascii="Arial" w:cs="Arial" w:eastAsia="Arial" w:hAnsi="Arial"/>
                <w:sz w:val="12"/>
                <w:szCs w:val="12"/>
                <w:color w:val="auto"/>
              </w:rPr>
              <w:t>oard</w:t>
            </w:r>
            <w:r>
              <w:rPr>
                <w:rFonts w:ascii="Arial" w:cs="Arial" w:eastAsia="Arial" w:hAnsi="Arial"/>
                <w:sz w:val="18"/>
                <w:szCs w:val="18"/>
                <w:color w:val="auto"/>
              </w:rPr>
              <w:t xml:space="preserve"> O</w:t>
            </w:r>
            <w:r>
              <w:rPr>
                <w:rFonts w:ascii="Arial" w:cs="Arial" w:eastAsia="Arial" w:hAnsi="Arial"/>
                <w:sz w:val="12"/>
                <w:szCs w:val="12"/>
                <w:color w:val="auto"/>
              </w:rPr>
              <w:t>bservation</w:t>
            </w:r>
            <w:r>
              <w:rPr>
                <w:rFonts w:ascii="Arial" w:cs="Arial" w:eastAsia="Arial" w:hAnsi="Arial"/>
                <w:sz w:val="18"/>
                <w:szCs w:val="18"/>
                <w:color w:val="auto"/>
              </w:rPr>
              <w:t xml:space="preserve"> R</w:t>
            </w:r>
            <w:r>
              <w:rPr>
                <w:rFonts w:ascii="Arial" w:cs="Arial" w:eastAsia="Arial" w:hAnsi="Arial"/>
                <w:sz w:val="12"/>
                <w:szCs w:val="12"/>
                <w:color w:val="auto"/>
              </w:rPr>
              <w:t>ights</w:t>
            </w:r>
          </w:p>
        </w:tc>
        <w:tc>
          <w:tcPr>
            <w:tcW w:w="4600" w:type="dxa"/>
            <w:vAlign w:val="bottom"/>
          </w:tcPr>
          <w:p>
            <w:pPr>
              <w:spacing w:after="0"/>
              <w:rPr>
                <w:sz w:val="18"/>
                <w:szCs w:val="18"/>
                <w:color w:val="auto"/>
              </w:rPr>
            </w:pPr>
          </w:p>
        </w:tc>
        <w:tc>
          <w:tcPr>
            <w:tcW w:w="1080" w:type="dxa"/>
            <w:vAlign w:val="bottom"/>
          </w:tcPr>
          <w:p>
            <w:pPr>
              <w:jc w:val="right"/>
              <w:ind w:right="390"/>
              <w:spacing w:after="0"/>
              <w:rPr>
                <w:sz w:val="20"/>
                <w:szCs w:val="20"/>
                <w:color w:val="auto"/>
              </w:rPr>
            </w:pPr>
            <w:r>
              <w:rPr>
                <w:rFonts w:ascii="Arial" w:cs="Arial" w:eastAsia="Arial" w:hAnsi="Arial"/>
                <w:sz w:val="18"/>
                <w:szCs w:val="18"/>
                <w:color w:val="auto"/>
              </w:rPr>
              <w:t>44</w:t>
            </w:r>
          </w:p>
        </w:tc>
      </w:tr>
      <w:tr>
        <w:trPr>
          <w:trHeight w:val="216"/>
        </w:trPr>
        <w:tc>
          <w:tcPr>
            <w:tcW w:w="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5.17</w:t>
            </w:r>
          </w:p>
        </w:tc>
        <w:tc>
          <w:tcPr>
            <w:tcW w:w="49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MNPI</w:t>
            </w:r>
          </w:p>
        </w:tc>
        <w:tc>
          <w:tcPr>
            <w:tcW w:w="460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44</w:t>
            </w:r>
          </w:p>
        </w:tc>
      </w:tr>
      <w:tr>
        <w:trPr>
          <w:trHeight w:val="216"/>
        </w:trPr>
        <w:tc>
          <w:tcPr>
            <w:tcW w:w="640" w:type="dxa"/>
            <w:vAlign w:val="bottom"/>
          </w:tcPr>
          <w:p>
            <w:pPr>
              <w:ind w:left="180"/>
              <w:spacing w:after="0"/>
              <w:rPr>
                <w:sz w:val="20"/>
                <w:szCs w:val="20"/>
                <w:color w:val="auto"/>
              </w:rPr>
            </w:pPr>
            <w:r>
              <w:rPr>
                <w:rFonts w:ascii="Arial" w:cs="Arial" w:eastAsia="Arial" w:hAnsi="Arial"/>
                <w:sz w:val="18"/>
                <w:szCs w:val="18"/>
                <w:color w:val="auto"/>
              </w:rPr>
              <w:t>5.18</w:t>
            </w:r>
          </w:p>
        </w:tc>
        <w:tc>
          <w:tcPr>
            <w:tcW w:w="4920" w:type="dxa"/>
            <w:vAlign w:val="bottom"/>
          </w:tcPr>
          <w:p>
            <w:pPr>
              <w:ind w:left="160"/>
              <w:spacing w:after="0"/>
              <w:rPr>
                <w:sz w:val="20"/>
                <w:szCs w:val="20"/>
                <w:color w:val="auto"/>
              </w:rPr>
            </w:pPr>
            <w:r>
              <w:rPr>
                <w:rFonts w:ascii="Arial" w:cs="Arial" w:eastAsia="Arial" w:hAnsi="Arial"/>
                <w:sz w:val="18"/>
                <w:szCs w:val="18"/>
                <w:color w:val="auto"/>
              </w:rPr>
              <w:t>C</w:t>
            </w:r>
            <w:r>
              <w:rPr>
                <w:rFonts w:ascii="Arial" w:cs="Arial" w:eastAsia="Arial" w:hAnsi="Arial"/>
                <w:sz w:val="12"/>
                <w:szCs w:val="12"/>
                <w:color w:val="auto"/>
              </w:rPr>
              <w:t>ash</w:t>
            </w:r>
            <w:r>
              <w:rPr>
                <w:rFonts w:ascii="Arial" w:cs="Arial" w:eastAsia="Arial" w:hAnsi="Arial"/>
                <w:sz w:val="18"/>
                <w:szCs w:val="18"/>
                <w:color w:val="auto"/>
              </w:rPr>
              <w:t xml:space="preserve"> C</w:t>
            </w:r>
            <w:r>
              <w:rPr>
                <w:rFonts w:ascii="Arial" w:cs="Arial" w:eastAsia="Arial" w:hAnsi="Arial"/>
                <w:sz w:val="12"/>
                <w:szCs w:val="12"/>
                <w:color w:val="auto"/>
              </w:rPr>
              <w:t>ollateral</w:t>
            </w:r>
            <w:r>
              <w:rPr>
                <w:rFonts w:ascii="Arial" w:cs="Arial" w:eastAsia="Arial" w:hAnsi="Arial"/>
                <w:sz w:val="18"/>
                <w:szCs w:val="18"/>
                <w:color w:val="auto"/>
              </w:rPr>
              <w:t xml:space="preserve"> A</w:t>
            </w:r>
            <w:r>
              <w:rPr>
                <w:rFonts w:ascii="Arial" w:cs="Arial" w:eastAsia="Arial" w:hAnsi="Arial"/>
                <w:sz w:val="12"/>
                <w:szCs w:val="12"/>
                <w:color w:val="auto"/>
              </w:rPr>
              <w:t>ccount</w:t>
            </w:r>
          </w:p>
        </w:tc>
        <w:tc>
          <w:tcPr>
            <w:tcW w:w="4600" w:type="dxa"/>
            <w:vAlign w:val="bottom"/>
          </w:tcPr>
          <w:p>
            <w:pPr>
              <w:spacing w:after="0"/>
              <w:rPr>
                <w:sz w:val="18"/>
                <w:szCs w:val="18"/>
                <w:color w:val="auto"/>
              </w:rPr>
            </w:pPr>
          </w:p>
        </w:tc>
        <w:tc>
          <w:tcPr>
            <w:tcW w:w="1080" w:type="dxa"/>
            <w:vAlign w:val="bottom"/>
          </w:tcPr>
          <w:p>
            <w:pPr>
              <w:jc w:val="right"/>
              <w:ind w:right="390"/>
              <w:spacing w:after="0"/>
              <w:rPr>
                <w:sz w:val="20"/>
                <w:szCs w:val="20"/>
                <w:color w:val="auto"/>
              </w:rPr>
            </w:pPr>
            <w:r>
              <w:rPr>
                <w:rFonts w:ascii="Arial" w:cs="Arial" w:eastAsia="Arial" w:hAnsi="Arial"/>
                <w:sz w:val="18"/>
                <w:szCs w:val="18"/>
                <w:color w:val="auto"/>
              </w:rPr>
              <w:t>45</w:t>
            </w:r>
          </w:p>
        </w:tc>
      </w:tr>
      <w:tr>
        <w:trPr>
          <w:trHeight w:val="216"/>
        </w:trPr>
        <w:tc>
          <w:tcPr>
            <w:tcW w:w="5560" w:type="dxa"/>
            <w:vAlign w:val="bottom"/>
            <w:gridSpan w:val="2"/>
            <w:shd w:val="clear" w:color="auto" w:fill="CCEEFF"/>
          </w:tcPr>
          <w:p>
            <w:pPr>
              <w:spacing w:after="0"/>
              <w:rPr>
                <w:sz w:val="18"/>
                <w:szCs w:val="18"/>
                <w:color w:val="auto"/>
              </w:rPr>
            </w:pPr>
          </w:p>
        </w:tc>
        <w:tc>
          <w:tcPr>
            <w:tcW w:w="46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r>
      <w:tr>
        <w:trPr>
          <w:trHeight w:val="216"/>
        </w:trPr>
        <w:tc>
          <w:tcPr>
            <w:tcW w:w="5560" w:type="dxa"/>
            <w:vAlign w:val="bottom"/>
            <w:gridSpan w:val="2"/>
          </w:tcPr>
          <w:p>
            <w:pPr>
              <w:spacing w:after="0"/>
              <w:rPr>
                <w:sz w:val="20"/>
                <w:szCs w:val="20"/>
                <w:color w:val="auto"/>
              </w:rPr>
            </w:pPr>
            <w:r>
              <w:rPr>
                <w:rFonts w:ascii="Arial" w:cs="Arial" w:eastAsia="Arial" w:hAnsi="Arial"/>
                <w:sz w:val="18"/>
                <w:szCs w:val="18"/>
                <w:color w:val="auto"/>
              </w:rPr>
              <w:t>SECTION 6 NEGATIVE COVENANTS</w:t>
            </w:r>
          </w:p>
        </w:tc>
        <w:tc>
          <w:tcPr>
            <w:tcW w:w="4600" w:type="dxa"/>
            <w:vAlign w:val="bottom"/>
          </w:tcPr>
          <w:p>
            <w:pPr>
              <w:spacing w:after="0"/>
              <w:rPr>
                <w:sz w:val="18"/>
                <w:szCs w:val="18"/>
                <w:color w:val="auto"/>
              </w:rPr>
            </w:pPr>
          </w:p>
        </w:tc>
        <w:tc>
          <w:tcPr>
            <w:tcW w:w="1080" w:type="dxa"/>
            <w:vAlign w:val="bottom"/>
          </w:tcPr>
          <w:p>
            <w:pPr>
              <w:jc w:val="right"/>
              <w:ind w:right="390"/>
              <w:spacing w:after="0"/>
              <w:rPr>
                <w:sz w:val="20"/>
                <w:szCs w:val="20"/>
                <w:color w:val="auto"/>
              </w:rPr>
            </w:pPr>
            <w:r>
              <w:rPr>
                <w:rFonts w:ascii="Arial" w:cs="Arial" w:eastAsia="Arial" w:hAnsi="Arial"/>
                <w:sz w:val="18"/>
                <w:szCs w:val="18"/>
                <w:color w:val="auto"/>
              </w:rPr>
              <w:t>45</w:t>
            </w:r>
          </w:p>
        </w:tc>
      </w:tr>
      <w:tr>
        <w:trPr>
          <w:trHeight w:val="216"/>
        </w:trPr>
        <w:tc>
          <w:tcPr>
            <w:tcW w:w="640" w:type="dxa"/>
            <w:vAlign w:val="bottom"/>
            <w:shd w:val="clear" w:color="auto" w:fill="CCEEFF"/>
          </w:tcPr>
          <w:p>
            <w:pPr>
              <w:spacing w:after="0"/>
              <w:rPr>
                <w:sz w:val="18"/>
                <w:szCs w:val="18"/>
                <w:color w:val="auto"/>
              </w:rPr>
            </w:pPr>
          </w:p>
        </w:tc>
        <w:tc>
          <w:tcPr>
            <w:tcW w:w="4920" w:type="dxa"/>
            <w:vAlign w:val="bottom"/>
            <w:shd w:val="clear" w:color="auto" w:fill="CCEEFF"/>
          </w:tcPr>
          <w:p>
            <w:pPr>
              <w:spacing w:after="0"/>
              <w:rPr>
                <w:sz w:val="18"/>
                <w:szCs w:val="18"/>
                <w:color w:val="auto"/>
              </w:rPr>
            </w:pPr>
          </w:p>
        </w:tc>
        <w:tc>
          <w:tcPr>
            <w:tcW w:w="46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r>
      <w:tr>
        <w:trPr>
          <w:trHeight w:val="216"/>
        </w:trPr>
        <w:tc>
          <w:tcPr>
            <w:tcW w:w="640" w:type="dxa"/>
            <w:vAlign w:val="bottom"/>
          </w:tcPr>
          <w:p>
            <w:pPr>
              <w:ind w:left="180"/>
              <w:spacing w:after="0"/>
              <w:rPr>
                <w:sz w:val="20"/>
                <w:szCs w:val="20"/>
                <w:color w:val="auto"/>
              </w:rPr>
            </w:pPr>
            <w:r>
              <w:rPr>
                <w:rFonts w:ascii="Arial" w:cs="Arial" w:eastAsia="Arial" w:hAnsi="Arial"/>
                <w:sz w:val="18"/>
                <w:szCs w:val="18"/>
                <w:color w:val="auto"/>
              </w:rPr>
              <w:t>6.1</w:t>
            </w:r>
          </w:p>
        </w:tc>
        <w:tc>
          <w:tcPr>
            <w:tcW w:w="4920" w:type="dxa"/>
            <w:vAlign w:val="bottom"/>
          </w:tcPr>
          <w:p>
            <w:pPr>
              <w:ind w:left="160"/>
              <w:spacing w:after="0"/>
              <w:rPr>
                <w:sz w:val="20"/>
                <w:szCs w:val="20"/>
                <w:color w:val="auto"/>
              </w:rPr>
            </w:pPr>
            <w:r>
              <w:rPr>
                <w:rFonts w:ascii="Arial" w:cs="Arial" w:eastAsia="Arial" w:hAnsi="Arial"/>
                <w:sz w:val="18"/>
                <w:szCs w:val="18"/>
                <w:color w:val="auto"/>
              </w:rPr>
              <w:t>I</w:t>
            </w:r>
            <w:r>
              <w:rPr>
                <w:rFonts w:ascii="Arial" w:cs="Arial" w:eastAsia="Arial" w:hAnsi="Arial"/>
                <w:sz w:val="12"/>
                <w:szCs w:val="12"/>
                <w:color w:val="auto"/>
              </w:rPr>
              <w:t>ndebtedness</w:t>
            </w:r>
          </w:p>
        </w:tc>
        <w:tc>
          <w:tcPr>
            <w:tcW w:w="4600" w:type="dxa"/>
            <w:vAlign w:val="bottom"/>
          </w:tcPr>
          <w:p>
            <w:pPr>
              <w:spacing w:after="0"/>
              <w:rPr>
                <w:sz w:val="18"/>
                <w:szCs w:val="18"/>
                <w:color w:val="auto"/>
              </w:rPr>
            </w:pPr>
          </w:p>
        </w:tc>
        <w:tc>
          <w:tcPr>
            <w:tcW w:w="1080" w:type="dxa"/>
            <w:vAlign w:val="bottom"/>
          </w:tcPr>
          <w:p>
            <w:pPr>
              <w:jc w:val="right"/>
              <w:ind w:right="390"/>
              <w:spacing w:after="0"/>
              <w:rPr>
                <w:sz w:val="20"/>
                <w:szCs w:val="20"/>
                <w:color w:val="auto"/>
              </w:rPr>
            </w:pPr>
            <w:r>
              <w:rPr>
                <w:rFonts w:ascii="Arial" w:cs="Arial" w:eastAsia="Arial" w:hAnsi="Arial"/>
                <w:sz w:val="18"/>
                <w:szCs w:val="18"/>
                <w:color w:val="auto"/>
              </w:rPr>
              <w:t>45</w:t>
            </w:r>
          </w:p>
        </w:tc>
      </w:tr>
      <w:tr>
        <w:trPr>
          <w:trHeight w:val="216"/>
        </w:trPr>
        <w:tc>
          <w:tcPr>
            <w:tcW w:w="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6.2</w:t>
            </w:r>
          </w:p>
        </w:tc>
        <w:tc>
          <w:tcPr>
            <w:tcW w:w="49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L</w:t>
            </w:r>
            <w:r>
              <w:rPr>
                <w:rFonts w:ascii="Arial" w:cs="Arial" w:eastAsia="Arial" w:hAnsi="Arial"/>
                <w:sz w:val="12"/>
                <w:szCs w:val="12"/>
                <w:color w:val="auto"/>
              </w:rPr>
              <w:t>iens</w:t>
            </w:r>
          </w:p>
        </w:tc>
        <w:tc>
          <w:tcPr>
            <w:tcW w:w="460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45</w:t>
            </w:r>
          </w:p>
        </w:tc>
      </w:tr>
      <w:tr>
        <w:trPr>
          <w:trHeight w:val="216"/>
        </w:trPr>
        <w:tc>
          <w:tcPr>
            <w:tcW w:w="640" w:type="dxa"/>
            <w:vAlign w:val="bottom"/>
          </w:tcPr>
          <w:p>
            <w:pPr>
              <w:ind w:left="180"/>
              <w:spacing w:after="0"/>
              <w:rPr>
                <w:sz w:val="20"/>
                <w:szCs w:val="20"/>
                <w:color w:val="auto"/>
              </w:rPr>
            </w:pPr>
            <w:r>
              <w:rPr>
                <w:rFonts w:ascii="Arial" w:cs="Arial" w:eastAsia="Arial" w:hAnsi="Arial"/>
                <w:sz w:val="18"/>
                <w:szCs w:val="18"/>
                <w:color w:val="auto"/>
              </w:rPr>
              <w:t>6.3</w:t>
            </w:r>
          </w:p>
        </w:tc>
        <w:tc>
          <w:tcPr>
            <w:tcW w:w="4920" w:type="dxa"/>
            <w:vAlign w:val="bottom"/>
          </w:tcPr>
          <w:p>
            <w:pPr>
              <w:ind w:left="160"/>
              <w:spacing w:after="0"/>
              <w:rPr>
                <w:sz w:val="20"/>
                <w:szCs w:val="20"/>
                <w:color w:val="auto"/>
              </w:rPr>
            </w:pPr>
            <w:r>
              <w:rPr>
                <w:rFonts w:ascii="Arial" w:cs="Arial" w:eastAsia="Arial" w:hAnsi="Arial"/>
                <w:sz w:val="18"/>
                <w:szCs w:val="18"/>
                <w:color w:val="auto"/>
              </w:rPr>
              <w:t>F</w:t>
            </w:r>
            <w:r>
              <w:rPr>
                <w:rFonts w:ascii="Arial" w:cs="Arial" w:eastAsia="Arial" w:hAnsi="Arial"/>
                <w:sz w:val="12"/>
                <w:szCs w:val="12"/>
                <w:color w:val="auto"/>
              </w:rPr>
              <w:t>undamental</w:t>
            </w:r>
            <w:r>
              <w:rPr>
                <w:rFonts w:ascii="Arial" w:cs="Arial" w:eastAsia="Arial" w:hAnsi="Arial"/>
                <w:sz w:val="18"/>
                <w:szCs w:val="18"/>
                <w:color w:val="auto"/>
              </w:rPr>
              <w:t xml:space="preserve"> C</w:t>
            </w:r>
            <w:r>
              <w:rPr>
                <w:rFonts w:ascii="Arial" w:cs="Arial" w:eastAsia="Arial" w:hAnsi="Arial"/>
                <w:sz w:val="12"/>
                <w:szCs w:val="12"/>
                <w:color w:val="auto"/>
              </w:rPr>
              <w:t>hanges</w:t>
            </w:r>
          </w:p>
        </w:tc>
        <w:tc>
          <w:tcPr>
            <w:tcW w:w="4600" w:type="dxa"/>
            <w:vAlign w:val="bottom"/>
          </w:tcPr>
          <w:p>
            <w:pPr>
              <w:spacing w:after="0"/>
              <w:rPr>
                <w:sz w:val="18"/>
                <w:szCs w:val="18"/>
                <w:color w:val="auto"/>
              </w:rPr>
            </w:pPr>
          </w:p>
        </w:tc>
        <w:tc>
          <w:tcPr>
            <w:tcW w:w="1080" w:type="dxa"/>
            <w:vAlign w:val="bottom"/>
          </w:tcPr>
          <w:p>
            <w:pPr>
              <w:jc w:val="right"/>
              <w:ind w:right="390"/>
              <w:spacing w:after="0"/>
              <w:rPr>
                <w:sz w:val="20"/>
                <w:szCs w:val="20"/>
                <w:color w:val="auto"/>
              </w:rPr>
            </w:pPr>
            <w:r>
              <w:rPr>
                <w:rFonts w:ascii="Arial" w:cs="Arial" w:eastAsia="Arial" w:hAnsi="Arial"/>
                <w:sz w:val="18"/>
                <w:szCs w:val="18"/>
                <w:color w:val="auto"/>
              </w:rPr>
              <w:t>45</w:t>
            </w:r>
          </w:p>
        </w:tc>
      </w:tr>
      <w:tr>
        <w:trPr>
          <w:trHeight w:val="216"/>
        </w:trPr>
        <w:tc>
          <w:tcPr>
            <w:tcW w:w="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6.4</w:t>
            </w:r>
          </w:p>
        </w:tc>
        <w:tc>
          <w:tcPr>
            <w:tcW w:w="49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w:t>
            </w:r>
            <w:r>
              <w:rPr>
                <w:rFonts w:ascii="Arial" w:cs="Arial" w:eastAsia="Arial" w:hAnsi="Arial"/>
                <w:sz w:val="12"/>
                <w:szCs w:val="12"/>
                <w:color w:val="auto"/>
              </w:rPr>
              <w:t>isposition of</w:t>
            </w:r>
            <w:r>
              <w:rPr>
                <w:rFonts w:ascii="Arial" w:cs="Arial" w:eastAsia="Arial" w:hAnsi="Arial"/>
                <w:sz w:val="18"/>
                <w:szCs w:val="18"/>
                <w:color w:val="auto"/>
              </w:rPr>
              <w:t xml:space="preserve"> P</w:t>
            </w:r>
            <w:r>
              <w:rPr>
                <w:rFonts w:ascii="Arial" w:cs="Arial" w:eastAsia="Arial" w:hAnsi="Arial"/>
                <w:sz w:val="12"/>
                <w:szCs w:val="12"/>
                <w:color w:val="auto"/>
              </w:rPr>
              <w:t>roperty</w:t>
            </w:r>
          </w:p>
        </w:tc>
        <w:tc>
          <w:tcPr>
            <w:tcW w:w="460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46</w:t>
            </w:r>
          </w:p>
        </w:tc>
      </w:tr>
      <w:tr>
        <w:trPr>
          <w:trHeight w:val="216"/>
        </w:trPr>
        <w:tc>
          <w:tcPr>
            <w:tcW w:w="640" w:type="dxa"/>
            <w:vAlign w:val="bottom"/>
          </w:tcPr>
          <w:p>
            <w:pPr>
              <w:ind w:left="180"/>
              <w:spacing w:after="0"/>
              <w:rPr>
                <w:sz w:val="20"/>
                <w:szCs w:val="20"/>
                <w:color w:val="auto"/>
              </w:rPr>
            </w:pPr>
            <w:r>
              <w:rPr>
                <w:rFonts w:ascii="Arial" w:cs="Arial" w:eastAsia="Arial" w:hAnsi="Arial"/>
                <w:sz w:val="18"/>
                <w:szCs w:val="18"/>
                <w:color w:val="auto"/>
              </w:rPr>
              <w:t>6.5</w:t>
            </w:r>
          </w:p>
        </w:tc>
        <w:tc>
          <w:tcPr>
            <w:tcW w:w="4920" w:type="dxa"/>
            <w:vAlign w:val="bottom"/>
          </w:tcPr>
          <w:p>
            <w:pPr>
              <w:ind w:left="160"/>
              <w:spacing w:after="0"/>
              <w:rPr>
                <w:sz w:val="20"/>
                <w:szCs w:val="20"/>
                <w:color w:val="auto"/>
              </w:rPr>
            </w:pPr>
            <w:r>
              <w:rPr>
                <w:rFonts w:ascii="Arial" w:cs="Arial" w:eastAsia="Arial" w:hAnsi="Arial"/>
                <w:sz w:val="18"/>
                <w:szCs w:val="18"/>
                <w:color w:val="auto"/>
              </w:rPr>
              <w:t>R</w:t>
            </w:r>
            <w:r>
              <w:rPr>
                <w:rFonts w:ascii="Arial" w:cs="Arial" w:eastAsia="Arial" w:hAnsi="Arial"/>
                <w:sz w:val="12"/>
                <w:szCs w:val="12"/>
                <w:color w:val="auto"/>
              </w:rPr>
              <w:t>estricted</w:t>
            </w:r>
            <w:r>
              <w:rPr>
                <w:rFonts w:ascii="Arial" w:cs="Arial" w:eastAsia="Arial" w:hAnsi="Arial"/>
                <w:sz w:val="18"/>
                <w:szCs w:val="18"/>
                <w:color w:val="auto"/>
              </w:rPr>
              <w:t xml:space="preserve"> P</w:t>
            </w:r>
            <w:r>
              <w:rPr>
                <w:rFonts w:ascii="Arial" w:cs="Arial" w:eastAsia="Arial" w:hAnsi="Arial"/>
                <w:sz w:val="12"/>
                <w:szCs w:val="12"/>
                <w:color w:val="auto"/>
              </w:rPr>
              <w:t>ayments</w:t>
            </w:r>
          </w:p>
        </w:tc>
        <w:tc>
          <w:tcPr>
            <w:tcW w:w="4600" w:type="dxa"/>
            <w:vAlign w:val="bottom"/>
          </w:tcPr>
          <w:p>
            <w:pPr>
              <w:spacing w:after="0"/>
              <w:rPr>
                <w:sz w:val="18"/>
                <w:szCs w:val="18"/>
                <w:color w:val="auto"/>
              </w:rPr>
            </w:pPr>
          </w:p>
        </w:tc>
        <w:tc>
          <w:tcPr>
            <w:tcW w:w="1080" w:type="dxa"/>
            <w:vAlign w:val="bottom"/>
          </w:tcPr>
          <w:p>
            <w:pPr>
              <w:jc w:val="right"/>
              <w:ind w:right="390"/>
              <w:spacing w:after="0"/>
              <w:rPr>
                <w:sz w:val="20"/>
                <w:szCs w:val="20"/>
                <w:color w:val="auto"/>
              </w:rPr>
            </w:pPr>
            <w:r>
              <w:rPr>
                <w:rFonts w:ascii="Arial" w:cs="Arial" w:eastAsia="Arial" w:hAnsi="Arial"/>
                <w:sz w:val="18"/>
                <w:szCs w:val="18"/>
                <w:color w:val="auto"/>
              </w:rPr>
              <w:t>46</w:t>
            </w:r>
          </w:p>
        </w:tc>
      </w:tr>
      <w:tr>
        <w:trPr>
          <w:trHeight w:val="216"/>
        </w:trPr>
        <w:tc>
          <w:tcPr>
            <w:tcW w:w="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6.6</w:t>
            </w:r>
          </w:p>
        </w:tc>
        <w:tc>
          <w:tcPr>
            <w:tcW w:w="49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w:t>
            </w:r>
            <w:r>
              <w:rPr>
                <w:rFonts w:ascii="Arial" w:cs="Arial" w:eastAsia="Arial" w:hAnsi="Arial"/>
                <w:sz w:val="12"/>
                <w:szCs w:val="12"/>
                <w:color w:val="auto"/>
              </w:rPr>
              <w:t>nvestments</w:t>
            </w:r>
          </w:p>
        </w:tc>
        <w:tc>
          <w:tcPr>
            <w:tcW w:w="460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47</w:t>
            </w:r>
          </w:p>
        </w:tc>
      </w:tr>
      <w:tr>
        <w:trPr>
          <w:trHeight w:val="216"/>
        </w:trPr>
        <w:tc>
          <w:tcPr>
            <w:tcW w:w="640" w:type="dxa"/>
            <w:vAlign w:val="bottom"/>
          </w:tcPr>
          <w:p>
            <w:pPr>
              <w:ind w:left="180"/>
              <w:spacing w:after="0"/>
              <w:rPr>
                <w:sz w:val="20"/>
                <w:szCs w:val="20"/>
                <w:color w:val="auto"/>
              </w:rPr>
            </w:pPr>
            <w:r>
              <w:rPr>
                <w:rFonts w:ascii="Arial" w:cs="Arial" w:eastAsia="Arial" w:hAnsi="Arial"/>
                <w:sz w:val="18"/>
                <w:szCs w:val="18"/>
                <w:color w:val="auto"/>
              </w:rPr>
              <w:t>6.7</w:t>
            </w:r>
          </w:p>
        </w:tc>
        <w:tc>
          <w:tcPr>
            <w:tcW w:w="4920" w:type="dxa"/>
            <w:vAlign w:val="bottom"/>
          </w:tcPr>
          <w:p>
            <w:pPr>
              <w:ind w:left="160"/>
              <w:spacing w:after="0"/>
              <w:rPr>
                <w:sz w:val="20"/>
                <w:szCs w:val="20"/>
                <w:color w:val="auto"/>
              </w:rPr>
            </w:pPr>
            <w:r>
              <w:rPr>
                <w:rFonts w:ascii="Arial" w:cs="Arial" w:eastAsia="Arial" w:hAnsi="Arial"/>
                <w:sz w:val="18"/>
                <w:szCs w:val="18"/>
                <w:color w:val="auto"/>
              </w:rPr>
              <w:t>ERISA</w:t>
            </w:r>
          </w:p>
        </w:tc>
        <w:tc>
          <w:tcPr>
            <w:tcW w:w="4600" w:type="dxa"/>
            <w:vAlign w:val="bottom"/>
          </w:tcPr>
          <w:p>
            <w:pPr>
              <w:spacing w:after="0"/>
              <w:rPr>
                <w:sz w:val="18"/>
                <w:szCs w:val="18"/>
                <w:color w:val="auto"/>
              </w:rPr>
            </w:pPr>
          </w:p>
        </w:tc>
        <w:tc>
          <w:tcPr>
            <w:tcW w:w="1080" w:type="dxa"/>
            <w:vAlign w:val="bottom"/>
          </w:tcPr>
          <w:p>
            <w:pPr>
              <w:jc w:val="right"/>
              <w:ind w:right="390"/>
              <w:spacing w:after="0"/>
              <w:rPr>
                <w:sz w:val="20"/>
                <w:szCs w:val="20"/>
                <w:color w:val="auto"/>
              </w:rPr>
            </w:pPr>
            <w:r>
              <w:rPr>
                <w:rFonts w:ascii="Arial" w:cs="Arial" w:eastAsia="Arial" w:hAnsi="Arial"/>
                <w:sz w:val="18"/>
                <w:szCs w:val="18"/>
                <w:color w:val="auto"/>
              </w:rPr>
              <w:t>48</w:t>
            </w:r>
          </w:p>
        </w:tc>
      </w:tr>
      <w:tr>
        <w:trPr>
          <w:trHeight w:val="216"/>
        </w:trPr>
        <w:tc>
          <w:tcPr>
            <w:tcW w:w="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6.8</w:t>
            </w:r>
          </w:p>
        </w:tc>
        <w:tc>
          <w:tcPr>
            <w:tcW w:w="49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w:t>
            </w:r>
            <w:r>
              <w:rPr>
                <w:rFonts w:ascii="Arial" w:cs="Arial" w:eastAsia="Arial" w:hAnsi="Arial"/>
                <w:sz w:val="12"/>
                <w:szCs w:val="12"/>
                <w:color w:val="auto"/>
              </w:rPr>
              <w:t>ransactions with</w:t>
            </w:r>
            <w:r>
              <w:rPr>
                <w:rFonts w:ascii="Arial" w:cs="Arial" w:eastAsia="Arial" w:hAnsi="Arial"/>
                <w:sz w:val="18"/>
                <w:szCs w:val="18"/>
                <w:color w:val="auto"/>
              </w:rPr>
              <w:t xml:space="preserve"> A</w:t>
            </w:r>
            <w:r>
              <w:rPr>
                <w:rFonts w:ascii="Arial" w:cs="Arial" w:eastAsia="Arial" w:hAnsi="Arial"/>
                <w:sz w:val="12"/>
                <w:szCs w:val="12"/>
                <w:color w:val="auto"/>
              </w:rPr>
              <w:t>ffiliates</w:t>
            </w:r>
          </w:p>
        </w:tc>
        <w:tc>
          <w:tcPr>
            <w:tcW w:w="460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48</w:t>
            </w:r>
          </w:p>
        </w:tc>
      </w:tr>
      <w:tr>
        <w:trPr>
          <w:trHeight w:val="216"/>
        </w:trPr>
        <w:tc>
          <w:tcPr>
            <w:tcW w:w="640" w:type="dxa"/>
            <w:vAlign w:val="bottom"/>
          </w:tcPr>
          <w:p>
            <w:pPr>
              <w:ind w:left="180"/>
              <w:spacing w:after="0"/>
              <w:rPr>
                <w:sz w:val="20"/>
                <w:szCs w:val="20"/>
                <w:color w:val="auto"/>
              </w:rPr>
            </w:pPr>
            <w:r>
              <w:rPr>
                <w:rFonts w:ascii="Arial" w:cs="Arial" w:eastAsia="Arial" w:hAnsi="Arial"/>
                <w:sz w:val="18"/>
                <w:szCs w:val="18"/>
                <w:color w:val="auto"/>
              </w:rPr>
              <w:t>6.9</w:t>
            </w:r>
          </w:p>
        </w:tc>
        <w:tc>
          <w:tcPr>
            <w:tcW w:w="4920" w:type="dxa"/>
            <w:vAlign w:val="bottom"/>
          </w:tcPr>
          <w:p>
            <w:pPr>
              <w:ind w:left="160"/>
              <w:spacing w:after="0"/>
              <w:rPr>
                <w:sz w:val="20"/>
                <w:szCs w:val="20"/>
                <w:color w:val="auto"/>
              </w:rPr>
            </w:pPr>
            <w:r>
              <w:rPr>
                <w:rFonts w:ascii="Arial" w:cs="Arial" w:eastAsia="Arial" w:hAnsi="Arial"/>
                <w:sz w:val="18"/>
                <w:szCs w:val="18"/>
                <w:color w:val="auto"/>
              </w:rPr>
              <w:t>A</w:t>
            </w:r>
            <w:r>
              <w:rPr>
                <w:rFonts w:ascii="Arial" w:cs="Arial" w:eastAsia="Arial" w:hAnsi="Arial"/>
                <w:sz w:val="12"/>
                <w:szCs w:val="12"/>
                <w:color w:val="auto"/>
              </w:rPr>
              <w:t>ccounting</w:t>
            </w:r>
            <w:r>
              <w:rPr>
                <w:rFonts w:ascii="Arial" w:cs="Arial" w:eastAsia="Arial" w:hAnsi="Arial"/>
                <w:sz w:val="18"/>
                <w:szCs w:val="18"/>
                <w:color w:val="auto"/>
              </w:rPr>
              <w:t xml:space="preserve"> C</w:t>
            </w:r>
            <w:r>
              <w:rPr>
                <w:rFonts w:ascii="Arial" w:cs="Arial" w:eastAsia="Arial" w:hAnsi="Arial"/>
                <w:sz w:val="12"/>
                <w:szCs w:val="12"/>
                <w:color w:val="auto"/>
              </w:rPr>
              <w:t>hanges</w:t>
            </w:r>
          </w:p>
        </w:tc>
        <w:tc>
          <w:tcPr>
            <w:tcW w:w="4600" w:type="dxa"/>
            <w:vAlign w:val="bottom"/>
          </w:tcPr>
          <w:p>
            <w:pPr>
              <w:spacing w:after="0"/>
              <w:rPr>
                <w:sz w:val="18"/>
                <w:szCs w:val="18"/>
                <w:color w:val="auto"/>
              </w:rPr>
            </w:pPr>
          </w:p>
        </w:tc>
        <w:tc>
          <w:tcPr>
            <w:tcW w:w="1080" w:type="dxa"/>
            <w:vAlign w:val="bottom"/>
          </w:tcPr>
          <w:p>
            <w:pPr>
              <w:jc w:val="right"/>
              <w:ind w:right="390"/>
              <w:spacing w:after="0"/>
              <w:rPr>
                <w:sz w:val="20"/>
                <w:szCs w:val="20"/>
                <w:color w:val="auto"/>
              </w:rPr>
            </w:pPr>
            <w:r>
              <w:rPr>
                <w:rFonts w:ascii="Arial" w:cs="Arial" w:eastAsia="Arial" w:hAnsi="Arial"/>
                <w:sz w:val="18"/>
                <w:szCs w:val="18"/>
                <w:color w:val="auto"/>
              </w:rPr>
              <w:t>48</w:t>
            </w:r>
          </w:p>
        </w:tc>
      </w:tr>
      <w:tr>
        <w:trPr>
          <w:trHeight w:val="216"/>
        </w:trPr>
        <w:tc>
          <w:tcPr>
            <w:tcW w:w="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6.10</w:t>
            </w:r>
          </w:p>
        </w:tc>
        <w:tc>
          <w:tcPr>
            <w:tcW w:w="49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w:t>
            </w:r>
            <w:r>
              <w:rPr>
                <w:rFonts w:ascii="Arial" w:cs="Arial" w:eastAsia="Arial" w:hAnsi="Arial"/>
                <w:sz w:val="12"/>
                <w:szCs w:val="12"/>
                <w:color w:val="auto"/>
              </w:rPr>
              <w:t>egative</w:t>
            </w:r>
            <w:r>
              <w:rPr>
                <w:rFonts w:ascii="Arial" w:cs="Arial" w:eastAsia="Arial" w:hAnsi="Arial"/>
                <w:sz w:val="18"/>
                <w:szCs w:val="18"/>
                <w:color w:val="auto"/>
              </w:rPr>
              <w:t xml:space="preserve"> P</w:t>
            </w:r>
            <w:r>
              <w:rPr>
                <w:rFonts w:ascii="Arial" w:cs="Arial" w:eastAsia="Arial" w:hAnsi="Arial"/>
                <w:sz w:val="12"/>
                <w:szCs w:val="12"/>
                <w:color w:val="auto"/>
              </w:rPr>
              <w:t>ledge</w:t>
            </w:r>
            <w:r>
              <w:rPr>
                <w:rFonts w:ascii="Arial" w:cs="Arial" w:eastAsia="Arial" w:hAnsi="Arial"/>
                <w:sz w:val="18"/>
                <w:szCs w:val="18"/>
                <w:color w:val="auto"/>
              </w:rPr>
              <w:t xml:space="preserve"> C</w:t>
            </w:r>
            <w:r>
              <w:rPr>
                <w:rFonts w:ascii="Arial" w:cs="Arial" w:eastAsia="Arial" w:hAnsi="Arial"/>
                <w:sz w:val="12"/>
                <w:szCs w:val="12"/>
                <w:color w:val="auto"/>
              </w:rPr>
              <w:t>lauses</w:t>
            </w:r>
          </w:p>
        </w:tc>
        <w:tc>
          <w:tcPr>
            <w:tcW w:w="460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48</w:t>
            </w:r>
          </w:p>
        </w:tc>
      </w:tr>
      <w:tr>
        <w:trPr>
          <w:trHeight w:val="216"/>
        </w:trPr>
        <w:tc>
          <w:tcPr>
            <w:tcW w:w="640" w:type="dxa"/>
            <w:vAlign w:val="bottom"/>
          </w:tcPr>
          <w:p>
            <w:pPr>
              <w:ind w:left="180"/>
              <w:spacing w:after="0"/>
              <w:rPr>
                <w:sz w:val="20"/>
                <w:szCs w:val="20"/>
                <w:color w:val="auto"/>
              </w:rPr>
            </w:pPr>
            <w:r>
              <w:rPr>
                <w:rFonts w:ascii="Arial" w:cs="Arial" w:eastAsia="Arial" w:hAnsi="Arial"/>
                <w:sz w:val="18"/>
                <w:szCs w:val="18"/>
                <w:color w:val="auto"/>
              </w:rPr>
              <w:t>6.11</w:t>
            </w:r>
          </w:p>
        </w:tc>
        <w:tc>
          <w:tcPr>
            <w:tcW w:w="4920" w:type="dxa"/>
            <w:vAlign w:val="bottom"/>
          </w:tcPr>
          <w:p>
            <w:pPr>
              <w:ind w:left="160"/>
              <w:spacing w:after="0"/>
              <w:rPr>
                <w:sz w:val="20"/>
                <w:szCs w:val="20"/>
                <w:color w:val="auto"/>
              </w:rPr>
            </w:pPr>
            <w:r>
              <w:rPr>
                <w:rFonts w:ascii="Arial" w:cs="Arial" w:eastAsia="Arial" w:hAnsi="Arial"/>
                <w:sz w:val="18"/>
                <w:szCs w:val="18"/>
                <w:color w:val="auto"/>
              </w:rPr>
              <w:t>L</w:t>
            </w:r>
            <w:r>
              <w:rPr>
                <w:rFonts w:ascii="Arial" w:cs="Arial" w:eastAsia="Arial" w:hAnsi="Arial"/>
                <w:sz w:val="12"/>
                <w:szCs w:val="12"/>
                <w:color w:val="auto"/>
              </w:rPr>
              <w:t>ines of</w:t>
            </w:r>
            <w:r>
              <w:rPr>
                <w:rFonts w:ascii="Arial" w:cs="Arial" w:eastAsia="Arial" w:hAnsi="Arial"/>
                <w:sz w:val="18"/>
                <w:szCs w:val="18"/>
                <w:color w:val="auto"/>
              </w:rPr>
              <w:t xml:space="preserve"> B</w:t>
            </w:r>
            <w:r>
              <w:rPr>
                <w:rFonts w:ascii="Arial" w:cs="Arial" w:eastAsia="Arial" w:hAnsi="Arial"/>
                <w:sz w:val="12"/>
                <w:szCs w:val="12"/>
                <w:color w:val="auto"/>
              </w:rPr>
              <w:t>usiness</w:t>
            </w:r>
            <w:r>
              <w:rPr>
                <w:rFonts w:ascii="Arial" w:cs="Arial" w:eastAsia="Arial" w:hAnsi="Arial"/>
                <w:sz w:val="18"/>
                <w:szCs w:val="18"/>
                <w:color w:val="auto"/>
              </w:rPr>
              <w:t>; S</w:t>
            </w:r>
            <w:r>
              <w:rPr>
                <w:rFonts w:ascii="Arial" w:cs="Arial" w:eastAsia="Arial" w:hAnsi="Arial"/>
                <w:sz w:val="12"/>
                <w:szCs w:val="12"/>
                <w:color w:val="auto"/>
              </w:rPr>
              <w:t>ubsidiaries</w:t>
            </w:r>
          </w:p>
        </w:tc>
        <w:tc>
          <w:tcPr>
            <w:tcW w:w="4600" w:type="dxa"/>
            <w:vAlign w:val="bottom"/>
          </w:tcPr>
          <w:p>
            <w:pPr>
              <w:spacing w:after="0"/>
              <w:rPr>
                <w:sz w:val="18"/>
                <w:szCs w:val="18"/>
                <w:color w:val="auto"/>
              </w:rPr>
            </w:pPr>
          </w:p>
        </w:tc>
        <w:tc>
          <w:tcPr>
            <w:tcW w:w="1080" w:type="dxa"/>
            <w:vAlign w:val="bottom"/>
          </w:tcPr>
          <w:p>
            <w:pPr>
              <w:jc w:val="right"/>
              <w:ind w:right="390"/>
              <w:spacing w:after="0"/>
              <w:rPr>
                <w:sz w:val="20"/>
                <w:szCs w:val="20"/>
                <w:color w:val="auto"/>
              </w:rPr>
            </w:pPr>
            <w:r>
              <w:rPr>
                <w:rFonts w:ascii="Arial" w:cs="Arial" w:eastAsia="Arial" w:hAnsi="Arial"/>
                <w:sz w:val="18"/>
                <w:szCs w:val="18"/>
                <w:color w:val="auto"/>
              </w:rPr>
              <w:t>49</w:t>
            </w:r>
          </w:p>
        </w:tc>
      </w:tr>
      <w:tr>
        <w:trPr>
          <w:trHeight w:val="216"/>
        </w:trPr>
        <w:tc>
          <w:tcPr>
            <w:tcW w:w="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6.12</w:t>
            </w:r>
          </w:p>
        </w:tc>
        <w:tc>
          <w:tcPr>
            <w:tcW w:w="95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P</w:t>
            </w:r>
            <w:r>
              <w:rPr>
                <w:rFonts w:ascii="Arial" w:cs="Arial" w:eastAsia="Arial" w:hAnsi="Arial"/>
                <w:sz w:val="12"/>
                <w:szCs w:val="12"/>
                <w:color w:val="auto"/>
              </w:rPr>
              <w:t>ayment of</w:t>
            </w:r>
            <w:r>
              <w:rPr>
                <w:rFonts w:ascii="Arial" w:cs="Arial" w:eastAsia="Arial" w:hAnsi="Arial"/>
                <w:sz w:val="18"/>
                <w:szCs w:val="18"/>
                <w:color w:val="auto"/>
              </w:rPr>
              <w:t xml:space="preserve"> N</w:t>
            </w:r>
            <w:r>
              <w:rPr>
                <w:rFonts w:ascii="Arial" w:cs="Arial" w:eastAsia="Arial" w:hAnsi="Arial"/>
                <w:sz w:val="12"/>
                <w:szCs w:val="12"/>
                <w:color w:val="auto"/>
              </w:rPr>
              <w:t>irvana</w:t>
            </w:r>
            <w:r>
              <w:rPr>
                <w:rFonts w:ascii="Arial" w:cs="Arial" w:eastAsia="Arial" w:hAnsi="Arial"/>
                <w:sz w:val="18"/>
                <w:szCs w:val="18"/>
                <w:color w:val="auto"/>
              </w:rPr>
              <w:t xml:space="preserve"> D</w:t>
            </w:r>
            <w:r>
              <w:rPr>
                <w:rFonts w:ascii="Arial" w:cs="Arial" w:eastAsia="Arial" w:hAnsi="Arial"/>
                <w:sz w:val="12"/>
                <w:szCs w:val="12"/>
                <w:color w:val="auto"/>
              </w:rPr>
              <w:t>ebt and</w:t>
            </w:r>
            <w:r>
              <w:rPr>
                <w:rFonts w:ascii="Arial" w:cs="Arial" w:eastAsia="Arial" w:hAnsi="Arial"/>
                <w:sz w:val="18"/>
                <w:szCs w:val="18"/>
                <w:color w:val="auto"/>
              </w:rPr>
              <w:t xml:space="preserve"> S</w:t>
            </w:r>
            <w:r>
              <w:rPr>
                <w:rFonts w:ascii="Arial" w:cs="Arial" w:eastAsia="Arial" w:hAnsi="Arial"/>
                <w:sz w:val="12"/>
                <w:szCs w:val="12"/>
                <w:color w:val="auto"/>
              </w:rPr>
              <w:t>ubordinated</w:t>
            </w:r>
            <w:r>
              <w:rPr>
                <w:rFonts w:ascii="Arial" w:cs="Arial" w:eastAsia="Arial" w:hAnsi="Arial"/>
                <w:sz w:val="18"/>
                <w:szCs w:val="18"/>
                <w:color w:val="auto"/>
              </w:rPr>
              <w:t xml:space="preserve"> I</w:t>
            </w:r>
            <w:r>
              <w:rPr>
                <w:rFonts w:ascii="Arial" w:cs="Arial" w:eastAsia="Arial" w:hAnsi="Arial"/>
                <w:sz w:val="12"/>
                <w:szCs w:val="12"/>
                <w:color w:val="auto"/>
              </w:rPr>
              <w:t>ndebtedness</w:t>
            </w:r>
            <w:r>
              <w:rPr>
                <w:rFonts w:ascii="Arial" w:cs="Arial" w:eastAsia="Arial" w:hAnsi="Arial"/>
                <w:sz w:val="18"/>
                <w:szCs w:val="18"/>
                <w:color w:val="auto"/>
              </w:rPr>
              <w:t>; A</w:t>
            </w:r>
            <w:r>
              <w:rPr>
                <w:rFonts w:ascii="Arial" w:cs="Arial" w:eastAsia="Arial" w:hAnsi="Arial"/>
                <w:sz w:val="12"/>
                <w:szCs w:val="12"/>
                <w:color w:val="auto"/>
              </w:rPr>
              <w:t>mendments to</w:t>
            </w:r>
            <w:r>
              <w:rPr>
                <w:rFonts w:ascii="Arial" w:cs="Arial" w:eastAsia="Arial" w:hAnsi="Arial"/>
                <w:sz w:val="18"/>
                <w:szCs w:val="18"/>
                <w:color w:val="auto"/>
              </w:rPr>
              <w:t xml:space="preserve"> O</w:t>
            </w:r>
            <w:r>
              <w:rPr>
                <w:rFonts w:ascii="Arial" w:cs="Arial" w:eastAsia="Arial" w:hAnsi="Arial"/>
                <w:sz w:val="12"/>
                <w:szCs w:val="12"/>
                <w:color w:val="auto"/>
              </w:rPr>
              <w:t>rganizational</w:t>
            </w:r>
            <w:r>
              <w:rPr>
                <w:rFonts w:ascii="Arial" w:cs="Arial" w:eastAsia="Arial" w:hAnsi="Arial"/>
                <w:sz w:val="18"/>
                <w:szCs w:val="18"/>
                <w:color w:val="auto"/>
              </w:rPr>
              <w:t xml:space="preserve"> A</w:t>
            </w:r>
            <w:r>
              <w:rPr>
                <w:rFonts w:ascii="Arial" w:cs="Arial" w:eastAsia="Arial" w:hAnsi="Arial"/>
                <w:sz w:val="12"/>
                <w:szCs w:val="12"/>
                <w:color w:val="auto"/>
              </w:rPr>
              <w:t>greements</w:t>
            </w:r>
            <w:r>
              <w:rPr>
                <w:rFonts w:ascii="Arial" w:cs="Arial" w:eastAsia="Arial" w:hAnsi="Arial"/>
                <w:sz w:val="18"/>
                <w:szCs w:val="18"/>
                <w:color w:val="auto"/>
              </w:rPr>
              <w:t>; M</w:t>
            </w:r>
            <w:r>
              <w:rPr>
                <w:rFonts w:ascii="Arial" w:cs="Arial" w:eastAsia="Arial" w:hAnsi="Arial"/>
                <w:sz w:val="12"/>
                <w:szCs w:val="12"/>
                <w:color w:val="auto"/>
              </w:rPr>
              <w:t>aterial</w:t>
            </w:r>
            <w:r>
              <w:rPr>
                <w:rFonts w:ascii="Arial" w:cs="Arial" w:eastAsia="Arial" w:hAnsi="Arial"/>
                <w:sz w:val="18"/>
                <w:szCs w:val="18"/>
                <w:color w:val="auto"/>
              </w:rPr>
              <w:t xml:space="preserve"> C</w:t>
            </w:r>
            <w:r>
              <w:rPr>
                <w:rFonts w:ascii="Arial" w:cs="Arial" w:eastAsia="Arial" w:hAnsi="Arial"/>
                <w:sz w:val="12"/>
                <w:szCs w:val="12"/>
                <w:color w:val="auto"/>
              </w:rPr>
              <w:t>ontracts</w:t>
            </w:r>
          </w:p>
        </w:tc>
        <w:tc>
          <w:tcPr>
            <w:tcW w:w="108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49</w:t>
            </w:r>
          </w:p>
        </w:tc>
      </w:tr>
      <w:tr>
        <w:trPr>
          <w:trHeight w:val="216"/>
        </w:trPr>
        <w:tc>
          <w:tcPr>
            <w:tcW w:w="640" w:type="dxa"/>
            <w:vAlign w:val="bottom"/>
          </w:tcPr>
          <w:p>
            <w:pPr>
              <w:ind w:left="180"/>
              <w:spacing w:after="0"/>
              <w:rPr>
                <w:sz w:val="20"/>
                <w:szCs w:val="20"/>
                <w:color w:val="auto"/>
              </w:rPr>
            </w:pPr>
            <w:r>
              <w:rPr>
                <w:rFonts w:ascii="Arial" w:cs="Arial" w:eastAsia="Arial" w:hAnsi="Arial"/>
                <w:sz w:val="18"/>
                <w:szCs w:val="18"/>
                <w:color w:val="auto"/>
              </w:rPr>
              <w:t>6.13</w:t>
            </w:r>
          </w:p>
        </w:tc>
        <w:tc>
          <w:tcPr>
            <w:tcW w:w="4920" w:type="dxa"/>
            <w:vAlign w:val="bottom"/>
          </w:tcPr>
          <w:p>
            <w:pPr>
              <w:ind w:left="160"/>
              <w:spacing w:after="0"/>
              <w:rPr>
                <w:sz w:val="20"/>
                <w:szCs w:val="20"/>
                <w:color w:val="auto"/>
              </w:rPr>
            </w:pPr>
            <w:r>
              <w:rPr>
                <w:rFonts w:ascii="Arial" w:cs="Arial" w:eastAsia="Arial" w:hAnsi="Arial"/>
                <w:sz w:val="18"/>
                <w:szCs w:val="18"/>
                <w:color w:val="auto"/>
              </w:rPr>
              <w:t>U</w:t>
            </w:r>
            <w:r>
              <w:rPr>
                <w:rFonts w:ascii="Arial" w:cs="Arial" w:eastAsia="Arial" w:hAnsi="Arial"/>
                <w:sz w:val="12"/>
                <w:szCs w:val="12"/>
                <w:color w:val="auto"/>
              </w:rPr>
              <w:t>se of</w:t>
            </w:r>
            <w:r>
              <w:rPr>
                <w:rFonts w:ascii="Arial" w:cs="Arial" w:eastAsia="Arial" w:hAnsi="Arial"/>
                <w:sz w:val="18"/>
                <w:szCs w:val="18"/>
                <w:color w:val="auto"/>
              </w:rPr>
              <w:t xml:space="preserve"> P</w:t>
            </w:r>
            <w:r>
              <w:rPr>
                <w:rFonts w:ascii="Arial" w:cs="Arial" w:eastAsia="Arial" w:hAnsi="Arial"/>
                <w:sz w:val="12"/>
                <w:szCs w:val="12"/>
                <w:color w:val="auto"/>
              </w:rPr>
              <w:t>roceeds</w:t>
            </w:r>
          </w:p>
        </w:tc>
        <w:tc>
          <w:tcPr>
            <w:tcW w:w="4600" w:type="dxa"/>
            <w:vAlign w:val="bottom"/>
          </w:tcPr>
          <w:p>
            <w:pPr>
              <w:spacing w:after="0"/>
              <w:rPr>
                <w:sz w:val="18"/>
                <w:szCs w:val="18"/>
                <w:color w:val="auto"/>
              </w:rPr>
            </w:pPr>
          </w:p>
        </w:tc>
        <w:tc>
          <w:tcPr>
            <w:tcW w:w="1080" w:type="dxa"/>
            <w:vAlign w:val="bottom"/>
          </w:tcPr>
          <w:p>
            <w:pPr>
              <w:jc w:val="right"/>
              <w:ind w:right="390"/>
              <w:spacing w:after="0"/>
              <w:rPr>
                <w:sz w:val="20"/>
                <w:szCs w:val="20"/>
                <w:color w:val="auto"/>
              </w:rPr>
            </w:pPr>
            <w:r>
              <w:rPr>
                <w:rFonts w:ascii="Arial" w:cs="Arial" w:eastAsia="Arial" w:hAnsi="Arial"/>
                <w:sz w:val="18"/>
                <w:szCs w:val="18"/>
                <w:color w:val="auto"/>
              </w:rPr>
              <w:t>50</w:t>
            </w:r>
          </w:p>
        </w:tc>
      </w:tr>
      <w:tr>
        <w:trPr>
          <w:trHeight w:val="216"/>
        </w:trPr>
        <w:tc>
          <w:tcPr>
            <w:tcW w:w="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6.14</w:t>
            </w:r>
          </w:p>
        </w:tc>
        <w:tc>
          <w:tcPr>
            <w:tcW w:w="49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w:t>
            </w:r>
            <w:r>
              <w:rPr>
                <w:rFonts w:ascii="Arial" w:cs="Arial" w:eastAsia="Arial" w:hAnsi="Arial"/>
                <w:sz w:val="12"/>
                <w:szCs w:val="12"/>
                <w:color w:val="auto"/>
              </w:rPr>
              <w:t>ale</w:t>
            </w:r>
            <w:r>
              <w:rPr>
                <w:rFonts w:ascii="Arial" w:cs="Arial" w:eastAsia="Arial" w:hAnsi="Arial"/>
                <w:sz w:val="18"/>
                <w:szCs w:val="18"/>
                <w:color w:val="auto"/>
              </w:rPr>
              <w:t xml:space="preserve"> L</w:t>
            </w:r>
            <w:r>
              <w:rPr>
                <w:rFonts w:ascii="Arial" w:cs="Arial" w:eastAsia="Arial" w:hAnsi="Arial"/>
                <w:sz w:val="12"/>
                <w:szCs w:val="12"/>
                <w:color w:val="auto"/>
              </w:rPr>
              <w:t>easeback</w:t>
            </w:r>
            <w:r>
              <w:rPr>
                <w:rFonts w:ascii="Arial" w:cs="Arial" w:eastAsia="Arial" w:hAnsi="Arial"/>
                <w:sz w:val="18"/>
                <w:szCs w:val="18"/>
                <w:color w:val="auto"/>
              </w:rPr>
              <w:t xml:space="preserve"> T</w:t>
            </w:r>
            <w:r>
              <w:rPr>
                <w:rFonts w:ascii="Arial" w:cs="Arial" w:eastAsia="Arial" w:hAnsi="Arial"/>
                <w:sz w:val="12"/>
                <w:szCs w:val="12"/>
                <w:color w:val="auto"/>
              </w:rPr>
              <w:t>ransactions</w:t>
            </w:r>
          </w:p>
        </w:tc>
        <w:tc>
          <w:tcPr>
            <w:tcW w:w="460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50</w:t>
            </w:r>
          </w:p>
        </w:tc>
      </w:tr>
      <w:tr>
        <w:trPr>
          <w:trHeight w:val="216"/>
        </w:trPr>
        <w:tc>
          <w:tcPr>
            <w:tcW w:w="640" w:type="dxa"/>
            <w:vAlign w:val="bottom"/>
          </w:tcPr>
          <w:p>
            <w:pPr>
              <w:ind w:left="180"/>
              <w:spacing w:after="0"/>
              <w:rPr>
                <w:sz w:val="20"/>
                <w:szCs w:val="20"/>
                <w:color w:val="auto"/>
              </w:rPr>
            </w:pPr>
            <w:r>
              <w:rPr>
                <w:rFonts w:ascii="Arial" w:cs="Arial" w:eastAsia="Arial" w:hAnsi="Arial"/>
                <w:sz w:val="18"/>
                <w:szCs w:val="18"/>
                <w:color w:val="auto"/>
              </w:rPr>
              <w:t>6.15</w:t>
            </w:r>
          </w:p>
        </w:tc>
        <w:tc>
          <w:tcPr>
            <w:tcW w:w="4920" w:type="dxa"/>
            <w:vAlign w:val="bottom"/>
          </w:tcPr>
          <w:p>
            <w:pPr>
              <w:ind w:left="160"/>
              <w:spacing w:after="0"/>
              <w:rPr>
                <w:sz w:val="20"/>
                <w:szCs w:val="20"/>
                <w:color w:val="auto"/>
              </w:rPr>
            </w:pPr>
            <w:r>
              <w:rPr>
                <w:rFonts w:ascii="Arial" w:cs="Arial" w:eastAsia="Arial" w:hAnsi="Arial"/>
                <w:sz w:val="18"/>
                <w:szCs w:val="18"/>
                <w:color w:val="auto"/>
              </w:rPr>
              <w:t>G</w:t>
            </w:r>
            <w:r>
              <w:rPr>
                <w:rFonts w:ascii="Arial" w:cs="Arial" w:eastAsia="Arial" w:hAnsi="Arial"/>
                <w:sz w:val="12"/>
                <w:szCs w:val="12"/>
                <w:color w:val="auto"/>
              </w:rPr>
              <w:t>uaranty</w:t>
            </w:r>
          </w:p>
        </w:tc>
        <w:tc>
          <w:tcPr>
            <w:tcW w:w="4600" w:type="dxa"/>
            <w:vAlign w:val="bottom"/>
          </w:tcPr>
          <w:p>
            <w:pPr>
              <w:spacing w:after="0"/>
              <w:rPr>
                <w:sz w:val="18"/>
                <w:szCs w:val="18"/>
                <w:color w:val="auto"/>
              </w:rPr>
            </w:pPr>
          </w:p>
        </w:tc>
        <w:tc>
          <w:tcPr>
            <w:tcW w:w="1080" w:type="dxa"/>
            <w:vAlign w:val="bottom"/>
          </w:tcPr>
          <w:p>
            <w:pPr>
              <w:jc w:val="right"/>
              <w:ind w:right="390"/>
              <w:spacing w:after="0"/>
              <w:rPr>
                <w:sz w:val="20"/>
                <w:szCs w:val="20"/>
                <w:color w:val="auto"/>
              </w:rPr>
            </w:pPr>
            <w:r>
              <w:rPr>
                <w:rFonts w:ascii="Arial" w:cs="Arial" w:eastAsia="Arial" w:hAnsi="Arial"/>
                <w:sz w:val="18"/>
                <w:szCs w:val="18"/>
                <w:color w:val="auto"/>
              </w:rPr>
              <w:t>50</w:t>
            </w:r>
          </w:p>
        </w:tc>
      </w:tr>
      <w:tr>
        <w:trPr>
          <w:trHeight w:val="216"/>
        </w:trPr>
        <w:tc>
          <w:tcPr>
            <w:tcW w:w="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6.16</w:t>
            </w:r>
          </w:p>
        </w:tc>
        <w:tc>
          <w:tcPr>
            <w:tcW w:w="49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w:t>
            </w:r>
            <w:r>
              <w:rPr>
                <w:rFonts w:ascii="Arial" w:cs="Arial" w:eastAsia="Arial" w:hAnsi="Arial"/>
                <w:sz w:val="12"/>
                <w:szCs w:val="12"/>
                <w:color w:val="auto"/>
              </w:rPr>
              <w:t>o</w:t>
            </w:r>
            <w:r>
              <w:rPr>
                <w:rFonts w:ascii="Arial" w:cs="Arial" w:eastAsia="Arial" w:hAnsi="Arial"/>
                <w:sz w:val="18"/>
                <w:szCs w:val="18"/>
                <w:color w:val="auto"/>
              </w:rPr>
              <w:t xml:space="preserve"> B</w:t>
            </w:r>
            <w:r>
              <w:rPr>
                <w:rFonts w:ascii="Arial" w:cs="Arial" w:eastAsia="Arial" w:hAnsi="Arial"/>
                <w:sz w:val="12"/>
                <w:szCs w:val="12"/>
                <w:color w:val="auto"/>
              </w:rPr>
              <w:t>urdensome</w:t>
            </w:r>
            <w:r>
              <w:rPr>
                <w:rFonts w:ascii="Arial" w:cs="Arial" w:eastAsia="Arial" w:hAnsi="Arial"/>
                <w:sz w:val="18"/>
                <w:szCs w:val="18"/>
                <w:color w:val="auto"/>
              </w:rPr>
              <w:t xml:space="preserve"> R</w:t>
            </w:r>
            <w:r>
              <w:rPr>
                <w:rFonts w:ascii="Arial" w:cs="Arial" w:eastAsia="Arial" w:hAnsi="Arial"/>
                <w:sz w:val="12"/>
                <w:szCs w:val="12"/>
                <w:color w:val="auto"/>
              </w:rPr>
              <w:t>estrictions</w:t>
            </w:r>
          </w:p>
        </w:tc>
        <w:tc>
          <w:tcPr>
            <w:tcW w:w="460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50</w:t>
            </w:r>
          </w:p>
        </w:tc>
      </w:tr>
      <w:tr>
        <w:trPr>
          <w:trHeight w:val="216"/>
        </w:trPr>
        <w:tc>
          <w:tcPr>
            <w:tcW w:w="640" w:type="dxa"/>
            <w:vAlign w:val="bottom"/>
          </w:tcPr>
          <w:p>
            <w:pPr>
              <w:ind w:left="180"/>
              <w:spacing w:after="0"/>
              <w:rPr>
                <w:sz w:val="20"/>
                <w:szCs w:val="20"/>
                <w:color w:val="auto"/>
              </w:rPr>
            </w:pPr>
            <w:r>
              <w:rPr>
                <w:rFonts w:ascii="Arial" w:cs="Arial" w:eastAsia="Arial" w:hAnsi="Arial"/>
                <w:sz w:val="18"/>
                <w:szCs w:val="18"/>
                <w:color w:val="auto"/>
              </w:rPr>
              <w:t>6.17</w:t>
            </w:r>
          </w:p>
        </w:tc>
        <w:tc>
          <w:tcPr>
            <w:tcW w:w="4920" w:type="dxa"/>
            <w:vAlign w:val="bottom"/>
          </w:tcPr>
          <w:p>
            <w:pPr>
              <w:ind w:left="160"/>
              <w:spacing w:after="0"/>
              <w:rPr>
                <w:sz w:val="20"/>
                <w:szCs w:val="20"/>
                <w:color w:val="auto"/>
              </w:rPr>
            </w:pPr>
            <w:r>
              <w:rPr>
                <w:rFonts w:ascii="Arial" w:cs="Arial" w:eastAsia="Arial" w:hAnsi="Arial"/>
                <w:sz w:val="18"/>
                <w:szCs w:val="18"/>
                <w:color w:val="auto"/>
              </w:rPr>
              <w:t>F</w:t>
            </w:r>
            <w:r>
              <w:rPr>
                <w:rFonts w:ascii="Arial" w:cs="Arial" w:eastAsia="Arial" w:hAnsi="Arial"/>
                <w:sz w:val="12"/>
                <w:szCs w:val="12"/>
                <w:color w:val="auto"/>
              </w:rPr>
              <w:t>inancial</w:t>
            </w:r>
            <w:r>
              <w:rPr>
                <w:rFonts w:ascii="Arial" w:cs="Arial" w:eastAsia="Arial" w:hAnsi="Arial"/>
                <w:sz w:val="18"/>
                <w:szCs w:val="18"/>
                <w:color w:val="auto"/>
              </w:rPr>
              <w:t xml:space="preserve"> C</w:t>
            </w:r>
            <w:r>
              <w:rPr>
                <w:rFonts w:ascii="Arial" w:cs="Arial" w:eastAsia="Arial" w:hAnsi="Arial"/>
                <w:sz w:val="12"/>
                <w:szCs w:val="12"/>
                <w:color w:val="auto"/>
              </w:rPr>
              <w:t>ovenants</w:t>
            </w:r>
          </w:p>
        </w:tc>
        <w:tc>
          <w:tcPr>
            <w:tcW w:w="4600" w:type="dxa"/>
            <w:vAlign w:val="bottom"/>
          </w:tcPr>
          <w:p>
            <w:pPr>
              <w:spacing w:after="0"/>
              <w:rPr>
                <w:sz w:val="18"/>
                <w:szCs w:val="18"/>
                <w:color w:val="auto"/>
              </w:rPr>
            </w:pPr>
          </w:p>
        </w:tc>
        <w:tc>
          <w:tcPr>
            <w:tcW w:w="1080" w:type="dxa"/>
            <w:vAlign w:val="bottom"/>
          </w:tcPr>
          <w:p>
            <w:pPr>
              <w:jc w:val="right"/>
              <w:ind w:right="390"/>
              <w:spacing w:after="0"/>
              <w:rPr>
                <w:sz w:val="20"/>
                <w:szCs w:val="20"/>
                <w:color w:val="auto"/>
              </w:rPr>
            </w:pPr>
            <w:r>
              <w:rPr>
                <w:rFonts w:ascii="Arial" w:cs="Arial" w:eastAsia="Arial" w:hAnsi="Arial"/>
                <w:sz w:val="18"/>
                <w:szCs w:val="18"/>
                <w:color w:val="auto"/>
              </w:rPr>
              <w:t>50</w:t>
            </w:r>
          </w:p>
        </w:tc>
      </w:tr>
      <w:tr>
        <w:trPr>
          <w:trHeight w:val="216"/>
        </w:trPr>
        <w:tc>
          <w:tcPr>
            <w:tcW w:w="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6.18</w:t>
            </w:r>
          </w:p>
        </w:tc>
        <w:tc>
          <w:tcPr>
            <w:tcW w:w="49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w:t>
            </w:r>
            <w:r>
              <w:rPr>
                <w:rFonts w:ascii="Arial" w:cs="Arial" w:eastAsia="Arial" w:hAnsi="Arial"/>
                <w:sz w:val="12"/>
                <w:szCs w:val="12"/>
                <w:color w:val="auto"/>
              </w:rPr>
              <w:t>hange of</w:t>
            </w:r>
            <w:r>
              <w:rPr>
                <w:rFonts w:ascii="Arial" w:cs="Arial" w:eastAsia="Arial" w:hAnsi="Arial"/>
                <w:sz w:val="18"/>
                <w:szCs w:val="18"/>
                <w:color w:val="auto"/>
              </w:rPr>
              <w:t xml:space="preserve"> C</w:t>
            </w:r>
            <w:r>
              <w:rPr>
                <w:rFonts w:ascii="Arial" w:cs="Arial" w:eastAsia="Arial" w:hAnsi="Arial"/>
                <w:sz w:val="12"/>
                <w:szCs w:val="12"/>
                <w:color w:val="auto"/>
              </w:rPr>
              <w:t>ontrol</w:t>
            </w:r>
          </w:p>
        </w:tc>
        <w:tc>
          <w:tcPr>
            <w:tcW w:w="460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51</w:t>
            </w:r>
          </w:p>
        </w:tc>
      </w:tr>
      <w:tr>
        <w:trPr>
          <w:trHeight w:val="682"/>
        </w:trPr>
        <w:tc>
          <w:tcPr>
            <w:tcW w:w="55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Presto Credit Agreement</w:t>
            </w:r>
          </w:p>
        </w:tc>
        <w:tc>
          <w:tcPr>
            <w:tcW w:w="46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ii</w:t>
            </w:r>
          </w:p>
        </w:tc>
        <w:tc>
          <w:tcPr>
            <w:tcW w:w="10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49" w:right="339" w:bottom="1440" w:gutter="0" w:footer="0" w:header="0"/>
        </w:sectPr>
      </w:pPr>
    </w:p>
    <w:bookmarkStart w:id="85" w:name="page86"/>
    <w:bookmarkEnd w:id="8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SECTION 7 EVENTS OF DEFAULT</w:t>
            </w:r>
          </w:p>
        </w:tc>
        <w:tc>
          <w:tcPr>
            <w:tcW w:w="622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52</w:t>
            </w:r>
          </w:p>
        </w:tc>
      </w:tr>
      <w:tr>
        <w:trPr>
          <w:trHeight w:val="216"/>
        </w:trPr>
        <w:tc>
          <w:tcPr>
            <w:tcW w:w="640" w:type="dxa"/>
            <w:vAlign w:val="bottom"/>
          </w:tcPr>
          <w:p>
            <w:pPr>
              <w:spacing w:after="0"/>
              <w:rPr>
                <w:sz w:val="18"/>
                <w:szCs w:val="18"/>
                <w:color w:val="auto"/>
              </w:rPr>
            </w:pPr>
          </w:p>
        </w:tc>
        <w:tc>
          <w:tcPr>
            <w:tcW w:w="4380" w:type="dxa"/>
            <w:vAlign w:val="bottom"/>
          </w:tcPr>
          <w:p>
            <w:pPr>
              <w:spacing w:after="0"/>
              <w:rPr>
                <w:sz w:val="18"/>
                <w:szCs w:val="18"/>
                <w:color w:val="auto"/>
              </w:rPr>
            </w:pPr>
          </w:p>
        </w:tc>
        <w:tc>
          <w:tcPr>
            <w:tcW w:w="6220" w:type="dxa"/>
            <w:vAlign w:val="bottom"/>
          </w:tcPr>
          <w:p>
            <w:pPr>
              <w:spacing w:after="0"/>
              <w:rPr>
                <w:sz w:val="18"/>
                <w:szCs w:val="18"/>
                <w:color w:val="auto"/>
              </w:rPr>
            </w:pPr>
          </w:p>
        </w:tc>
      </w:tr>
      <w:tr>
        <w:trPr>
          <w:trHeight w:val="216"/>
        </w:trPr>
        <w:tc>
          <w:tcPr>
            <w:tcW w:w="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7.1</w:t>
            </w:r>
          </w:p>
        </w:tc>
        <w:tc>
          <w:tcPr>
            <w:tcW w:w="43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w:t>
            </w:r>
            <w:r>
              <w:rPr>
                <w:rFonts w:ascii="Arial" w:cs="Arial" w:eastAsia="Arial" w:hAnsi="Arial"/>
                <w:sz w:val="12"/>
                <w:szCs w:val="12"/>
                <w:color w:val="auto"/>
              </w:rPr>
              <w:t>vents of</w:t>
            </w:r>
            <w:r>
              <w:rPr>
                <w:rFonts w:ascii="Arial" w:cs="Arial" w:eastAsia="Arial" w:hAnsi="Arial"/>
                <w:sz w:val="18"/>
                <w:szCs w:val="18"/>
                <w:color w:val="auto"/>
              </w:rPr>
              <w:t xml:space="preserve"> D</w:t>
            </w:r>
            <w:r>
              <w:rPr>
                <w:rFonts w:ascii="Arial" w:cs="Arial" w:eastAsia="Arial" w:hAnsi="Arial"/>
                <w:sz w:val="12"/>
                <w:szCs w:val="12"/>
                <w:color w:val="auto"/>
              </w:rPr>
              <w:t>efault</w:t>
            </w:r>
          </w:p>
        </w:tc>
        <w:tc>
          <w:tcPr>
            <w:tcW w:w="622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52</w:t>
            </w:r>
          </w:p>
        </w:tc>
      </w:tr>
      <w:tr>
        <w:trPr>
          <w:trHeight w:val="216"/>
        </w:trPr>
        <w:tc>
          <w:tcPr>
            <w:tcW w:w="640" w:type="dxa"/>
            <w:vAlign w:val="bottom"/>
          </w:tcPr>
          <w:p>
            <w:pPr>
              <w:ind w:left="180"/>
              <w:spacing w:after="0"/>
              <w:rPr>
                <w:sz w:val="20"/>
                <w:szCs w:val="20"/>
                <w:color w:val="auto"/>
              </w:rPr>
            </w:pPr>
            <w:r>
              <w:rPr>
                <w:rFonts w:ascii="Arial" w:cs="Arial" w:eastAsia="Arial" w:hAnsi="Arial"/>
                <w:sz w:val="18"/>
                <w:szCs w:val="18"/>
                <w:color w:val="auto"/>
              </w:rPr>
              <w:t>7.2</w:t>
            </w:r>
          </w:p>
        </w:tc>
        <w:tc>
          <w:tcPr>
            <w:tcW w:w="4380" w:type="dxa"/>
            <w:vAlign w:val="bottom"/>
          </w:tcPr>
          <w:p>
            <w:pPr>
              <w:ind w:left="160"/>
              <w:spacing w:after="0"/>
              <w:rPr>
                <w:sz w:val="20"/>
                <w:szCs w:val="20"/>
                <w:color w:val="auto"/>
              </w:rPr>
            </w:pPr>
            <w:r>
              <w:rPr>
                <w:rFonts w:ascii="Arial" w:cs="Arial" w:eastAsia="Arial" w:hAnsi="Arial"/>
                <w:sz w:val="18"/>
                <w:szCs w:val="18"/>
                <w:color w:val="auto"/>
              </w:rPr>
              <w:t>R</w:t>
            </w:r>
            <w:r>
              <w:rPr>
                <w:rFonts w:ascii="Arial" w:cs="Arial" w:eastAsia="Arial" w:hAnsi="Arial"/>
                <w:sz w:val="12"/>
                <w:szCs w:val="12"/>
                <w:color w:val="auto"/>
              </w:rPr>
              <w:t>emedies</w:t>
            </w:r>
            <w:r>
              <w:rPr>
                <w:rFonts w:ascii="Arial" w:cs="Arial" w:eastAsia="Arial" w:hAnsi="Arial"/>
                <w:sz w:val="18"/>
                <w:szCs w:val="18"/>
                <w:color w:val="auto"/>
              </w:rPr>
              <w:t xml:space="preserve"> U</w:t>
            </w:r>
            <w:r>
              <w:rPr>
                <w:rFonts w:ascii="Arial" w:cs="Arial" w:eastAsia="Arial" w:hAnsi="Arial"/>
                <w:sz w:val="12"/>
                <w:szCs w:val="12"/>
                <w:color w:val="auto"/>
              </w:rPr>
              <w:t>pon</w:t>
            </w:r>
            <w:r>
              <w:rPr>
                <w:rFonts w:ascii="Arial" w:cs="Arial" w:eastAsia="Arial" w:hAnsi="Arial"/>
                <w:sz w:val="18"/>
                <w:szCs w:val="18"/>
                <w:color w:val="auto"/>
              </w:rPr>
              <w:t xml:space="preserve"> E</w:t>
            </w:r>
            <w:r>
              <w:rPr>
                <w:rFonts w:ascii="Arial" w:cs="Arial" w:eastAsia="Arial" w:hAnsi="Arial"/>
                <w:sz w:val="12"/>
                <w:szCs w:val="12"/>
                <w:color w:val="auto"/>
              </w:rPr>
              <w:t>vent of</w:t>
            </w:r>
            <w:r>
              <w:rPr>
                <w:rFonts w:ascii="Arial" w:cs="Arial" w:eastAsia="Arial" w:hAnsi="Arial"/>
                <w:sz w:val="18"/>
                <w:szCs w:val="18"/>
                <w:color w:val="auto"/>
              </w:rPr>
              <w:t xml:space="preserve"> D</w:t>
            </w:r>
            <w:r>
              <w:rPr>
                <w:rFonts w:ascii="Arial" w:cs="Arial" w:eastAsia="Arial" w:hAnsi="Arial"/>
                <w:sz w:val="12"/>
                <w:szCs w:val="12"/>
                <w:color w:val="auto"/>
              </w:rPr>
              <w:t>efault</w:t>
            </w:r>
          </w:p>
        </w:tc>
        <w:tc>
          <w:tcPr>
            <w:tcW w:w="6220" w:type="dxa"/>
            <w:vAlign w:val="bottom"/>
          </w:tcPr>
          <w:p>
            <w:pPr>
              <w:jc w:val="right"/>
              <w:ind w:right="390"/>
              <w:spacing w:after="0"/>
              <w:rPr>
                <w:sz w:val="20"/>
                <w:szCs w:val="20"/>
                <w:color w:val="auto"/>
              </w:rPr>
            </w:pPr>
            <w:r>
              <w:rPr>
                <w:rFonts w:ascii="Arial" w:cs="Arial" w:eastAsia="Arial" w:hAnsi="Arial"/>
                <w:sz w:val="18"/>
                <w:szCs w:val="18"/>
                <w:color w:val="auto"/>
              </w:rPr>
              <w:t>54</w:t>
            </w:r>
          </w:p>
        </w:tc>
      </w:tr>
      <w:tr>
        <w:trPr>
          <w:trHeight w:val="216"/>
        </w:trPr>
        <w:tc>
          <w:tcPr>
            <w:tcW w:w="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7.3</w:t>
            </w:r>
          </w:p>
        </w:tc>
        <w:tc>
          <w:tcPr>
            <w:tcW w:w="43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w:t>
            </w:r>
            <w:r>
              <w:rPr>
                <w:rFonts w:ascii="Arial" w:cs="Arial" w:eastAsia="Arial" w:hAnsi="Arial"/>
                <w:sz w:val="12"/>
                <w:szCs w:val="12"/>
                <w:color w:val="auto"/>
              </w:rPr>
              <w:t>pplication of</w:t>
            </w:r>
            <w:r>
              <w:rPr>
                <w:rFonts w:ascii="Arial" w:cs="Arial" w:eastAsia="Arial" w:hAnsi="Arial"/>
                <w:sz w:val="18"/>
                <w:szCs w:val="18"/>
                <w:color w:val="auto"/>
              </w:rPr>
              <w:t xml:space="preserve"> F</w:t>
            </w:r>
            <w:r>
              <w:rPr>
                <w:rFonts w:ascii="Arial" w:cs="Arial" w:eastAsia="Arial" w:hAnsi="Arial"/>
                <w:sz w:val="12"/>
                <w:szCs w:val="12"/>
                <w:color w:val="auto"/>
              </w:rPr>
              <w:t>unds</w:t>
            </w:r>
          </w:p>
        </w:tc>
        <w:tc>
          <w:tcPr>
            <w:tcW w:w="622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55</w:t>
            </w:r>
          </w:p>
        </w:tc>
      </w:tr>
      <w:tr>
        <w:trPr>
          <w:trHeight w:val="216"/>
        </w:trPr>
        <w:tc>
          <w:tcPr>
            <w:tcW w:w="5020" w:type="dxa"/>
            <w:vAlign w:val="bottom"/>
            <w:gridSpan w:val="2"/>
          </w:tcPr>
          <w:p>
            <w:pPr>
              <w:spacing w:after="0"/>
              <w:rPr>
                <w:sz w:val="18"/>
                <w:szCs w:val="18"/>
                <w:color w:val="auto"/>
              </w:rPr>
            </w:pPr>
          </w:p>
        </w:tc>
        <w:tc>
          <w:tcPr>
            <w:tcW w:w="6220" w:type="dxa"/>
            <w:vAlign w:val="bottom"/>
          </w:tcPr>
          <w:p>
            <w:pPr>
              <w:spacing w:after="0"/>
              <w:rPr>
                <w:sz w:val="18"/>
                <w:szCs w:val="18"/>
                <w:color w:val="auto"/>
              </w:rPr>
            </w:pPr>
          </w:p>
        </w:tc>
      </w:tr>
      <w:tr>
        <w:trPr>
          <w:trHeight w:val="216"/>
        </w:trPr>
        <w:tc>
          <w:tcPr>
            <w:tcW w:w="5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SECTION 8 MISCELLANEOUS</w:t>
            </w:r>
          </w:p>
        </w:tc>
        <w:tc>
          <w:tcPr>
            <w:tcW w:w="622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56</w:t>
            </w:r>
          </w:p>
        </w:tc>
      </w:tr>
      <w:tr>
        <w:trPr>
          <w:trHeight w:val="216"/>
        </w:trPr>
        <w:tc>
          <w:tcPr>
            <w:tcW w:w="640" w:type="dxa"/>
            <w:vAlign w:val="bottom"/>
          </w:tcPr>
          <w:p>
            <w:pPr>
              <w:spacing w:after="0"/>
              <w:rPr>
                <w:sz w:val="18"/>
                <w:szCs w:val="18"/>
                <w:color w:val="auto"/>
              </w:rPr>
            </w:pPr>
          </w:p>
        </w:tc>
        <w:tc>
          <w:tcPr>
            <w:tcW w:w="4380" w:type="dxa"/>
            <w:vAlign w:val="bottom"/>
          </w:tcPr>
          <w:p>
            <w:pPr>
              <w:spacing w:after="0"/>
              <w:rPr>
                <w:sz w:val="18"/>
                <w:szCs w:val="18"/>
                <w:color w:val="auto"/>
              </w:rPr>
            </w:pPr>
          </w:p>
        </w:tc>
        <w:tc>
          <w:tcPr>
            <w:tcW w:w="6220" w:type="dxa"/>
            <w:vAlign w:val="bottom"/>
          </w:tcPr>
          <w:p>
            <w:pPr>
              <w:spacing w:after="0"/>
              <w:rPr>
                <w:sz w:val="18"/>
                <w:szCs w:val="18"/>
                <w:color w:val="auto"/>
              </w:rPr>
            </w:pPr>
          </w:p>
        </w:tc>
      </w:tr>
      <w:tr>
        <w:trPr>
          <w:trHeight w:val="216"/>
        </w:trPr>
        <w:tc>
          <w:tcPr>
            <w:tcW w:w="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8.1</w:t>
            </w:r>
          </w:p>
        </w:tc>
        <w:tc>
          <w:tcPr>
            <w:tcW w:w="43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w:t>
            </w:r>
            <w:r>
              <w:rPr>
                <w:rFonts w:ascii="Arial" w:cs="Arial" w:eastAsia="Arial" w:hAnsi="Arial"/>
                <w:sz w:val="12"/>
                <w:szCs w:val="12"/>
                <w:color w:val="auto"/>
              </w:rPr>
              <w:t>mendments and</w:t>
            </w:r>
            <w:r>
              <w:rPr>
                <w:rFonts w:ascii="Arial" w:cs="Arial" w:eastAsia="Arial" w:hAnsi="Arial"/>
                <w:sz w:val="18"/>
                <w:szCs w:val="18"/>
                <w:color w:val="auto"/>
              </w:rPr>
              <w:t xml:space="preserve"> W</w:t>
            </w:r>
            <w:r>
              <w:rPr>
                <w:rFonts w:ascii="Arial" w:cs="Arial" w:eastAsia="Arial" w:hAnsi="Arial"/>
                <w:sz w:val="12"/>
                <w:szCs w:val="12"/>
                <w:color w:val="auto"/>
              </w:rPr>
              <w:t>aivers</w:t>
            </w:r>
          </w:p>
        </w:tc>
        <w:tc>
          <w:tcPr>
            <w:tcW w:w="622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56</w:t>
            </w:r>
          </w:p>
        </w:tc>
      </w:tr>
      <w:tr>
        <w:trPr>
          <w:trHeight w:val="216"/>
        </w:trPr>
        <w:tc>
          <w:tcPr>
            <w:tcW w:w="640" w:type="dxa"/>
            <w:vAlign w:val="bottom"/>
          </w:tcPr>
          <w:p>
            <w:pPr>
              <w:ind w:left="180"/>
              <w:spacing w:after="0"/>
              <w:rPr>
                <w:sz w:val="20"/>
                <w:szCs w:val="20"/>
                <w:color w:val="auto"/>
              </w:rPr>
            </w:pPr>
            <w:r>
              <w:rPr>
                <w:rFonts w:ascii="Arial" w:cs="Arial" w:eastAsia="Arial" w:hAnsi="Arial"/>
                <w:sz w:val="18"/>
                <w:szCs w:val="18"/>
                <w:color w:val="auto"/>
              </w:rPr>
              <w:t>8.2</w:t>
            </w:r>
          </w:p>
        </w:tc>
        <w:tc>
          <w:tcPr>
            <w:tcW w:w="4380" w:type="dxa"/>
            <w:vAlign w:val="bottom"/>
          </w:tcPr>
          <w:p>
            <w:pPr>
              <w:ind w:left="160"/>
              <w:spacing w:after="0"/>
              <w:rPr>
                <w:sz w:val="20"/>
                <w:szCs w:val="20"/>
                <w:color w:val="auto"/>
              </w:rPr>
            </w:pPr>
            <w:r>
              <w:rPr>
                <w:rFonts w:ascii="Arial" w:cs="Arial" w:eastAsia="Arial" w:hAnsi="Arial"/>
                <w:sz w:val="18"/>
                <w:szCs w:val="18"/>
                <w:color w:val="auto"/>
              </w:rPr>
              <w:t>N</w:t>
            </w:r>
            <w:r>
              <w:rPr>
                <w:rFonts w:ascii="Arial" w:cs="Arial" w:eastAsia="Arial" w:hAnsi="Arial"/>
                <w:sz w:val="12"/>
                <w:szCs w:val="12"/>
                <w:color w:val="auto"/>
              </w:rPr>
              <w:t>otices</w:t>
            </w:r>
          </w:p>
        </w:tc>
        <w:tc>
          <w:tcPr>
            <w:tcW w:w="6220" w:type="dxa"/>
            <w:vAlign w:val="bottom"/>
          </w:tcPr>
          <w:p>
            <w:pPr>
              <w:jc w:val="right"/>
              <w:ind w:right="390"/>
              <w:spacing w:after="0"/>
              <w:rPr>
                <w:sz w:val="20"/>
                <w:szCs w:val="20"/>
                <w:color w:val="auto"/>
              </w:rPr>
            </w:pPr>
            <w:r>
              <w:rPr>
                <w:rFonts w:ascii="Arial" w:cs="Arial" w:eastAsia="Arial" w:hAnsi="Arial"/>
                <w:sz w:val="18"/>
                <w:szCs w:val="18"/>
                <w:color w:val="auto"/>
              </w:rPr>
              <w:t>57</w:t>
            </w:r>
          </w:p>
        </w:tc>
      </w:tr>
      <w:tr>
        <w:trPr>
          <w:trHeight w:val="216"/>
        </w:trPr>
        <w:tc>
          <w:tcPr>
            <w:tcW w:w="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8.3</w:t>
            </w:r>
          </w:p>
        </w:tc>
        <w:tc>
          <w:tcPr>
            <w:tcW w:w="43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w:t>
            </w:r>
            <w:r>
              <w:rPr>
                <w:rFonts w:ascii="Arial" w:cs="Arial" w:eastAsia="Arial" w:hAnsi="Arial"/>
                <w:sz w:val="12"/>
                <w:szCs w:val="12"/>
                <w:color w:val="auto"/>
              </w:rPr>
              <w:t>o</w:t>
            </w:r>
            <w:r>
              <w:rPr>
                <w:rFonts w:ascii="Arial" w:cs="Arial" w:eastAsia="Arial" w:hAnsi="Arial"/>
                <w:sz w:val="18"/>
                <w:szCs w:val="18"/>
                <w:color w:val="auto"/>
              </w:rPr>
              <w:t xml:space="preserve"> W</w:t>
            </w:r>
            <w:r>
              <w:rPr>
                <w:rFonts w:ascii="Arial" w:cs="Arial" w:eastAsia="Arial" w:hAnsi="Arial"/>
                <w:sz w:val="12"/>
                <w:szCs w:val="12"/>
                <w:color w:val="auto"/>
              </w:rPr>
              <w:t>aiver</w:t>
            </w:r>
            <w:r>
              <w:rPr>
                <w:rFonts w:ascii="Arial" w:cs="Arial" w:eastAsia="Arial" w:hAnsi="Arial"/>
                <w:sz w:val="18"/>
                <w:szCs w:val="18"/>
                <w:color w:val="auto"/>
              </w:rPr>
              <w:t>; C</w:t>
            </w:r>
            <w:r>
              <w:rPr>
                <w:rFonts w:ascii="Arial" w:cs="Arial" w:eastAsia="Arial" w:hAnsi="Arial"/>
                <w:sz w:val="12"/>
                <w:szCs w:val="12"/>
                <w:color w:val="auto"/>
              </w:rPr>
              <w:t>umulative</w:t>
            </w:r>
            <w:r>
              <w:rPr>
                <w:rFonts w:ascii="Arial" w:cs="Arial" w:eastAsia="Arial" w:hAnsi="Arial"/>
                <w:sz w:val="18"/>
                <w:szCs w:val="18"/>
                <w:color w:val="auto"/>
              </w:rPr>
              <w:t xml:space="preserve"> R</w:t>
            </w:r>
            <w:r>
              <w:rPr>
                <w:rFonts w:ascii="Arial" w:cs="Arial" w:eastAsia="Arial" w:hAnsi="Arial"/>
                <w:sz w:val="12"/>
                <w:szCs w:val="12"/>
                <w:color w:val="auto"/>
              </w:rPr>
              <w:t>emedies</w:t>
            </w:r>
          </w:p>
        </w:tc>
        <w:tc>
          <w:tcPr>
            <w:tcW w:w="622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58</w:t>
            </w:r>
          </w:p>
        </w:tc>
      </w:tr>
      <w:tr>
        <w:trPr>
          <w:trHeight w:val="216"/>
        </w:trPr>
        <w:tc>
          <w:tcPr>
            <w:tcW w:w="640" w:type="dxa"/>
            <w:vAlign w:val="bottom"/>
          </w:tcPr>
          <w:p>
            <w:pPr>
              <w:ind w:left="180"/>
              <w:spacing w:after="0"/>
              <w:rPr>
                <w:sz w:val="20"/>
                <w:szCs w:val="20"/>
                <w:color w:val="auto"/>
              </w:rPr>
            </w:pPr>
            <w:r>
              <w:rPr>
                <w:rFonts w:ascii="Arial" w:cs="Arial" w:eastAsia="Arial" w:hAnsi="Arial"/>
                <w:sz w:val="18"/>
                <w:szCs w:val="18"/>
                <w:color w:val="auto"/>
              </w:rPr>
              <w:t>8.4</w:t>
            </w:r>
          </w:p>
        </w:tc>
        <w:tc>
          <w:tcPr>
            <w:tcW w:w="4380" w:type="dxa"/>
            <w:vAlign w:val="bottom"/>
          </w:tcPr>
          <w:p>
            <w:pPr>
              <w:ind w:left="160"/>
              <w:spacing w:after="0"/>
              <w:rPr>
                <w:sz w:val="20"/>
                <w:szCs w:val="20"/>
                <w:color w:val="auto"/>
              </w:rPr>
            </w:pPr>
            <w:r>
              <w:rPr>
                <w:rFonts w:ascii="Arial" w:cs="Arial" w:eastAsia="Arial" w:hAnsi="Arial"/>
                <w:sz w:val="18"/>
                <w:szCs w:val="18"/>
                <w:color w:val="auto"/>
              </w:rPr>
              <w:t>S</w:t>
            </w:r>
            <w:r>
              <w:rPr>
                <w:rFonts w:ascii="Arial" w:cs="Arial" w:eastAsia="Arial" w:hAnsi="Arial"/>
                <w:sz w:val="12"/>
                <w:szCs w:val="12"/>
                <w:color w:val="auto"/>
              </w:rPr>
              <w:t>urvival of</w:t>
            </w:r>
            <w:r>
              <w:rPr>
                <w:rFonts w:ascii="Arial" w:cs="Arial" w:eastAsia="Arial" w:hAnsi="Arial"/>
                <w:sz w:val="18"/>
                <w:szCs w:val="18"/>
                <w:color w:val="auto"/>
              </w:rPr>
              <w:t xml:space="preserve"> R</w:t>
            </w:r>
            <w:r>
              <w:rPr>
                <w:rFonts w:ascii="Arial" w:cs="Arial" w:eastAsia="Arial" w:hAnsi="Arial"/>
                <w:sz w:val="12"/>
                <w:szCs w:val="12"/>
                <w:color w:val="auto"/>
              </w:rPr>
              <w:t>epresentations and</w:t>
            </w:r>
            <w:r>
              <w:rPr>
                <w:rFonts w:ascii="Arial" w:cs="Arial" w:eastAsia="Arial" w:hAnsi="Arial"/>
                <w:sz w:val="18"/>
                <w:szCs w:val="18"/>
                <w:color w:val="auto"/>
              </w:rPr>
              <w:t xml:space="preserve"> W</w:t>
            </w:r>
            <w:r>
              <w:rPr>
                <w:rFonts w:ascii="Arial" w:cs="Arial" w:eastAsia="Arial" w:hAnsi="Arial"/>
                <w:sz w:val="12"/>
                <w:szCs w:val="12"/>
                <w:color w:val="auto"/>
              </w:rPr>
              <w:t>arranties</w:t>
            </w:r>
          </w:p>
        </w:tc>
        <w:tc>
          <w:tcPr>
            <w:tcW w:w="6220" w:type="dxa"/>
            <w:vAlign w:val="bottom"/>
          </w:tcPr>
          <w:p>
            <w:pPr>
              <w:jc w:val="right"/>
              <w:ind w:right="390"/>
              <w:spacing w:after="0"/>
              <w:rPr>
                <w:sz w:val="20"/>
                <w:szCs w:val="20"/>
                <w:color w:val="auto"/>
              </w:rPr>
            </w:pPr>
            <w:r>
              <w:rPr>
                <w:rFonts w:ascii="Arial" w:cs="Arial" w:eastAsia="Arial" w:hAnsi="Arial"/>
                <w:sz w:val="18"/>
                <w:szCs w:val="18"/>
                <w:color w:val="auto"/>
              </w:rPr>
              <w:t>58</w:t>
            </w:r>
          </w:p>
        </w:tc>
      </w:tr>
      <w:tr>
        <w:trPr>
          <w:trHeight w:val="216"/>
        </w:trPr>
        <w:tc>
          <w:tcPr>
            <w:tcW w:w="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8.5</w:t>
            </w:r>
          </w:p>
        </w:tc>
        <w:tc>
          <w:tcPr>
            <w:tcW w:w="43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w:t>
            </w:r>
            <w:r>
              <w:rPr>
                <w:rFonts w:ascii="Arial" w:cs="Arial" w:eastAsia="Arial" w:hAnsi="Arial"/>
                <w:sz w:val="12"/>
                <w:szCs w:val="12"/>
                <w:color w:val="auto"/>
              </w:rPr>
              <w:t>xpenses</w:t>
            </w:r>
            <w:r>
              <w:rPr>
                <w:rFonts w:ascii="Arial" w:cs="Arial" w:eastAsia="Arial" w:hAnsi="Arial"/>
                <w:sz w:val="18"/>
                <w:szCs w:val="18"/>
                <w:color w:val="auto"/>
              </w:rPr>
              <w:t>; I</w:t>
            </w:r>
            <w:r>
              <w:rPr>
                <w:rFonts w:ascii="Arial" w:cs="Arial" w:eastAsia="Arial" w:hAnsi="Arial"/>
                <w:sz w:val="12"/>
                <w:szCs w:val="12"/>
                <w:color w:val="auto"/>
              </w:rPr>
              <w:t>ndemnity</w:t>
            </w:r>
            <w:r>
              <w:rPr>
                <w:rFonts w:ascii="Arial" w:cs="Arial" w:eastAsia="Arial" w:hAnsi="Arial"/>
                <w:sz w:val="18"/>
                <w:szCs w:val="18"/>
                <w:color w:val="auto"/>
              </w:rPr>
              <w:t>; D</w:t>
            </w:r>
            <w:r>
              <w:rPr>
                <w:rFonts w:ascii="Arial" w:cs="Arial" w:eastAsia="Arial" w:hAnsi="Arial"/>
                <w:sz w:val="12"/>
                <w:szCs w:val="12"/>
                <w:color w:val="auto"/>
              </w:rPr>
              <w:t>amage</w:t>
            </w:r>
            <w:r>
              <w:rPr>
                <w:rFonts w:ascii="Arial" w:cs="Arial" w:eastAsia="Arial" w:hAnsi="Arial"/>
                <w:sz w:val="18"/>
                <w:szCs w:val="18"/>
                <w:color w:val="auto"/>
              </w:rPr>
              <w:t xml:space="preserve"> W</w:t>
            </w:r>
            <w:r>
              <w:rPr>
                <w:rFonts w:ascii="Arial" w:cs="Arial" w:eastAsia="Arial" w:hAnsi="Arial"/>
                <w:sz w:val="12"/>
                <w:szCs w:val="12"/>
                <w:color w:val="auto"/>
              </w:rPr>
              <w:t>aiver</w:t>
            </w:r>
          </w:p>
        </w:tc>
        <w:tc>
          <w:tcPr>
            <w:tcW w:w="622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59</w:t>
            </w:r>
          </w:p>
        </w:tc>
      </w:tr>
      <w:tr>
        <w:trPr>
          <w:trHeight w:val="216"/>
        </w:trPr>
        <w:tc>
          <w:tcPr>
            <w:tcW w:w="640" w:type="dxa"/>
            <w:vAlign w:val="bottom"/>
          </w:tcPr>
          <w:p>
            <w:pPr>
              <w:ind w:left="180"/>
              <w:spacing w:after="0"/>
              <w:rPr>
                <w:sz w:val="20"/>
                <w:szCs w:val="20"/>
                <w:color w:val="auto"/>
              </w:rPr>
            </w:pPr>
            <w:r>
              <w:rPr>
                <w:rFonts w:ascii="Arial" w:cs="Arial" w:eastAsia="Arial" w:hAnsi="Arial"/>
                <w:sz w:val="18"/>
                <w:szCs w:val="18"/>
                <w:color w:val="auto"/>
              </w:rPr>
              <w:t>8.6</w:t>
            </w:r>
          </w:p>
        </w:tc>
        <w:tc>
          <w:tcPr>
            <w:tcW w:w="4380" w:type="dxa"/>
            <w:vAlign w:val="bottom"/>
          </w:tcPr>
          <w:p>
            <w:pPr>
              <w:ind w:left="160"/>
              <w:spacing w:after="0"/>
              <w:rPr>
                <w:sz w:val="20"/>
                <w:szCs w:val="20"/>
                <w:color w:val="auto"/>
              </w:rPr>
            </w:pPr>
            <w:r>
              <w:rPr>
                <w:rFonts w:ascii="Arial" w:cs="Arial" w:eastAsia="Arial" w:hAnsi="Arial"/>
                <w:sz w:val="18"/>
                <w:szCs w:val="18"/>
                <w:color w:val="auto"/>
              </w:rPr>
              <w:t>S</w:t>
            </w:r>
            <w:r>
              <w:rPr>
                <w:rFonts w:ascii="Arial" w:cs="Arial" w:eastAsia="Arial" w:hAnsi="Arial"/>
                <w:sz w:val="12"/>
                <w:szCs w:val="12"/>
                <w:color w:val="auto"/>
              </w:rPr>
              <w:t>uccessors and</w:t>
            </w:r>
            <w:r>
              <w:rPr>
                <w:rFonts w:ascii="Arial" w:cs="Arial" w:eastAsia="Arial" w:hAnsi="Arial"/>
                <w:sz w:val="18"/>
                <w:szCs w:val="18"/>
                <w:color w:val="auto"/>
              </w:rPr>
              <w:t xml:space="preserve"> A</w:t>
            </w:r>
            <w:r>
              <w:rPr>
                <w:rFonts w:ascii="Arial" w:cs="Arial" w:eastAsia="Arial" w:hAnsi="Arial"/>
                <w:sz w:val="12"/>
                <w:szCs w:val="12"/>
                <w:color w:val="auto"/>
              </w:rPr>
              <w:t>ssigns</w:t>
            </w:r>
          </w:p>
        </w:tc>
        <w:tc>
          <w:tcPr>
            <w:tcW w:w="6220" w:type="dxa"/>
            <w:vAlign w:val="bottom"/>
          </w:tcPr>
          <w:p>
            <w:pPr>
              <w:jc w:val="right"/>
              <w:ind w:right="390"/>
              <w:spacing w:after="0"/>
              <w:rPr>
                <w:sz w:val="20"/>
                <w:szCs w:val="20"/>
                <w:color w:val="auto"/>
              </w:rPr>
            </w:pPr>
            <w:r>
              <w:rPr>
                <w:rFonts w:ascii="Arial" w:cs="Arial" w:eastAsia="Arial" w:hAnsi="Arial"/>
                <w:sz w:val="18"/>
                <w:szCs w:val="18"/>
                <w:color w:val="auto"/>
              </w:rPr>
              <w:t>60</w:t>
            </w:r>
          </w:p>
        </w:tc>
      </w:tr>
      <w:tr>
        <w:trPr>
          <w:trHeight w:val="216"/>
        </w:trPr>
        <w:tc>
          <w:tcPr>
            <w:tcW w:w="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8.7</w:t>
            </w:r>
          </w:p>
        </w:tc>
        <w:tc>
          <w:tcPr>
            <w:tcW w:w="43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w:t>
            </w:r>
            <w:r>
              <w:rPr>
                <w:rFonts w:ascii="Arial" w:cs="Arial" w:eastAsia="Arial" w:hAnsi="Arial"/>
                <w:sz w:val="12"/>
                <w:szCs w:val="12"/>
                <w:color w:val="auto"/>
              </w:rPr>
              <w:t>eserved</w:t>
            </w:r>
            <w:r>
              <w:rPr>
                <w:rFonts w:ascii="Arial" w:cs="Arial" w:eastAsia="Arial" w:hAnsi="Arial"/>
                <w:sz w:val="18"/>
                <w:szCs w:val="18"/>
                <w:color w:val="auto"/>
              </w:rPr>
              <w:t>]</w:t>
            </w:r>
          </w:p>
        </w:tc>
        <w:tc>
          <w:tcPr>
            <w:tcW w:w="622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61</w:t>
            </w:r>
          </w:p>
        </w:tc>
      </w:tr>
      <w:tr>
        <w:trPr>
          <w:trHeight w:val="216"/>
        </w:trPr>
        <w:tc>
          <w:tcPr>
            <w:tcW w:w="640" w:type="dxa"/>
            <w:vAlign w:val="bottom"/>
          </w:tcPr>
          <w:p>
            <w:pPr>
              <w:ind w:left="180"/>
              <w:spacing w:after="0"/>
              <w:rPr>
                <w:sz w:val="20"/>
                <w:szCs w:val="20"/>
                <w:color w:val="auto"/>
              </w:rPr>
            </w:pPr>
            <w:r>
              <w:rPr>
                <w:rFonts w:ascii="Arial" w:cs="Arial" w:eastAsia="Arial" w:hAnsi="Arial"/>
                <w:sz w:val="18"/>
                <w:szCs w:val="18"/>
                <w:color w:val="auto"/>
              </w:rPr>
              <w:t>8.8</w:t>
            </w:r>
          </w:p>
        </w:tc>
        <w:tc>
          <w:tcPr>
            <w:tcW w:w="4380" w:type="dxa"/>
            <w:vAlign w:val="bottom"/>
          </w:tcPr>
          <w:p>
            <w:pPr>
              <w:ind w:left="160"/>
              <w:spacing w:after="0"/>
              <w:rPr>
                <w:sz w:val="20"/>
                <w:szCs w:val="20"/>
                <w:color w:val="auto"/>
              </w:rPr>
            </w:pPr>
            <w:r>
              <w:rPr>
                <w:rFonts w:ascii="Arial" w:cs="Arial" w:eastAsia="Arial" w:hAnsi="Arial"/>
                <w:sz w:val="18"/>
                <w:szCs w:val="18"/>
                <w:color w:val="auto"/>
              </w:rPr>
              <w:t>I</w:t>
            </w:r>
            <w:r>
              <w:rPr>
                <w:rFonts w:ascii="Arial" w:cs="Arial" w:eastAsia="Arial" w:hAnsi="Arial"/>
                <w:sz w:val="12"/>
                <w:szCs w:val="12"/>
                <w:color w:val="auto"/>
              </w:rPr>
              <w:t>nterest</w:t>
            </w:r>
            <w:r>
              <w:rPr>
                <w:rFonts w:ascii="Arial" w:cs="Arial" w:eastAsia="Arial" w:hAnsi="Arial"/>
                <w:sz w:val="18"/>
                <w:szCs w:val="18"/>
                <w:color w:val="auto"/>
              </w:rPr>
              <w:t xml:space="preserve"> R</w:t>
            </w:r>
            <w:r>
              <w:rPr>
                <w:rFonts w:ascii="Arial" w:cs="Arial" w:eastAsia="Arial" w:hAnsi="Arial"/>
                <w:sz w:val="12"/>
                <w:szCs w:val="12"/>
                <w:color w:val="auto"/>
              </w:rPr>
              <w:t>ate</w:t>
            </w:r>
            <w:r>
              <w:rPr>
                <w:rFonts w:ascii="Arial" w:cs="Arial" w:eastAsia="Arial" w:hAnsi="Arial"/>
                <w:sz w:val="18"/>
                <w:szCs w:val="18"/>
                <w:color w:val="auto"/>
              </w:rPr>
              <w:t xml:space="preserve"> L</w:t>
            </w:r>
            <w:r>
              <w:rPr>
                <w:rFonts w:ascii="Arial" w:cs="Arial" w:eastAsia="Arial" w:hAnsi="Arial"/>
                <w:sz w:val="12"/>
                <w:szCs w:val="12"/>
                <w:color w:val="auto"/>
              </w:rPr>
              <w:t>imitation</w:t>
            </w:r>
          </w:p>
        </w:tc>
        <w:tc>
          <w:tcPr>
            <w:tcW w:w="6220" w:type="dxa"/>
            <w:vAlign w:val="bottom"/>
          </w:tcPr>
          <w:p>
            <w:pPr>
              <w:jc w:val="right"/>
              <w:ind w:right="390"/>
              <w:spacing w:after="0"/>
              <w:rPr>
                <w:sz w:val="20"/>
                <w:szCs w:val="20"/>
                <w:color w:val="auto"/>
              </w:rPr>
            </w:pPr>
            <w:r>
              <w:rPr>
                <w:rFonts w:ascii="Arial" w:cs="Arial" w:eastAsia="Arial" w:hAnsi="Arial"/>
                <w:sz w:val="18"/>
                <w:szCs w:val="18"/>
                <w:color w:val="auto"/>
              </w:rPr>
              <w:t>61</w:t>
            </w:r>
          </w:p>
        </w:tc>
      </w:tr>
      <w:tr>
        <w:trPr>
          <w:trHeight w:val="216"/>
        </w:trPr>
        <w:tc>
          <w:tcPr>
            <w:tcW w:w="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8.9</w:t>
            </w:r>
          </w:p>
        </w:tc>
        <w:tc>
          <w:tcPr>
            <w:tcW w:w="43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w:t>
            </w:r>
            <w:r>
              <w:rPr>
                <w:rFonts w:ascii="Arial" w:cs="Arial" w:eastAsia="Arial" w:hAnsi="Arial"/>
                <w:sz w:val="12"/>
                <w:szCs w:val="12"/>
                <w:color w:val="auto"/>
              </w:rPr>
              <w:t>ounterparts</w:t>
            </w:r>
          </w:p>
        </w:tc>
        <w:tc>
          <w:tcPr>
            <w:tcW w:w="622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62</w:t>
            </w:r>
          </w:p>
        </w:tc>
      </w:tr>
      <w:tr>
        <w:trPr>
          <w:trHeight w:val="216"/>
        </w:trPr>
        <w:tc>
          <w:tcPr>
            <w:tcW w:w="640" w:type="dxa"/>
            <w:vAlign w:val="bottom"/>
          </w:tcPr>
          <w:p>
            <w:pPr>
              <w:ind w:left="180"/>
              <w:spacing w:after="0"/>
              <w:rPr>
                <w:sz w:val="20"/>
                <w:szCs w:val="20"/>
                <w:color w:val="auto"/>
              </w:rPr>
            </w:pPr>
            <w:r>
              <w:rPr>
                <w:rFonts w:ascii="Arial" w:cs="Arial" w:eastAsia="Arial" w:hAnsi="Arial"/>
                <w:sz w:val="18"/>
                <w:szCs w:val="18"/>
                <w:color w:val="auto"/>
              </w:rPr>
              <w:t>8.10</w:t>
            </w:r>
          </w:p>
        </w:tc>
        <w:tc>
          <w:tcPr>
            <w:tcW w:w="4380" w:type="dxa"/>
            <w:vAlign w:val="bottom"/>
          </w:tcPr>
          <w:p>
            <w:pPr>
              <w:ind w:left="160"/>
              <w:spacing w:after="0"/>
              <w:rPr>
                <w:sz w:val="20"/>
                <w:szCs w:val="20"/>
                <w:color w:val="auto"/>
              </w:rPr>
            </w:pPr>
            <w:r>
              <w:rPr>
                <w:rFonts w:ascii="Arial" w:cs="Arial" w:eastAsia="Arial" w:hAnsi="Arial"/>
                <w:sz w:val="18"/>
                <w:szCs w:val="18"/>
                <w:color w:val="auto"/>
              </w:rPr>
              <w:t>S</w:t>
            </w:r>
            <w:r>
              <w:rPr>
                <w:rFonts w:ascii="Arial" w:cs="Arial" w:eastAsia="Arial" w:hAnsi="Arial"/>
                <w:sz w:val="12"/>
                <w:szCs w:val="12"/>
                <w:color w:val="auto"/>
              </w:rPr>
              <w:t>everability</w:t>
            </w:r>
          </w:p>
        </w:tc>
        <w:tc>
          <w:tcPr>
            <w:tcW w:w="6220" w:type="dxa"/>
            <w:vAlign w:val="bottom"/>
          </w:tcPr>
          <w:p>
            <w:pPr>
              <w:jc w:val="right"/>
              <w:ind w:right="390"/>
              <w:spacing w:after="0"/>
              <w:rPr>
                <w:sz w:val="20"/>
                <w:szCs w:val="20"/>
                <w:color w:val="auto"/>
              </w:rPr>
            </w:pPr>
            <w:r>
              <w:rPr>
                <w:rFonts w:ascii="Arial" w:cs="Arial" w:eastAsia="Arial" w:hAnsi="Arial"/>
                <w:sz w:val="18"/>
                <w:szCs w:val="18"/>
                <w:color w:val="auto"/>
              </w:rPr>
              <w:t>62</w:t>
            </w:r>
          </w:p>
        </w:tc>
      </w:tr>
      <w:tr>
        <w:trPr>
          <w:trHeight w:val="216"/>
        </w:trPr>
        <w:tc>
          <w:tcPr>
            <w:tcW w:w="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8.11</w:t>
            </w:r>
          </w:p>
        </w:tc>
        <w:tc>
          <w:tcPr>
            <w:tcW w:w="43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w:t>
            </w:r>
            <w:r>
              <w:rPr>
                <w:rFonts w:ascii="Arial" w:cs="Arial" w:eastAsia="Arial" w:hAnsi="Arial"/>
                <w:sz w:val="12"/>
                <w:szCs w:val="12"/>
                <w:color w:val="auto"/>
              </w:rPr>
              <w:t>ntegration</w:t>
            </w:r>
          </w:p>
        </w:tc>
        <w:tc>
          <w:tcPr>
            <w:tcW w:w="622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62</w:t>
            </w:r>
          </w:p>
        </w:tc>
      </w:tr>
      <w:tr>
        <w:trPr>
          <w:trHeight w:val="216"/>
        </w:trPr>
        <w:tc>
          <w:tcPr>
            <w:tcW w:w="640" w:type="dxa"/>
            <w:vAlign w:val="bottom"/>
          </w:tcPr>
          <w:p>
            <w:pPr>
              <w:ind w:left="180"/>
              <w:spacing w:after="0"/>
              <w:rPr>
                <w:sz w:val="20"/>
                <w:szCs w:val="20"/>
                <w:color w:val="auto"/>
              </w:rPr>
            </w:pPr>
            <w:r>
              <w:rPr>
                <w:rFonts w:ascii="Arial" w:cs="Arial" w:eastAsia="Arial" w:hAnsi="Arial"/>
                <w:sz w:val="18"/>
                <w:szCs w:val="18"/>
                <w:color w:val="auto"/>
              </w:rPr>
              <w:t>8.12</w:t>
            </w:r>
          </w:p>
        </w:tc>
        <w:tc>
          <w:tcPr>
            <w:tcW w:w="4380" w:type="dxa"/>
            <w:vAlign w:val="bottom"/>
          </w:tcPr>
          <w:p>
            <w:pPr>
              <w:ind w:left="160"/>
              <w:spacing w:after="0"/>
              <w:rPr>
                <w:sz w:val="20"/>
                <w:szCs w:val="20"/>
                <w:color w:val="auto"/>
              </w:rPr>
            </w:pPr>
            <w:r>
              <w:rPr>
                <w:rFonts w:ascii="Arial" w:cs="Arial" w:eastAsia="Arial" w:hAnsi="Arial"/>
                <w:sz w:val="18"/>
                <w:szCs w:val="18"/>
                <w:color w:val="auto"/>
              </w:rPr>
              <w:t>GOVERNING LAW</w:t>
            </w:r>
          </w:p>
        </w:tc>
        <w:tc>
          <w:tcPr>
            <w:tcW w:w="6220" w:type="dxa"/>
            <w:vAlign w:val="bottom"/>
          </w:tcPr>
          <w:p>
            <w:pPr>
              <w:jc w:val="right"/>
              <w:ind w:right="390"/>
              <w:spacing w:after="0"/>
              <w:rPr>
                <w:sz w:val="20"/>
                <w:szCs w:val="20"/>
                <w:color w:val="auto"/>
              </w:rPr>
            </w:pPr>
            <w:r>
              <w:rPr>
                <w:rFonts w:ascii="Arial" w:cs="Arial" w:eastAsia="Arial" w:hAnsi="Arial"/>
                <w:sz w:val="18"/>
                <w:szCs w:val="18"/>
                <w:color w:val="auto"/>
              </w:rPr>
              <w:t>62</w:t>
            </w:r>
          </w:p>
        </w:tc>
      </w:tr>
      <w:tr>
        <w:trPr>
          <w:trHeight w:val="216"/>
        </w:trPr>
        <w:tc>
          <w:tcPr>
            <w:tcW w:w="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8.13</w:t>
            </w:r>
          </w:p>
        </w:tc>
        <w:tc>
          <w:tcPr>
            <w:tcW w:w="43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w:t>
            </w:r>
            <w:r>
              <w:rPr>
                <w:rFonts w:ascii="Arial" w:cs="Arial" w:eastAsia="Arial" w:hAnsi="Arial"/>
                <w:sz w:val="12"/>
                <w:szCs w:val="12"/>
                <w:color w:val="auto"/>
              </w:rPr>
              <w:t>ubmission to</w:t>
            </w:r>
            <w:r>
              <w:rPr>
                <w:rFonts w:ascii="Arial" w:cs="Arial" w:eastAsia="Arial" w:hAnsi="Arial"/>
                <w:sz w:val="18"/>
                <w:szCs w:val="18"/>
                <w:color w:val="auto"/>
              </w:rPr>
              <w:t xml:space="preserve"> J</w:t>
            </w:r>
            <w:r>
              <w:rPr>
                <w:rFonts w:ascii="Arial" w:cs="Arial" w:eastAsia="Arial" w:hAnsi="Arial"/>
                <w:sz w:val="12"/>
                <w:szCs w:val="12"/>
                <w:color w:val="auto"/>
              </w:rPr>
              <w:t>urisdiction</w:t>
            </w:r>
            <w:r>
              <w:rPr>
                <w:rFonts w:ascii="Arial" w:cs="Arial" w:eastAsia="Arial" w:hAnsi="Arial"/>
                <w:sz w:val="18"/>
                <w:szCs w:val="18"/>
                <w:color w:val="auto"/>
              </w:rPr>
              <w:t>; W</w:t>
            </w:r>
            <w:r>
              <w:rPr>
                <w:rFonts w:ascii="Arial" w:cs="Arial" w:eastAsia="Arial" w:hAnsi="Arial"/>
                <w:sz w:val="12"/>
                <w:szCs w:val="12"/>
                <w:color w:val="auto"/>
              </w:rPr>
              <w:t>aivers</w:t>
            </w:r>
          </w:p>
        </w:tc>
        <w:tc>
          <w:tcPr>
            <w:tcW w:w="622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62</w:t>
            </w:r>
          </w:p>
        </w:tc>
      </w:tr>
      <w:tr>
        <w:trPr>
          <w:trHeight w:val="216"/>
        </w:trPr>
        <w:tc>
          <w:tcPr>
            <w:tcW w:w="640" w:type="dxa"/>
            <w:vAlign w:val="bottom"/>
          </w:tcPr>
          <w:p>
            <w:pPr>
              <w:ind w:left="180"/>
              <w:spacing w:after="0"/>
              <w:rPr>
                <w:sz w:val="20"/>
                <w:szCs w:val="20"/>
                <w:color w:val="auto"/>
              </w:rPr>
            </w:pPr>
            <w:r>
              <w:rPr>
                <w:rFonts w:ascii="Arial" w:cs="Arial" w:eastAsia="Arial" w:hAnsi="Arial"/>
                <w:sz w:val="18"/>
                <w:szCs w:val="18"/>
                <w:color w:val="auto"/>
              </w:rPr>
              <w:t>8.14</w:t>
            </w:r>
          </w:p>
        </w:tc>
        <w:tc>
          <w:tcPr>
            <w:tcW w:w="4380" w:type="dxa"/>
            <w:vAlign w:val="bottom"/>
          </w:tcPr>
          <w:p>
            <w:pPr>
              <w:ind w:left="160"/>
              <w:spacing w:after="0"/>
              <w:rPr>
                <w:sz w:val="20"/>
                <w:szCs w:val="20"/>
                <w:color w:val="auto"/>
              </w:rPr>
            </w:pPr>
            <w:r>
              <w:rPr>
                <w:rFonts w:ascii="Arial" w:cs="Arial" w:eastAsia="Arial" w:hAnsi="Arial"/>
                <w:sz w:val="18"/>
                <w:szCs w:val="18"/>
                <w:color w:val="auto"/>
              </w:rPr>
              <w:t>A</w:t>
            </w:r>
            <w:r>
              <w:rPr>
                <w:rFonts w:ascii="Arial" w:cs="Arial" w:eastAsia="Arial" w:hAnsi="Arial"/>
                <w:sz w:val="12"/>
                <w:szCs w:val="12"/>
                <w:color w:val="auto"/>
              </w:rPr>
              <w:t>cknowledgements</w:t>
            </w:r>
          </w:p>
        </w:tc>
        <w:tc>
          <w:tcPr>
            <w:tcW w:w="6220" w:type="dxa"/>
            <w:vAlign w:val="bottom"/>
          </w:tcPr>
          <w:p>
            <w:pPr>
              <w:jc w:val="right"/>
              <w:ind w:right="390"/>
              <w:spacing w:after="0"/>
              <w:rPr>
                <w:sz w:val="20"/>
                <w:szCs w:val="20"/>
                <w:color w:val="auto"/>
              </w:rPr>
            </w:pPr>
            <w:r>
              <w:rPr>
                <w:rFonts w:ascii="Arial" w:cs="Arial" w:eastAsia="Arial" w:hAnsi="Arial"/>
                <w:sz w:val="18"/>
                <w:szCs w:val="18"/>
                <w:color w:val="auto"/>
              </w:rPr>
              <w:t>63</w:t>
            </w:r>
          </w:p>
        </w:tc>
      </w:tr>
      <w:tr>
        <w:trPr>
          <w:trHeight w:val="216"/>
        </w:trPr>
        <w:tc>
          <w:tcPr>
            <w:tcW w:w="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8.15</w:t>
            </w:r>
          </w:p>
        </w:tc>
        <w:tc>
          <w:tcPr>
            <w:tcW w:w="43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w:t>
            </w:r>
            <w:r>
              <w:rPr>
                <w:rFonts w:ascii="Arial" w:cs="Arial" w:eastAsia="Arial" w:hAnsi="Arial"/>
                <w:sz w:val="12"/>
                <w:szCs w:val="12"/>
                <w:color w:val="auto"/>
              </w:rPr>
              <w:t>reatment of</w:t>
            </w:r>
            <w:r>
              <w:rPr>
                <w:rFonts w:ascii="Arial" w:cs="Arial" w:eastAsia="Arial" w:hAnsi="Arial"/>
                <w:sz w:val="18"/>
                <w:szCs w:val="18"/>
                <w:color w:val="auto"/>
              </w:rPr>
              <w:t xml:space="preserve"> C</w:t>
            </w:r>
            <w:r>
              <w:rPr>
                <w:rFonts w:ascii="Arial" w:cs="Arial" w:eastAsia="Arial" w:hAnsi="Arial"/>
                <w:sz w:val="12"/>
                <w:szCs w:val="12"/>
                <w:color w:val="auto"/>
              </w:rPr>
              <w:t>ertain</w:t>
            </w:r>
            <w:r>
              <w:rPr>
                <w:rFonts w:ascii="Arial" w:cs="Arial" w:eastAsia="Arial" w:hAnsi="Arial"/>
                <w:sz w:val="18"/>
                <w:szCs w:val="18"/>
                <w:color w:val="auto"/>
              </w:rPr>
              <w:t xml:space="preserve"> I</w:t>
            </w:r>
            <w:r>
              <w:rPr>
                <w:rFonts w:ascii="Arial" w:cs="Arial" w:eastAsia="Arial" w:hAnsi="Arial"/>
                <w:sz w:val="12"/>
                <w:szCs w:val="12"/>
                <w:color w:val="auto"/>
              </w:rPr>
              <w:t>nformation</w:t>
            </w:r>
            <w:r>
              <w:rPr>
                <w:rFonts w:ascii="Arial" w:cs="Arial" w:eastAsia="Arial" w:hAnsi="Arial"/>
                <w:sz w:val="18"/>
                <w:szCs w:val="18"/>
                <w:color w:val="auto"/>
              </w:rPr>
              <w:t>; C</w:t>
            </w:r>
            <w:r>
              <w:rPr>
                <w:rFonts w:ascii="Arial" w:cs="Arial" w:eastAsia="Arial" w:hAnsi="Arial"/>
                <w:sz w:val="12"/>
                <w:szCs w:val="12"/>
                <w:color w:val="auto"/>
              </w:rPr>
              <w:t>onfidentiality</w:t>
            </w:r>
          </w:p>
        </w:tc>
        <w:tc>
          <w:tcPr>
            <w:tcW w:w="622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63</w:t>
            </w:r>
          </w:p>
        </w:tc>
      </w:tr>
      <w:tr>
        <w:trPr>
          <w:trHeight w:val="216"/>
        </w:trPr>
        <w:tc>
          <w:tcPr>
            <w:tcW w:w="640" w:type="dxa"/>
            <w:vAlign w:val="bottom"/>
          </w:tcPr>
          <w:p>
            <w:pPr>
              <w:ind w:left="180"/>
              <w:spacing w:after="0"/>
              <w:rPr>
                <w:sz w:val="20"/>
                <w:szCs w:val="20"/>
                <w:color w:val="auto"/>
              </w:rPr>
            </w:pPr>
            <w:r>
              <w:rPr>
                <w:rFonts w:ascii="Arial" w:cs="Arial" w:eastAsia="Arial" w:hAnsi="Arial"/>
                <w:sz w:val="18"/>
                <w:szCs w:val="18"/>
                <w:color w:val="auto"/>
              </w:rPr>
              <w:t>8.16</w:t>
            </w:r>
          </w:p>
        </w:tc>
        <w:tc>
          <w:tcPr>
            <w:tcW w:w="4380" w:type="dxa"/>
            <w:vAlign w:val="bottom"/>
          </w:tcPr>
          <w:p>
            <w:pPr>
              <w:ind w:left="160"/>
              <w:spacing w:after="0"/>
              <w:rPr>
                <w:sz w:val="20"/>
                <w:szCs w:val="20"/>
                <w:color w:val="auto"/>
              </w:rPr>
            </w:pPr>
            <w:r>
              <w:rPr>
                <w:rFonts w:ascii="Arial" w:cs="Arial" w:eastAsia="Arial" w:hAnsi="Arial"/>
                <w:sz w:val="18"/>
                <w:szCs w:val="18"/>
                <w:color w:val="auto"/>
              </w:rPr>
              <w:t>B</w:t>
            </w:r>
            <w:r>
              <w:rPr>
                <w:rFonts w:ascii="Arial" w:cs="Arial" w:eastAsia="Arial" w:hAnsi="Arial"/>
                <w:sz w:val="12"/>
                <w:szCs w:val="12"/>
                <w:color w:val="auto"/>
              </w:rPr>
              <w:t>eneficial</w:t>
            </w:r>
            <w:r>
              <w:rPr>
                <w:rFonts w:ascii="Arial" w:cs="Arial" w:eastAsia="Arial" w:hAnsi="Arial"/>
                <w:sz w:val="18"/>
                <w:szCs w:val="18"/>
                <w:color w:val="auto"/>
              </w:rPr>
              <w:t xml:space="preserve"> O</w:t>
            </w:r>
            <w:r>
              <w:rPr>
                <w:rFonts w:ascii="Arial" w:cs="Arial" w:eastAsia="Arial" w:hAnsi="Arial"/>
                <w:sz w:val="12"/>
                <w:szCs w:val="12"/>
                <w:color w:val="auto"/>
              </w:rPr>
              <w:t>wnership</w:t>
            </w:r>
            <w:r>
              <w:rPr>
                <w:rFonts w:ascii="Arial" w:cs="Arial" w:eastAsia="Arial" w:hAnsi="Arial"/>
                <w:sz w:val="18"/>
                <w:szCs w:val="18"/>
                <w:color w:val="auto"/>
              </w:rPr>
              <w:t xml:space="preserve"> R</w:t>
            </w:r>
            <w:r>
              <w:rPr>
                <w:rFonts w:ascii="Arial" w:cs="Arial" w:eastAsia="Arial" w:hAnsi="Arial"/>
                <w:sz w:val="12"/>
                <w:szCs w:val="12"/>
                <w:color w:val="auto"/>
              </w:rPr>
              <w:t>egulation</w:t>
            </w:r>
            <w:r>
              <w:rPr>
                <w:rFonts w:ascii="Arial" w:cs="Arial" w:eastAsia="Arial" w:hAnsi="Arial"/>
                <w:sz w:val="18"/>
                <w:szCs w:val="18"/>
                <w:color w:val="auto"/>
              </w:rPr>
              <w:t>; P</w:t>
            </w:r>
            <w:r>
              <w:rPr>
                <w:rFonts w:ascii="Arial" w:cs="Arial" w:eastAsia="Arial" w:hAnsi="Arial"/>
                <w:sz w:val="12"/>
                <w:szCs w:val="12"/>
                <w:color w:val="auto"/>
              </w:rPr>
              <w:t>atriot</w:t>
            </w:r>
            <w:r>
              <w:rPr>
                <w:rFonts w:ascii="Arial" w:cs="Arial" w:eastAsia="Arial" w:hAnsi="Arial"/>
                <w:sz w:val="18"/>
                <w:szCs w:val="18"/>
                <w:color w:val="auto"/>
              </w:rPr>
              <w:t xml:space="preserve"> A</w:t>
            </w:r>
            <w:r>
              <w:rPr>
                <w:rFonts w:ascii="Arial" w:cs="Arial" w:eastAsia="Arial" w:hAnsi="Arial"/>
                <w:sz w:val="12"/>
                <w:szCs w:val="12"/>
                <w:color w:val="auto"/>
              </w:rPr>
              <w:t>ct</w:t>
            </w:r>
          </w:p>
        </w:tc>
        <w:tc>
          <w:tcPr>
            <w:tcW w:w="6220" w:type="dxa"/>
            <w:vAlign w:val="bottom"/>
          </w:tcPr>
          <w:p>
            <w:pPr>
              <w:jc w:val="right"/>
              <w:ind w:right="390"/>
              <w:spacing w:after="0"/>
              <w:rPr>
                <w:sz w:val="20"/>
                <w:szCs w:val="20"/>
                <w:color w:val="auto"/>
              </w:rPr>
            </w:pPr>
            <w:r>
              <w:rPr>
                <w:rFonts w:ascii="Arial" w:cs="Arial" w:eastAsia="Arial" w:hAnsi="Arial"/>
                <w:sz w:val="18"/>
                <w:szCs w:val="18"/>
                <w:color w:val="auto"/>
              </w:rPr>
              <w:t>64</w:t>
            </w:r>
          </w:p>
        </w:tc>
      </w:tr>
      <w:tr>
        <w:trPr>
          <w:trHeight w:val="216"/>
        </w:trPr>
        <w:tc>
          <w:tcPr>
            <w:tcW w:w="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8.17</w:t>
            </w:r>
          </w:p>
        </w:tc>
        <w:tc>
          <w:tcPr>
            <w:tcW w:w="43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M</w:t>
            </w:r>
            <w:r>
              <w:rPr>
                <w:rFonts w:ascii="Arial" w:cs="Arial" w:eastAsia="Arial" w:hAnsi="Arial"/>
                <w:sz w:val="12"/>
                <w:szCs w:val="12"/>
                <w:color w:val="auto"/>
              </w:rPr>
              <w:t>arshalling</w:t>
            </w:r>
            <w:r>
              <w:rPr>
                <w:rFonts w:ascii="Arial" w:cs="Arial" w:eastAsia="Arial" w:hAnsi="Arial"/>
                <w:sz w:val="18"/>
                <w:szCs w:val="18"/>
                <w:color w:val="auto"/>
              </w:rPr>
              <w:t>; S</w:t>
            </w:r>
            <w:r>
              <w:rPr>
                <w:rFonts w:ascii="Arial" w:cs="Arial" w:eastAsia="Arial" w:hAnsi="Arial"/>
                <w:sz w:val="12"/>
                <w:szCs w:val="12"/>
                <w:color w:val="auto"/>
              </w:rPr>
              <w:t>etoff</w:t>
            </w:r>
          </w:p>
        </w:tc>
        <w:tc>
          <w:tcPr>
            <w:tcW w:w="622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64</w:t>
            </w:r>
          </w:p>
        </w:tc>
      </w:tr>
      <w:tr>
        <w:trPr>
          <w:trHeight w:val="216"/>
        </w:trPr>
        <w:tc>
          <w:tcPr>
            <w:tcW w:w="5020" w:type="dxa"/>
            <w:vAlign w:val="bottom"/>
            <w:gridSpan w:val="2"/>
          </w:tcPr>
          <w:p>
            <w:pPr>
              <w:spacing w:after="0"/>
              <w:rPr>
                <w:sz w:val="18"/>
                <w:szCs w:val="18"/>
                <w:color w:val="auto"/>
              </w:rPr>
            </w:pPr>
          </w:p>
        </w:tc>
        <w:tc>
          <w:tcPr>
            <w:tcW w:w="6220" w:type="dxa"/>
            <w:vAlign w:val="bottom"/>
          </w:tcPr>
          <w:p>
            <w:pPr>
              <w:spacing w:after="0"/>
              <w:rPr>
                <w:sz w:val="18"/>
                <w:szCs w:val="18"/>
                <w:color w:val="auto"/>
              </w:rPr>
            </w:pPr>
          </w:p>
        </w:tc>
      </w:tr>
      <w:tr>
        <w:trPr>
          <w:trHeight w:val="216"/>
        </w:trPr>
        <w:tc>
          <w:tcPr>
            <w:tcW w:w="5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SECTION 9 AGENCY PROVISIONS</w:t>
            </w:r>
          </w:p>
        </w:tc>
        <w:tc>
          <w:tcPr>
            <w:tcW w:w="622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64</w:t>
            </w:r>
          </w:p>
        </w:tc>
      </w:tr>
      <w:tr>
        <w:trPr>
          <w:trHeight w:val="216"/>
        </w:trPr>
        <w:tc>
          <w:tcPr>
            <w:tcW w:w="640" w:type="dxa"/>
            <w:vAlign w:val="bottom"/>
          </w:tcPr>
          <w:p>
            <w:pPr>
              <w:spacing w:after="0"/>
              <w:rPr>
                <w:sz w:val="18"/>
                <w:szCs w:val="18"/>
                <w:color w:val="auto"/>
              </w:rPr>
            </w:pPr>
          </w:p>
        </w:tc>
        <w:tc>
          <w:tcPr>
            <w:tcW w:w="4380" w:type="dxa"/>
            <w:vAlign w:val="bottom"/>
          </w:tcPr>
          <w:p>
            <w:pPr>
              <w:spacing w:after="0"/>
              <w:rPr>
                <w:sz w:val="18"/>
                <w:szCs w:val="18"/>
                <w:color w:val="auto"/>
              </w:rPr>
            </w:pPr>
          </w:p>
        </w:tc>
        <w:tc>
          <w:tcPr>
            <w:tcW w:w="6220" w:type="dxa"/>
            <w:vAlign w:val="bottom"/>
          </w:tcPr>
          <w:p>
            <w:pPr>
              <w:spacing w:after="0"/>
              <w:rPr>
                <w:sz w:val="18"/>
                <w:szCs w:val="18"/>
                <w:color w:val="auto"/>
              </w:rPr>
            </w:pPr>
          </w:p>
        </w:tc>
      </w:tr>
      <w:tr>
        <w:trPr>
          <w:trHeight w:val="216"/>
        </w:trPr>
        <w:tc>
          <w:tcPr>
            <w:tcW w:w="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9.1</w:t>
            </w:r>
          </w:p>
        </w:tc>
        <w:tc>
          <w:tcPr>
            <w:tcW w:w="43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w:t>
            </w:r>
            <w:r>
              <w:rPr>
                <w:rFonts w:ascii="Arial" w:cs="Arial" w:eastAsia="Arial" w:hAnsi="Arial"/>
                <w:sz w:val="12"/>
                <w:szCs w:val="12"/>
                <w:color w:val="auto"/>
              </w:rPr>
              <w:t>ppointment of</w:t>
            </w:r>
            <w:r>
              <w:rPr>
                <w:rFonts w:ascii="Arial" w:cs="Arial" w:eastAsia="Arial" w:hAnsi="Arial"/>
                <w:sz w:val="18"/>
                <w:szCs w:val="18"/>
                <w:color w:val="auto"/>
              </w:rPr>
              <w:t xml:space="preserve"> A</w:t>
            </w:r>
            <w:r>
              <w:rPr>
                <w:rFonts w:ascii="Arial" w:cs="Arial" w:eastAsia="Arial" w:hAnsi="Arial"/>
                <w:sz w:val="12"/>
                <w:szCs w:val="12"/>
                <w:color w:val="auto"/>
              </w:rPr>
              <w:t>gent</w:t>
            </w:r>
          </w:p>
        </w:tc>
        <w:tc>
          <w:tcPr>
            <w:tcW w:w="622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64</w:t>
            </w:r>
          </w:p>
        </w:tc>
      </w:tr>
      <w:tr>
        <w:trPr>
          <w:trHeight w:val="216"/>
        </w:trPr>
        <w:tc>
          <w:tcPr>
            <w:tcW w:w="640" w:type="dxa"/>
            <w:vAlign w:val="bottom"/>
          </w:tcPr>
          <w:p>
            <w:pPr>
              <w:ind w:left="180"/>
              <w:spacing w:after="0"/>
              <w:rPr>
                <w:sz w:val="20"/>
                <w:szCs w:val="20"/>
                <w:color w:val="auto"/>
              </w:rPr>
            </w:pPr>
            <w:r>
              <w:rPr>
                <w:rFonts w:ascii="Arial" w:cs="Arial" w:eastAsia="Arial" w:hAnsi="Arial"/>
                <w:sz w:val="18"/>
                <w:szCs w:val="18"/>
                <w:color w:val="auto"/>
              </w:rPr>
              <w:t>9.2</w:t>
            </w:r>
          </w:p>
        </w:tc>
        <w:tc>
          <w:tcPr>
            <w:tcW w:w="4380" w:type="dxa"/>
            <w:vAlign w:val="bottom"/>
          </w:tcPr>
          <w:p>
            <w:pPr>
              <w:ind w:left="160"/>
              <w:spacing w:after="0"/>
              <w:rPr>
                <w:sz w:val="20"/>
                <w:szCs w:val="20"/>
                <w:color w:val="auto"/>
              </w:rPr>
            </w:pPr>
            <w:r>
              <w:rPr>
                <w:rFonts w:ascii="Arial" w:cs="Arial" w:eastAsia="Arial" w:hAnsi="Arial"/>
                <w:sz w:val="18"/>
                <w:szCs w:val="18"/>
                <w:color w:val="auto"/>
              </w:rPr>
              <w:t>D</w:t>
            </w:r>
            <w:r>
              <w:rPr>
                <w:rFonts w:ascii="Arial" w:cs="Arial" w:eastAsia="Arial" w:hAnsi="Arial"/>
                <w:sz w:val="12"/>
                <w:szCs w:val="12"/>
                <w:color w:val="auto"/>
              </w:rPr>
              <w:t>uties as</w:t>
            </w:r>
            <w:r>
              <w:rPr>
                <w:rFonts w:ascii="Arial" w:cs="Arial" w:eastAsia="Arial" w:hAnsi="Arial"/>
                <w:sz w:val="18"/>
                <w:szCs w:val="18"/>
                <w:color w:val="auto"/>
              </w:rPr>
              <w:t xml:space="preserve"> A</w:t>
            </w:r>
            <w:r>
              <w:rPr>
                <w:rFonts w:ascii="Arial" w:cs="Arial" w:eastAsia="Arial" w:hAnsi="Arial"/>
                <w:sz w:val="12"/>
                <w:szCs w:val="12"/>
                <w:color w:val="auto"/>
              </w:rPr>
              <w:t>gent</w:t>
            </w:r>
          </w:p>
        </w:tc>
        <w:tc>
          <w:tcPr>
            <w:tcW w:w="6220" w:type="dxa"/>
            <w:vAlign w:val="bottom"/>
          </w:tcPr>
          <w:p>
            <w:pPr>
              <w:jc w:val="right"/>
              <w:ind w:right="390"/>
              <w:spacing w:after="0"/>
              <w:rPr>
                <w:sz w:val="20"/>
                <w:szCs w:val="20"/>
                <w:color w:val="auto"/>
              </w:rPr>
            </w:pPr>
            <w:r>
              <w:rPr>
                <w:rFonts w:ascii="Arial" w:cs="Arial" w:eastAsia="Arial" w:hAnsi="Arial"/>
                <w:sz w:val="18"/>
                <w:szCs w:val="18"/>
                <w:color w:val="auto"/>
              </w:rPr>
              <w:t>64</w:t>
            </w:r>
          </w:p>
        </w:tc>
      </w:tr>
      <w:tr>
        <w:trPr>
          <w:trHeight w:val="216"/>
        </w:trPr>
        <w:tc>
          <w:tcPr>
            <w:tcW w:w="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9.3</w:t>
            </w:r>
          </w:p>
        </w:tc>
        <w:tc>
          <w:tcPr>
            <w:tcW w:w="43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L</w:t>
            </w:r>
            <w:r>
              <w:rPr>
                <w:rFonts w:ascii="Arial" w:cs="Arial" w:eastAsia="Arial" w:hAnsi="Arial"/>
                <w:sz w:val="12"/>
                <w:szCs w:val="12"/>
                <w:color w:val="auto"/>
              </w:rPr>
              <w:t>imited</w:t>
            </w:r>
            <w:r>
              <w:rPr>
                <w:rFonts w:ascii="Arial" w:cs="Arial" w:eastAsia="Arial" w:hAnsi="Arial"/>
                <w:sz w:val="18"/>
                <w:szCs w:val="18"/>
                <w:color w:val="auto"/>
              </w:rPr>
              <w:t xml:space="preserve"> D</w:t>
            </w:r>
            <w:r>
              <w:rPr>
                <w:rFonts w:ascii="Arial" w:cs="Arial" w:eastAsia="Arial" w:hAnsi="Arial"/>
                <w:sz w:val="12"/>
                <w:szCs w:val="12"/>
                <w:color w:val="auto"/>
              </w:rPr>
              <w:t>uties</w:t>
            </w:r>
          </w:p>
        </w:tc>
        <w:tc>
          <w:tcPr>
            <w:tcW w:w="622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65</w:t>
            </w:r>
          </w:p>
        </w:tc>
      </w:tr>
      <w:tr>
        <w:trPr>
          <w:trHeight w:val="216"/>
        </w:trPr>
        <w:tc>
          <w:tcPr>
            <w:tcW w:w="640" w:type="dxa"/>
            <w:vAlign w:val="bottom"/>
          </w:tcPr>
          <w:p>
            <w:pPr>
              <w:ind w:left="180"/>
              <w:spacing w:after="0"/>
              <w:rPr>
                <w:sz w:val="20"/>
                <w:szCs w:val="20"/>
                <w:color w:val="auto"/>
              </w:rPr>
            </w:pPr>
            <w:r>
              <w:rPr>
                <w:rFonts w:ascii="Arial" w:cs="Arial" w:eastAsia="Arial" w:hAnsi="Arial"/>
                <w:sz w:val="18"/>
                <w:szCs w:val="18"/>
                <w:color w:val="auto"/>
              </w:rPr>
              <w:t>9.4</w:t>
            </w:r>
          </w:p>
        </w:tc>
        <w:tc>
          <w:tcPr>
            <w:tcW w:w="4380" w:type="dxa"/>
            <w:vAlign w:val="bottom"/>
          </w:tcPr>
          <w:p>
            <w:pPr>
              <w:ind w:left="160"/>
              <w:spacing w:after="0"/>
              <w:rPr>
                <w:sz w:val="20"/>
                <w:szCs w:val="20"/>
                <w:color w:val="auto"/>
              </w:rPr>
            </w:pPr>
            <w:r>
              <w:rPr>
                <w:rFonts w:ascii="Arial" w:cs="Arial" w:eastAsia="Arial" w:hAnsi="Arial"/>
                <w:sz w:val="18"/>
                <w:szCs w:val="18"/>
                <w:color w:val="auto"/>
              </w:rPr>
              <w:t>N</w:t>
            </w:r>
            <w:r>
              <w:rPr>
                <w:rFonts w:ascii="Arial" w:cs="Arial" w:eastAsia="Arial" w:hAnsi="Arial"/>
                <w:sz w:val="12"/>
                <w:szCs w:val="12"/>
                <w:color w:val="auto"/>
              </w:rPr>
              <w:t>o</w:t>
            </w:r>
            <w:r>
              <w:rPr>
                <w:rFonts w:ascii="Arial" w:cs="Arial" w:eastAsia="Arial" w:hAnsi="Arial"/>
                <w:sz w:val="18"/>
                <w:szCs w:val="18"/>
                <w:color w:val="auto"/>
              </w:rPr>
              <w:t xml:space="preserve"> A</w:t>
            </w:r>
            <w:r>
              <w:rPr>
                <w:rFonts w:ascii="Arial" w:cs="Arial" w:eastAsia="Arial" w:hAnsi="Arial"/>
                <w:sz w:val="12"/>
                <w:szCs w:val="12"/>
                <w:color w:val="auto"/>
              </w:rPr>
              <w:t>ctions</w:t>
            </w:r>
            <w:r>
              <w:rPr>
                <w:rFonts w:ascii="Arial" w:cs="Arial" w:eastAsia="Arial" w:hAnsi="Arial"/>
                <w:sz w:val="18"/>
                <w:szCs w:val="18"/>
                <w:color w:val="auto"/>
              </w:rPr>
              <w:t xml:space="preserve"> W</w:t>
            </w:r>
            <w:r>
              <w:rPr>
                <w:rFonts w:ascii="Arial" w:cs="Arial" w:eastAsia="Arial" w:hAnsi="Arial"/>
                <w:sz w:val="12"/>
                <w:szCs w:val="12"/>
                <w:color w:val="auto"/>
              </w:rPr>
              <w:t>ithout</w:t>
            </w:r>
            <w:r>
              <w:rPr>
                <w:rFonts w:ascii="Arial" w:cs="Arial" w:eastAsia="Arial" w:hAnsi="Arial"/>
                <w:sz w:val="18"/>
                <w:szCs w:val="18"/>
                <w:color w:val="auto"/>
              </w:rPr>
              <w:t xml:space="preserve"> I</w:t>
            </w:r>
            <w:r>
              <w:rPr>
                <w:rFonts w:ascii="Arial" w:cs="Arial" w:eastAsia="Arial" w:hAnsi="Arial"/>
                <w:sz w:val="12"/>
                <w:szCs w:val="12"/>
                <w:color w:val="auto"/>
              </w:rPr>
              <w:t>nstructions</w:t>
            </w:r>
          </w:p>
        </w:tc>
        <w:tc>
          <w:tcPr>
            <w:tcW w:w="6220" w:type="dxa"/>
            <w:vAlign w:val="bottom"/>
          </w:tcPr>
          <w:p>
            <w:pPr>
              <w:jc w:val="right"/>
              <w:ind w:right="390"/>
              <w:spacing w:after="0"/>
              <w:rPr>
                <w:sz w:val="20"/>
                <w:szCs w:val="20"/>
                <w:color w:val="auto"/>
              </w:rPr>
            </w:pPr>
            <w:r>
              <w:rPr>
                <w:rFonts w:ascii="Arial" w:cs="Arial" w:eastAsia="Arial" w:hAnsi="Arial"/>
                <w:sz w:val="18"/>
                <w:szCs w:val="18"/>
                <w:color w:val="auto"/>
              </w:rPr>
              <w:t>65</w:t>
            </w:r>
          </w:p>
        </w:tc>
      </w:tr>
      <w:tr>
        <w:trPr>
          <w:trHeight w:val="216"/>
        </w:trPr>
        <w:tc>
          <w:tcPr>
            <w:tcW w:w="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9.5</w:t>
            </w:r>
          </w:p>
        </w:tc>
        <w:tc>
          <w:tcPr>
            <w:tcW w:w="43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w:t>
            </w:r>
            <w:r>
              <w:rPr>
                <w:rFonts w:ascii="Arial" w:cs="Arial" w:eastAsia="Arial" w:hAnsi="Arial"/>
                <w:sz w:val="12"/>
                <w:szCs w:val="12"/>
                <w:color w:val="auto"/>
              </w:rPr>
              <w:t>elegation of</w:t>
            </w:r>
            <w:r>
              <w:rPr>
                <w:rFonts w:ascii="Arial" w:cs="Arial" w:eastAsia="Arial" w:hAnsi="Arial"/>
                <w:sz w:val="18"/>
                <w:szCs w:val="18"/>
                <w:color w:val="auto"/>
              </w:rPr>
              <w:t xml:space="preserve"> R</w:t>
            </w:r>
            <w:r>
              <w:rPr>
                <w:rFonts w:ascii="Arial" w:cs="Arial" w:eastAsia="Arial" w:hAnsi="Arial"/>
                <w:sz w:val="12"/>
                <w:szCs w:val="12"/>
                <w:color w:val="auto"/>
              </w:rPr>
              <w:t>ights and</w:t>
            </w:r>
            <w:r>
              <w:rPr>
                <w:rFonts w:ascii="Arial" w:cs="Arial" w:eastAsia="Arial" w:hAnsi="Arial"/>
                <w:sz w:val="18"/>
                <w:szCs w:val="18"/>
                <w:color w:val="auto"/>
              </w:rPr>
              <w:t xml:space="preserve"> D</w:t>
            </w:r>
            <w:r>
              <w:rPr>
                <w:rFonts w:ascii="Arial" w:cs="Arial" w:eastAsia="Arial" w:hAnsi="Arial"/>
                <w:sz w:val="12"/>
                <w:szCs w:val="12"/>
                <w:color w:val="auto"/>
              </w:rPr>
              <w:t>uties</w:t>
            </w:r>
          </w:p>
        </w:tc>
        <w:tc>
          <w:tcPr>
            <w:tcW w:w="622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65</w:t>
            </w:r>
          </w:p>
        </w:tc>
      </w:tr>
      <w:tr>
        <w:trPr>
          <w:trHeight w:val="216"/>
        </w:trPr>
        <w:tc>
          <w:tcPr>
            <w:tcW w:w="640" w:type="dxa"/>
            <w:vAlign w:val="bottom"/>
          </w:tcPr>
          <w:p>
            <w:pPr>
              <w:ind w:left="180"/>
              <w:spacing w:after="0"/>
              <w:rPr>
                <w:sz w:val="20"/>
                <w:szCs w:val="20"/>
                <w:color w:val="auto"/>
              </w:rPr>
            </w:pPr>
            <w:r>
              <w:rPr>
                <w:rFonts w:ascii="Arial" w:cs="Arial" w:eastAsia="Arial" w:hAnsi="Arial"/>
                <w:sz w:val="18"/>
                <w:szCs w:val="18"/>
                <w:color w:val="auto"/>
              </w:rPr>
              <w:t>9.6</w:t>
            </w:r>
          </w:p>
        </w:tc>
        <w:tc>
          <w:tcPr>
            <w:tcW w:w="4380" w:type="dxa"/>
            <w:vAlign w:val="bottom"/>
          </w:tcPr>
          <w:p>
            <w:pPr>
              <w:ind w:left="160"/>
              <w:spacing w:after="0"/>
              <w:rPr>
                <w:sz w:val="20"/>
                <w:szCs w:val="20"/>
                <w:color w:val="auto"/>
              </w:rPr>
            </w:pPr>
            <w:r>
              <w:rPr>
                <w:rFonts w:ascii="Arial" w:cs="Arial" w:eastAsia="Arial" w:hAnsi="Arial"/>
                <w:sz w:val="18"/>
                <w:szCs w:val="18"/>
                <w:color w:val="auto"/>
              </w:rPr>
              <w:t>R</w:t>
            </w:r>
            <w:r>
              <w:rPr>
                <w:rFonts w:ascii="Arial" w:cs="Arial" w:eastAsia="Arial" w:hAnsi="Arial"/>
                <w:sz w:val="12"/>
                <w:szCs w:val="12"/>
                <w:color w:val="auto"/>
              </w:rPr>
              <w:t>eliance and</w:t>
            </w:r>
            <w:r>
              <w:rPr>
                <w:rFonts w:ascii="Arial" w:cs="Arial" w:eastAsia="Arial" w:hAnsi="Arial"/>
                <w:sz w:val="18"/>
                <w:szCs w:val="18"/>
                <w:color w:val="auto"/>
              </w:rPr>
              <w:t xml:space="preserve"> L</w:t>
            </w:r>
            <w:r>
              <w:rPr>
                <w:rFonts w:ascii="Arial" w:cs="Arial" w:eastAsia="Arial" w:hAnsi="Arial"/>
                <w:sz w:val="12"/>
                <w:szCs w:val="12"/>
                <w:color w:val="auto"/>
              </w:rPr>
              <w:t>iability</w:t>
            </w:r>
          </w:p>
        </w:tc>
        <w:tc>
          <w:tcPr>
            <w:tcW w:w="6220" w:type="dxa"/>
            <w:vAlign w:val="bottom"/>
          </w:tcPr>
          <w:p>
            <w:pPr>
              <w:jc w:val="right"/>
              <w:ind w:right="390"/>
              <w:spacing w:after="0"/>
              <w:rPr>
                <w:sz w:val="20"/>
                <w:szCs w:val="20"/>
                <w:color w:val="auto"/>
              </w:rPr>
            </w:pPr>
            <w:r>
              <w:rPr>
                <w:rFonts w:ascii="Arial" w:cs="Arial" w:eastAsia="Arial" w:hAnsi="Arial"/>
                <w:sz w:val="18"/>
                <w:szCs w:val="18"/>
                <w:color w:val="auto"/>
              </w:rPr>
              <w:t>65</w:t>
            </w:r>
          </w:p>
        </w:tc>
      </w:tr>
      <w:tr>
        <w:trPr>
          <w:trHeight w:val="216"/>
        </w:trPr>
        <w:tc>
          <w:tcPr>
            <w:tcW w:w="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9.7</w:t>
            </w:r>
          </w:p>
        </w:tc>
        <w:tc>
          <w:tcPr>
            <w:tcW w:w="43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w:t>
            </w:r>
            <w:r>
              <w:rPr>
                <w:rFonts w:ascii="Arial" w:cs="Arial" w:eastAsia="Arial" w:hAnsi="Arial"/>
                <w:sz w:val="12"/>
                <w:szCs w:val="12"/>
                <w:color w:val="auto"/>
              </w:rPr>
              <w:t>gent</w:t>
            </w:r>
            <w:r>
              <w:rPr>
                <w:rFonts w:ascii="Arial" w:cs="Arial" w:eastAsia="Arial" w:hAnsi="Arial"/>
                <w:sz w:val="18"/>
                <w:szCs w:val="18"/>
                <w:color w:val="auto"/>
              </w:rPr>
              <w:t xml:space="preserve"> I</w:t>
            </w:r>
            <w:r>
              <w:rPr>
                <w:rFonts w:ascii="Arial" w:cs="Arial" w:eastAsia="Arial" w:hAnsi="Arial"/>
                <w:sz w:val="12"/>
                <w:szCs w:val="12"/>
                <w:color w:val="auto"/>
              </w:rPr>
              <w:t>ndividually</w:t>
            </w:r>
          </w:p>
        </w:tc>
        <w:tc>
          <w:tcPr>
            <w:tcW w:w="622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66</w:t>
            </w:r>
          </w:p>
        </w:tc>
      </w:tr>
      <w:tr>
        <w:trPr>
          <w:trHeight w:val="216"/>
        </w:trPr>
        <w:tc>
          <w:tcPr>
            <w:tcW w:w="640" w:type="dxa"/>
            <w:vAlign w:val="bottom"/>
          </w:tcPr>
          <w:p>
            <w:pPr>
              <w:ind w:left="180"/>
              <w:spacing w:after="0"/>
              <w:rPr>
                <w:sz w:val="20"/>
                <w:szCs w:val="20"/>
                <w:color w:val="auto"/>
              </w:rPr>
            </w:pPr>
            <w:r>
              <w:rPr>
                <w:rFonts w:ascii="Arial" w:cs="Arial" w:eastAsia="Arial" w:hAnsi="Arial"/>
                <w:sz w:val="18"/>
                <w:szCs w:val="18"/>
                <w:color w:val="auto"/>
              </w:rPr>
              <w:t>9.8</w:t>
            </w:r>
          </w:p>
        </w:tc>
        <w:tc>
          <w:tcPr>
            <w:tcW w:w="4380" w:type="dxa"/>
            <w:vAlign w:val="bottom"/>
          </w:tcPr>
          <w:p>
            <w:pPr>
              <w:ind w:left="160"/>
              <w:spacing w:after="0"/>
              <w:rPr>
                <w:sz w:val="20"/>
                <w:szCs w:val="20"/>
                <w:color w:val="auto"/>
              </w:rPr>
            </w:pPr>
            <w:r>
              <w:rPr>
                <w:rFonts w:ascii="Arial" w:cs="Arial" w:eastAsia="Arial" w:hAnsi="Arial"/>
                <w:sz w:val="18"/>
                <w:szCs w:val="18"/>
                <w:color w:val="auto"/>
              </w:rPr>
              <w:t>A</w:t>
            </w:r>
            <w:r>
              <w:rPr>
                <w:rFonts w:ascii="Arial" w:cs="Arial" w:eastAsia="Arial" w:hAnsi="Arial"/>
                <w:sz w:val="12"/>
                <w:szCs w:val="12"/>
                <w:color w:val="auto"/>
              </w:rPr>
              <w:t>gent</w:t>
            </w:r>
            <w:r>
              <w:rPr>
                <w:rFonts w:ascii="Arial" w:cs="Arial" w:eastAsia="Arial" w:hAnsi="Arial"/>
                <w:sz w:val="18"/>
                <w:szCs w:val="18"/>
                <w:color w:val="auto"/>
              </w:rPr>
              <w:t xml:space="preserve"> C</w:t>
            </w:r>
            <w:r>
              <w:rPr>
                <w:rFonts w:ascii="Arial" w:cs="Arial" w:eastAsia="Arial" w:hAnsi="Arial"/>
                <w:sz w:val="12"/>
                <w:szCs w:val="12"/>
                <w:color w:val="auto"/>
              </w:rPr>
              <w:t>osts and</w:t>
            </w:r>
            <w:r>
              <w:rPr>
                <w:rFonts w:ascii="Arial" w:cs="Arial" w:eastAsia="Arial" w:hAnsi="Arial"/>
                <w:sz w:val="18"/>
                <w:szCs w:val="18"/>
                <w:color w:val="auto"/>
              </w:rPr>
              <w:t xml:space="preserve"> E</w:t>
            </w:r>
            <w:r>
              <w:rPr>
                <w:rFonts w:ascii="Arial" w:cs="Arial" w:eastAsia="Arial" w:hAnsi="Arial"/>
                <w:sz w:val="12"/>
                <w:szCs w:val="12"/>
                <w:color w:val="auto"/>
              </w:rPr>
              <w:t>xpenses</w:t>
            </w:r>
          </w:p>
        </w:tc>
        <w:tc>
          <w:tcPr>
            <w:tcW w:w="6220" w:type="dxa"/>
            <w:vAlign w:val="bottom"/>
          </w:tcPr>
          <w:p>
            <w:pPr>
              <w:jc w:val="right"/>
              <w:ind w:right="390"/>
              <w:spacing w:after="0"/>
              <w:rPr>
                <w:sz w:val="20"/>
                <w:szCs w:val="20"/>
                <w:color w:val="auto"/>
              </w:rPr>
            </w:pPr>
            <w:r>
              <w:rPr>
                <w:rFonts w:ascii="Arial" w:cs="Arial" w:eastAsia="Arial" w:hAnsi="Arial"/>
                <w:sz w:val="18"/>
                <w:szCs w:val="18"/>
                <w:color w:val="auto"/>
              </w:rPr>
              <w:t>66</w:t>
            </w:r>
          </w:p>
        </w:tc>
      </w:tr>
      <w:tr>
        <w:trPr>
          <w:trHeight w:val="216"/>
        </w:trPr>
        <w:tc>
          <w:tcPr>
            <w:tcW w:w="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9.9</w:t>
            </w:r>
          </w:p>
        </w:tc>
        <w:tc>
          <w:tcPr>
            <w:tcW w:w="43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w:t>
            </w:r>
            <w:r>
              <w:rPr>
                <w:rFonts w:ascii="Arial" w:cs="Arial" w:eastAsia="Arial" w:hAnsi="Arial"/>
                <w:sz w:val="12"/>
                <w:szCs w:val="12"/>
                <w:color w:val="auto"/>
              </w:rPr>
              <w:t>ndemnification of</w:t>
            </w:r>
            <w:r>
              <w:rPr>
                <w:rFonts w:ascii="Arial" w:cs="Arial" w:eastAsia="Arial" w:hAnsi="Arial"/>
                <w:sz w:val="18"/>
                <w:szCs w:val="18"/>
                <w:color w:val="auto"/>
              </w:rPr>
              <w:t xml:space="preserve"> A</w:t>
            </w:r>
            <w:r>
              <w:rPr>
                <w:rFonts w:ascii="Arial" w:cs="Arial" w:eastAsia="Arial" w:hAnsi="Arial"/>
                <w:sz w:val="12"/>
                <w:szCs w:val="12"/>
                <w:color w:val="auto"/>
              </w:rPr>
              <w:t>gent</w:t>
            </w:r>
          </w:p>
        </w:tc>
        <w:tc>
          <w:tcPr>
            <w:tcW w:w="622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66</w:t>
            </w:r>
          </w:p>
        </w:tc>
      </w:tr>
      <w:tr>
        <w:trPr>
          <w:trHeight w:val="216"/>
        </w:trPr>
        <w:tc>
          <w:tcPr>
            <w:tcW w:w="640" w:type="dxa"/>
            <w:vAlign w:val="bottom"/>
          </w:tcPr>
          <w:p>
            <w:pPr>
              <w:ind w:left="180"/>
              <w:spacing w:after="0"/>
              <w:rPr>
                <w:sz w:val="20"/>
                <w:szCs w:val="20"/>
                <w:color w:val="auto"/>
              </w:rPr>
            </w:pPr>
            <w:r>
              <w:rPr>
                <w:rFonts w:ascii="Arial" w:cs="Arial" w:eastAsia="Arial" w:hAnsi="Arial"/>
                <w:sz w:val="18"/>
                <w:szCs w:val="18"/>
                <w:color w:val="auto"/>
              </w:rPr>
              <w:t>9.10</w:t>
            </w:r>
          </w:p>
        </w:tc>
        <w:tc>
          <w:tcPr>
            <w:tcW w:w="4380" w:type="dxa"/>
            <w:vAlign w:val="bottom"/>
          </w:tcPr>
          <w:p>
            <w:pPr>
              <w:ind w:left="160"/>
              <w:spacing w:after="0"/>
              <w:rPr>
                <w:sz w:val="20"/>
                <w:szCs w:val="20"/>
                <w:color w:val="auto"/>
              </w:rPr>
            </w:pPr>
            <w:r>
              <w:rPr>
                <w:rFonts w:ascii="Arial" w:cs="Arial" w:eastAsia="Arial" w:hAnsi="Arial"/>
                <w:sz w:val="18"/>
                <w:szCs w:val="18"/>
                <w:color w:val="auto"/>
              </w:rPr>
              <w:t>R</w:t>
            </w:r>
            <w:r>
              <w:rPr>
                <w:rFonts w:ascii="Arial" w:cs="Arial" w:eastAsia="Arial" w:hAnsi="Arial"/>
                <w:sz w:val="12"/>
                <w:szCs w:val="12"/>
                <w:color w:val="auto"/>
              </w:rPr>
              <w:t>esignation of</w:t>
            </w:r>
            <w:r>
              <w:rPr>
                <w:rFonts w:ascii="Arial" w:cs="Arial" w:eastAsia="Arial" w:hAnsi="Arial"/>
                <w:sz w:val="18"/>
                <w:szCs w:val="18"/>
                <w:color w:val="auto"/>
              </w:rPr>
              <w:t xml:space="preserve"> A</w:t>
            </w:r>
            <w:r>
              <w:rPr>
                <w:rFonts w:ascii="Arial" w:cs="Arial" w:eastAsia="Arial" w:hAnsi="Arial"/>
                <w:sz w:val="12"/>
                <w:szCs w:val="12"/>
                <w:color w:val="auto"/>
              </w:rPr>
              <w:t>gent</w:t>
            </w:r>
          </w:p>
        </w:tc>
        <w:tc>
          <w:tcPr>
            <w:tcW w:w="6220" w:type="dxa"/>
            <w:vAlign w:val="bottom"/>
          </w:tcPr>
          <w:p>
            <w:pPr>
              <w:jc w:val="right"/>
              <w:ind w:right="390"/>
              <w:spacing w:after="0"/>
              <w:rPr>
                <w:sz w:val="20"/>
                <w:szCs w:val="20"/>
                <w:color w:val="auto"/>
              </w:rPr>
            </w:pPr>
            <w:r>
              <w:rPr>
                <w:rFonts w:ascii="Arial" w:cs="Arial" w:eastAsia="Arial" w:hAnsi="Arial"/>
                <w:sz w:val="18"/>
                <w:szCs w:val="18"/>
                <w:color w:val="auto"/>
              </w:rPr>
              <w:t>66</w:t>
            </w:r>
          </w:p>
        </w:tc>
      </w:tr>
      <w:tr>
        <w:trPr>
          <w:trHeight w:val="216"/>
        </w:trPr>
        <w:tc>
          <w:tcPr>
            <w:tcW w:w="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9.11</w:t>
            </w:r>
          </w:p>
        </w:tc>
        <w:tc>
          <w:tcPr>
            <w:tcW w:w="43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w:t>
            </w:r>
            <w:r>
              <w:rPr>
                <w:rFonts w:ascii="Arial" w:cs="Arial" w:eastAsia="Arial" w:hAnsi="Arial"/>
                <w:sz w:val="12"/>
                <w:szCs w:val="12"/>
                <w:color w:val="auto"/>
              </w:rPr>
              <w:t>elease of</w:t>
            </w:r>
            <w:r>
              <w:rPr>
                <w:rFonts w:ascii="Arial" w:cs="Arial" w:eastAsia="Arial" w:hAnsi="Arial"/>
                <w:sz w:val="18"/>
                <w:szCs w:val="18"/>
                <w:color w:val="auto"/>
              </w:rPr>
              <w:t xml:space="preserve"> C</w:t>
            </w:r>
            <w:r>
              <w:rPr>
                <w:rFonts w:ascii="Arial" w:cs="Arial" w:eastAsia="Arial" w:hAnsi="Arial"/>
                <w:sz w:val="12"/>
                <w:szCs w:val="12"/>
                <w:color w:val="auto"/>
              </w:rPr>
              <w:t>ollateral</w:t>
            </w:r>
          </w:p>
        </w:tc>
        <w:tc>
          <w:tcPr>
            <w:tcW w:w="622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66</w:t>
            </w:r>
          </w:p>
        </w:tc>
      </w:tr>
      <w:tr>
        <w:trPr>
          <w:trHeight w:val="230"/>
        </w:trPr>
        <w:tc>
          <w:tcPr>
            <w:tcW w:w="640" w:type="dxa"/>
            <w:vAlign w:val="bottom"/>
          </w:tcPr>
          <w:p>
            <w:pPr>
              <w:ind w:left="180"/>
              <w:spacing w:after="0"/>
              <w:rPr>
                <w:sz w:val="20"/>
                <w:szCs w:val="20"/>
                <w:color w:val="auto"/>
              </w:rPr>
            </w:pPr>
            <w:r>
              <w:rPr>
                <w:rFonts w:ascii="Arial" w:cs="Arial" w:eastAsia="Arial" w:hAnsi="Arial"/>
                <w:sz w:val="18"/>
                <w:szCs w:val="18"/>
                <w:color w:val="auto"/>
              </w:rPr>
              <w:t>9.12</w:t>
            </w:r>
          </w:p>
        </w:tc>
        <w:tc>
          <w:tcPr>
            <w:tcW w:w="4380" w:type="dxa"/>
            <w:vAlign w:val="bottom"/>
          </w:tcPr>
          <w:p>
            <w:pPr>
              <w:ind w:left="160"/>
              <w:spacing w:after="0"/>
              <w:rPr>
                <w:sz w:val="20"/>
                <w:szCs w:val="20"/>
                <w:color w:val="auto"/>
              </w:rPr>
            </w:pPr>
            <w:r>
              <w:rPr>
                <w:rFonts w:ascii="Arial" w:cs="Arial" w:eastAsia="Arial" w:hAnsi="Arial"/>
                <w:sz w:val="18"/>
                <w:szCs w:val="18"/>
                <w:color w:val="auto"/>
              </w:rPr>
              <w:t>E</w:t>
            </w:r>
            <w:r>
              <w:rPr>
                <w:rFonts w:ascii="Arial" w:cs="Arial" w:eastAsia="Arial" w:hAnsi="Arial"/>
                <w:sz w:val="12"/>
                <w:szCs w:val="12"/>
                <w:color w:val="auto"/>
              </w:rPr>
              <w:t>rroneous</w:t>
            </w:r>
            <w:r>
              <w:rPr>
                <w:rFonts w:ascii="Arial" w:cs="Arial" w:eastAsia="Arial" w:hAnsi="Arial"/>
                <w:sz w:val="18"/>
                <w:szCs w:val="18"/>
                <w:color w:val="auto"/>
              </w:rPr>
              <w:t xml:space="preserve"> P</w:t>
            </w:r>
            <w:r>
              <w:rPr>
                <w:rFonts w:ascii="Arial" w:cs="Arial" w:eastAsia="Arial" w:hAnsi="Arial"/>
                <w:sz w:val="12"/>
                <w:szCs w:val="12"/>
                <w:color w:val="auto"/>
              </w:rPr>
              <w:t>ayments</w:t>
            </w:r>
          </w:p>
        </w:tc>
        <w:tc>
          <w:tcPr>
            <w:tcW w:w="6220" w:type="dxa"/>
            <w:vAlign w:val="bottom"/>
          </w:tcPr>
          <w:p>
            <w:pPr>
              <w:jc w:val="right"/>
              <w:ind w:right="390"/>
              <w:spacing w:after="0"/>
              <w:rPr>
                <w:sz w:val="20"/>
                <w:szCs w:val="20"/>
                <w:color w:val="auto"/>
              </w:rPr>
            </w:pPr>
            <w:r>
              <w:rPr>
                <w:rFonts w:ascii="Arial" w:cs="Arial" w:eastAsia="Arial" w:hAnsi="Arial"/>
                <w:sz w:val="18"/>
                <w:szCs w:val="18"/>
                <w:color w:val="auto"/>
              </w:rPr>
              <w:t>67</w:t>
            </w:r>
          </w:p>
        </w:tc>
      </w:tr>
      <w:tr>
        <w:trPr>
          <w:trHeight w:val="641"/>
        </w:trPr>
        <w:tc>
          <w:tcPr>
            <w:tcW w:w="50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Presto Credit Agreement</w:t>
            </w:r>
          </w:p>
        </w:tc>
        <w:tc>
          <w:tcPr>
            <w:tcW w:w="6220" w:type="dxa"/>
            <w:vAlign w:val="bottom"/>
            <w:tcBorders>
              <w:bottom w:val="single" w:sz="8" w:color="auto"/>
            </w:tcBorders>
          </w:tcPr>
          <w:p>
            <w:pPr>
              <w:jc w:val="right"/>
              <w:ind w:right="5450"/>
              <w:spacing w:after="0"/>
              <w:rPr>
                <w:sz w:val="20"/>
                <w:szCs w:val="20"/>
                <w:color w:val="auto"/>
              </w:rPr>
            </w:pPr>
            <w:r>
              <w:rPr>
                <w:rFonts w:ascii="Arial" w:cs="Arial" w:eastAsia="Arial" w:hAnsi="Arial"/>
                <w:sz w:val="18"/>
                <w:szCs w:val="18"/>
                <w:color w:val="auto"/>
              </w:rPr>
              <w:t>iii</w:t>
            </w:r>
          </w:p>
        </w:tc>
      </w:tr>
    </w:tbl>
    <w:p>
      <w:pPr>
        <w:sectPr>
          <w:pgSz w:w="11900" w:h="16838" w:orient="portrait"/>
          <w:cols w:equalWidth="0" w:num="1">
            <w:col w:w="11240"/>
          </w:cols>
          <w:pgMar w:left="320" w:top="949" w:right="339" w:bottom="1440" w:gutter="0" w:footer="0" w:header="0"/>
        </w:sectPr>
      </w:pPr>
    </w:p>
    <w:bookmarkStart w:id="86" w:name="page87"/>
    <w:bookmarkEnd w:id="8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300" w:type="dxa"/>
            <w:vAlign w:val="bottom"/>
          </w:tcPr>
          <w:p>
            <w:pPr>
              <w:spacing w:after="0"/>
              <w:rPr>
                <w:sz w:val="20"/>
                <w:szCs w:val="20"/>
                <w:color w:val="auto"/>
              </w:rPr>
            </w:pPr>
          </w:p>
        </w:tc>
        <w:tc>
          <w:tcPr>
            <w:tcW w:w="3520" w:type="dxa"/>
            <w:vAlign w:val="bottom"/>
          </w:tcPr>
          <w:p>
            <w:pPr>
              <w:spacing w:after="0"/>
              <w:rPr>
                <w:sz w:val="20"/>
                <w:szCs w:val="20"/>
                <w:color w:val="auto"/>
              </w:rPr>
            </w:pPr>
          </w:p>
        </w:tc>
        <w:tc>
          <w:tcPr>
            <w:tcW w:w="6420" w:type="dxa"/>
            <w:vAlign w:val="bottom"/>
          </w:tcPr>
          <w:p>
            <w:pPr>
              <w:jc w:val="center"/>
              <w:ind w:right="4730"/>
              <w:spacing w:after="0"/>
              <w:rPr>
                <w:sz w:val="20"/>
                <w:szCs w:val="20"/>
                <w:color w:val="auto"/>
              </w:rPr>
            </w:pPr>
            <w:r>
              <w:rPr>
                <w:rFonts w:ascii="Arial" w:cs="Arial" w:eastAsia="Arial" w:hAnsi="Arial"/>
                <w:sz w:val="18"/>
                <w:szCs w:val="18"/>
                <w:b w:val="1"/>
                <w:bCs w:val="1"/>
                <w:color w:val="auto"/>
                <w:w w:val="97"/>
              </w:rPr>
              <w:t>SCHEDULES</w:t>
            </w:r>
          </w:p>
        </w:tc>
      </w:tr>
      <w:tr>
        <w:trPr>
          <w:trHeight w:val="418"/>
        </w:trPr>
        <w:tc>
          <w:tcPr>
            <w:tcW w:w="1300" w:type="dxa"/>
            <w:vAlign w:val="bottom"/>
          </w:tcPr>
          <w:p>
            <w:pPr>
              <w:spacing w:after="0"/>
              <w:rPr>
                <w:sz w:val="20"/>
                <w:szCs w:val="20"/>
                <w:color w:val="auto"/>
              </w:rPr>
            </w:pPr>
            <w:r>
              <w:rPr>
                <w:rFonts w:ascii="Arial" w:cs="Arial" w:eastAsia="Arial" w:hAnsi="Arial"/>
                <w:sz w:val="18"/>
                <w:szCs w:val="18"/>
                <w:color w:val="auto"/>
              </w:rPr>
              <w:t>Schedule 1.1(a)</w:t>
            </w:r>
          </w:p>
        </w:tc>
        <w:tc>
          <w:tcPr>
            <w:tcW w:w="3520" w:type="dxa"/>
            <w:vAlign w:val="bottom"/>
          </w:tcPr>
          <w:p>
            <w:pPr>
              <w:ind w:left="140"/>
              <w:spacing w:after="0"/>
              <w:rPr>
                <w:sz w:val="20"/>
                <w:szCs w:val="20"/>
                <w:color w:val="auto"/>
              </w:rPr>
            </w:pPr>
            <w:r>
              <w:rPr>
                <w:rFonts w:ascii="Arial" w:cs="Arial" w:eastAsia="Arial" w:hAnsi="Arial"/>
                <w:sz w:val="18"/>
                <w:szCs w:val="18"/>
                <w:color w:val="auto"/>
              </w:rPr>
              <w:t>Term Loan Commitments</w:t>
            </w:r>
          </w:p>
        </w:tc>
        <w:tc>
          <w:tcPr>
            <w:tcW w:w="6420" w:type="dxa"/>
            <w:vAlign w:val="bottom"/>
          </w:tcPr>
          <w:p>
            <w:pPr>
              <w:spacing w:after="0"/>
              <w:rPr>
                <w:sz w:val="24"/>
                <w:szCs w:val="24"/>
                <w:color w:val="auto"/>
              </w:rPr>
            </w:pPr>
          </w:p>
        </w:tc>
      </w:tr>
      <w:tr>
        <w:trPr>
          <w:trHeight w:val="216"/>
        </w:trPr>
        <w:tc>
          <w:tcPr>
            <w:tcW w:w="1300" w:type="dxa"/>
            <w:vAlign w:val="bottom"/>
          </w:tcPr>
          <w:p>
            <w:pPr>
              <w:spacing w:after="0"/>
              <w:rPr>
                <w:sz w:val="20"/>
                <w:szCs w:val="20"/>
                <w:color w:val="auto"/>
              </w:rPr>
            </w:pPr>
            <w:r>
              <w:rPr>
                <w:rFonts w:ascii="Arial" w:cs="Arial" w:eastAsia="Arial" w:hAnsi="Arial"/>
                <w:sz w:val="18"/>
                <w:szCs w:val="18"/>
                <w:color w:val="auto"/>
              </w:rPr>
              <w:t>Schedule 1.1(b)</w:t>
            </w:r>
          </w:p>
        </w:tc>
        <w:tc>
          <w:tcPr>
            <w:tcW w:w="3520" w:type="dxa"/>
            <w:vAlign w:val="bottom"/>
          </w:tcPr>
          <w:p>
            <w:pPr>
              <w:ind w:left="140"/>
              <w:spacing w:after="0"/>
              <w:rPr>
                <w:sz w:val="20"/>
                <w:szCs w:val="20"/>
                <w:color w:val="auto"/>
              </w:rPr>
            </w:pPr>
            <w:r>
              <w:rPr>
                <w:rFonts w:ascii="Arial" w:cs="Arial" w:eastAsia="Arial" w:hAnsi="Arial"/>
                <w:sz w:val="18"/>
                <w:szCs w:val="18"/>
                <w:color w:val="auto"/>
              </w:rPr>
              <w:t>Deposit Accounts</w:t>
            </w:r>
          </w:p>
        </w:tc>
        <w:tc>
          <w:tcPr>
            <w:tcW w:w="6420" w:type="dxa"/>
            <w:vAlign w:val="bottom"/>
          </w:tcPr>
          <w:p>
            <w:pPr>
              <w:spacing w:after="0"/>
              <w:rPr>
                <w:sz w:val="18"/>
                <w:szCs w:val="18"/>
                <w:color w:val="auto"/>
              </w:rPr>
            </w:pPr>
          </w:p>
        </w:tc>
      </w:tr>
      <w:tr>
        <w:trPr>
          <w:trHeight w:val="216"/>
        </w:trPr>
        <w:tc>
          <w:tcPr>
            <w:tcW w:w="1300" w:type="dxa"/>
            <w:vAlign w:val="bottom"/>
          </w:tcPr>
          <w:p>
            <w:pPr>
              <w:spacing w:after="0"/>
              <w:rPr>
                <w:sz w:val="20"/>
                <w:szCs w:val="20"/>
                <w:color w:val="auto"/>
              </w:rPr>
            </w:pPr>
            <w:r>
              <w:rPr>
                <w:rFonts w:ascii="Arial" w:cs="Arial" w:eastAsia="Arial" w:hAnsi="Arial"/>
                <w:sz w:val="18"/>
                <w:szCs w:val="18"/>
                <w:color w:val="auto"/>
              </w:rPr>
              <w:t>Schedule 1.1(c)</w:t>
            </w:r>
          </w:p>
        </w:tc>
        <w:tc>
          <w:tcPr>
            <w:tcW w:w="3520" w:type="dxa"/>
            <w:vAlign w:val="bottom"/>
          </w:tcPr>
          <w:p>
            <w:pPr>
              <w:ind w:left="140"/>
              <w:spacing w:after="0"/>
              <w:rPr>
                <w:sz w:val="20"/>
                <w:szCs w:val="20"/>
                <w:color w:val="auto"/>
              </w:rPr>
            </w:pPr>
            <w:r>
              <w:rPr>
                <w:rFonts w:ascii="Arial" w:cs="Arial" w:eastAsia="Arial" w:hAnsi="Arial"/>
                <w:sz w:val="18"/>
                <w:szCs w:val="18"/>
                <w:color w:val="auto"/>
              </w:rPr>
              <w:t>Permitted Indebtedness</w:t>
            </w:r>
          </w:p>
        </w:tc>
        <w:tc>
          <w:tcPr>
            <w:tcW w:w="6420" w:type="dxa"/>
            <w:vAlign w:val="bottom"/>
          </w:tcPr>
          <w:p>
            <w:pPr>
              <w:spacing w:after="0"/>
              <w:rPr>
                <w:sz w:val="18"/>
                <w:szCs w:val="18"/>
                <w:color w:val="auto"/>
              </w:rPr>
            </w:pPr>
          </w:p>
        </w:tc>
      </w:tr>
      <w:tr>
        <w:trPr>
          <w:trHeight w:val="216"/>
        </w:trPr>
        <w:tc>
          <w:tcPr>
            <w:tcW w:w="1300" w:type="dxa"/>
            <w:vAlign w:val="bottom"/>
          </w:tcPr>
          <w:p>
            <w:pPr>
              <w:spacing w:after="0"/>
              <w:rPr>
                <w:sz w:val="20"/>
                <w:szCs w:val="20"/>
                <w:color w:val="auto"/>
              </w:rPr>
            </w:pPr>
            <w:r>
              <w:rPr>
                <w:rFonts w:ascii="Arial" w:cs="Arial" w:eastAsia="Arial" w:hAnsi="Arial"/>
                <w:sz w:val="18"/>
                <w:szCs w:val="18"/>
                <w:color w:val="auto"/>
              </w:rPr>
              <w:t>Schedule 1.1(d)</w:t>
            </w:r>
          </w:p>
        </w:tc>
        <w:tc>
          <w:tcPr>
            <w:tcW w:w="3520" w:type="dxa"/>
            <w:vAlign w:val="bottom"/>
          </w:tcPr>
          <w:p>
            <w:pPr>
              <w:ind w:left="140"/>
              <w:spacing w:after="0"/>
              <w:rPr>
                <w:sz w:val="20"/>
                <w:szCs w:val="20"/>
                <w:color w:val="auto"/>
              </w:rPr>
            </w:pPr>
            <w:r>
              <w:rPr>
                <w:rFonts w:ascii="Arial" w:cs="Arial" w:eastAsia="Arial" w:hAnsi="Arial"/>
                <w:sz w:val="18"/>
                <w:szCs w:val="18"/>
                <w:color w:val="auto"/>
              </w:rPr>
              <w:t>SPAC Subscription Agreements</w:t>
            </w:r>
          </w:p>
        </w:tc>
        <w:tc>
          <w:tcPr>
            <w:tcW w:w="6420" w:type="dxa"/>
            <w:vAlign w:val="bottom"/>
          </w:tcPr>
          <w:p>
            <w:pPr>
              <w:spacing w:after="0"/>
              <w:rPr>
                <w:sz w:val="18"/>
                <w:szCs w:val="18"/>
                <w:color w:val="auto"/>
              </w:rPr>
            </w:pPr>
          </w:p>
        </w:tc>
      </w:tr>
      <w:tr>
        <w:trPr>
          <w:trHeight w:val="216"/>
        </w:trPr>
        <w:tc>
          <w:tcPr>
            <w:tcW w:w="1300" w:type="dxa"/>
            <w:vAlign w:val="bottom"/>
          </w:tcPr>
          <w:p>
            <w:pPr>
              <w:spacing w:after="0"/>
              <w:rPr>
                <w:sz w:val="20"/>
                <w:szCs w:val="20"/>
                <w:color w:val="auto"/>
              </w:rPr>
            </w:pPr>
            <w:r>
              <w:rPr>
                <w:rFonts w:ascii="Arial" w:cs="Arial" w:eastAsia="Arial" w:hAnsi="Arial"/>
                <w:sz w:val="18"/>
                <w:szCs w:val="18"/>
                <w:color w:val="auto"/>
              </w:rPr>
              <w:t>Schedule 3.6</w:t>
            </w:r>
          </w:p>
        </w:tc>
        <w:tc>
          <w:tcPr>
            <w:tcW w:w="3520" w:type="dxa"/>
            <w:vAlign w:val="bottom"/>
          </w:tcPr>
          <w:p>
            <w:pPr>
              <w:ind w:left="140"/>
              <w:spacing w:after="0"/>
              <w:rPr>
                <w:sz w:val="20"/>
                <w:szCs w:val="20"/>
                <w:color w:val="auto"/>
              </w:rPr>
            </w:pPr>
            <w:r>
              <w:rPr>
                <w:rFonts w:ascii="Arial" w:cs="Arial" w:eastAsia="Arial" w:hAnsi="Arial"/>
                <w:sz w:val="18"/>
                <w:szCs w:val="18"/>
                <w:color w:val="auto"/>
              </w:rPr>
              <w:t>Current Litigation</w:t>
            </w:r>
          </w:p>
        </w:tc>
        <w:tc>
          <w:tcPr>
            <w:tcW w:w="6420" w:type="dxa"/>
            <w:vAlign w:val="bottom"/>
          </w:tcPr>
          <w:p>
            <w:pPr>
              <w:spacing w:after="0"/>
              <w:rPr>
                <w:sz w:val="18"/>
                <w:szCs w:val="18"/>
                <w:color w:val="auto"/>
              </w:rPr>
            </w:pPr>
          </w:p>
        </w:tc>
      </w:tr>
      <w:tr>
        <w:trPr>
          <w:trHeight w:val="216"/>
        </w:trPr>
        <w:tc>
          <w:tcPr>
            <w:tcW w:w="1300" w:type="dxa"/>
            <w:vAlign w:val="bottom"/>
          </w:tcPr>
          <w:p>
            <w:pPr>
              <w:spacing w:after="0"/>
              <w:rPr>
                <w:sz w:val="20"/>
                <w:szCs w:val="20"/>
                <w:color w:val="auto"/>
              </w:rPr>
            </w:pPr>
            <w:r>
              <w:rPr>
                <w:rFonts w:ascii="Arial" w:cs="Arial" w:eastAsia="Arial" w:hAnsi="Arial"/>
                <w:sz w:val="18"/>
                <w:szCs w:val="18"/>
                <w:color w:val="auto"/>
              </w:rPr>
              <w:t>Schedule 3.7</w:t>
            </w:r>
          </w:p>
        </w:tc>
        <w:tc>
          <w:tcPr>
            <w:tcW w:w="3520" w:type="dxa"/>
            <w:vAlign w:val="bottom"/>
          </w:tcPr>
          <w:p>
            <w:pPr>
              <w:ind w:left="140"/>
              <w:spacing w:after="0"/>
              <w:rPr>
                <w:sz w:val="20"/>
                <w:szCs w:val="20"/>
                <w:color w:val="auto"/>
              </w:rPr>
            </w:pPr>
            <w:r>
              <w:rPr>
                <w:rFonts w:ascii="Arial" w:cs="Arial" w:eastAsia="Arial" w:hAnsi="Arial"/>
                <w:sz w:val="18"/>
                <w:szCs w:val="18"/>
                <w:color w:val="auto"/>
              </w:rPr>
              <w:t>Material Contracts</w:t>
            </w:r>
          </w:p>
        </w:tc>
        <w:tc>
          <w:tcPr>
            <w:tcW w:w="6420" w:type="dxa"/>
            <w:vAlign w:val="bottom"/>
          </w:tcPr>
          <w:p>
            <w:pPr>
              <w:spacing w:after="0"/>
              <w:rPr>
                <w:sz w:val="18"/>
                <w:szCs w:val="18"/>
                <w:color w:val="auto"/>
              </w:rPr>
            </w:pPr>
          </w:p>
        </w:tc>
      </w:tr>
      <w:tr>
        <w:trPr>
          <w:trHeight w:val="216"/>
        </w:trPr>
        <w:tc>
          <w:tcPr>
            <w:tcW w:w="1300" w:type="dxa"/>
            <w:vAlign w:val="bottom"/>
          </w:tcPr>
          <w:p>
            <w:pPr>
              <w:spacing w:after="0"/>
              <w:rPr>
                <w:sz w:val="20"/>
                <w:szCs w:val="20"/>
                <w:color w:val="auto"/>
              </w:rPr>
            </w:pPr>
            <w:r>
              <w:rPr>
                <w:rFonts w:ascii="Arial" w:cs="Arial" w:eastAsia="Arial" w:hAnsi="Arial"/>
                <w:sz w:val="18"/>
                <w:szCs w:val="18"/>
                <w:color w:val="auto"/>
              </w:rPr>
              <w:t>Schedule 3.19</w:t>
            </w:r>
          </w:p>
        </w:tc>
        <w:tc>
          <w:tcPr>
            <w:tcW w:w="3520" w:type="dxa"/>
            <w:vAlign w:val="bottom"/>
          </w:tcPr>
          <w:p>
            <w:pPr>
              <w:ind w:left="140"/>
              <w:spacing w:after="0"/>
              <w:rPr>
                <w:sz w:val="20"/>
                <w:szCs w:val="20"/>
                <w:color w:val="auto"/>
              </w:rPr>
            </w:pPr>
            <w:r>
              <w:rPr>
                <w:rFonts w:ascii="Arial" w:cs="Arial" w:eastAsia="Arial" w:hAnsi="Arial"/>
                <w:sz w:val="18"/>
                <w:szCs w:val="18"/>
                <w:color w:val="auto"/>
              </w:rPr>
              <w:t>Subsidiaries</w:t>
            </w:r>
          </w:p>
        </w:tc>
        <w:tc>
          <w:tcPr>
            <w:tcW w:w="6420" w:type="dxa"/>
            <w:vAlign w:val="bottom"/>
          </w:tcPr>
          <w:p>
            <w:pPr>
              <w:spacing w:after="0"/>
              <w:rPr>
                <w:sz w:val="18"/>
                <w:szCs w:val="18"/>
                <w:color w:val="auto"/>
              </w:rPr>
            </w:pPr>
          </w:p>
        </w:tc>
      </w:tr>
      <w:tr>
        <w:trPr>
          <w:trHeight w:val="216"/>
        </w:trPr>
        <w:tc>
          <w:tcPr>
            <w:tcW w:w="1300" w:type="dxa"/>
            <w:vAlign w:val="bottom"/>
          </w:tcPr>
          <w:p>
            <w:pPr>
              <w:spacing w:after="0"/>
              <w:rPr>
                <w:sz w:val="20"/>
                <w:szCs w:val="20"/>
                <w:color w:val="auto"/>
              </w:rPr>
            </w:pPr>
            <w:r>
              <w:rPr>
                <w:rFonts w:ascii="Arial" w:cs="Arial" w:eastAsia="Arial" w:hAnsi="Arial"/>
                <w:sz w:val="18"/>
                <w:szCs w:val="18"/>
                <w:color w:val="auto"/>
              </w:rPr>
              <w:t>Schedule 3.23</w:t>
            </w:r>
          </w:p>
        </w:tc>
        <w:tc>
          <w:tcPr>
            <w:tcW w:w="3520" w:type="dxa"/>
            <w:vAlign w:val="bottom"/>
          </w:tcPr>
          <w:p>
            <w:pPr>
              <w:ind w:left="140"/>
              <w:spacing w:after="0"/>
              <w:rPr>
                <w:sz w:val="20"/>
                <w:szCs w:val="20"/>
                <w:color w:val="auto"/>
              </w:rPr>
            </w:pPr>
            <w:r>
              <w:rPr>
                <w:rFonts w:ascii="Arial" w:cs="Arial" w:eastAsia="Arial" w:hAnsi="Arial"/>
                <w:sz w:val="18"/>
                <w:szCs w:val="18"/>
                <w:color w:val="auto"/>
                <w:w w:val="98"/>
              </w:rPr>
              <w:t>Capitalization of Loan Parties; Subsidiaries</w:t>
            </w:r>
          </w:p>
        </w:tc>
        <w:tc>
          <w:tcPr>
            <w:tcW w:w="6420" w:type="dxa"/>
            <w:vAlign w:val="bottom"/>
          </w:tcPr>
          <w:p>
            <w:pPr>
              <w:spacing w:after="0"/>
              <w:rPr>
                <w:sz w:val="18"/>
                <w:szCs w:val="18"/>
                <w:color w:val="auto"/>
              </w:rPr>
            </w:pPr>
          </w:p>
        </w:tc>
      </w:tr>
      <w:tr>
        <w:trPr>
          <w:trHeight w:val="216"/>
        </w:trPr>
        <w:tc>
          <w:tcPr>
            <w:tcW w:w="1300" w:type="dxa"/>
            <w:vAlign w:val="bottom"/>
          </w:tcPr>
          <w:p>
            <w:pPr>
              <w:spacing w:after="0"/>
              <w:rPr>
                <w:sz w:val="20"/>
                <w:szCs w:val="20"/>
                <w:color w:val="auto"/>
              </w:rPr>
            </w:pPr>
            <w:r>
              <w:rPr>
                <w:rFonts w:ascii="Arial" w:cs="Arial" w:eastAsia="Arial" w:hAnsi="Arial"/>
                <w:sz w:val="18"/>
                <w:szCs w:val="18"/>
                <w:color w:val="auto"/>
              </w:rPr>
              <w:t>Schedule 3.24</w:t>
            </w:r>
          </w:p>
        </w:tc>
        <w:tc>
          <w:tcPr>
            <w:tcW w:w="3520" w:type="dxa"/>
            <w:vAlign w:val="bottom"/>
          </w:tcPr>
          <w:p>
            <w:pPr>
              <w:ind w:left="140"/>
              <w:spacing w:after="0"/>
              <w:rPr>
                <w:sz w:val="20"/>
                <w:szCs w:val="20"/>
                <w:color w:val="auto"/>
              </w:rPr>
            </w:pPr>
            <w:r>
              <w:rPr>
                <w:rFonts w:ascii="Arial" w:cs="Arial" w:eastAsia="Arial" w:hAnsi="Arial"/>
                <w:sz w:val="18"/>
                <w:szCs w:val="18"/>
                <w:color w:val="auto"/>
              </w:rPr>
              <w:t>Affiliate Transactions</w:t>
            </w:r>
          </w:p>
        </w:tc>
        <w:tc>
          <w:tcPr>
            <w:tcW w:w="6420" w:type="dxa"/>
            <w:vAlign w:val="bottom"/>
          </w:tcPr>
          <w:p>
            <w:pPr>
              <w:spacing w:after="0"/>
              <w:rPr>
                <w:sz w:val="18"/>
                <w:szCs w:val="18"/>
                <w:color w:val="auto"/>
              </w:rPr>
            </w:pPr>
          </w:p>
        </w:tc>
      </w:tr>
      <w:tr>
        <w:trPr>
          <w:trHeight w:val="230"/>
        </w:trPr>
        <w:tc>
          <w:tcPr>
            <w:tcW w:w="1300" w:type="dxa"/>
            <w:vAlign w:val="bottom"/>
          </w:tcPr>
          <w:p>
            <w:pPr>
              <w:spacing w:after="0"/>
              <w:rPr>
                <w:sz w:val="20"/>
                <w:szCs w:val="20"/>
                <w:color w:val="auto"/>
              </w:rPr>
            </w:pPr>
            <w:r>
              <w:rPr>
                <w:rFonts w:ascii="Arial" w:cs="Arial" w:eastAsia="Arial" w:hAnsi="Arial"/>
                <w:sz w:val="18"/>
                <w:szCs w:val="18"/>
                <w:color w:val="auto"/>
              </w:rPr>
              <w:t>Schedule 6.6</w:t>
            </w:r>
          </w:p>
        </w:tc>
        <w:tc>
          <w:tcPr>
            <w:tcW w:w="3520" w:type="dxa"/>
            <w:vAlign w:val="bottom"/>
          </w:tcPr>
          <w:p>
            <w:pPr>
              <w:ind w:left="140"/>
              <w:spacing w:after="0"/>
              <w:rPr>
                <w:sz w:val="20"/>
                <w:szCs w:val="20"/>
                <w:color w:val="auto"/>
              </w:rPr>
            </w:pPr>
            <w:r>
              <w:rPr>
                <w:rFonts w:ascii="Arial" w:cs="Arial" w:eastAsia="Arial" w:hAnsi="Arial"/>
                <w:sz w:val="18"/>
                <w:szCs w:val="18"/>
                <w:color w:val="auto"/>
              </w:rPr>
              <w:t>Permitted Investments</w:t>
            </w:r>
          </w:p>
        </w:tc>
        <w:tc>
          <w:tcPr>
            <w:tcW w:w="6420" w:type="dxa"/>
            <w:vAlign w:val="bottom"/>
          </w:tcPr>
          <w:p>
            <w:pPr>
              <w:spacing w:after="0"/>
              <w:rPr>
                <w:sz w:val="20"/>
                <w:szCs w:val="20"/>
                <w:color w:val="auto"/>
              </w:rPr>
            </w:pPr>
          </w:p>
        </w:tc>
      </w:tr>
      <w:tr>
        <w:trPr>
          <w:trHeight w:val="432"/>
        </w:trPr>
        <w:tc>
          <w:tcPr>
            <w:tcW w:w="130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6420" w:type="dxa"/>
            <w:vAlign w:val="bottom"/>
          </w:tcPr>
          <w:p>
            <w:pPr>
              <w:jc w:val="center"/>
              <w:ind w:right="4730"/>
              <w:spacing w:after="0"/>
              <w:rPr>
                <w:sz w:val="20"/>
                <w:szCs w:val="20"/>
                <w:color w:val="auto"/>
              </w:rPr>
            </w:pPr>
            <w:r>
              <w:rPr>
                <w:rFonts w:ascii="Arial" w:cs="Arial" w:eastAsia="Arial" w:hAnsi="Arial"/>
                <w:sz w:val="18"/>
                <w:szCs w:val="18"/>
                <w:b w:val="1"/>
                <w:bCs w:val="1"/>
                <w:color w:val="auto"/>
              </w:rPr>
              <w:t>EXHIBITS</w:t>
            </w:r>
          </w:p>
        </w:tc>
      </w:tr>
      <w:tr>
        <w:trPr>
          <w:trHeight w:val="418"/>
        </w:trPr>
        <w:tc>
          <w:tcPr>
            <w:tcW w:w="1300" w:type="dxa"/>
            <w:vAlign w:val="bottom"/>
          </w:tcPr>
          <w:p>
            <w:pPr>
              <w:spacing w:after="0"/>
              <w:rPr>
                <w:sz w:val="20"/>
                <w:szCs w:val="20"/>
                <w:color w:val="auto"/>
              </w:rPr>
            </w:pPr>
            <w:r>
              <w:rPr>
                <w:rFonts w:ascii="Arial" w:cs="Arial" w:eastAsia="Arial" w:hAnsi="Arial"/>
                <w:sz w:val="18"/>
                <w:szCs w:val="18"/>
                <w:color w:val="auto"/>
              </w:rPr>
              <w:t>Exhibit A</w:t>
            </w:r>
          </w:p>
        </w:tc>
        <w:tc>
          <w:tcPr>
            <w:tcW w:w="3520" w:type="dxa"/>
            <w:vAlign w:val="bottom"/>
          </w:tcPr>
          <w:p>
            <w:pPr>
              <w:ind w:left="140"/>
              <w:spacing w:after="0"/>
              <w:rPr>
                <w:sz w:val="20"/>
                <w:szCs w:val="20"/>
                <w:color w:val="auto"/>
              </w:rPr>
            </w:pPr>
            <w:r>
              <w:rPr>
                <w:rFonts w:ascii="Arial" w:cs="Arial" w:eastAsia="Arial" w:hAnsi="Arial"/>
                <w:sz w:val="18"/>
                <w:szCs w:val="18"/>
                <w:color w:val="auto"/>
              </w:rPr>
              <w:t>Form of Compliance Certificate</w:t>
            </w:r>
          </w:p>
        </w:tc>
        <w:tc>
          <w:tcPr>
            <w:tcW w:w="6420" w:type="dxa"/>
            <w:vAlign w:val="bottom"/>
          </w:tcPr>
          <w:p>
            <w:pPr>
              <w:spacing w:after="0"/>
              <w:rPr>
                <w:sz w:val="24"/>
                <w:szCs w:val="24"/>
                <w:color w:val="auto"/>
              </w:rPr>
            </w:pPr>
          </w:p>
        </w:tc>
      </w:tr>
      <w:tr>
        <w:trPr>
          <w:trHeight w:val="216"/>
        </w:trPr>
        <w:tc>
          <w:tcPr>
            <w:tcW w:w="1300" w:type="dxa"/>
            <w:vAlign w:val="bottom"/>
          </w:tcPr>
          <w:p>
            <w:pPr>
              <w:spacing w:after="0"/>
              <w:rPr>
                <w:sz w:val="20"/>
                <w:szCs w:val="20"/>
                <w:color w:val="auto"/>
              </w:rPr>
            </w:pPr>
            <w:r>
              <w:rPr>
                <w:rFonts w:ascii="Arial" w:cs="Arial" w:eastAsia="Arial" w:hAnsi="Arial"/>
                <w:sz w:val="18"/>
                <w:szCs w:val="18"/>
                <w:color w:val="auto"/>
              </w:rPr>
              <w:t>Exhibit B</w:t>
            </w:r>
          </w:p>
        </w:tc>
        <w:tc>
          <w:tcPr>
            <w:tcW w:w="3520" w:type="dxa"/>
            <w:vAlign w:val="bottom"/>
          </w:tcPr>
          <w:p>
            <w:pPr>
              <w:ind w:left="140"/>
              <w:spacing w:after="0"/>
              <w:rPr>
                <w:sz w:val="20"/>
                <w:szCs w:val="20"/>
                <w:color w:val="auto"/>
              </w:rPr>
            </w:pPr>
            <w:r>
              <w:rPr>
                <w:rFonts w:ascii="Arial" w:cs="Arial" w:eastAsia="Arial" w:hAnsi="Arial"/>
                <w:sz w:val="18"/>
                <w:szCs w:val="18"/>
                <w:color w:val="auto"/>
              </w:rPr>
              <w:t>Form of Notice of Borrowing</w:t>
            </w:r>
          </w:p>
        </w:tc>
        <w:tc>
          <w:tcPr>
            <w:tcW w:w="6420" w:type="dxa"/>
            <w:vAlign w:val="bottom"/>
          </w:tcPr>
          <w:p>
            <w:pPr>
              <w:spacing w:after="0"/>
              <w:rPr>
                <w:sz w:val="18"/>
                <w:szCs w:val="18"/>
                <w:color w:val="auto"/>
              </w:rPr>
            </w:pPr>
          </w:p>
        </w:tc>
      </w:tr>
      <w:tr>
        <w:trPr>
          <w:trHeight w:val="216"/>
        </w:trPr>
        <w:tc>
          <w:tcPr>
            <w:tcW w:w="1300" w:type="dxa"/>
            <w:vAlign w:val="bottom"/>
          </w:tcPr>
          <w:p>
            <w:pPr>
              <w:spacing w:after="0"/>
              <w:rPr>
                <w:sz w:val="20"/>
                <w:szCs w:val="20"/>
                <w:color w:val="auto"/>
              </w:rPr>
            </w:pPr>
            <w:r>
              <w:rPr>
                <w:rFonts w:ascii="Arial" w:cs="Arial" w:eastAsia="Arial" w:hAnsi="Arial"/>
                <w:sz w:val="18"/>
                <w:szCs w:val="18"/>
                <w:color w:val="auto"/>
              </w:rPr>
              <w:t>Exhibit C</w:t>
            </w:r>
          </w:p>
        </w:tc>
        <w:tc>
          <w:tcPr>
            <w:tcW w:w="3520" w:type="dxa"/>
            <w:vAlign w:val="bottom"/>
          </w:tcPr>
          <w:p>
            <w:pPr>
              <w:ind w:left="140"/>
              <w:spacing w:after="0"/>
              <w:rPr>
                <w:sz w:val="20"/>
                <w:szCs w:val="20"/>
                <w:color w:val="auto"/>
              </w:rPr>
            </w:pPr>
            <w:r>
              <w:rPr>
                <w:rFonts w:ascii="Arial" w:cs="Arial" w:eastAsia="Arial" w:hAnsi="Arial"/>
                <w:sz w:val="18"/>
                <w:szCs w:val="18"/>
                <w:color w:val="auto"/>
              </w:rPr>
              <w:t>Form of Payment Notice</w:t>
            </w:r>
          </w:p>
        </w:tc>
        <w:tc>
          <w:tcPr>
            <w:tcW w:w="6420" w:type="dxa"/>
            <w:vAlign w:val="bottom"/>
          </w:tcPr>
          <w:p>
            <w:pPr>
              <w:spacing w:after="0"/>
              <w:rPr>
                <w:sz w:val="18"/>
                <w:szCs w:val="18"/>
                <w:color w:val="auto"/>
              </w:rPr>
            </w:pPr>
          </w:p>
        </w:tc>
      </w:tr>
      <w:tr>
        <w:trPr>
          <w:trHeight w:val="216"/>
        </w:trPr>
        <w:tc>
          <w:tcPr>
            <w:tcW w:w="1300" w:type="dxa"/>
            <w:vAlign w:val="bottom"/>
          </w:tcPr>
          <w:p>
            <w:pPr>
              <w:spacing w:after="0"/>
              <w:rPr>
                <w:sz w:val="20"/>
                <w:szCs w:val="20"/>
                <w:color w:val="auto"/>
              </w:rPr>
            </w:pPr>
            <w:r>
              <w:rPr>
                <w:rFonts w:ascii="Arial" w:cs="Arial" w:eastAsia="Arial" w:hAnsi="Arial"/>
                <w:sz w:val="18"/>
                <w:szCs w:val="18"/>
                <w:color w:val="auto"/>
              </w:rPr>
              <w:t>Exhibit D</w:t>
            </w:r>
          </w:p>
        </w:tc>
        <w:tc>
          <w:tcPr>
            <w:tcW w:w="3520" w:type="dxa"/>
            <w:vAlign w:val="bottom"/>
          </w:tcPr>
          <w:p>
            <w:pPr>
              <w:ind w:left="140"/>
              <w:spacing w:after="0"/>
              <w:rPr>
                <w:sz w:val="20"/>
                <w:szCs w:val="20"/>
                <w:color w:val="auto"/>
              </w:rPr>
            </w:pPr>
            <w:r>
              <w:rPr>
                <w:rFonts w:ascii="Arial" w:cs="Arial" w:eastAsia="Arial" w:hAnsi="Arial"/>
                <w:sz w:val="18"/>
                <w:szCs w:val="18"/>
                <w:color w:val="auto"/>
              </w:rPr>
              <w:t>Form of Promissory Note</w:t>
            </w:r>
          </w:p>
        </w:tc>
        <w:tc>
          <w:tcPr>
            <w:tcW w:w="6420" w:type="dxa"/>
            <w:vAlign w:val="bottom"/>
          </w:tcPr>
          <w:p>
            <w:pPr>
              <w:spacing w:after="0"/>
              <w:rPr>
                <w:sz w:val="18"/>
                <w:szCs w:val="18"/>
                <w:color w:val="auto"/>
              </w:rPr>
            </w:pPr>
          </w:p>
        </w:tc>
      </w:tr>
      <w:tr>
        <w:trPr>
          <w:trHeight w:val="230"/>
        </w:trPr>
        <w:tc>
          <w:tcPr>
            <w:tcW w:w="1300" w:type="dxa"/>
            <w:vAlign w:val="bottom"/>
          </w:tcPr>
          <w:p>
            <w:pPr>
              <w:spacing w:after="0"/>
              <w:rPr>
                <w:sz w:val="20"/>
                <w:szCs w:val="20"/>
                <w:color w:val="auto"/>
              </w:rPr>
            </w:pPr>
            <w:r>
              <w:rPr>
                <w:rFonts w:ascii="Arial" w:cs="Arial" w:eastAsia="Arial" w:hAnsi="Arial"/>
                <w:sz w:val="18"/>
                <w:szCs w:val="18"/>
                <w:color w:val="auto"/>
              </w:rPr>
              <w:t>Exhibit E</w:t>
            </w:r>
          </w:p>
        </w:tc>
        <w:tc>
          <w:tcPr>
            <w:tcW w:w="3520" w:type="dxa"/>
            <w:vAlign w:val="bottom"/>
          </w:tcPr>
          <w:p>
            <w:pPr>
              <w:ind w:left="140"/>
              <w:spacing w:after="0"/>
              <w:rPr>
                <w:sz w:val="20"/>
                <w:szCs w:val="20"/>
                <w:color w:val="auto"/>
              </w:rPr>
            </w:pPr>
            <w:r>
              <w:rPr>
                <w:rFonts w:ascii="Arial" w:cs="Arial" w:eastAsia="Arial" w:hAnsi="Arial"/>
                <w:sz w:val="18"/>
                <w:szCs w:val="18"/>
                <w:color w:val="auto"/>
              </w:rPr>
              <w:t>Form of Financial Covenant Calculations</w:t>
            </w:r>
          </w:p>
        </w:tc>
        <w:tc>
          <w:tcPr>
            <w:tcW w:w="6420" w:type="dxa"/>
            <w:vAlign w:val="bottom"/>
          </w:tcPr>
          <w:p>
            <w:pPr>
              <w:spacing w:after="0"/>
              <w:rPr>
                <w:sz w:val="20"/>
                <w:szCs w:val="20"/>
                <w:color w:val="auto"/>
              </w:rPr>
            </w:pPr>
          </w:p>
        </w:tc>
      </w:tr>
      <w:tr>
        <w:trPr>
          <w:trHeight w:val="655"/>
        </w:trPr>
        <w:tc>
          <w:tcPr>
            <w:tcW w:w="48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Presto Credit Agreement</w:t>
            </w:r>
          </w:p>
        </w:tc>
        <w:tc>
          <w:tcPr>
            <w:tcW w:w="6420" w:type="dxa"/>
            <w:vAlign w:val="bottom"/>
            <w:tcBorders>
              <w:bottom w:val="single" w:sz="8" w:color="auto"/>
            </w:tcBorders>
          </w:tcPr>
          <w:p>
            <w:pPr>
              <w:jc w:val="center"/>
              <w:ind w:right="4710"/>
              <w:spacing w:after="0"/>
              <w:rPr>
                <w:sz w:val="20"/>
                <w:szCs w:val="20"/>
                <w:color w:val="auto"/>
              </w:rPr>
            </w:pPr>
            <w:r>
              <w:rPr>
                <w:rFonts w:ascii="Arial" w:cs="Arial" w:eastAsia="Arial" w:hAnsi="Arial"/>
                <w:sz w:val="18"/>
                <w:szCs w:val="18"/>
                <w:color w:val="auto"/>
              </w:rPr>
              <w:t>iv</w:t>
            </w:r>
          </w:p>
        </w:tc>
      </w:tr>
    </w:tbl>
    <w:p>
      <w:pPr>
        <w:sectPr>
          <w:pgSz w:w="11900" w:h="16838" w:orient="portrait"/>
          <w:cols w:equalWidth="0" w:num="1">
            <w:col w:w="11240"/>
          </w:cols>
          <w:pgMar w:left="320" w:top="904" w:right="339" w:bottom="1440" w:gutter="0" w:footer="0" w:header="0"/>
        </w:sectPr>
      </w:pPr>
    </w:p>
    <w:bookmarkStart w:id="87" w:name="page88"/>
    <w:bookmarkEnd w:id="87"/>
    <w:p>
      <w:pPr>
        <w:jc w:val="center"/>
        <w:spacing w:after="0"/>
        <w:rPr>
          <w:sz w:val="20"/>
          <w:szCs w:val="20"/>
          <w:color w:val="auto"/>
        </w:rPr>
      </w:pPr>
      <w:r>
        <w:rPr>
          <w:rFonts w:ascii="Arial" w:cs="Arial" w:eastAsia="Arial" w:hAnsi="Arial"/>
          <w:sz w:val="18"/>
          <w:szCs w:val="18"/>
          <w:b w:val="1"/>
          <w:bCs w:val="1"/>
          <w:color w:val="auto"/>
        </w:rPr>
        <w:t>CREDIT AGREEMENT</w:t>
      </w:r>
    </w:p>
    <w:p>
      <w:pPr>
        <w:spacing w:after="0" w:line="225"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17"/>
          <w:szCs w:val="17"/>
          <w:b w:val="1"/>
          <w:bCs w:val="1"/>
          <w:color w:val="auto"/>
        </w:rPr>
        <w:t xml:space="preserve">THIS CREDIT AGREEMENT </w:t>
      </w:r>
      <w:r>
        <w:rPr>
          <w:rFonts w:ascii="Arial" w:cs="Arial" w:eastAsia="Arial" w:hAnsi="Arial"/>
          <w:sz w:val="17"/>
          <w:szCs w:val="17"/>
          <w:color w:val="auto"/>
        </w:rPr>
        <w:t>(this “</w:t>
      </w:r>
      <w:r>
        <w:rPr>
          <w:rFonts w:ascii="Arial" w:cs="Arial" w:eastAsia="Arial" w:hAnsi="Arial"/>
          <w:sz w:val="17"/>
          <w:szCs w:val="17"/>
          <w:b w:val="1"/>
          <w:bCs w:val="1"/>
          <w:i w:val="1"/>
          <w:iCs w:val="1"/>
          <w:color w:val="auto"/>
        </w:rPr>
        <w:t>Agreement</w:t>
      </w:r>
      <w:r>
        <w:rPr>
          <w:rFonts w:ascii="Arial" w:cs="Arial" w:eastAsia="Arial" w:hAnsi="Arial"/>
          <w:sz w:val="17"/>
          <w:szCs w:val="17"/>
          <w:color w:val="auto"/>
        </w:rPr>
        <w:t>”), dated as of September 21, 2022, is entered into by and among</w:t>
      </w:r>
      <w:r>
        <w:rPr>
          <w:rFonts w:ascii="Arial" w:cs="Arial" w:eastAsia="Arial" w:hAnsi="Arial"/>
          <w:sz w:val="17"/>
          <w:szCs w:val="17"/>
          <w:b w:val="1"/>
          <w:bCs w:val="1"/>
          <w:color w:val="auto"/>
        </w:rPr>
        <w:t xml:space="preserve"> E LA CARTE, LLC </w:t>
      </w:r>
      <w:r>
        <w:rPr>
          <w:rFonts w:ascii="Arial" w:cs="Arial" w:eastAsia="Arial" w:hAnsi="Arial"/>
          <w:sz w:val="17"/>
          <w:szCs w:val="17"/>
          <w:color w:val="auto"/>
        </w:rPr>
        <w:t>(f/k/a</w:t>
      </w:r>
      <w:r>
        <w:rPr>
          <w:rFonts w:ascii="Arial" w:cs="Arial" w:eastAsia="Arial" w:hAnsi="Arial"/>
          <w:sz w:val="17"/>
          <w:szCs w:val="17"/>
          <w:b w:val="1"/>
          <w:bCs w:val="1"/>
          <w:color w:val="auto"/>
        </w:rPr>
        <w:t xml:space="preserve"> </w:t>
      </w:r>
      <w:r>
        <w:rPr>
          <w:rFonts w:ascii="Arial" w:cs="Arial" w:eastAsia="Arial" w:hAnsi="Arial"/>
          <w:sz w:val="17"/>
          <w:szCs w:val="17"/>
          <w:color w:val="auto"/>
        </w:rPr>
        <w:t>Ventoux Merger Sub II LLC) a Delaware limited liability company (“</w:t>
      </w:r>
      <w:r>
        <w:rPr>
          <w:rFonts w:ascii="Arial" w:cs="Arial" w:eastAsia="Arial" w:hAnsi="Arial"/>
          <w:sz w:val="17"/>
          <w:szCs w:val="17"/>
          <w:b w:val="1"/>
          <w:bCs w:val="1"/>
          <w:i w:val="1"/>
          <w:iCs w:val="1"/>
          <w:color w:val="auto"/>
        </w:rPr>
        <w:t>Presto</w:t>
      </w:r>
      <w:r>
        <w:rPr>
          <w:rFonts w:ascii="Arial" w:cs="Arial" w:eastAsia="Arial" w:hAnsi="Arial"/>
          <w:sz w:val="17"/>
          <w:szCs w:val="17"/>
          <w:color w:val="auto"/>
        </w:rPr>
        <w:t>”), each other Person party hereto as a “Borrower” from time to time (each such Person, together with Presto, individually and collectively, the “</w:t>
      </w:r>
      <w:r>
        <w:rPr>
          <w:rFonts w:ascii="Arial" w:cs="Arial" w:eastAsia="Arial" w:hAnsi="Arial"/>
          <w:sz w:val="17"/>
          <w:szCs w:val="17"/>
          <w:b w:val="1"/>
          <w:bCs w:val="1"/>
          <w:i w:val="1"/>
          <w:iCs w:val="1"/>
          <w:color w:val="auto"/>
        </w:rPr>
        <w:t>Borrower</w:t>
      </w:r>
      <w:r>
        <w:rPr>
          <w:rFonts w:ascii="Arial" w:cs="Arial" w:eastAsia="Arial" w:hAnsi="Arial"/>
          <w:sz w:val="17"/>
          <w:szCs w:val="17"/>
          <w:color w:val="auto"/>
        </w:rPr>
        <w:t xml:space="preserve">”), </w:t>
      </w:r>
      <w:r>
        <w:rPr>
          <w:rFonts w:ascii="Arial" w:cs="Arial" w:eastAsia="Arial" w:hAnsi="Arial"/>
          <w:sz w:val="17"/>
          <w:szCs w:val="17"/>
          <w:b w:val="1"/>
          <w:bCs w:val="1"/>
          <w:color w:val="auto"/>
        </w:rPr>
        <w:t>PRESTO AUTOMATION INC.</w:t>
      </w:r>
      <w:r>
        <w:rPr>
          <w:rFonts w:ascii="Arial" w:cs="Arial" w:eastAsia="Arial" w:hAnsi="Arial"/>
          <w:sz w:val="17"/>
          <w:szCs w:val="17"/>
          <w:color w:val="auto"/>
        </w:rPr>
        <w:t xml:space="preserve"> (f/k/a Ventoux CCM Acquisition Corp.), a Delaware corporation (the “</w:t>
      </w:r>
      <w:r>
        <w:rPr>
          <w:rFonts w:ascii="Arial" w:cs="Arial" w:eastAsia="Arial" w:hAnsi="Arial"/>
          <w:sz w:val="17"/>
          <w:szCs w:val="17"/>
          <w:b w:val="1"/>
          <w:bCs w:val="1"/>
          <w:i w:val="1"/>
          <w:iCs w:val="1"/>
          <w:color w:val="auto"/>
        </w:rPr>
        <w:t>Parent</w:t>
      </w:r>
      <w:r>
        <w:rPr>
          <w:rFonts w:ascii="Arial" w:cs="Arial" w:eastAsia="Arial" w:hAnsi="Arial"/>
          <w:sz w:val="17"/>
          <w:szCs w:val="17"/>
          <w:color w:val="auto"/>
        </w:rPr>
        <w:t>”), each of the financial institutions from time to time party hereto (individually each a “</w:t>
      </w:r>
      <w:r>
        <w:rPr>
          <w:rFonts w:ascii="Arial" w:cs="Arial" w:eastAsia="Arial" w:hAnsi="Arial"/>
          <w:sz w:val="17"/>
          <w:szCs w:val="17"/>
          <w:b w:val="1"/>
          <w:bCs w:val="1"/>
          <w:i w:val="1"/>
          <w:iCs w:val="1"/>
          <w:color w:val="auto"/>
        </w:rPr>
        <w:t>Lender</w:t>
      </w:r>
      <w:r>
        <w:rPr>
          <w:rFonts w:ascii="Arial" w:cs="Arial" w:eastAsia="Arial" w:hAnsi="Arial"/>
          <w:sz w:val="17"/>
          <w:szCs w:val="17"/>
          <w:color w:val="auto"/>
        </w:rPr>
        <w:t>” and collectively the “</w:t>
      </w:r>
      <w:r>
        <w:rPr>
          <w:rFonts w:ascii="Arial" w:cs="Arial" w:eastAsia="Arial" w:hAnsi="Arial"/>
          <w:sz w:val="17"/>
          <w:szCs w:val="17"/>
          <w:b w:val="1"/>
          <w:bCs w:val="1"/>
          <w:i w:val="1"/>
          <w:iCs w:val="1"/>
          <w:color w:val="auto"/>
        </w:rPr>
        <w:t>Lenders</w:t>
      </w:r>
      <w:r>
        <w:rPr>
          <w:rFonts w:ascii="Arial" w:cs="Arial" w:eastAsia="Arial" w:hAnsi="Arial"/>
          <w:sz w:val="17"/>
          <w:szCs w:val="17"/>
          <w:color w:val="auto"/>
        </w:rPr>
        <w:t xml:space="preserve">”) and </w:t>
      </w:r>
      <w:r>
        <w:rPr>
          <w:rFonts w:ascii="Arial" w:cs="Arial" w:eastAsia="Arial" w:hAnsi="Arial"/>
          <w:sz w:val="17"/>
          <w:szCs w:val="17"/>
          <w:b w:val="1"/>
          <w:bCs w:val="1"/>
          <w:color w:val="auto"/>
        </w:rPr>
        <w:t>METROPOLITAN PARTNERS GROUP ADMINISTRATION, LLC</w:t>
      </w:r>
      <w:r>
        <w:rPr>
          <w:rFonts w:ascii="Arial" w:cs="Arial" w:eastAsia="Arial" w:hAnsi="Arial"/>
          <w:sz w:val="17"/>
          <w:szCs w:val="17"/>
          <w:color w:val="auto"/>
        </w:rPr>
        <w:t>, a Delaware limited liability company (“</w:t>
      </w:r>
      <w:r>
        <w:rPr>
          <w:rFonts w:ascii="Arial" w:cs="Arial" w:eastAsia="Arial" w:hAnsi="Arial"/>
          <w:sz w:val="17"/>
          <w:szCs w:val="17"/>
          <w:b w:val="1"/>
          <w:bCs w:val="1"/>
          <w:i w:val="1"/>
          <w:iCs w:val="1"/>
          <w:color w:val="auto"/>
        </w:rPr>
        <w:t>Metropolitan</w:t>
      </w:r>
      <w:r>
        <w:rPr>
          <w:rFonts w:ascii="Arial" w:cs="Arial" w:eastAsia="Arial" w:hAnsi="Arial"/>
          <w:sz w:val="17"/>
          <w:szCs w:val="17"/>
          <w:color w:val="auto"/>
        </w:rPr>
        <w:t>”), as administrative, payment and collateral agent for itself, as a Lender and for the other Lenders (in such capacities, “</w:t>
      </w:r>
      <w:r>
        <w:rPr>
          <w:rFonts w:ascii="Arial" w:cs="Arial" w:eastAsia="Arial" w:hAnsi="Arial"/>
          <w:sz w:val="17"/>
          <w:szCs w:val="17"/>
          <w:b w:val="1"/>
          <w:bCs w:val="1"/>
          <w:i w:val="1"/>
          <w:iCs w:val="1"/>
          <w:color w:val="auto"/>
        </w:rPr>
        <w:t>Agent</w:t>
      </w:r>
      <w:r>
        <w:rPr>
          <w:rFonts w:ascii="Arial" w:cs="Arial" w:eastAsia="Arial" w:hAnsi="Arial"/>
          <w:sz w:val="17"/>
          <w:szCs w:val="17"/>
          <w:color w:val="auto"/>
        </w:rPr>
        <w:t>”).</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RECITALS</w:t>
      </w:r>
    </w:p>
    <w:p>
      <w:pPr>
        <w:spacing w:after="0" w:line="225" w:lineRule="exact"/>
        <w:rPr>
          <w:sz w:val="20"/>
          <w:szCs w:val="20"/>
          <w:color w:val="auto"/>
        </w:rPr>
      </w:pPr>
    </w:p>
    <w:p>
      <w:pPr>
        <w:jc w:val="both"/>
        <w:ind w:firstLine="648"/>
        <w:spacing w:after="0" w:line="281" w:lineRule="auto"/>
        <w:rPr>
          <w:sz w:val="20"/>
          <w:szCs w:val="20"/>
          <w:color w:val="auto"/>
        </w:rPr>
      </w:pPr>
      <w:r>
        <w:rPr>
          <w:rFonts w:ascii="Arial" w:cs="Arial" w:eastAsia="Arial" w:hAnsi="Arial"/>
          <w:sz w:val="17"/>
          <w:szCs w:val="17"/>
          <w:b w:val="1"/>
          <w:bCs w:val="1"/>
          <w:color w:val="auto"/>
        </w:rPr>
        <w:t>WHEREAS</w:t>
      </w:r>
      <w:r>
        <w:rPr>
          <w:rFonts w:ascii="Arial" w:cs="Arial" w:eastAsia="Arial" w:hAnsi="Arial"/>
          <w:sz w:val="17"/>
          <w:szCs w:val="17"/>
          <w:color w:val="auto"/>
        </w:rPr>
        <w:t>, Borrower has requested that Lenders make available to Borrower a senior secured single draw term loan facility in the maximum</w:t>
      </w:r>
      <w:r>
        <w:rPr>
          <w:rFonts w:ascii="Arial" w:cs="Arial" w:eastAsia="Arial" w:hAnsi="Arial"/>
          <w:sz w:val="17"/>
          <w:szCs w:val="17"/>
          <w:b w:val="1"/>
          <w:bCs w:val="1"/>
          <w:color w:val="auto"/>
        </w:rPr>
        <w:t xml:space="preserve"> </w:t>
      </w:r>
      <w:r>
        <w:rPr>
          <w:rFonts w:ascii="Arial" w:cs="Arial" w:eastAsia="Arial" w:hAnsi="Arial"/>
          <w:sz w:val="17"/>
          <w:szCs w:val="17"/>
          <w:color w:val="auto"/>
        </w:rPr>
        <w:t>committed principal amount of Fifty Five Million and No/100 Dollars ($55,000,000.00), the proceeds of which shall be used by Borrower to (i) refinance the Prior Debt on the Closing Date, (ii) to pay fees, costs and expenses incurred by Agent, Lenders and the Loan Parties in connection with the transactions contemplated hereby or in connection herewith, and (iii) otherwise for working capital and general corporate purposes;</w:t>
      </w:r>
    </w:p>
    <w:p>
      <w:pPr>
        <w:spacing w:after="0" w:line="165" w:lineRule="exact"/>
        <w:rPr>
          <w:sz w:val="20"/>
          <w:szCs w:val="20"/>
          <w:color w:val="auto"/>
        </w:rPr>
      </w:pPr>
    </w:p>
    <w:p>
      <w:pPr>
        <w:jc w:val="both"/>
        <w:ind w:firstLine="648"/>
        <w:spacing w:after="0" w:line="347" w:lineRule="auto"/>
        <w:rPr>
          <w:sz w:val="20"/>
          <w:szCs w:val="20"/>
          <w:color w:val="auto"/>
        </w:rPr>
      </w:pPr>
      <w:r>
        <w:rPr>
          <w:rFonts w:ascii="Arial" w:cs="Arial" w:eastAsia="Arial" w:hAnsi="Arial"/>
          <w:sz w:val="16"/>
          <w:szCs w:val="16"/>
          <w:b w:val="1"/>
          <w:bCs w:val="1"/>
          <w:color w:val="auto"/>
        </w:rPr>
        <w:t>WHEREAS</w:t>
      </w:r>
      <w:r>
        <w:rPr>
          <w:rFonts w:ascii="Arial" w:cs="Arial" w:eastAsia="Arial" w:hAnsi="Arial"/>
          <w:sz w:val="16"/>
          <w:szCs w:val="16"/>
          <w:color w:val="auto"/>
        </w:rPr>
        <w:t>, Parent is willing to guaranty the obligations of the Loan Parties and each Loan Party is willing to grant Agent, for the benefit of</w:t>
      </w:r>
      <w:r>
        <w:rPr>
          <w:rFonts w:ascii="Arial" w:cs="Arial" w:eastAsia="Arial" w:hAnsi="Arial"/>
          <w:sz w:val="16"/>
          <w:szCs w:val="16"/>
          <w:b w:val="1"/>
          <w:bCs w:val="1"/>
          <w:color w:val="auto"/>
        </w:rPr>
        <w:t xml:space="preserve"> </w:t>
      </w:r>
      <w:r>
        <w:rPr>
          <w:rFonts w:ascii="Arial" w:cs="Arial" w:eastAsia="Arial" w:hAnsi="Arial"/>
          <w:sz w:val="16"/>
          <w:szCs w:val="16"/>
          <w:color w:val="auto"/>
        </w:rPr>
        <w:t>itself and the Lenders, a lien on and security interest in all of its Collateral to secure the Term Loan and other Obligations under the Loan Documents; and</w:t>
      </w:r>
    </w:p>
    <w:p>
      <w:pPr>
        <w:spacing w:after="0" w:line="116" w:lineRule="exact"/>
        <w:rPr>
          <w:sz w:val="20"/>
          <w:szCs w:val="20"/>
          <w:color w:val="auto"/>
        </w:rPr>
      </w:pPr>
    </w:p>
    <w:p>
      <w:pPr>
        <w:ind w:left="660"/>
        <w:spacing w:after="0"/>
        <w:rPr>
          <w:sz w:val="20"/>
          <w:szCs w:val="20"/>
          <w:color w:val="auto"/>
        </w:rPr>
      </w:pPr>
      <w:r>
        <w:rPr>
          <w:rFonts w:ascii="Arial" w:cs="Arial" w:eastAsia="Arial" w:hAnsi="Arial"/>
          <w:sz w:val="17"/>
          <w:szCs w:val="17"/>
          <w:b w:val="1"/>
          <w:bCs w:val="1"/>
          <w:color w:val="auto"/>
        </w:rPr>
        <w:t>WHEREAS</w:t>
      </w:r>
      <w:r>
        <w:rPr>
          <w:rFonts w:ascii="Arial" w:cs="Arial" w:eastAsia="Arial" w:hAnsi="Arial"/>
          <w:sz w:val="17"/>
          <w:szCs w:val="17"/>
          <w:color w:val="auto"/>
        </w:rPr>
        <w:t>, Lenders are willing to make the Term Loan available to Borrower upon the terms and subject to the conditions set forth herein.</w:t>
      </w:r>
    </w:p>
    <w:p>
      <w:pPr>
        <w:spacing w:after="0" w:line="237"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color w:val="auto"/>
        </w:rPr>
        <w:t>NOW, THEREFORE</w:t>
      </w:r>
      <w:r>
        <w:rPr>
          <w:rFonts w:ascii="Arial" w:cs="Arial" w:eastAsia="Arial" w:hAnsi="Arial"/>
          <w:sz w:val="18"/>
          <w:szCs w:val="18"/>
          <w:color w:val="auto"/>
        </w:rPr>
        <w:t>, in consideration of the foregoing and for other good and valuable consideration, the receipt and adequacy of which hereby</w:t>
      </w:r>
      <w:r>
        <w:rPr>
          <w:rFonts w:ascii="Arial" w:cs="Arial" w:eastAsia="Arial" w:hAnsi="Arial"/>
          <w:sz w:val="18"/>
          <w:szCs w:val="18"/>
          <w:b w:val="1"/>
          <w:bCs w:val="1"/>
          <w:color w:val="auto"/>
        </w:rPr>
        <w:t xml:space="preserve"> </w:t>
      </w:r>
      <w:r>
        <w:rPr>
          <w:rFonts w:ascii="Arial" w:cs="Arial" w:eastAsia="Arial" w:hAnsi="Arial"/>
          <w:sz w:val="18"/>
          <w:szCs w:val="18"/>
          <w:color w:val="auto"/>
        </w:rPr>
        <w:t>are acknowledged, Borrower, Parent, Agent and Lenders hereby agree as follows: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1</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DEFINITIONS</w:t>
      </w:r>
    </w:p>
    <w:p>
      <w:pPr>
        <w:spacing w:after="0" w:line="207"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color w:val="auto"/>
        </w:rPr>
        <w:t>1.1 Defined Terms</w:t>
      </w:r>
      <w:r>
        <w:rPr>
          <w:rFonts w:ascii="Arial" w:cs="Arial" w:eastAsia="Arial" w:hAnsi="Arial"/>
          <w:sz w:val="18"/>
          <w:szCs w:val="18"/>
          <w:color w:val="auto"/>
        </w:rPr>
        <w:t>. As used in this Agreement (including the recitals hereof), the terms listed in this</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1.1</w:t>
      </w:r>
      <w:r>
        <w:rPr>
          <w:rFonts w:ascii="Arial" w:cs="Arial" w:eastAsia="Arial" w:hAnsi="Arial"/>
          <w:sz w:val="18"/>
          <w:szCs w:val="18"/>
          <w:b w:val="1"/>
          <w:bCs w:val="1"/>
          <w:color w:val="auto"/>
        </w:rPr>
        <w:t xml:space="preserve"> </w:t>
      </w:r>
      <w:r>
        <w:rPr>
          <w:rFonts w:ascii="Arial" w:cs="Arial" w:eastAsia="Arial" w:hAnsi="Arial"/>
          <w:sz w:val="18"/>
          <w:szCs w:val="18"/>
          <w:color w:val="auto"/>
        </w:rPr>
        <w:t>shall have the respective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meanings set forth in this </w:t>
      </w:r>
      <w:r>
        <w:rPr>
          <w:rFonts w:ascii="Arial" w:cs="Arial" w:eastAsia="Arial" w:hAnsi="Arial"/>
          <w:sz w:val="18"/>
          <w:szCs w:val="18"/>
          <w:u w:val="single" w:color="auto"/>
          <w:color w:val="auto"/>
        </w:rPr>
        <w:t>Section 1.1</w:t>
      </w:r>
      <w:r>
        <w:rPr>
          <w:rFonts w:ascii="Arial" w:cs="Arial" w:eastAsia="Arial" w:hAnsi="Arial"/>
          <w:sz w:val="18"/>
          <w:szCs w:val="18"/>
          <w:color w:val="auto"/>
        </w:rPr>
        <w:t>.</w:t>
      </w:r>
    </w:p>
    <w:p>
      <w:pPr>
        <w:spacing w:after="0" w:line="166"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2020 PPP Loan</w:t>
      </w:r>
      <w:r>
        <w:rPr>
          <w:rFonts w:ascii="Arial" w:cs="Arial" w:eastAsia="Arial" w:hAnsi="Arial"/>
          <w:sz w:val="18"/>
          <w:szCs w:val="18"/>
          <w:color w:val="auto"/>
        </w:rPr>
        <w:t>”: Indebtedness of the Borrower to First Home Bank, SBA Loan Number 3856317103 dated April 12, 2020, in the principal amount of $2,599,300.00 issued under the CARES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7132320" cy="171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88" w:name="page89"/>
    <w:bookmarkEnd w:id="88"/>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2021 PPP Loan</w:t>
      </w:r>
      <w:r>
        <w:rPr>
          <w:rFonts w:ascii="Arial" w:cs="Arial" w:eastAsia="Arial" w:hAnsi="Arial"/>
          <w:sz w:val="18"/>
          <w:szCs w:val="18"/>
          <w:color w:val="auto"/>
        </w:rPr>
        <w:t>”: Indebtedness of the Borrower to First Home Bank, SBA Loan Number 9408428406 dated March 4, 2021, in the principal amount of $2,000,000.00 issued under the CARES Act.</w:t>
      </w:r>
    </w:p>
    <w:p>
      <w:pPr>
        <w:spacing w:after="0" w:line="17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Acquisition</w:t>
      </w:r>
      <w:r>
        <w:rPr>
          <w:rFonts w:ascii="Arial" w:cs="Arial" w:eastAsia="Arial" w:hAnsi="Arial"/>
          <w:sz w:val="18"/>
          <w:szCs w:val="18"/>
          <w:color w:val="auto"/>
        </w:rPr>
        <w:t>”: any transaction or series of related transactions for the purpose of or resulting, directly or indirectly, in (a) the acquisition of all or a substantial portion of the assets of a Person, or of all or a substantial portion of any business or division of a Person, (b) the acquisition of in excess of fifty percent (50%) of the Equity Interests of any Person, or otherwise causing any Person to become a Subsidiary, or (c) a merger or consolidation or any other combination with another Person (other than a Person that is already a Subsidiary).</w:t>
      </w:r>
    </w:p>
    <w:p>
      <w:pPr>
        <w:spacing w:after="0" w:line="18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Advance</w:t>
      </w:r>
      <w:r>
        <w:rPr>
          <w:rFonts w:ascii="Arial" w:cs="Arial" w:eastAsia="Arial" w:hAnsi="Arial"/>
          <w:sz w:val="18"/>
          <w:szCs w:val="18"/>
          <w:color w:val="auto"/>
        </w:rPr>
        <w:t>”: any borrowing under and advance of the Term Loan and any Protective Advance. Any amounts paid by Agent on behalf of Borrower under any Loan Document shall be an Advance for purposes of this Agreement.</w:t>
      </w:r>
    </w:p>
    <w:p>
      <w:pPr>
        <w:spacing w:after="0" w:line="170"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Affiliate</w:t>
      </w:r>
      <w:r>
        <w:rPr>
          <w:rFonts w:ascii="Arial" w:cs="Arial" w:eastAsia="Arial" w:hAnsi="Arial"/>
          <w:sz w:val="18"/>
          <w:szCs w:val="18"/>
          <w:color w:val="auto"/>
        </w:rPr>
        <w:t>”: with respect to a specified Person, another Person that (i) directly, or indirectly through one or more intermediaries, Controls or is Controlled by or is under common Control with the Person specified, (ii) which beneficially owns or holds 10% or more of any class of the voting or other Equity Interests of such Person or (iii) 10% or more of any class of voting interests or other Equity Interests of which is beneficially owned or held, directly or indirectly, by such Person; provided that neither Agent nor any Lender nor any of their Affiliates or their Approved Funds shall be an Affiliate of any Loan Party for any purpose hereunder.</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Agent</w:t>
      </w:r>
      <w:r>
        <w:rPr>
          <w:rFonts w:ascii="Arial" w:cs="Arial" w:eastAsia="Arial" w:hAnsi="Arial"/>
          <w:sz w:val="18"/>
          <w:szCs w:val="18"/>
          <w:color w:val="auto"/>
        </w:rPr>
        <w:t>”: as defined in the preamble hereto, and shall include its successors and assigns.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Agreement</w:t>
      </w:r>
      <w:r>
        <w:rPr>
          <w:rFonts w:ascii="Arial" w:cs="Arial" w:eastAsia="Arial" w:hAnsi="Arial"/>
          <w:sz w:val="17"/>
          <w:szCs w:val="17"/>
          <w:color w:val="auto"/>
        </w:rPr>
        <w:t>”: as defined in the preamble hereto, as may be amended, restated, supplemented or otherwise modified from time to time.</w:t>
      </w:r>
    </w:p>
    <w:p>
      <w:pPr>
        <w:spacing w:after="0" w:line="237"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Annual Platform Revenue</w:t>
      </w:r>
      <w:r>
        <w:rPr>
          <w:rFonts w:ascii="Arial" w:cs="Arial" w:eastAsia="Arial" w:hAnsi="Arial"/>
          <w:sz w:val="17"/>
          <w:szCs w:val="17"/>
          <w:color w:val="auto"/>
        </w:rPr>
        <w:t>”: as of any determination, the sum of (i) Touch Annual Platform Revenue, plus (ii) Computer Vision Annual Platform Revenue, plus (iii) Voice Annual Platform Revenue, in each case determined based on the three-month period most recently ended.</w:t>
      </w:r>
    </w:p>
    <w:p>
      <w:pPr>
        <w:spacing w:after="0" w:line="14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Applicable Percentage</w:t>
      </w:r>
      <w:r>
        <w:rPr>
          <w:rFonts w:ascii="Arial" w:cs="Arial" w:eastAsia="Arial" w:hAnsi="Arial"/>
          <w:sz w:val="18"/>
          <w:szCs w:val="18"/>
          <w:color w:val="auto"/>
        </w:rPr>
        <w:t xml:space="preserve">”: as to each Lender, the percentage of the aggregate amount of Term Loan Commitment held by such Lender at such time. The Applicable Percentage of each Lender as of the Closing Date is set forth opposite the name of such Lender on </w:t>
      </w:r>
      <w:r>
        <w:rPr>
          <w:rFonts w:ascii="Arial" w:cs="Arial" w:eastAsia="Arial" w:hAnsi="Arial"/>
          <w:sz w:val="18"/>
          <w:szCs w:val="18"/>
          <w:u w:val="single" w:color="auto"/>
          <w:color w:val="auto"/>
        </w:rPr>
        <w:t>Schedule 1.1(a)</w:t>
      </w:r>
      <w:r>
        <w:rPr>
          <w:rFonts w:ascii="Arial" w:cs="Arial" w:eastAsia="Arial" w:hAnsi="Arial"/>
          <w:sz w:val="18"/>
          <w:szCs w:val="18"/>
          <w:color w:val="auto"/>
        </w:rPr>
        <w:t xml:space="preserve"> or in the assignment agreement pursuant to which such Lender becomes a party hereto, as applicable, in each case, subject to subsequent assignments and adjustments in accordance with the terms hereof.</w:t>
      </w:r>
    </w:p>
    <w:p>
      <w:pPr>
        <w:spacing w:after="0" w:line="187"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Approved Fund</w:t>
      </w:r>
      <w:r>
        <w:rPr>
          <w:rFonts w:ascii="Arial" w:cs="Arial" w:eastAsia="Arial" w:hAnsi="Arial"/>
          <w:sz w:val="16"/>
          <w:szCs w:val="16"/>
          <w:color w:val="auto"/>
        </w:rPr>
        <w:t>”: any Person (other than a natural Person) which (a)(i) is (or will be) engaged in making, purchasing, holding, or otherwise investing in commercial loans, mezzanine notes, and similar extensions of credit in its ordinary course of activities or (ii) temporarily warehouses loans for any Lender and (b) is administered, advised or managed by a Lender, an entity that administers, advises or manages a Lender, or an Affiliate of either.</w:t>
      </w:r>
    </w:p>
    <w:p>
      <w:pPr>
        <w:spacing w:after="0" w:line="14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Bankruptcy Code</w:t>
      </w:r>
      <w:r>
        <w:rPr>
          <w:rFonts w:ascii="Arial" w:cs="Arial" w:eastAsia="Arial" w:hAnsi="Arial"/>
          <w:sz w:val="18"/>
          <w:szCs w:val="18"/>
          <w:color w:val="auto"/>
        </w:rPr>
        <w:t>”: Title 11 of the United States Code, 11 U.S.C. §§ 101 et. seq., as amended from time to time.</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Beneficial Ownership Certification</w:t>
      </w:r>
      <w:r>
        <w:rPr>
          <w:rFonts w:ascii="Arial" w:cs="Arial" w:eastAsia="Arial" w:hAnsi="Arial"/>
          <w:sz w:val="18"/>
          <w:szCs w:val="18"/>
          <w:color w:val="auto"/>
        </w:rPr>
        <w:t>”: a certification regarding beneficial ownership required by the Beneficial Ownership Regulation, which certification shall be in form and substance reasonably acceptable to Agent.</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Beneficial Ownership Regulation</w:t>
      </w:r>
      <w:r>
        <w:rPr>
          <w:rFonts w:ascii="Arial" w:cs="Arial" w:eastAsia="Arial" w:hAnsi="Arial"/>
          <w:sz w:val="18"/>
          <w:szCs w:val="18"/>
          <w:color w:val="auto"/>
        </w:rPr>
        <w:t>”: 31 C.F.R. § 1010.230.</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Blocked Person</w:t>
      </w:r>
      <w:r>
        <w:rPr>
          <w:rFonts w:ascii="Arial" w:cs="Arial" w:eastAsia="Arial" w:hAnsi="Arial"/>
          <w:sz w:val="18"/>
          <w:szCs w:val="18"/>
          <w:color w:val="auto"/>
        </w:rPr>
        <w:t xml:space="preserve">”: as defined in </w:t>
      </w:r>
      <w:r>
        <w:rPr>
          <w:rFonts w:ascii="Arial" w:cs="Arial" w:eastAsia="Arial" w:hAnsi="Arial"/>
          <w:sz w:val="18"/>
          <w:szCs w:val="18"/>
          <w:u w:val="single" w:color="auto"/>
          <w:color w:val="auto"/>
        </w:rPr>
        <w:t>Section 3.23</w:t>
      </w:r>
      <w:r>
        <w:rPr>
          <w:rFonts w:ascii="Arial" w:cs="Arial" w:eastAsia="Arial" w:hAnsi="Arial"/>
          <w:sz w:val="18"/>
          <w:szCs w:val="18"/>
          <w:color w:val="auto"/>
        </w:rPr>
        <w:t>.</w:t>
      </w:r>
    </w:p>
    <w:p>
      <w:pPr>
        <w:spacing w:after="0" w:line="200" w:lineRule="exact"/>
        <w:rPr>
          <w:sz w:val="20"/>
          <w:szCs w:val="20"/>
          <w:color w:val="auto"/>
        </w:rPr>
      </w:pP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36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Presto Credit Agreement</w:t>
            </w:r>
          </w:p>
        </w:tc>
        <w:tc>
          <w:tcPr>
            <w:tcW w:w="7560" w:type="dxa"/>
            <w:vAlign w:val="bottom"/>
            <w:tcBorders>
              <w:bottom w:val="single" w:sz="8" w:color="auto"/>
            </w:tcBorders>
          </w:tcPr>
          <w:p>
            <w:pPr>
              <w:jc w:val="right"/>
              <w:ind w:right="5490"/>
              <w:spacing w:after="0"/>
              <w:rPr>
                <w:sz w:val="20"/>
                <w:szCs w:val="20"/>
                <w:color w:val="auto"/>
              </w:rPr>
            </w:pPr>
            <w:r>
              <w:rPr>
                <w:rFonts w:ascii="Arial" w:cs="Arial" w:eastAsia="Arial" w:hAnsi="Arial"/>
                <w:sz w:val="18"/>
                <w:szCs w:val="18"/>
                <w:color w:val="auto"/>
              </w:rPr>
              <w:t>2</w:t>
            </w:r>
          </w:p>
        </w:tc>
      </w:tr>
    </w:tbl>
    <w:p>
      <w:pPr>
        <w:sectPr>
          <w:pgSz w:w="11900" w:h="16838" w:orient="portrait"/>
          <w:cols w:equalWidth="0" w:num="1">
            <w:col w:w="11240"/>
          </w:cols>
          <w:pgMar w:left="320" w:top="908" w:right="339" w:bottom="1440" w:gutter="0" w:footer="0" w:header="0"/>
        </w:sectPr>
      </w:pPr>
    </w:p>
    <w:bookmarkStart w:id="89" w:name="page90"/>
    <w:bookmarkEnd w:id="89"/>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Board</w:t>
      </w:r>
      <w:r>
        <w:rPr>
          <w:rFonts w:ascii="Arial" w:cs="Arial" w:eastAsia="Arial" w:hAnsi="Arial"/>
          <w:sz w:val="18"/>
          <w:szCs w:val="18"/>
          <w:color w:val="auto"/>
        </w:rPr>
        <w:t>”: the Board of Governors of the Federal Reserve System of the United States (or any successor).</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Borrower</w:t>
      </w:r>
      <w:r>
        <w:rPr>
          <w:rFonts w:ascii="Arial" w:cs="Arial" w:eastAsia="Arial" w:hAnsi="Arial"/>
          <w:sz w:val="18"/>
          <w:szCs w:val="18"/>
          <w:color w:val="auto"/>
        </w:rPr>
        <w:t>”: as defined in the preamble hereto.</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Borrowing Date</w:t>
      </w:r>
      <w:r>
        <w:rPr>
          <w:rFonts w:ascii="Arial" w:cs="Arial" w:eastAsia="Arial" w:hAnsi="Arial"/>
          <w:sz w:val="18"/>
          <w:szCs w:val="18"/>
          <w:color w:val="auto"/>
        </w:rPr>
        <w:t>”: any Business Day specified by Borrower in a Notice of Borrowing as the date on which the Borrower requests Lenders to make the Term Loan hereunder.</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Business Day</w:t>
      </w:r>
      <w:r>
        <w:rPr>
          <w:rFonts w:ascii="Arial" w:cs="Arial" w:eastAsia="Arial" w:hAnsi="Arial"/>
          <w:sz w:val="18"/>
          <w:szCs w:val="18"/>
          <w:color w:val="auto"/>
        </w:rPr>
        <w:t>”: a day other than a Saturday, Sunday or other day on which commercial banks in the State of New York are authorized or required by Law to close.</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Capital Lease</w:t>
      </w:r>
      <w:r>
        <w:rPr>
          <w:rFonts w:ascii="Arial" w:cs="Arial" w:eastAsia="Arial" w:hAnsi="Arial"/>
          <w:sz w:val="18"/>
          <w:szCs w:val="18"/>
          <w:color w:val="auto"/>
        </w:rPr>
        <w:t>”: at any time, a lease with respect to which the lessee is required to recognize the acquisition of an asset and the incurrence of a liability in accordance with GAAP.</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CARES Act</w:t>
      </w:r>
      <w:r>
        <w:rPr>
          <w:rFonts w:ascii="Arial" w:cs="Arial" w:eastAsia="Arial" w:hAnsi="Arial"/>
          <w:sz w:val="18"/>
          <w:szCs w:val="18"/>
          <w:color w:val="auto"/>
        </w:rPr>
        <w:t>”: the Corona Virus Response and Relief Supplement Appropriations Act and the rules and regulations promulgated in connection therewith (as amended from time to time).</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Cash Collateral Account</w:t>
      </w:r>
      <w:r>
        <w:rPr>
          <w:rFonts w:ascii="Arial" w:cs="Arial" w:eastAsia="Arial" w:hAnsi="Arial"/>
          <w:sz w:val="18"/>
          <w:szCs w:val="18"/>
          <w:color w:val="auto"/>
        </w:rPr>
        <w:t>”: a Deposit Account at a financial institution reasonably acceptable to Agent that is subject to a Control Agreement granting Agent immediate control of such Deposit Account.</w:t>
      </w:r>
    </w:p>
    <w:p>
      <w:pPr>
        <w:spacing w:after="0" w:line="170"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Cash Equivalents</w:t>
      </w:r>
      <w:r>
        <w:rPr>
          <w:rFonts w:ascii="Arial" w:cs="Arial" w:eastAsia="Arial" w:hAnsi="Arial"/>
          <w:sz w:val="16"/>
          <w:szCs w:val="16"/>
          <w:color w:val="auto"/>
        </w:rPr>
        <w:t>”: (a) marketable obligations issued or unconditionally guaranteed by, and backed by the full faith and credit of, the United States government, maturing within 12 months of the date of acquisition; (b) certificates of deposit, time deposits, demand deposits, and bankers’ acceptances maturing within 12 months of the date of acquisition and overnight bank deposits, in each case which (i) are issued by a commercial bank organized under the Laws of the United States or any state or district thereof, rated A-1 (or better) by S&amp;P or P-1 (or better) by Moody’s at the time of acquisition and (ii) are not subject to offset rights; (c) repurchase obligations with a term of not more than 30 days for underlying investments of the types described in clauses (a) and (b) entered into with any bank meeting the qualifications specified in clause (b); (d) commercial paper rated A-1 (or better) by S&amp;P or P-1 (or better) by Moody’s and maturing within nine months of the date of acquisition; (e) shares of any money market fund which has substantially all of its assets invested continuously in the types of investments referred to above, has net assets of at least $500,000,000, and has the highest rating obtainable from either Moody’s or S&amp;P; and (f) such other investments permitted by the Borrower’s or Parent’s board approved investment policy, as in effect from time to time and as approved in writing by Agent (such approval not to be unreasonably withheld, conditioned or delayed).</w:t>
      </w:r>
    </w:p>
    <w:p>
      <w:pPr>
        <w:spacing w:after="0" w:line="168"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Change in Law</w:t>
      </w:r>
      <w:r>
        <w:rPr>
          <w:rFonts w:ascii="Arial" w:cs="Arial" w:eastAsia="Arial" w:hAnsi="Arial"/>
          <w:sz w:val="16"/>
          <w:szCs w:val="16"/>
          <w:color w:val="auto"/>
        </w:rPr>
        <w:t>”: the occurrence, after the date of this Agreement, of any of the following: (i) the adoption or taking effect of any Requirement of Law, (ii) any change in any Requirement of Law or in the administration, interpretation, implementation or application thereof by any Official Body or</w:t>
      </w:r>
    </w:p>
    <w:p>
      <w:pPr>
        <w:jc w:val="both"/>
        <w:ind w:firstLine="8"/>
        <w:spacing w:after="0" w:line="252" w:lineRule="auto"/>
        <w:tabs>
          <w:tab w:leader="none" w:pos="339" w:val="left"/>
        </w:tabs>
        <w:numPr>
          <w:ilvl w:val="0"/>
          <w:numId w:val="79"/>
        </w:numPr>
        <w:rPr>
          <w:rFonts w:ascii="Arial" w:cs="Arial" w:eastAsia="Arial" w:hAnsi="Arial"/>
          <w:sz w:val="18"/>
          <w:szCs w:val="18"/>
          <w:color w:val="auto"/>
        </w:rPr>
      </w:pPr>
      <w:r>
        <w:rPr>
          <w:rFonts w:ascii="Arial" w:cs="Arial" w:eastAsia="Arial" w:hAnsi="Arial"/>
          <w:sz w:val="18"/>
          <w:szCs w:val="18"/>
          <w:color w:val="auto"/>
        </w:rPr>
        <w:t xml:space="preserve">the making or issuance of any request, rule, guideline or directive (whether or not having the force of law) by any Official Body; </w:t>
      </w:r>
      <w:r>
        <w:rPr>
          <w:rFonts w:ascii="Arial" w:cs="Arial" w:eastAsia="Arial" w:hAnsi="Arial"/>
          <w:sz w:val="18"/>
          <w:szCs w:val="18"/>
          <w:u w:val="single" w:color="auto"/>
          <w:color w:val="auto"/>
        </w:rPr>
        <w:t>provided</w:t>
      </w:r>
      <w:r>
        <w:rPr>
          <w:rFonts w:ascii="Arial" w:cs="Arial" w:eastAsia="Arial" w:hAnsi="Arial"/>
          <w:sz w:val="18"/>
          <w:szCs w:val="18"/>
          <w:color w:val="auto"/>
        </w:rPr>
        <w:t>, that notwithstanding anything herein to the contrary, (x) the Dodd-Frank Wall Street Reform and Consumer Protection Act and all requests, rules, regulations, guidelines, interpretations or directives thereunder or issued in connection therewith (whether or not having the force of Requirement of Law) and (y) all requests, rules, regulations, guidelines, interpretations or directives promulgated by the Bank for International Settlements, the Basel Committee on Banking Supervision (or any successor or similar authority) or the United States or foreign regulatory authorities (whether or not having the force of Requirement of Law), in each case pursuant to Basel III, shall in each case be deemed to be a Change in Law regardless of the date enacted, adopted, issued, promulgated or implemented.</w:t>
      </w:r>
    </w:p>
    <w:p>
      <w:pPr>
        <w:spacing w:after="0" w:line="200" w:lineRule="exact"/>
        <w:rPr>
          <w:sz w:val="20"/>
          <w:szCs w:val="20"/>
          <w:color w:val="auto"/>
        </w:rPr>
      </w:pP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36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Presto Credit Agreement</w:t>
            </w:r>
          </w:p>
        </w:tc>
        <w:tc>
          <w:tcPr>
            <w:tcW w:w="7560" w:type="dxa"/>
            <w:vAlign w:val="bottom"/>
            <w:tcBorders>
              <w:bottom w:val="single" w:sz="8" w:color="auto"/>
            </w:tcBorders>
          </w:tcPr>
          <w:p>
            <w:pPr>
              <w:jc w:val="right"/>
              <w:ind w:right="5490"/>
              <w:spacing w:after="0"/>
              <w:rPr>
                <w:sz w:val="20"/>
                <w:szCs w:val="20"/>
                <w:color w:val="auto"/>
              </w:rPr>
            </w:pPr>
            <w:r>
              <w:rPr>
                <w:rFonts w:ascii="Arial" w:cs="Arial" w:eastAsia="Arial" w:hAnsi="Arial"/>
                <w:sz w:val="18"/>
                <w:szCs w:val="18"/>
                <w:color w:val="auto"/>
              </w:rPr>
              <w:t>3</w:t>
            </w:r>
          </w:p>
        </w:tc>
      </w:tr>
    </w:tbl>
    <w:p>
      <w:pPr>
        <w:sectPr>
          <w:pgSz w:w="11900" w:h="16838" w:orient="portrait"/>
          <w:cols w:equalWidth="0" w:num="1">
            <w:col w:w="11240"/>
          </w:cols>
          <w:pgMar w:left="320" w:top="908" w:right="339" w:bottom="1440" w:gutter="0" w:footer="0" w:header="0"/>
        </w:sectPr>
      </w:pPr>
    </w:p>
    <w:bookmarkStart w:id="90" w:name="page91"/>
    <w:bookmarkEnd w:id="90"/>
    <w:p>
      <w:pPr>
        <w:jc w:val="both"/>
        <w:ind w:firstLine="648"/>
        <w:spacing w:after="0" w:line="269"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Change of Control</w:t>
      </w:r>
      <w:r>
        <w:rPr>
          <w:rFonts w:ascii="Arial" w:cs="Arial" w:eastAsia="Arial" w:hAnsi="Arial"/>
          <w:sz w:val="17"/>
          <w:szCs w:val="17"/>
          <w:color w:val="auto"/>
        </w:rPr>
        <w:t>”: (a) at any time, any “person” or “group” (as such terms are used in Sections 13(d) and 14(d) of the Exchange Act) other than the Controlling Equity Holders shall (i) become, or obtain rights (whether by means or warrants, options or otherwise) to become, the “beneficial owner” (as defined in Rules 13(d)-3 and 13(d) 5 under the Exchange Act), directly or indirectly, of 35% or more of the ordinary voting power or economic interests of Parent (determined on a fully diluted basis) or (ii) have obtained the power (whether exercised or not) to elect a majority of the members of the board of directors (or any similar governing body) of Parent; (b) any of the following shall cease to remain on the board of directors (or any similar governing body) of Parent: (i) Krishna Gupta (or any other designee of the REMUS Stockholders), (ii) Gail Zauder (or any other designee of the REMUS Stockholders) or (iii) Keith Kravcik (or any other designee of Cleveland Avenue); (c) Parent shall cease to beneficially own and control, on a fully diluted basis, 100% of the Equity Interests (including all economic and voting interests associated therewith) of Borrower; or (d) Borrower shall cease to beneficially own and control, on a fully diluted basis, 100% of the Equity Interests (including all economic and voting interests associated therewith) of each of its Subsidiaries as of the Closing Date (if any) and the Collateral (except to the extent disposed of in accordance with the term of this Agreement and the other Loan Documents).</w:t>
      </w:r>
    </w:p>
    <w:p>
      <w:pPr>
        <w:spacing w:after="0" w:line="18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Cleveland Avenue</w:t>
      </w:r>
      <w:r>
        <w:rPr>
          <w:rFonts w:ascii="Arial" w:cs="Arial" w:eastAsia="Arial" w:hAnsi="Arial"/>
          <w:sz w:val="18"/>
          <w:szCs w:val="18"/>
          <w:color w:val="auto"/>
        </w:rPr>
        <w:t>”: Cleveland Avenue, LLC and its Affiliates.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Closing Date</w:t>
      </w:r>
      <w:r>
        <w:rPr>
          <w:rFonts w:ascii="Arial" w:cs="Arial" w:eastAsia="Arial" w:hAnsi="Arial"/>
          <w:sz w:val="18"/>
          <w:szCs w:val="18"/>
          <w:color w:val="auto"/>
        </w:rPr>
        <w:t>”: September 21, 2022.</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Closing Date Registration Rights Agreement</w:t>
      </w:r>
      <w:r>
        <w:rPr>
          <w:rFonts w:ascii="Arial" w:cs="Arial" w:eastAsia="Arial" w:hAnsi="Arial"/>
          <w:sz w:val="18"/>
          <w:szCs w:val="18"/>
          <w:color w:val="auto"/>
        </w:rPr>
        <w:t>”: that certain Amended and Restated Registration Rights Agreement, dated as of the Closing Date, by and among Parent, the Sponsors, Lenders and certain other Parent stockholders party thereto, as may be amended, restated, supplemented or otherwise modified from time to time.</w:t>
      </w:r>
    </w:p>
    <w:p>
      <w:pPr>
        <w:spacing w:after="0" w:line="18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Closing Date Warrants</w:t>
      </w:r>
      <w:r>
        <w:rPr>
          <w:rFonts w:ascii="Arial" w:cs="Arial" w:eastAsia="Arial" w:hAnsi="Arial"/>
          <w:sz w:val="18"/>
          <w:szCs w:val="18"/>
          <w:color w:val="auto"/>
        </w:rPr>
        <w:t>”: those certain warrants to purchase 1,500,000 shares of Parent Common Stock at a purchase price of $11.50 per share issued by Parent pursuant to the Warrant Subscription Agreement to the Lenders on the Closing Date, as may be amended, restated, supplemented or otherwise modified from time to time.</w:t>
      </w:r>
    </w:p>
    <w:p>
      <w:pPr>
        <w:spacing w:after="0" w:line="18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Code</w:t>
      </w:r>
      <w:r>
        <w:rPr>
          <w:rFonts w:ascii="Arial" w:cs="Arial" w:eastAsia="Arial" w:hAnsi="Arial"/>
          <w:sz w:val="18"/>
          <w:szCs w:val="18"/>
          <w:color w:val="auto"/>
        </w:rPr>
        <w:t>”: the Internal Revenue Code of 1986, as amended or supplemented from time to time, and any successor statute of similar import, and the rules and regulations thereunder, as from time to time in effect.</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Collateral</w:t>
      </w:r>
      <w:r>
        <w:rPr>
          <w:rFonts w:ascii="Arial" w:cs="Arial" w:eastAsia="Arial" w:hAnsi="Arial"/>
          <w:sz w:val="18"/>
          <w:szCs w:val="18"/>
          <w:color w:val="auto"/>
        </w:rPr>
        <w:t>”: all property of the Loan Parties, now owned or hereafter acquired or arising, upon which a Lien is purported to be created in favor of Agent, for the benefit of itself and the Lenders, under any Loan Document.</w:t>
      </w:r>
    </w:p>
    <w:p>
      <w:pPr>
        <w:spacing w:after="0" w:line="17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Collateral Access Agreement</w:t>
      </w:r>
      <w:r>
        <w:rPr>
          <w:rFonts w:ascii="Arial" w:cs="Arial" w:eastAsia="Arial" w:hAnsi="Arial"/>
          <w:sz w:val="18"/>
          <w:szCs w:val="18"/>
          <w:color w:val="auto"/>
        </w:rPr>
        <w:t>”: any landlord waiver or other agreement, in form and substance satisfactory to Agent, between Agent and any of the following: (i) any third party (including any bailee, consignee, customs broker, landlord, mortgagee, or other similar Person) in possession of any Collateral, (ii) any landlord of any Loan Party with respect to any real property where any Collateral is located, and (iii) any landlord where any books and records of any Loan Party are kept.</w:t>
      </w:r>
    </w:p>
    <w:p>
      <w:pPr>
        <w:spacing w:after="0" w:line="18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Collections</w:t>
      </w:r>
      <w:r>
        <w:rPr>
          <w:rFonts w:ascii="Arial" w:cs="Arial" w:eastAsia="Arial" w:hAnsi="Arial"/>
          <w:sz w:val="18"/>
          <w:szCs w:val="18"/>
          <w:color w:val="auto"/>
        </w:rPr>
        <w:t>”: (a) with respect to the Collateral, all payments (including any prepayments) of lease payments, principal, interest, fees or charges collected or otherwise received or paid, any proceeds from the sale or other disposition of such Collateral, including remittances, recoveries on defaulted assets, and settlements, whether effectuated by ACH withdrawal or otherwise, and (b) such other distributions, dividends and payments of every description received by any Loan Party from time to time, and all other proceeds of the Collateral.</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Commodities Accounts</w:t>
      </w:r>
      <w:r>
        <w:rPr>
          <w:rFonts w:ascii="Arial" w:cs="Arial" w:eastAsia="Arial" w:hAnsi="Arial"/>
          <w:sz w:val="18"/>
          <w:szCs w:val="18"/>
          <w:color w:val="auto"/>
        </w:rPr>
        <w:t>”: all “commodity accounts” as defined in Article 9 of the UCC.</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Compliance Certificate</w:t>
      </w:r>
      <w:r>
        <w:rPr>
          <w:rFonts w:ascii="Arial" w:cs="Arial" w:eastAsia="Arial" w:hAnsi="Arial"/>
          <w:sz w:val="17"/>
          <w:szCs w:val="17"/>
          <w:color w:val="auto"/>
        </w:rPr>
        <w:t xml:space="preserve">”: a certificate duly executed by a Responsible Officer of each Loan Party substantially in the form of </w:t>
      </w:r>
      <w:r>
        <w:rPr>
          <w:rFonts w:ascii="Arial" w:cs="Arial" w:eastAsia="Arial" w:hAnsi="Arial"/>
          <w:sz w:val="17"/>
          <w:szCs w:val="17"/>
          <w:u w:val="single" w:color="auto"/>
          <w:color w:val="auto"/>
        </w:rPr>
        <w:t>Exhibit A</w:t>
      </w:r>
      <w:r>
        <w:rPr>
          <w:rFonts w:ascii="Arial" w:cs="Arial" w:eastAsia="Arial" w:hAnsi="Arial"/>
          <w:sz w:val="17"/>
          <w:szCs w:val="17"/>
          <w:color w:val="auto"/>
        </w:rPr>
        <w:t>.</w:t>
      </w:r>
    </w:p>
    <w:p>
      <w:pPr>
        <w:spacing w:after="0" w:line="23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Computer Vision Annual Platform Revenue</w:t>
      </w:r>
      <w:r>
        <w:rPr>
          <w:rFonts w:ascii="Arial" w:cs="Arial" w:eastAsia="Arial" w:hAnsi="Arial"/>
          <w:sz w:val="18"/>
          <w:szCs w:val="18"/>
          <w:color w:val="auto"/>
        </w:rPr>
        <w:t xml:space="preserve">”: for any date of determination, (a) Computer Vision Platform Revenue for the three (3) consecutive month period ending as of such date </w:t>
      </w:r>
      <w:r>
        <w:rPr>
          <w:rFonts w:ascii="Arial" w:cs="Arial" w:eastAsia="Arial" w:hAnsi="Arial"/>
          <w:sz w:val="18"/>
          <w:szCs w:val="18"/>
          <w:u w:val="single" w:color="auto"/>
          <w:color w:val="auto"/>
        </w:rPr>
        <w:t>multiplied</w:t>
      </w:r>
      <w:r>
        <w:rPr>
          <w:rFonts w:ascii="Arial" w:cs="Arial" w:eastAsia="Arial" w:hAnsi="Arial"/>
          <w:sz w:val="18"/>
          <w:szCs w:val="18"/>
          <w:color w:val="auto"/>
        </w:rPr>
        <w:t xml:space="preserve"> by (b) four (4).</w:t>
      </w:r>
    </w:p>
    <w:p>
      <w:pPr>
        <w:spacing w:after="0" w:line="386"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36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Presto Credit Agreement</w:t>
            </w:r>
          </w:p>
        </w:tc>
        <w:tc>
          <w:tcPr>
            <w:tcW w:w="7560" w:type="dxa"/>
            <w:vAlign w:val="bottom"/>
            <w:tcBorders>
              <w:bottom w:val="single" w:sz="8" w:color="auto"/>
            </w:tcBorders>
          </w:tcPr>
          <w:p>
            <w:pPr>
              <w:jc w:val="right"/>
              <w:ind w:right="5490"/>
              <w:spacing w:after="0"/>
              <w:rPr>
                <w:sz w:val="20"/>
                <w:szCs w:val="20"/>
                <w:color w:val="auto"/>
              </w:rPr>
            </w:pPr>
            <w:r>
              <w:rPr>
                <w:rFonts w:ascii="Arial" w:cs="Arial" w:eastAsia="Arial" w:hAnsi="Arial"/>
                <w:sz w:val="18"/>
                <w:szCs w:val="18"/>
                <w:color w:val="auto"/>
              </w:rPr>
              <w:t>4</w:t>
            </w:r>
          </w:p>
        </w:tc>
      </w:tr>
    </w:tbl>
    <w:p>
      <w:pPr>
        <w:sectPr>
          <w:pgSz w:w="11900" w:h="16838" w:orient="portrait"/>
          <w:cols w:equalWidth="0" w:num="1">
            <w:col w:w="11240"/>
          </w:cols>
          <w:pgMar w:left="320" w:top="908" w:right="339" w:bottom="1440" w:gutter="0" w:footer="0" w:header="0"/>
        </w:sectPr>
      </w:pPr>
    </w:p>
    <w:bookmarkStart w:id="91" w:name="page92"/>
    <w:bookmarkEnd w:id="91"/>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Computer Vision Platform Revenue</w:t>
      </w:r>
      <w:r>
        <w:rPr>
          <w:rFonts w:ascii="Arial" w:cs="Arial" w:eastAsia="Arial" w:hAnsi="Arial"/>
          <w:sz w:val="18"/>
          <w:szCs w:val="18"/>
          <w:color w:val="auto"/>
        </w:rPr>
        <w:t xml:space="preserve">”: platform revenue earned during any calendar month by the Borrower from Computer Vision Products and calculated in a manner consistent with the calculation of same on </w:t>
      </w:r>
      <w:r>
        <w:rPr>
          <w:rFonts w:ascii="Arial" w:cs="Arial" w:eastAsia="Arial" w:hAnsi="Arial"/>
          <w:sz w:val="18"/>
          <w:szCs w:val="18"/>
          <w:u w:val="single" w:color="auto"/>
          <w:color w:val="auto"/>
        </w:rPr>
        <w:t>Exhibit E</w:t>
      </w:r>
      <w:r>
        <w:rPr>
          <w:rFonts w:ascii="Arial" w:cs="Arial" w:eastAsia="Arial" w:hAnsi="Arial"/>
          <w:sz w:val="18"/>
          <w:szCs w:val="18"/>
          <w:color w:val="auto"/>
        </w:rPr>
        <w:t>.</w:t>
      </w:r>
    </w:p>
    <w:p>
      <w:pPr>
        <w:spacing w:after="0" w:line="170"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Computer Vision Products</w:t>
      </w:r>
      <w:r>
        <w:rPr>
          <w:rFonts w:ascii="Arial" w:cs="Arial" w:eastAsia="Arial" w:hAnsi="Arial"/>
          <w:sz w:val="17"/>
          <w:szCs w:val="17"/>
          <w:color w:val="auto"/>
        </w:rPr>
        <w:t>”: Borrower’s AI-powered computer vision software application providing error detection, visual order tracking capabilities and repeat guest identification and determined in a manner consistent with the calculation of Computer Vision Platform Revenue.</w:t>
      </w:r>
    </w:p>
    <w:p>
      <w:pPr>
        <w:spacing w:after="0" w:line="146"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Connection Income Taxes</w:t>
      </w:r>
      <w:r>
        <w:rPr>
          <w:rFonts w:ascii="Arial" w:cs="Arial" w:eastAsia="Arial" w:hAnsi="Arial"/>
          <w:sz w:val="18"/>
          <w:szCs w:val="18"/>
          <w:color w:val="auto"/>
        </w:rPr>
        <w:t>”: Other Connection Taxes that are imposed on or measured by net income (however denominated) or that are franchise Taxes or branch profits Taxes.</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Contractual Obligation</w:t>
      </w:r>
      <w:r>
        <w:rPr>
          <w:rFonts w:ascii="Arial" w:cs="Arial" w:eastAsia="Arial" w:hAnsi="Arial"/>
          <w:sz w:val="18"/>
          <w:szCs w:val="18"/>
          <w:color w:val="auto"/>
        </w:rPr>
        <w:t>”: as to any Person, any provision of any security issued by such Person or of any agreement, instrument or other undertaking to which such Person is a party or by which it or any of its property is bound.</w:t>
      </w:r>
    </w:p>
    <w:p>
      <w:pPr>
        <w:spacing w:after="0" w:line="170"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Control</w:t>
      </w:r>
      <w:r>
        <w:rPr>
          <w:rFonts w:ascii="Arial" w:cs="Arial" w:eastAsia="Arial" w:hAnsi="Arial"/>
          <w:sz w:val="17"/>
          <w:szCs w:val="17"/>
          <w:color w:val="auto"/>
        </w:rPr>
        <w:t>”: the possession, directly or indirectly, of the power to direct or cause the direction of the management or policies of a Person, whether through the ability to exercise voting power, by contract or otherwise. “</w:t>
      </w:r>
      <w:r>
        <w:rPr>
          <w:rFonts w:ascii="Arial" w:cs="Arial" w:eastAsia="Arial" w:hAnsi="Arial"/>
          <w:sz w:val="17"/>
          <w:szCs w:val="17"/>
          <w:b w:val="1"/>
          <w:bCs w:val="1"/>
          <w:i w:val="1"/>
          <w:iCs w:val="1"/>
          <w:color w:val="auto"/>
        </w:rPr>
        <w:t>Controlling</w:t>
      </w:r>
      <w:r>
        <w:rPr>
          <w:rFonts w:ascii="Arial" w:cs="Arial" w:eastAsia="Arial" w:hAnsi="Arial"/>
          <w:sz w:val="17"/>
          <w:szCs w:val="17"/>
          <w:color w:val="auto"/>
        </w:rPr>
        <w:t>” and “</w:t>
      </w:r>
      <w:r>
        <w:rPr>
          <w:rFonts w:ascii="Arial" w:cs="Arial" w:eastAsia="Arial" w:hAnsi="Arial"/>
          <w:sz w:val="17"/>
          <w:szCs w:val="17"/>
          <w:b w:val="1"/>
          <w:bCs w:val="1"/>
          <w:i w:val="1"/>
          <w:iCs w:val="1"/>
          <w:color w:val="auto"/>
        </w:rPr>
        <w:t>Controlled</w:t>
      </w:r>
      <w:r>
        <w:rPr>
          <w:rFonts w:ascii="Arial" w:cs="Arial" w:eastAsia="Arial" w:hAnsi="Arial"/>
          <w:sz w:val="17"/>
          <w:szCs w:val="17"/>
          <w:color w:val="auto"/>
        </w:rPr>
        <w:t>” have meanings correlative thereto.</w:t>
      </w:r>
    </w:p>
    <w:p>
      <w:pPr>
        <w:spacing w:after="0" w:line="14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Control Agreement</w:t>
      </w:r>
      <w:r>
        <w:rPr>
          <w:rFonts w:ascii="Arial" w:cs="Arial" w:eastAsia="Arial" w:hAnsi="Arial"/>
          <w:sz w:val="18"/>
          <w:szCs w:val="18"/>
          <w:color w:val="auto"/>
        </w:rPr>
        <w:t>”: each deposit account control agreement, securities account control agreement or commodities account control agreement, as applicable, entered into by a Loan Party, Agent and any institution holding a Deposit Account (other than Excluded Deposit Accounts), Securities Account, or Commodities Account of such Loan Party in form and substance satisfactory to Agent in its sole discretion, as may be amended, restated, supplemented or otherwise modified from time to time.</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Controlled Account</w:t>
      </w:r>
      <w:r>
        <w:rPr>
          <w:rFonts w:ascii="Arial" w:cs="Arial" w:eastAsia="Arial" w:hAnsi="Arial"/>
          <w:sz w:val="18"/>
          <w:szCs w:val="18"/>
          <w:color w:val="auto"/>
        </w:rPr>
        <w:t xml:space="preserve">”: as defined in </w:t>
      </w:r>
      <w:r>
        <w:rPr>
          <w:rFonts w:ascii="Arial" w:cs="Arial" w:eastAsia="Arial" w:hAnsi="Arial"/>
          <w:sz w:val="18"/>
          <w:szCs w:val="18"/>
          <w:u w:val="single" w:color="auto"/>
          <w:color w:val="auto"/>
        </w:rPr>
        <w:t>Section 2.9(a)</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Controlling Equity Holders</w:t>
      </w:r>
      <w:r>
        <w:rPr>
          <w:rFonts w:ascii="Arial" w:cs="Arial" w:eastAsia="Arial" w:hAnsi="Arial"/>
          <w:sz w:val="17"/>
          <w:szCs w:val="17"/>
          <w:color w:val="auto"/>
        </w:rPr>
        <w:t>”: collectively, Rajat Suri, the REMUS Stockholders, I2BF Global Investments Ltd. and Cleveland Avenue.</w:t>
      </w:r>
    </w:p>
    <w:p>
      <w:pPr>
        <w:spacing w:after="0" w:line="233"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Conversion Warrants</w:t>
      </w:r>
      <w:r>
        <w:rPr>
          <w:rFonts w:ascii="Arial" w:cs="Arial" w:eastAsia="Arial" w:hAnsi="Arial"/>
          <w:sz w:val="18"/>
          <w:szCs w:val="18"/>
          <w:b w:val="1"/>
          <w:bCs w:val="1"/>
          <w:color w:val="auto"/>
        </w:rPr>
        <w:t xml:space="preserve">” </w:t>
      </w:r>
      <w:r>
        <w:rPr>
          <w:rFonts w:ascii="Arial" w:cs="Arial" w:eastAsia="Arial" w:hAnsi="Arial"/>
          <w:sz w:val="18"/>
          <w:szCs w:val="18"/>
          <w:color w:val="auto"/>
        </w:rPr>
        <w:t>those certain warrants to purchase 500,000 shares of Parent Common Stock at a purchase price of $0.01 per share issued</w:t>
      </w:r>
      <w:r>
        <w:rPr>
          <w:rFonts w:ascii="Arial" w:cs="Arial" w:eastAsia="Arial" w:hAnsi="Arial"/>
          <w:sz w:val="18"/>
          <w:szCs w:val="18"/>
          <w:b w:val="1"/>
          <w:bCs w:val="1"/>
          <w:color w:val="auto"/>
        </w:rPr>
        <w:t xml:space="preserve"> </w:t>
      </w:r>
      <w:r>
        <w:rPr>
          <w:rFonts w:ascii="Arial" w:cs="Arial" w:eastAsia="Arial" w:hAnsi="Arial"/>
          <w:sz w:val="18"/>
          <w:szCs w:val="18"/>
          <w:color w:val="auto"/>
        </w:rPr>
        <w:t>by Parent pursuant to the Second Amendment on the Second Amendment Effective Date, as may be amended, restated, supplemented or otherwise modified from time to time.</w:t>
      </w:r>
    </w:p>
    <w:p>
      <w:pPr>
        <w:spacing w:after="0" w:line="18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Debtor Relief Laws</w:t>
      </w:r>
      <w:r>
        <w:rPr>
          <w:rFonts w:ascii="Arial" w:cs="Arial" w:eastAsia="Arial" w:hAnsi="Arial"/>
          <w:sz w:val="18"/>
          <w:szCs w:val="18"/>
          <w:color w:val="auto"/>
        </w:rPr>
        <w:t>”: the Bankruptcy Code, and all other liquidation, conservatorship, bankruptcy, assignment for the benefit of creditors, moratorium, rearrangement, receivership, insolvency, reorganization, or similar debtor relief Laws of the United States or other applicable jurisdictions from time to time in effect.</w:t>
      </w:r>
    </w:p>
    <w:p>
      <w:pPr>
        <w:spacing w:after="0" w:line="18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Default</w:t>
      </w:r>
      <w:r>
        <w:rPr>
          <w:rFonts w:ascii="Arial" w:cs="Arial" w:eastAsia="Arial" w:hAnsi="Arial"/>
          <w:sz w:val="18"/>
          <w:szCs w:val="18"/>
          <w:color w:val="auto"/>
        </w:rPr>
        <w:t xml:space="preserve">”: the occurrence of any of the events specified in </w:t>
      </w:r>
      <w:r>
        <w:rPr>
          <w:rFonts w:ascii="Arial" w:cs="Arial" w:eastAsia="Arial" w:hAnsi="Arial"/>
          <w:sz w:val="18"/>
          <w:szCs w:val="18"/>
          <w:u w:val="single" w:color="auto"/>
          <w:color w:val="auto"/>
        </w:rPr>
        <w:t>Section</w:t>
      </w:r>
      <w:r>
        <w:rPr>
          <w:rFonts w:ascii="Arial" w:cs="Arial" w:eastAsia="Arial" w:hAnsi="Arial"/>
          <w:sz w:val="18"/>
          <w:szCs w:val="18"/>
          <w:color w:val="auto"/>
        </w:rPr>
        <w:t xml:space="preserve"> 7.1, whether or not any requirement for the giving of notice, the lapse of time, or both, has been satisfied.</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Default Rate</w:t>
      </w:r>
      <w:r>
        <w:rPr>
          <w:rFonts w:ascii="Arial" w:cs="Arial" w:eastAsia="Arial" w:hAnsi="Arial"/>
          <w:sz w:val="18"/>
          <w:szCs w:val="18"/>
          <w:color w:val="auto"/>
        </w:rPr>
        <w:t xml:space="preserve">”: as defined in </w:t>
      </w:r>
      <w:r>
        <w:rPr>
          <w:rFonts w:ascii="Arial" w:cs="Arial" w:eastAsia="Arial" w:hAnsi="Arial"/>
          <w:sz w:val="18"/>
          <w:szCs w:val="18"/>
          <w:u w:val="single" w:color="auto"/>
          <w:color w:val="auto"/>
        </w:rPr>
        <w:t>Section 2.4(b)</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Deposit Account</w:t>
      </w:r>
      <w:r>
        <w:rPr>
          <w:rFonts w:ascii="Arial" w:cs="Arial" w:eastAsia="Arial" w:hAnsi="Arial"/>
          <w:sz w:val="17"/>
          <w:szCs w:val="17"/>
          <w:color w:val="auto"/>
        </w:rPr>
        <w:t xml:space="preserve">”: shall mean, individually and collectively any bank or other depository accounts of a Loan Party (other than Excluded Deposit Accounts), as set forth in </w:t>
      </w:r>
      <w:r>
        <w:rPr>
          <w:rFonts w:ascii="Arial" w:cs="Arial" w:eastAsia="Arial" w:hAnsi="Arial"/>
          <w:sz w:val="17"/>
          <w:szCs w:val="17"/>
          <w:u w:val="single" w:color="auto"/>
          <w:color w:val="auto"/>
        </w:rPr>
        <w:t>Schedule 1.1(b)</w:t>
      </w:r>
      <w:r>
        <w:rPr>
          <w:rFonts w:ascii="Arial" w:cs="Arial" w:eastAsia="Arial" w:hAnsi="Arial"/>
          <w:sz w:val="17"/>
          <w:szCs w:val="17"/>
          <w:color w:val="auto"/>
        </w:rPr>
        <w:t xml:space="preserve"> hereto (as such schedule may be updated from time to time following the Closing Date).</w:t>
      </w:r>
    </w:p>
    <w:p>
      <w:pPr>
        <w:spacing w:after="0" w:line="146"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Disposition</w:t>
      </w:r>
      <w:r>
        <w:rPr>
          <w:rFonts w:ascii="Arial" w:cs="Arial" w:eastAsia="Arial" w:hAnsi="Arial"/>
          <w:sz w:val="18"/>
          <w:szCs w:val="18"/>
          <w:color w:val="auto"/>
        </w:rPr>
        <w:t>” or “</w:t>
      </w:r>
      <w:r>
        <w:rPr>
          <w:rFonts w:ascii="Arial" w:cs="Arial" w:eastAsia="Arial" w:hAnsi="Arial"/>
          <w:sz w:val="18"/>
          <w:szCs w:val="18"/>
          <w:b w:val="1"/>
          <w:bCs w:val="1"/>
          <w:i w:val="1"/>
          <w:iCs w:val="1"/>
          <w:color w:val="auto"/>
        </w:rPr>
        <w:t>Dispose</w:t>
      </w:r>
      <w:r>
        <w:rPr>
          <w:rFonts w:ascii="Arial" w:cs="Arial" w:eastAsia="Arial" w:hAnsi="Arial"/>
          <w:sz w:val="18"/>
          <w:szCs w:val="18"/>
          <w:color w:val="auto"/>
        </w:rPr>
        <w:t>”: the sale, transfer, license, lease or other disposition outside of the ordinary course of business of any property by any Loan Party, including any sale, assignment, transfer or other disposal, with or without recourse, of any notes or accounts receivable or any rights and claims associated therewith.</w:t>
      </w:r>
    </w:p>
    <w:p>
      <w:pPr>
        <w:spacing w:after="0" w:line="184"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Disqualified Equity Interests</w:t>
      </w:r>
      <w:r>
        <w:rPr>
          <w:rFonts w:ascii="Arial" w:cs="Arial" w:eastAsia="Arial" w:hAnsi="Arial"/>
          <w:sz w:val="17"/>
          <w:szCs w:val="17"/>
          <w:color w:val="auto"/>
        </w:rPr>
        <w:t>”: any Equity Interest that, by its terms (or by the terms of any security into which it is convertible or for which it is exchangeable, either mandatorily or at the option of the holder thereof), or upon the happening of any event or condition: (a) matures or are mandatorily redeemable (other than solely for Qualified Equity Interests), pursuant to a sinking fund obligation or otherwise (except as a result of a change of control or asset sale so long as any rights of the holders thereof upon the occurrence of a change of control or asset sale event shall be subject to the prior repayment in full of the Term Loan and all other Obligations that are accrued and payable and the termination of the Term Loan Commitments), (b) are redeemable at the option of the holder thereof (other than solely for Qualified Equity Interests), in whole or in part, (c) provide for the scheduled payments of dividends in cash, or (d) are or become convertible into or exchangeable for Indebtedness or any other Equity Interests that would constitute Disqualified Equity Interests, in each case, prior to the date that is 180 days after the Maturity Date.</w:t>
      </w:r>
    </w:p>
    <w:p>
      <w:pPr>
        <w:spacing w:after="0" w:line="394"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36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Presto Credit Agreement</w:t>
            </w:r>
          </w:p>
        </w:tc>
        <w:tc>
          <w:tcPr>
            <w:tcW w:w="7560" w:type="dxa"/>
            <w:vAlign w:val="bottom"/>
            <w:tcBorders>
              <w:bottom w:val="single" w:sz="8" w:color="auto"/>
            </w:tcBorders>
          </w:tcPr>
          <w:p>
            <w:pPr>
              <w:jc w:val="right"/>
              <w:ind w:right="5490"/>
              <w:spacing w:after="0"/>
              <w:rPr>
                <w:sz w:val="20"/>
                <w:szCs w:val="20"/>
                <w:color w:val="auto"/>
              </w:rPr>
            </w:pPr>
            <w:r>
              <w:rPr>
                <w:rFonts w:ascii="Arial" w:cs="Arial" w:eastAsia="Arial" w:hAnsi="Arial"/>
                <w:sz w:val="18"/>
                <w:szCs w:val="18"/>
                <w:color w:val="auto"/>
              </w:rPr>
              <w:t>5</w:t>
            </w:r>
          </w:p>
        </w:tc>
      </w:tr>
    </w:tbl>
    <w:p>
      <w:pPr>
        <w:sectPr>
          <w:pgSz w:w="11900" w:h="16838" w:orient="portrait"/>
          <w:cols w:equalWidth="0" w:num="1">
            <w:col w:w="11240"/>
          </w:cols>
          <w:pgMar w:left="320" w:top="908" w:right="339" w:bottom="1440" w:gutter="0" w:footer="0" w:header="0"/>
        </w:sectPr>
      </w:pPr>
    </w:p>
    <w:bookmarkStart w:id="92" w:name="page93"/>
    <w:bookmarkEnd w:id="92"/>
    <w:p>
      <w:pPr>
        <w:jc w:val="both"/>
        <w:ind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Division/Series Transaction</w:t>
      </w:r>
      <w:r>
        <w:rPr>
          <w:rFonts w:ascii="Arial" w:cs="Arial" w:eastAsia="Arial" w:hAnsi="Arial"/>
          <w:sz w:val="18"/>
          <w:szCs w:val="18"/>
          <w:color w:val="auto"/>
        </w:rPr>
        <w:t>”: with respect to the Loan Parties, that any such Person (i) divides into two or more Persons (whether or not the original Loan Party survives such division) or (ii) creates, or reorganizes into, one or more series, in each case as contemplated under the Laws of any jurisdiction.</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Dollars</w:t>
      </w:r>
      <w:r>
        <w:rPr>
          <w:rFonts w:ascii="Arial" w:cs="Arial" w:eastAsia="Arial" w:hAnsi="Arial"/>
          <w:sz w:val="18"/>
          <w:szCs w:val="18"/>
          <w:color w:val="auto"/>
        </w:rPr>
        <w:t>” and “</w:t>
      </w:r>
      <w:r>
        <w:rPr>
          <w:rFonts w:ascii="Arial" w:cs="Arial" w:eastAsia="Arial" w:hAnsi="Arial"/>
          <w:sz w:val="18"/>
          <w:szCs w:val="18"/>
          <w:b w:val="1"/>
          <w:bCs w:val="1"/>
          <w:i w:val="1"/>
          <w:iCs w:val="1"/>
          <w:color w:val="auto"/>
        </w:rPr>
        <w:t>$</w:t>
      </w:r>
      <w:r>
        <w:rPr>
          <w:rFonts w:ascii="Arial" w:cs="Arial" w:eastAsia="Arial" w:hAnsi="Arial"/>
          <w:sz w:val="18"/>
          <w:szCs w:val="18"/>
          <w:color w:val="auto"/>
        </w:rPr>
        <w:t>”: dollars in lawful currency of the United States of America.</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Domestic Subsidiary</w:t>
      </w:r>
      <w:r>
        <w:rPr>
          <w:rFonts w:ascii="Arial" w:cs="Arial" w:eastAsia="Arial" w:hAnsi="Arial"/>
          <w:sz w:val="17"/>
          <w:szCs w:val="17"/>
          <w:color w:val="auto"/>
        </w:rPr>
        <w:t>”: a Subsidiary organized, incorporated or otherwise formed under the Laws of the United States or any state thereof.</w:t>
      </w:r>
    </w:p>
    <w:p>
      <w:pPr>
        <w:spacing w:after="0" w:line="23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Eligible Market</w:t>
      </w:r>
      <w:r>
        <w:rPr>
          <w:rFonts w:ascii="Arial" w:cs="Arial" w:eastAsia="Arial" w:hAnsi="Arial"/>
          <w:sz w:val="18"/>
          <w:szCs w:val="18"/>
          <w:color w:val="auto"/>
        </w:rPr>
        <w:t>”: The Nasdaq Capital Market, the NYSE American, The Nasdaq Global Select Market, The Nasdaq Global Market or The New York Stock Exchange.</w:t>
      </w:r>
    </w:p>
    <w:p>
      <w:pPr>
        <w:spacing w:after="0" w:line="170"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Environmental Laws</w:t>
      </w:r>
      <w:r>
        <w:rPr>
          <w:rFonts w:ascii="Arial" w:cs="Arial" w:eastAsia="Arial" w:hAnsi="Arial"/>
          <w:sz w:val="17"/>
          <w:szCs w:val="17"/>
          <w:color w:val="auto"/>
        </w:rPr>
        <w:t>”: any and all foreign, Federal, state, local or municipal Laws, rules, orders, regulations, statutes, ordinances, codes, decrees, requirements of any Governmental Authority or other Requirements of Law (including common law) regulating, relating to or imposing liability or standards of conduct concerning protection of human health or the environment, as now or may at any time hereafter be in effect.</w:t>
      </w:r>
    </w:p>
    <w:p>
      <w:pPr>
        <w:spacing w:after="0" w:line="165"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Equity Interests</w:t>
      </w:r>
      <w:r>
        <w:rPr>
          <w:rFonts w:ascii="Arial" w:cs="Arial" w:eastAsia="Arial" w:hAnsi="Arial"/>
          <w:sz w:val="17"/>
          <w:szCs w:val="17"/>
          <w:color w:val="auto"/>
        </w:rPr>
        <w:t>”: with respect to any Person, all of the shares of capital stock of (or other ownership or profit interests in) such Person, all of the warrants, options or other rights for the purchase or acquisition from such Person of shares of capital stock of (or other ownership or profit interests in) such Person, all of the securities convertible into or exchangeable for shares of capital stock of (or other ownership or profit interests in) such Person or warrants, rights or options for the purchase or acquisition from such Person of such shares (or such other interests), and all of the other ownership or profit interests in such Person (including partnership, member or trust interests therein), whether voting or nonvoting, and whether or not such shares, warrants, options, rights or other interests are outstanding on any date of determination.</w:t>
      </w:r>
    </w:p>
    <w:p>
      <w:pPr>
        <w:spacing w:after="0" w:line="17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ERISA</w:t>
      </w:r>
      <w:r>
        <w:rPr>
          <w:rFonts w:ascii="Arial" w:cs="Arial" w:eastAsia="Arial" w:hAnsi="Arial"/>
          <w:sz w:val="18"/>
          <w:szCs w:val="18"/>
          <w:color w:val="auto"/>
        </w:rPr>
        <w:t>”: the Employee Retirement Income Security Act of 1974, including (unless the context otherwise requires) any rules or regulations promulgated thereunder, in each case, as amended from time to time.</w:t>
      </w:r>
    </w:p>
    <w:p>
      <w:pPr>
        <w:spacing w:after="0" w:line="17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ERISA Affiliate</w:t>
      </w:r>
      <w:r>
        <w:rPr>
          <w:rFonts w:ascii="Arial" w:cs="Arial" w:eastAsia="Arial" w:hAnsi="Arial"/>
          <w:sz w:val="18"/>
          <w:szCs w:val="18"/>
          <w:color w:val="auto"/>
        </w:rPr>
        <w:t>”: with respect to any Person, any trade or business (whether or not incorporated) under common control with such Person within the meaning of Section 414(b) or (c) of the Code (and Sections 414(m) and (o) of the Code for purposes of provisions relating to Section 412 of the Code or Section 302 of ERISA).</w:t>
      </w:r>
    </w:p>
    <w:p>
      <w:pPr>
        <w:spacing w:after="0" w:line="184"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ERISA Event</w:t>
      </w:r>
      <w:r>
        <w:rPr>
          <w:rFonts w:ascii="Arial" w:cs="Arial" w:eastAsia="Arial" w:hAnsi="Arial"/>
          <w:sz w:val="17"/>
          <w:szCs w:val="17"/>
          <w:color w:val="auto"/>
        </w:rPr>
        <w:t>”: (a) a Reportable Event with respect to a Pension Plan; (b) the failure by the Borrower or any ERISA Affiliate to meet all applicable requirements under the Pension Funding Rules or the filing of an application for the waiver of the minimum funding standards under the Pension Funding Rules; (c) the incurrence by the Borrower or any ERISA Affiliate of any liability pursuant to Section 4063 or 4064 of ERISA or a cessation of operations with respect to a Pension Plan within the meaning of Section 4062(e) of ERISA; (d) a complete or partial withdrawal by the Borrower or any ERISA Affiliate from a Multiemployer Plan or notification that a Multiemployer Plan is insolvent (within the meaning of Title IV of ERISA); (e) the filing of a notice of intent to terminate a Pension Plan under, or the treatment of a Pension Plan amendment as a termination under, Section 4041 of ERISA; (f) the institution by the PBGC of proceedings to terminate a Pension Plan; (g) any event or condition that constitutes grounds under Section 4042 of ERISA for the termination of, or the appointment of a trustee to administer, any Pension Plan; (h) the determination that any Pension Plan is in at-risk status (within the meaning of Section 430 of the Code or Section 303 of ERISA) or that a Multiemployer Plan is in endangered or critical status (within the meaning of Section 432 of the Code or Section 305 of ERISA); (i) the imposition or incurrence of any liability under Title IV of ERISA, other than for PBGC premiums due but not delinquent under Section 4007 of ERISA, upon the Borrower or any ERISA Affiliate; (j) the engagement by the Borrower or any ERISA Affiliate in a transaction that could be subject to Section 4069 or Section 4212(c) of ERISA; (k) the imposition of a lien upon the Borrower pursuant to Section 430(k) of the Code or Section 303(k) of ERISA; or (l) the making of an amendment to a Pension Plan that could result in the posting of bond or security under Section 436(f)(1) of the Code.</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Erroneous Payment</w:t>
      </w:r>
      <w:r>
        <w:rPr>
          <w:rFonts w:ascii="Arial" w:cs="Arial" w:eastAsia="Arial" w:hAnsi="Arial"/>
          <w:sz w:val="18"/>
          <w:szCs w:val="18"/>
          <w:color w:val="auto"/>
        </w:rPr>
        <w:t xml:space="preserve">”: as defined in </w:t>
      </w:r>
      <w:r>
        <w:rPr>
          <w:rFonts w:ascii="Arial" w:cs="Arial" w:eastAsia="Arial" w:hAnsi="Arial"/>
          <w:sz w:val="18"/>
          <w:szCs w:val="18"/>
          <w:u w:val="single" w:color="auto"/>
          <w:color w:val="auto"/>
        </w:rPr>
        <w:t>Section 9.12(a)</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Erroneous Payment Deficiency Assignment</w:t>
      </w:r>
      <w:r>
        <w:rPr>
          <w:rFonts w:ascii="Arial" w:cs="Arial" w:eastAsia="Arial" w:hAnsi="Arial"/>
          <w:sz w:val="18"/>
          <w:szCs w:val="18"/>
          <w:color w:val="auto"/>
        </w:rPr>
        <w:t xml:space="preserve">”: as defined in </w:t>
      </w:r>
      <w:r>
        <w:rPr>
          <w:rFonts w:ascii="Arial" w:cs="Arial" w:eastAsia="Arial" w:hAnsi="Arial"/>
          <w:sz w:val="18"/>
          <w:szCs w:val="18"/>
          <w:u w:val="single" w:color="auto"/>
          <w:color w:val="auto"/>
        </w:rPr>
        <w:t>Section 9.12(d)(i)</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Erroneous Payment Return Deficiency</w:t>
      </w:r>
      <w:r>
        <w:rPr>
          <w:rFonts w:ascii="Arial" w:cs="Arial" w:eastAsia="Arial" w:hAnsi="Arial"/>
          <w:sz w:val="18"/>
          <w:szCs w:val="18"/>
          <w:color w:val="auto"/>
        </w:rPr>
        <w:t xml:space="preserve">”: as defined in </w:t>
      </w:r>
      <w:r>
        <w:rPr>
          <w:rFonts w:ascii="Arial" w:cs="Arial" w:eastAsia="Arial" w:hAnsi="Arial"/>
          <w:sz w:val="18"/>
          <w:szCs w:val="18"/>
          <w:u w:val="single" w:color="auto"/>
          <w:color w:val="auto"/>
        </w:rPr>
        <w:t>Section 9.12(d)(i)</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Erroneous Payment Subrogation Rights</w:t>
      </w:r>
      <w:r>
        <w:rPr>
          <w:rFonts w:ascii="Arial" w:cs="Arial" w:eastAsia="Arial" w:hAnsi="Arial"/>
          <w:sz w:val="18"/>
          <w:szCs w:val="18"/>
          <w:color w:val="auto"/>
        </w:rPr>
        <w:t xml:space="preserve">”: as defined in </w:t>
      </w:r>
      <w:r>
        <w:rPr>
          <w:rFonts w:ascii="Arial" w:cs="Arial" w:eastAsia="Arial" w:hAnsi="Arial"/>
          <w:sz w:val="18"/>
          <w:szCs w:val="18"/>
          <w:u w:val="single" w:color="auto"/>
          <w:color w:val="auto"/>
        </w:rPr>
        <w:t>Section 9.12(e)</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Event of Default</w:t>
      </w:r>
      <w:r>
        <w:rPr>
          <w:rFonts w:ascii="Arial" w:cs="Arial" w:eastAsia="Arial" w:hAnsi="Arial"/>
          <w:sz w:val="18"/>
          <w:szCs w:val="18"/>
          <w:color w:val="auto"/>
        </w:rPr>
        <w:t xml:space="preserve">”: any of the events specified in </w:t>
      </w:r>
      <w:r>
        <w:rPr>
          <w:rFonts w:ascii="Arial" w:cs="Arial" w:eastAsia="Arial" w:hAnsi="Arial"/>
          <w:sz w:val="18"/>
          <w:szCs w:val="18"/>
          <w:u w:val="single" w:color="auto"/>
          <w:color w:val="auto"/>
        </w:rPr>
        <w:t>Section</w:t>
      </w:r>
      <w:r>
        <w:rPr>
          <w:rFonts w:ascii="Arial" w:cs="Arial" w:eastAsia="Arial" w:hAnsi="Arial"/>
          <w:sz w:val="18"/>
          <w:szCs w:val="18"/>
          <w:color w:val="auto"/>
        </w:rPr>
        <w:t xml:space="preserve"> 7.1 for which the requirement for the giving of notice, the lapse of time, or both, if any, has been satisfied.</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Exchange Act</w:t>
      </w:r>
      <w:r>
        <w:rPr>
          <w:rFonts w:ascii="Arial" w:cs="Arial" w:eastAsia="Arial" w:hAnsi="Arial"/>
          <w:sz w:val="18"/>
          <w:szCs w:val="18"/>
          <w:color w:val="auto"/>
        </w:rPr>
        <w:t>”: the Securities Exchange Act of 1934, as amended from time to time.</w:t>
      </w:r>
    </w:p>
    <w:p>
      <w:pPr>
        <w:spacing w:after="0" w:line="200" w:lineRule="exact"/>
        <w:rPr>
          <w:sz w:val="20"/>
          <w:szCs w:val="20"/>
          <w:color w:val="auto"/>
        </w:rPr>
      </w:pP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36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Presto Credit Agreement</w:t>
            </w:r>
          </w:p>
        </w:tc>
        <w:tc>
          <w:tcPr>
            <w:tcW w:w="7560" w:type="dxa"/>
            <w:vAlign w:val="bottom"/>
            <w:tcBorders>
              <w:bottom w:val="single" w:sz="8" w:color="auto"/>
            </w:tcBorders>
          </w:tcPr>
          <w:p>
            <w:pPr>
              <w:jc w:val="right"/>
              <w:ind w:right="5490"/>
              <w:spacing w:after="0"/>
              <w:rPr>
                <w:sz w:val="20"/>
                <w:szCs w:val="20"/>
                <w:color w:val="auto"/>
              </w:rPr>
            </w:pPr>
            <w:r>
              <w:rPr>
                <w:rFonts w:ascii="Arial" w:cs="Arial" w:eastAsia="Arial" w:hAnsi="Arial"/>
                <w:sz w:val="18"/>
                <w:szCs w:val="18"/>
                <w:color w:val="auto"/>
              </w:rPr>
              <w:t>6</w:t>
            </w:r>
          </w:p>
        </w:tc>
      </w:tr>
    </w:tbl>
    <w:p>
      <w:pPr>
        <w:sectPr>
          <w:pgSz w:w="11900" w:h="16838" w:orient="portrait"/>
          <w:cols w:equalWidth="0" w:num="1">
            <w:col w:w="11240"/>
          </w:cols>
          <w:pgMar w:left="320" w:top="908" w:right="339" w:bottom="1440" w:gutter="0" w:footer="0" w:header="0"/>
        </w:sectPr>
      </w:pPr>
    </w:p>
    <w:bookmarkStart w:id="93" w:name="page94"/>
    <w:bookmarkEnd w:id="93"/>
    <w:p>
      <w:pPr>
        <w:jc w:val="both"/>
        <w:ind w:firstLine="648"/>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Excluded Deposit Accounts</w:t>
      </w:r>
      <w:r>
        <w:rPr>
          <w:rFonts w:ascii="Arial" w:cs="Arial" w:eastAsia="Arial" w:hAnsi="Arial"/>
          <w:sz w:val="16"/>
          <w:szCs w:val="16"/>
          <w:color w:val="auto"/>
        </w:rPr>
        <w:t>”: any (a) Deposit Account used solely and exclusively for payroll, payroll taxes, other employee wage and benefit payments to or for the benefit of any Loan Party, (b) zero balance accounts so long as the balance in such account is zero at the end of each Business Day,</w:t>
      </w:r>
    </w:p>
    <w:p>
      <w:pPr>
        <w:jc w:val="both"/>
        <w:ind w:firstLine="8"/>
        <w:spacing w:after="0" w:line="255" w:lineRule="auto"/>
        <w:tabs>
          <w:tab w:leader="none" w:pos="258" w:val="left"/>
        </w:tabs>
        <w:numPr>
          <w:ilvl w:val="0"/>
          <w:numId w:val="80"/>
        </w:numPr>
        <w:rPr>
          <w:rFonts w:ascii="Arial" w:cs="Arial" w:eastAsia="Arial" w:hAnsi="Arial"/>
          <w:sz w:val="18"/>
          <w:szCs w:val="18"/>
          <w:color w:val="auto"/>
        </w:rPr>
      </w:pPr>
      <w:r>
        <w:rPr>
          <w:rFonts w:ascii="Arial" w:cs="Arial" w:eastAsia="Arial" w:hAnsi="Arial"/>
          <w:sz w:val="18"/>
          <w:szCs w:val="18"/>
          <w:color w:val="auto"/>
        </w:rPr>
        <w:t>any payment processing accounts, (d) any cash collateral accounts securing Liens permitted pursuant to clauses (l) under the definition of “Permitted Liens”, and (e) other Deposit Accounts or other accounts so long as the aggregate balance in all such accounts permitted pursuant to this clause (e) does not exceed $100,000.</w:t>
      </w:r>
    </w:p>
    <w:p>
      <w:pPr>
        <w:spacing w:after="0" w:line="190"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Excluded Taxes</w:t>
      </w:r>
      <w:r>
        <w:rPr>
          <w:rFonts w:ascii="Arial" w:cs="Arial" w:eastAsia="Arial" w:hAnsi="Arial"/>
          <w:sz w:val="16"/>
          <w:szCs w:val="16"/>
          <w:color w:val="auto"/>
        </w:rPr>
        <w:t xml:space="preserve">”: any of the following Taxes imposed on or with respect to any Recipient or required to be withheld or deducted from a payment to a Recipient, (a) Taxes imposed on or measured by net income (however denominated), franchise Taxes, and branch profits Taxes, in each case, (i) imposed as a result of such Recipient being organized under the Laws of, or having its principal office or, in the case of any Lender, its applicable lending office located in, the jurisdiction imposing such Tax (or any political subdivision thereof) or (ii) that are Other Connection Taxes, (b) in the case of a Lender, U.S. federal withholding Taxes imposed on amounts payable to or for the account of such Lender with respect to an applicable interest in the Term Loan or Term Loan Commitment pursuant to a Law in effect on the date on which (i) such Lender acquires such interest in the Term Loan or Term Loan Commitment (other than pursuant to an assignment requested by a Loan Party pursuant to </w:t>
      </w:r>
      <w:r>
        <w:rPr>
          <w:rFonts w:ascii="Arial" w:cs="Arial" w:eastAsia="Arial" w:hAnsi="Arial"/>
          <w:sz w:val="16"/>
          <w:szCs w:val="16"/>
          <w:u w:val="single" w:color="auto"/>
          <w:color w:val="auto"/>
        </w:rPr>
        <w:t>Section 2.11(b)</w:t>
      </w:r>
      <w:r>
        <w:rPr>
          <w:rFonts w:ascii="Arial" w:cs="Arial" w:eastAsia="Arial" w:hAnsi="Arial"/>
          <w:sz w:val="16"/>
          <w:szCs w:val="16"/>
          <w:color w:val="auto"/>
        </w:rPr>
        <w:t xml:space="preserve">) or (ii) such Lender changes its lending office, except in each case to the extent that, pursuant to </w:t>
      </w:r>
      <w:r>
        <w:rPr>
          <w:rFonts w:ascii="Arial" w:cs="Arial" w:eastAsia="Arial" w:hAnsi="Arial"/>
          <w:sz w:val="16"/>
          <w:szCs w:val="16"/>
          <w:u w:val="single" w:color="auto"/>
          <w:color w:val="auto"/>
        </w:rPr>
        <w:t>Section 2.8</w:t>
      </w:r>
      <w:r>
        <w:rPr>
          <w:rFonts w:ascii="Arial" w:cs="Arial" w:eastAsia="Arial" w:hAnsi="Arial"/>
          <w:sz w:val="16"/>
          <w:szCs w:val="16"/>
          <w:color w:val="auto"/>
        </w:rPr>
        <w:t xml:space="preserve">, amounts with respect to such Taxes were payable either to such Lender’s assignor immediately before such Lender became a party hereto or to such Lender immediately before it changed its lending office, (c) Taxes attributable to such Recipient’s failure to comply with </w:t>
      </w:r>
      <w:r>
        <w:rPr>
          <w:rFonts w:ascii="Arial" w:cs="Arial" w:eastAsia="Arial" w:hAnsi="Arial"/>
          <w:sz w:val="16"/>
          <w:szCs w:val="16"/>
          <w:u w:val="single" w:color="auto"/>
          <w:color w:val="auto"/>
        </w:rPr>
        <w:t>Section 2.8(d)</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Section 8.6(a)(ii)</w:t>
      </w:r>
      <w:r>
        <w:rPr>
          <w:rFonts w:ascii="Arial" w:cs="Arial" w:eastAsia="Arial" w:hAnsi="Arial"/>
          <w:sz w:val="16"/>
          <w:szCs w:val="16"/>
          <w:color w:val="auto"/>
        </w:rPr>
        <w:t xml:space="preserve"> and (d) any U.S. federal withholding Taxes imposed under FATCA.</w:t>
      </w:r>
    </w:p>
    <w:p>
      <w:pPr>
        <w:spacing w:after="0" w:line="168"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Extraordinary Receipt</w:t>
      </w:r>
      <w:r>
        <w:rPr>
          <w:rFonts w:ascii="Arial" w:cs="Arial" w:eastAsia="Arial" w:hAnsi="Arial"/>
          <w:sz w:val="18"/>
          <w:szCs w:val="18"/>
          <w:color w:val="auto"/>
        </w:rPr>
        <w:t>”: any cash received by or paid to or for the account of any Loan Party or paid to or for the account of any equity holder of any Loan Party in connection with any tax refund or indemnification claim not in the ordinary course of business (and not consisting of (i) proceeds described in any clauses (a) through (f) of the definition of Prepayment Event, or (ii) indemnification payments to pay or reimburse cash losses, costs or expenses of a Loan Party, including working capital adjustments or indemnification payments owed to a third party), including, but not limited to, tax refund, purchase price and other monetary adjustments, and/or indemnification payments (not included in clause (ii) of the preceding parenthetical), in each case, made in connection with an Acquisition. Notwithstanding anything to the contrary, Extraordinary Receipts shall not include any cash received by or paid to or for the account of any Loan Party or paid to or for the account of any equity holder of any Loan Party in connection with any judgment relating to the XAC Litigation (or any appeal thereof).</w:t>
      </w:r>
    </w:p>
    <w:p>
      <w:pPr>
        <w:spacing w:after="0" w:line="192"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FATCA</w:t>
      </w:r>
      <w:r>
        <w:rPr>
          <w:rFonts w:ascii="Arial" w:cs="Arial" w:eastAsia="Arial" w:hAnsi="Arial"/>
          <w:sz w:val="17"/>
          <w:szCs w:val="17"/>
          <w:color w:val="auto"/>
        </w:rPr>
        <w:t>”: Sections 1471 through 1474 of the Code, as of the date of this Agreement (or any amended or successor version that is substantively comparable and not materially more onerous to comply with), any current or future regulations or official interpretations thereof, any agreements entered into pursuant to Section 1471(b)(1) of the Code (or any amended or successor version described above) and any intergovernmental agreement, treaty or convention among Governmental Authorities entered into in connection with the foregoing and any fiscal or regulatory legislation, or official administrative rules or practices adopted pursuant to, any such intergovernmental agreement, treaty or convention.</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FCPA</w:t>
      </w:r>
      <w:r>
        <w:rPr>
          <w:rFonts w:ascii="Arial" w:cs="Arial" w:eastAsia="Arial" w:hAnsi="Arial"/>
          <w:sz w:val="18"/>
          <w:szCs w:val="18"/>
          <w:color w:val="auto"/>
        </w:rPr>
        <w:t xml:space="preserve">”: as defined in </w:t>
      </w:r>
      <w:r>
        <w:rPr>
          <w:rFonts w:ascii="Arial" w:cs="Arial" w:eastAsia="Arial" w:hAnsi="Arial"/>
          <w:sz w:val="18"/>
          <w:szCs w:val="18"/>
          <w:u w:val="single" w:color="auto"/>
          <w:color w:val="auto"/>
        </w:rPr>
        <w:t>Section 3.24</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Fee Letter</w:t>
      </w:r>
      <w:r>
        <w:rPr>
          <w:rFonts w:ascii="Arial" w:cs="Arial" w:eastAsia="Arial" w:hAnsi="Arial"/>
          <w:sz w:val="18"/>
          <w:szCs w:val="18"/>
          <w:color w:val="auto"/>
        </w:rPr>
        <w:t>”: that certain Fee Letter, dated as of the Closing Date, by and between the Loan Parties and the Agent, as may be amended, restated, supplemented or otherwise modified from time to time.</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First Amendment</w:t>
      </w:r>
      <w:r>
        <w:rPr>
          <w:rFonts w:ascii="Arial" w:cs="Arial" w:eastAsia="Arial" w:hAnsi="Arial"/>
          <w:sz w:val="18"/>
          <w:szCs w:val="18"/>
          <w:color w:val="auto"/>
        </w:rPr>
        <w:t>”: that certain First Amendment to Credit Agreement dated as of the First Amendment Effective Date, by and among the Borrower, the Parent, the Lenders and the Agent.</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First Amendment Effective Date</w:t>
      </w:r>
      <w:r>
        <w:rPr>
          <w:rFonts w:ascii="Arial" w:cs="Arial" w:eastAsia="Arial" w:hAnsi="Arial"/>
          <w:sz w:val="18"/>
          <w:szCs w:val="18"/>
          <w:color w:val="auto"/>
        </w:rPr>
        <w:t>”: March 31, 2023.</w:t>
      </w:r>
    </w:p>
    <w:p>
      <w:pPr>
        <w:spacing w:after="0" w:line="225"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First Amendment Registration Rights Agreement</w:t>
      </w:r>
      <w:r>
        <w:rPr>
          <w:rFonts w:ascii="Arial" w:cs="Arial" w:eastAsia="Arial" w:hAnsi="Arial"/>
          <w:sz w:val="17"/>
          <w:szCs w:val="17"/>
          <w:color w:val="auto"/>
        </w:rPr>
        <w:t>”: that certain Registration Rights Agreement, dated as of the First Amendment Effective Date, by and between Parent and the Lenders, as may be amended, restated, supplemented or otherwise modified from time to time.</w:t>
      </w:r>
    </w:p>
    <w:p>
      <w:pPr>
        <w:spacing w:after="0" w:line="146"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First Amendment Warrants</w:t>
      </w:r>
      <w:r>
        <w:rPr>
          <w:rFonts w:ascii="Arial" w:cs="Arial" w:eastAsia="Arial" w:hAnsi="Arial"/>
          <w:sz w:val="18"/>
          <w:szCs w:val="18"/>
          <w:color w:val="auto"/>
        </w:rPr>
        <w:t>”: those certain warrants to purchase 400,000 shares of Parent Common Stock at a purchase price of $0.01 per share issued by Parent pursuant to the Fee Letter to the Lenders on the First Amendment Effective Date, as may be amended, restated, supplemented or otherwise modified from time to time.</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Fiscal Quarter</w:t>
      </w:r>
      <w:r>
        <w:rPr>
          <w:rFonts w:ascii="Arial" w:cs="Arial" w:eastAsia="Arial" w:hAnsi="Arial"/>
          <w:sz w:val="18"/>
          <w:szCs w:val="18"/>
          <w:color w:val="auto"/>
        </w:rPr>
        <w:t>”: a calendar quarter of a Fiscal Year.</w:t>
      </w:r>
    </w:p>
    <w:p>
      <w:pPr>
        <w:spacing w:after="0" w:line="200" w:lineRule="exact"/>
        <w:rPr>
          <w:sz w:val="20"/>
          <w:szCs w:val="20"/>
          <w:color w:val="auto"/>
        </w:rPr>
      </w:pP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36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Presto Credit Agreement</w:t>
            </w:r>
          </w:p>
        </w:tc>
        <w:tc>
          <w:tcPr>
            <w:tcW w:w="7560" w:type="dxa"/>
            <w:vAlign w:val="bottom"/>
            <w:tcBorders>
              <w:bottom w:val="single" w:sz="8" w:color="auto"/>
            </w:tcBorders>
          </w:tcPr>
          <w:p>
            <w:pPr>
              <w:jc w:val="right"/>
              <w:ind w:right="5490"/>
              <w:spacing w:after="0"/>
              <w:rPr>
                <w:sz w:val="20"/>
                <w:szCs w:val="20"/>
                <w:color w:val="auto"/>
              </w:rPr>
            </w:pPr>
            <w:r>
              <w:rPr>
                <w:rFonts w:ascii="Arial" w:cs="Arial" w:eastAsia="Arial" w:hAnsi="Arial"/>
                <w:sz w:val="18"/>
                <w:szCs w:val="18"/>
                <w:color w:val="auto"/>
              </w:rPr>
              <w:t>7</w:t>
            </w:r>
          </w:p>
        </w:tc>
      </w:tr>
    </w:tbl>
    <w:p>
      <w:pPr>
        <w:sectPr>
          <w:pgSz w:w="11900" w:h="16838" w:orient="portrait"/>
          <w:cols w:equalWidth="0" w:num="1">
            <w:col w:w="11240"/>
          </w:cols>
          <w:pgMar w:left="320" w:top="908" w:right="339" w:bottom="1440" w:gutter="0" w:footer="0" w:header="0"/>
        </w:sectPr>
      </w:pPr>
    </w:p>
    <w:bookmarkStart w:id="94" w:name="page95"/>
    <w:bookmarkEnd w:id="94"/>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Fiscal Year</w:t>
      </w:r>
      <w:r>
        <w:rPr>
          <w:rFonts w:ascii="Arial" w:cs="Arial" w:eastAsia="Arial" w:hAnsi="Arial"/>
          <w:sz w:val="18"/>
          <w:szCs w:val="18"/>
          <w:color w:val="auto"/>
        </w:rPr>
        <w:t>”: the fiscal year of each Loan Party, which period shall be the twelve (12) month period ending on June 30 of each year.</w:t>
      </w:r>
    </w:p>
    <w:p>
      <w:pPr>
        <w:spacing w:after="0" w:line="225"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Foreign Recipient</w:t>
      </w:r>
      <w:r>
        <w:rPr>
          <w:rFonts w:ascii="Arial" w:cs="Arial" w:eastAsia="Arial" w:hAnsi="Arial"/>
          <w:sz w:val="17"/>
          <w:szCs w:val="17"/>
          <w:color w:val="auto"/>
        </w:rPr>
        <w:t>”: (a) if the Borrower is a U.S. Person, a Recipient that is not a U.S. Person, and (b) if the Borrower is not a U.S. Person, a Recipient that is resident or organized under the Laws of a jurisdiction other than that in which the Borrower is resident for tax purposes.</w:t>
      </w:r>
    </w:p>
    <w:p>
      <w:pPr>
        <w:spacing w:after="0" w:line="14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Foreign Subsidiary</w:t>
      </w:r>
      <w:r>
        <w:rPr>
          <w:rFonts w:ascii="Arial" w:cs="Arial" w:eastAsia="Arial" w:hAnsi="Arial"/>
          <w:sz w:val="18"/>
          <w:szCs w:val="18"/>
          <w:color w:val="auto"/>
        </w:rPr>
        <w:t>”: any Subsidiary other than a Domestic Subsidiary.</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Founder Shares</w:t>
      </w:r>
      <w:r>
        <w:rPr>
          <w:rFonts w:ascii="Arial" w:cs="Arial" w:eastAsia="Arial" w:hAnsi="Arial"/>
          <w:sz w:val="18"/>
          <w:szCs w:val="18"/>
          <w:color w:val="auto"/>
        </w:rPr>
        <w:t>”: means shares of Parent Common Stock which were acquired by the Sponsors in a private placement concurrent with the Parent’s initial public offering.</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Founder Shares Transfer Agreement</w:t>
      </w:r>
      <w:r>
        <w:rPr>
          <w:rFonts w:ascii="Arial" w:cs="Arial" w:eastAsia="Arial" w:hAnsi="Arial"/>
          <w:sz w:val="18"/>
          <w:szCs w:val="18"/>
          <w:color w:val="auto"/>
        </w:rPr>
        <w:t>”: that certain Share Purchase Agreement, dated as of the date hereof, by and among the Sponsors and the Lenders, as may be amended, restated, supplemented or otherwise modified from time to time.</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GAAP</w:t>
      </w:r>
      <w:r>
        <w:rPr>
          <w:rFonts w:ascii="Arial" w:cs="Arial" w:eastAsia="Arial" w:hAnsi="Arial"/>
          <w:sz w:val="18"/>
          <w:szCs w:val="18"/>
          <w:color w:val="auto"/>
        </w:rPr>
        <w:t xml:space="preserve">”: generally accepted accounting principles in the United States as in effect from time to time, subject to the provisions of </w:t>
      </w:r>
      <w:r>
        <w:rPr>
          <w:rFonts w:ascii="Arial" w:cs="Arial" w:eastAsia="Arial" w:hAnsi="Arial"/>
          <w:sz w:val="18"/>
          <w:szCs w:val="18"/>
          <w:u w:val="single" w:color="auto"/>
          <w:color w:val="auto"/>
        </w:rPr>
        <w:t>Section 1.2(e)</w:t>
      </w:r>
      <w:r>
        <w:rPr>
          <w:rFonts w:ascii="Arial" w:cs="Arial" w:eastAsia="Arial" w:hAnsi="Arial"/>
          <w:sz w:val="18"/>
          <w:szCs w:val="18"/>
          <w:color w:val="auto"/>
        </w:rPr>
        <w:t>, and applied on a consistent basis both as to classification of items and amounts.</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Governmental Approval</w:t>
      </w:r>
      <w:r>
        <w:rPr>
          <w:rFonts w:ascii="Arial" w:cs="Arial" w:eastAsia="Arial" w:hAnsi="Arial"/>
          <w:sz w:val="18"/>
          <w:szCs w:val="18"/>
          <w:color w:val="auto"/>
        </w:rPr>
        <w:t>”: any consent, authorization, approval, order, license, franchise, permit, certificate, accreditation, registration, filing or notice, of, issued by, from or to, or other act by or in respect of, any Governmental Authority.</w:t>
      </w:r>
    </w:p>
    <w:p>
      <w:pPr>
        <w:spacing w:after="0" w:line="17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Governmental Authority</w:t>
      </w:r>
      <w:r>
        <w:rPr>
          <w:rFonts w:ascii="Arial" w:cs="Arial" w:eastAsia="Arial" w:hAnsi="Arial"/>
          <w:sz w:val="18"/>
          <w:szCs w:val="18"/>
          <w:color w:val="auto"/>
        </w:rPr>
        <w:t>”: the government of the United States of America or any other nation, or of any political subdivision thereof, whether state or local, and any agency, authority, instrumentality, regulatory body, court, central bank or other entity exercising executive, legislative, judicial, taxing, regulatory or administrative powers or functions of or pertaining to government (including any supra-national bodies such as the European Union or the European Central Bank).</w:t>
      </w:r>
    </w:p>
    <w:p>
      <w:pPr>
        <w:spacing w:after="0" w:line="187"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Guarantee Obligation</w:t>
      </w:r>
      <w:r>
        <w:rPr>
          <w:rFonts w:ascii="Arial" w:cs="Arial" w:eastAsia="Arial" w:hAnsi="Arial"/>
          <w:sz w:val="17"/>
          <w:szCs w:val="17"/>
          <w:color w:val="auto"/>
        </w:rPr>
        <w:t>”: as to any Person (the “</w:t>
      </w:r>
      <w:r>
        <w:rPr>
          <w:rFonts w:ascii="Arial" w:cs="Arial" w:eastAsia="Arial" w:hAnsi="Arial"/>
          <w:sz w:val="17"/>
          <w:szCs w:val="17"/>
          <w:b w:val="1"/>
          <w:bCs w:val="1"/>
          <w:i w:val="1"/>
          <w:iCs w:val="1"/>
          <w:color w:val="auto"/>
        </w:rPr>
        <w:t>guaranteeing person</w:t>
      </w:r>
      <w:r>
        <w:rPr>
          <w:rFonts w:ascii="Arial" w:cs="Arial" w:eastAsia="Arial" w:hAnsi="Arial"/>
          <w:sz w:val="17"/>
          <w:szCs w:val="17"/>
          <w:color w:val="auto"/>
        </w:rPr>
        <w:t>”), any obligation, including a reimbursement, counterindemnity or similar obligation, of the guaranteeing person that guarantees or in effect guarantees, or which is given to induce the creation of a separate obligation by another Person (including any bank under any letter of credit, or a provider of a surety bond, performance bond or similar instrument) that guarantees or in effect guarantees, any Indebtedness, leases, dividends or other obligations (the “</w:t>
      </w:r>
      <w:r>
        <w:rPr>
          <w:rFonts w:ascii="Arial" w:cs="Arial" w:eastAsia="Arial" w:hAnsi="Arial"/>
          <w:sz w:val="17"/>
          <w:szCs w:val="17"/>
          <w:b w:val="1"/>
          <w:bCs w:val="1"/>
          <w:i w:val="1"/>
          <w:iCs w:val="1"/>
          <w:color w:val="auto"/>
        </w:rPr>
        <w:t>primary obligations</w:t>
      </w:r>
      <w:r>
        <w:rPr>
          <w:rFonts w:ascii="Arial" w:cs="Arial" w:eastAsia="Arial" w:hAnsi="Arial"/>
          <w:sz w:val="17"/>
          <w:szCs w:val="17"/>
          <w:color w:val="auto"/>
        </w:rPr>
        <w:t>”) of any other third Person (the “</w:t>
      </w:r>
      <w:r>
        <w:rPr>
          <w:rFonts w:ascii="Arial" w:cs="Arial" w:eastAsia="Arial" w:hAnsi="Arial"/>
          <w:sz w:val="17"/>
          <w:szCs w:val="17"/>
          <w:b w:val="1"/>
          <w:bCs w:val="1"/>
          <w:i w:val="1"/>
          <w:iCs w:val="1"/>
          <w:color w:val="auto"/>
        </w:rPr>
        <w:t>primary obligor</w:t>
      </w:r>
      <w:r>
        <w:rPr>
          <w:rFonts w:ascii="Arial" w:cs="Arial" w:eastAsia="Arial" w:hAnsi="Arial"/>
          <w:sz w:val="17"/>
          <w:szCs w:val="17"/>
          <w:color w:val="auto"/>
        </w:rPr>
        <w:t xml:space="preserve">”) in any manner, whether directly or indirectly, including, any obligation of the guaranteeing person, whether or not contingent, (i) to purchase any such primary obligation or any property constituting direct or indirect security therefor, (ii) to advance or supply funds (1) for the purchase or payment of any such primary obligation or (2) to maintain working capital or equity capital of the primary obligor or otherwise to maintain the net worth or solvency of the primary obligor, (iii) to purchase property, securities or services primarily for the purpose of assuring the owner of any such primary obligation of the ability of the primary obligor to make payment of such primary obligation or (iv) otherwise to assure or hold harmless the owner of any such primary obligation against loss in respect thereof;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term Guarantee Obligation shall not include endorsements of instruments for deposit or collection in the ordinary course of business. The amount of any Guarantee Obligation of any guaranteeing person shall be deemed to be the lower of (a) an amount equal to the stated or determinable amount of the primary obligation in respect of which such Guarantee Obligation is made and (b) the maximum amount for which such guaranteeing person may be liable pursuant to the terms of the instrument embodying such Guarantee Obligation, unless such primary obligation and the maximum amount for which such guaranteeing person may be liable are not stated or determinable, in which case the amount of such Guarantee Obligation shall be such guaranteeing person’s maximum reasonably anticipated liability in respect thereof as determined by Borrower in good faith.</w:t>
      </w:r>
    </w:p>
    <w:p>
      <w:pPr>
        <w:spacing w:after="0" w:line="18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Guarantor</w:t>
      </w:r>
      <w:r>
        <w:rPr>
          <w:rFonts w:ascii="Arial" w:cs="Arial" w:eastAsia="Arial" w:hAnsi="Arial"/>
          <w:sz w:val="18"/>
          <w:szCs w:val="18"/>
          <w:color w:val="auto"/>
        </w:rPr>
        <w:t>”: (i) Parent and (ii) any Subsidiary of Parent that is not Borrower or an Immaterial Subsidiary.</w:t>
      </w:r>
    </w:p>
    <w:p>
      <w:pPr>
        <w:spacing w:after="0" w:line="200" w:lineRule="exact"/>
        <w:rPr>
          <w:sz w:val="20"/>
          <w:szCs w:val="20"/>
          <w:color w:val="auto"/>
        </w:rPr>
      </w:pP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36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Presto Credit Agreement</w:t>
            </w:r>
          </w:p>
        </w:tc>
        <w:tc>
          <w:tcPr>
            <w:tcW w:w="7560" w:type="dxa"/>
            <w:vAlign w:val="bottom"/>
            <w:tcBorders>
              <w:bottom w:val="single" w:sz="8" w:color="auto"/>
            </w:tcBorders>
          </w:tcPr>
          <w:p>
            <w:pPr>
              <w:jc w:val="right"/>
              <w:ind w:right="5490"/>
              <w:spacing w:after="0"/>
              <w:rPr>
                <w:sz w:val="20"/>
                <w:szCs w:val="20"/>
                <w:color w:val="auto"/>
              </w:rPr>
            </w:pPr>
            <w:r>
              <w:rPr>
                <w:rFonts w:ascii="Arial" w:cs="Arial" w:eastAsia="Arial" w:hAnsi="Arial"/>
                <w:sz w:val="18"/>
                <w:szCs w:val="18"/>
                <w:color w:val="auto"/>
              </w:rPr>
              <w:t>8</w:t>
            </w:r>
          </w:p>
        </w:tc>
      </w:tr>
    </w:tbl>
    <w:p>
      <w:pPr>
        <w:sectPr>
          <w:pgSz w:w="11900" w:h="16838" w:orient="portrait"/>
          <w:cols w:equalWidth="0" w:num="1">
            <w:col w:w="11240"/>
          </w:cols>
          <w:pgMar w:left="320" w:top="908" w:right="339" w:bottom="1440" w:gutter="0" w:footer="0" w:header="0"/>
        </w:sectPr>
      </w:pPr>
    </w:p>
    <w:bookmarkStart w:id="95" w:name="page96"/>
    <w:bookmarkEnd w:id="95"/>
    <w:p>
      <w:pPr>
        <w:jc w:val="both"/>
        <w:ind w:firstLine="648"/>
        <w:spacing w:after="0" w:line="275"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Immaterial Subsidiary</w:t>
      </w:r>
      <w:r>
        <w:rPr>
          <w:rFonts w:ascii="Arial" w:cs="Arial" w:eastAsia="Arial" w:hAnsi="Arial"/>
          <w:sz w:val="17"/>
          <w:szCs w:val="17"/>
          <w:color w:val="auto"/>
        </w:rPr>
        <w:t xml:space="preserve">”: any Subsidiary of Borrower that (i) does not own assets that (x) have an aggregate book value in excess of five percent (5%) of the Parent’s and its Subsidiaries consolidated total assets, or (y) are material to the business of any Loan Party, and (ii) does not generate Touch Platform Revenue, Computer Vision Platform Revenue or Voice Platform Revenue in excess of five percent (5%) of all Touch Platform Revenue, Computer Vision Platform Revenue or Voice Platform Revenue, as applicable, of the Loan Parties in any monthly period;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at any time such Subsidiary fails to satisfy any of the foregoing, such Subsidiary shall immediately cease to be an Immaterial Subsidiary.</w:t>
      </w:r>
    </w:p>
    <w:p>
      <w:pPr>
        <w:spacing w:after="0" w:line="176"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Indebtedness</w:t>
      </w:r>
      <w:r>
        <w:rPr>
          <w:rFonts w:ascii="Arial" w:cs="Arial" w:eastAsia="Arial" w:hAnsi="Arial"/>
          <w:sz w:val="16"/>
          <w:szCs w:val="16"/>
          <w:color w:val="auto"/>
        </w:rPr>
        <w:t>”: collectively, as to any Person at any time, any and all indebtedness, obligations or liabilities (whether matured or unmatured, liquidated or unliquidated, direct or indirect, absolute or contingent, or joint or several) of such Person for or in respect of: (a) all indebtedness for borrowed money, (b) all accounts due and payable and not yet paid ninety (90) days from the original due date, (c) all obligations for the deferred purchase price of property or services (other than current trade payables incurred in the ordinary course of business), (d) all obligations evidenced by notes, bonds, debentures or other similar instruments, (e) all indebtedness created or arising under any conditional sale or other title retention agreement with respect to property acquired (even though the rights and remedies of the seller or lender under such agreement in the event of default are limited to repossession or sale of such property), (f) all Capital Lease obligations and all synthetic lease obligations, (g) all obligations, contingent or otherwise, as an account party or applicant under or in respect of acceptances, letters of credit, surety bonds or similar arrangements, (h) all Guarantee Obligations in respect of obligations of the kind referred to in clauses (a) through (g) above, (i) all obligations of the kind referred to in clauses (a) through (h) above secured by (or for which the holder of such obligation has an existing right, contingent or otherwise, to be secured by) any Lien on the property (including accounts and contract rights) owned by the applicable Person, whether or not such Person has assumed or become liable for the payment of such obligation, (j) the net obligations in respect of swap agreements, and (k) any Disqualified Equity Interests of such Person, and including, without limitation obligations described in the foregoing clauses (a) through (j) of any other entity to the extent the subject Person is liable therefor as a result of such Person’s ownership interest in or other relationship with such entity, except to the extent the terms of such obligations expressly provide that such Person is not liable therefor.</w:t>
      </w:r>
    </w:p>
    <w:p>
      <w:pPr>
        <w:spacing w:after="0" w:line="17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Indemnified Taxes</w:t>
      </w:r>
      <w:r>
        <w:rPr>
          <w:rFonts w:ascii="Arial" w:cs="Arial" w:eastAsia="Arial" w:hAnsi="Arial"/>
          <w:sz w:val="18"/>
          <w:szCs w:val="18"/>
          <w:color w:val="auto"/>
        </w:rPr>
        <w:t>”: (a) Taxes, other than Excluded Taxes, imposed on or with respect to any payment made by or on account of any obligation of any Loan Party under any Loan Document and (b) to the extent not otherwise described in clause (a) above, Other Taxes.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Indemnitee</w:t>
      </w:r>
      <w:r>
        <w:rPr>
          <w:rFonts w:ascii="Arial" w:cs="Arial" w:eastAsia="Arial" w:hAnsi="Arial"/>
          <w:sz w:val="18"/>
          <w:szCs w:val="18"/>
          <w:color w:val="auto"/>
        </w:rPr>
        <w:t xml:space="preserve">”: as defined in </w:t>
      </w:r>
      <w:r>
        <w:rPr>
          <w:rFonts w:ascii="Arial" w:cs="Arial" w:eastAsia="Arial" w:hAnsi="Arial"/>
          <w:sz w:val="18"/>
          <w:szCs w:val="18"/>
          <w:u w:val="single" w:color="auto"/>
          <w:color w:val="auto"/>
        </w:rPr>
        <w:t>Section 8.5(b)</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Intellectual Property</w:t>
      </w:r>
      <w:r>
        <w:rPr>
          <w:rFonts w:ascii="Arial" w:cs="Arial" w:eastAsia="Arial" w:hAnsi="Arial"/>
          <w:sz w:val="18"/>
          <w:szCs w:val="18"/>
          <w:color w:val="auto"/>
        </w:rPr>
        <w:t>”: as defined in the Security Agreement.</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Interest Payment Date</w:t>
      </w:r>
      <w:r>
        <w:rPr>
          <w:rFonts w:ascii="Arial" w:cs="Arial" w:eastAsia="Arial" w:hAnsi="Arial"/>
          <w:sz w:val="18"/>
          <w:szCs w:val="18"/>
          <w:color w:val="auto"/>
        </w:rPr>
        <w:t>”: the first day of each calendar month, commencing October 1, 2022, provided that if such day of any calendar month shall not be a Business Day, the Interest Payment Date with respect to any interest payable in cash shall be the next succeeding day thereafter that is a Business Day (it being understood that all payments of PIK Interest shall be deemed to have occurred on the first day of each calendar month, regardless of whether such date is a Business Day).</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Interest Rate</w:t>
      </w:r>
      <w:r>
        <w:rPr>
          <w:rFonts w:ascii="Arial" w:cs="Arial" w:eastAsia="Arial" w:hAnsi="Arial"/>
          <w:sz w:val="18"/>
          <w:szCs w:val="18"/>
          <w:color w:val="auto"/>
        </w:rPr>
        <w:t>”: fifteen percent (15%) per annum.</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Investments</w:t>
      </w:r>
      <w:r>
        <w:rPr>
          <w:rFonts w:ascii="Arial" w:cs="Arial" w:eastAsia="Arial" w:hAnsi="Arial"/>
          <w:sz w:val="18"/>
          <w:szCs w:val="18"/>
          <w:color w:val="auto"/>
        </w:rPr>
        <w:t xml:space="preserve">”: as defined in </w:t>
      </w:r>
      <w:r>
        <w:rPr>
          <w:rFonts w:ascii="Arial" w:cs="Arial" w:eastAsia="Arial" w:hAnsi="Arial"/>
          <w:sz w:val="18"/>
          <w:szCs w:val="18"/>
          <w:u w:val="single" w:color="auto"/>
          <w:color w:val="auto"/>
        </w:rPr>
        <w:t>Section</w:t>
      </w:r>
      <w:r>
        <w:rPr>
          <w:rFonts w:ascii="Arial" w:cs="Arial" w:eastAsia="Arial" w:hAnsi="Arial"/>
          <w:sz w:val="18"/>
          <w:szCs w:val="18"/>
          <w:color w:val="auto"/>
        </w:rPr>
        <w:t xml:space="preserve"> 6.8.</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IRS</w:t>
      </w:r>
      <w:r>
        <w:rPr>
          <w:rFonts w:ascii="Arial" w:cs="Arial" w:eastAsia="Arial" w:hAnsi="Arial"/>
          <w:sz w:val="18"/>
          <w:szCs w:val="18"/>
          <w:color w:val="auto"/>
        </w:rPr>
        <w:t>”: the United States Internal Revenue Service.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Knowledge</w:t>
      </w:r>
      <w:r>
        <w:rPr>
          <w:rFonts w:ascii="Arial" w:cs="Arial" w:eastAsia="Arial" w:hAnsi="Arial"/>
          <w:sz w:val="17"/>
          <w:szCs w:val="17"/>
          <w:color w:val="auto"/>
        </w:rPr>
        <w:t>”: the knowledge of any Responsible Officer, member of the Board, or any other senior executive, after reasonable inquiry.</w:t>
      </w:r>
    </w:p>
    <w:p>
      <w:pPr>
        <w:spacing w:after="0" w:line="237"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Laws</w:t>
      </w:r>
      <w:r>
        <w:rPr>
          <w:rFonts w:ascii="Arial" w:cs="Arial" w:eastAsia="Arial" w:hAnsi="Arial"/>
          <w:sz w:val="17"/>
          <w:szCs w:val="17"/>
          <w:color w:val="auto"/>
        </w:rPr>
        <w:t>”: collectively, all international, foreign, federal, state and local statutes, treaties, rules, guidelines, regulations, ordinances, codes and administrative or judicial precedents or authorities, including the interpretation or administration thereof by any Governmental Authority charged with the enforcement, interpretation or administration thereof, and all applicable administrative orders, directed duties, requests, licenses, authorizations and permits of, and agreements with, any Governmental Authority, in each case whether or not having the force of law.</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36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Presto Credit Agreement</w:t>
            </w:r>
          </w:p>
        </w:tc>
        <w:tc>
          <w:tcPr>
            <w:tcW w:w="7560" w:type="dxa"/>
            <w:vAlign w:val="bottom"/>
            <w:tcBorders>
              <w:bottom w:val="single" w:sz="8" w:color="auto"/>
            </w:tcBorders>
          </w:tcPr>
          <w:p>
            <w:pPr>
              <w:jc w:val="right"/>
              <w:ind w:right="5490"/>
              <w:spacing w:after="0"/>
              <w:rPr>
                <w:sz w:val="20"/>
                <w:szCs w:val="20"/>
                <w:color w:val="auto"/>
              </w:rPr>
            </w:pPr>
            <w:r>
              <w:rPr>
                <w:rFonts w:ascii="Arial" w:cs="Arial" w:eastAsia="Arial" w:hAnsi="Arial"/>
                <w:sz w:val="18"/>
                <w:szCs w:val="18"/>
                <w:color w:val="auto"/>
              </w:rPr>
              <w:t>9</w:t>
            </w:r>
          </w:p>
        </w:tc>
      </w:tr>
    </w:tbl>
    <w:p>
      <w:pPr>
        <w:sectPr>
          <w:pgSz w:w="11900" w:h="16838" w:orient="portrait"/>
          <w:cols w:equalWidth="0" w:num="1">
            <w:col w:w="11240"/>
          </w:cols>
          <w:pgMar w:left="320" w:top="908" w:right="339" w:bottom="1440" w:gutter="0" w:footer="0" w:header="0"/>
        </w:sectPr>
      </w:pPr>
    </w:p>
    <w:bookmarkStart w:id="96" w:name="page97"/>
    <w:bookmarkEnd w:id="96"/>
    <w:p>
      <w:pPr>
        <w:jc w:val="both"/>
        <w:ind w:firstLine="648"/>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Lender</w:t>
      </w:r>
      <w:r>
        <w:rPr>
          <w:rFonts w:ascii="Arial" w:cs="Arial" w:eastAsia="Arial" w:hAnsi="Arial"/>
          <w:sz w:val="16"/>
          <w:szCs w:val="16"/>
          <w:color w:val="auto"/>
        </w:rPr>
        <w:t>”: as defined in the preamble hereto, and any other Person that shall have become party hereto pursuant to an assignment and assumption permitted hereby, other than any such Person that ceases to be a party hereto pursuant to an assignment and assumption permitted hereby.</w:t>
      </w:r>
    </w:p>
    <w:p>
      <w:pPr>
        <w:spacing w:after="0" w:line="12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Lien</w:t>
      </w:r>
      <w:r>
        <w:rPr>
          <w:rFonts w:ascii="Arial" w:cs="Arial" w:eastAsia="Arial" w:hAnsi="Arial"/>
          <w:sz w:val="18"/>
          <w:szCs w:val="18"/>
          <w:color w:val="auto"/>
        </w:rPr>
        <w:t>”: any mortgage, deed of trust, pledge, hypothecation, collateral assignment, deposit arrangement, encumbrance, lien (statutory or other), charge or other security interest or any preference, priority or other security agreement or preferential arrangement of any kind or nature whatsoever (including any conditional sale or other title retention agreement and any Capital Lease having substantially the same economic effect as any of the foregoing).</w:t>
      </w:r>
    </w:p>
    <w:p>
      <w:pPr>
        <w:spacing w:after="0" w:line="187"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Loan Documents</w:t>
      </w:r>
      <w:r>
        <w:rPr>
          <w:rFonts w:ascii="Arial" w:cs="Arial" w:eastAsia="Arial" w:hAnsi="Arial"/>
          <w:sz w:val="17"/>
          <w:szCs w:val="17"/>
          <w:color w:val="auto"/>
        </w:rPr>
        <w:t>”: this Agreement, the First Amendment, the Second Amendment, the Security Documents, the Notes, the Warrant Subscription Agreement, the Warrants, the Founder Shares Transfer Agreement, the Registration Rights Agreements, each Perfection Certificate, each Compliance Certificate, the Fee Letter, each Notice of Borrowing, each Payment Notice and any other document or instrument evidencing, securing or otherwise governing the Obligations and any amendment, restatement, supplement or other modification to any of the foregoing.</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Loan Party</w:t>
      </w:r>
      <w:r>
        <w:rPr>
          <w:rFonts w:ascii="Arial" w:cs="Arial" w:eastAsia="Arial" w:hAnsi="Arial"/>
          <w:sz w:val="16"/>
          <w:szCs w:val="16"/>
          <w:color w:val="auto"/>
        </w:rPr>
        <w:t>”: Borrower, each Guarantor and any other Person that becomes obligated pursuant to a Loan Document, other than as a Lender or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Agent.</w:t>
      </w:r>
    </w:p>
    <w:p>
      <w:pPr>
        <w:spacing w:after="0" w:line="211"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Make Whole Premium</w:t>
      </w:r>
      <w:r>
        <w:rPr>
          <w:rFonts w:ascii="Arial" w:cs="Arial" w:eastAsia="Arial" w:hAnsi="Arial"/>
          <w:sz w:val="17"/>
          <w:szCs w:val="17"/>
          <w:color w:val="auto"/>
        </w:rPr>
        <w:t>”: in connection with the applicable payment, prepayment or repayment of the principal amount of the Term Loan or any distribution on account thereof (whether prior to or after acceleration and from any Person, including in connection with any insolvency proceeding), an amount equal to the interest and fees that would have accrued on the aggregate principal amount of the Term Loan (including any interest that could have been capitalized as PIK Interest during such period) from the date of payment through March 21, 2024.</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Margin Stock</w:t>
      </w:r>
      <w:r>
        <w:rPr>
          <w:rFonts w:ascii="Arial" w:cs="Arial" w:eastAsia="Arial" w:hAnsi="Arial"/>
          <w:sz w:val="18"/>
          <w:szCs w:val="18"/>
          <w:color w:val="auto"/>
        </w:rPr>
        <w:t>”: margin stock within the meaning of Regulations T, U and X.</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Material Adverse Effect</w:t>
      </w:r>
      <w:r>
        <w:rPr>
          <w:rFonts w:ascii="Arial" w:cs="Arial" w:eastAsia="Arial" w:hAnsi="Arial"/>
          <w:sz w:val="18"/>
          <w:szCs w:val="18"/>
          <w:color w:val="auto"/>
        </w:rPr>
        <w:t>”: (a) a material adverse change in, or a material adverse effect on (i) the operations, business, Collateral, liabilities (actual or contingent) or condition of the Loan Parties (financial or otherwise), taken as a whole, (ii) the perfection or priority of any Lien granted to Agent under any of the Loan Documents or (iii) the value, validity, enforceability or collectability of any Collateral; (b) a material impairment of the rights and remedies of Agent or any Lender under any Loan Document, or of the ability of Borrower or any other Loan Party to perform its respective Obligations under any Loan Document to which it is a party; or (c) a material adverse effect upon the legality, validity, binding effect or enforceability against any Loan Party of any Loan Document to which it is a party.</w:t>
      </w:r>
    </w:p>
    <w:p>
      <w:pPr>
        <w:spacing w:after="0" w:line="19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Material Contract</w:t>
      </w:r>
      <w:r>
        <w:rPr>
          <w:rFonts w:ascii="Arial" w:cs="Arial" w:eastAsia="Arial" w:hAnsi="Arial"/>
          <w:sz w:val="18"/>
          <w:szCs w:val="18"/>
          <w:color w:val="auto"/>
        </w:rPr>
        <w:t xml:space="preserve">”: each Contractual Obligation of any Loan Party that is (i) listed on </w:t>
      </w:r>
      <w:r>
        <w:rPr>
          <w:rFonts w:ascii="Arial" w:cs="Arial" w:eastAsia="Arial" w:hAnsi="Arial"/>
          <w:sz w:val="18"/>
          <w:szCs w:val="18"/>
          <w:u w:val="single" w:color="auto"/>
          <w:color w:val="auto"/>
        </w:rPr>
        <w:t>Schedule 3.7</w:t>
      </w:r>
      <w:r>
        <w:rPr>
          <w:rFonts w:ascii="Arial" w:cs="Arial" w:eastAsia="Arial" w:hAnsi="Arial"/>
          <w:sz w:val="18"/>
          <w:szCs w:val="18"/>
          <w:color w:val="auto"/>
        </w:rPr>
        <w:t xml:space="preserve"> (including any renewals or replacements thereof) or (ii) is otherwise material to the continued operation of the business of such Loan Party and for which either (a) amounts received or paid thereunder is equal to or exceeds $2,500,000 in any Fiscal Year with respect to any Material Contract or (b) a breach or default could reasonably be expected to result in a Material Adverse Effect.</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Maturity Date</w:t>
      </w:r>
      <w:r>
        <w:rPr>
          <w:rFonts w:ascii="Arial" w:cs="Arial" w:eastAsia="Arial" w:hAnsi="Arial"/>
          <w:sz w:val="17"/>
          <w:szCs w:val="17"/>
          <w:color w:val="auto"/>
        </w:rPr>
        <w:t>”: the earlier of (a) March 21, 2025, and (b) the date upon which the Obligations are accelerated in accordance with the terms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hereof.</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Metropolitan</w:t>
      </w:r>
      <w:r>
        <w:rPr>
          <w:rFonts w:ascii="Arial" w:cs="Arial" w:eastAsia="Arial" w:hAnsi="Arial"/>
          <w:sz w:val="18"/>
          <w:szCs w:val="18"/>
          <w:color w:val="auto"/>
        </w:rPr>
        <w:t>”: Agent, Lenders, and each of their Affiliates and Approved Funds.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Minimum Unrestricted Cash Amount</w:t>
      </w:r>
      <w:r>
        <w:rPr>
          <w:rFonts w:ascii="Arial" w:cs="Arial" w:eastAsia="Arial" w:hAnsi="Arial"/>
          <w:sz w:val="16"/>
          <w:szCs w:val="16"/>
          <w:color w:val="auto"/>
        </w:rPr>
        <w:t>”: (a) prior to the Second Amendment Effective Date, as of any date of determination, an amount equal to:</w:t>
      </w:r>
    </w:p>
    <w:p>
      <w:pPr>
        <w:spacing w:after="0" w:line="46" w:lineRule="exact"/>
        <w:rPr>
          <w:sz w:val="20"/>
          <w:szCs w:val="20"/>
          <w:color w:val="auto"/>
        </w:rPr>
      </w:pPr>
    </w:p>
    <w:p>
      <w:pPr>
        <w:jc w:val="both"/>
        <w:ind w:firstLine="8"/>
        <w:spacing w:after="0" w:line="255" w:lineRule="auto"/>
        <w:tabs>
          <w:tab w:leader="none" w:pos="219" w:val="left"/>
        </w:tabs>
        <w:numPr>
          <w:ilvl w:val="0"/>
          <w:numId w:val="81"/>
        </w:numPr>
        <w:rPr>
          <w:rFonts w:ascii="Arial" w:cs="Arial" w:eastAsia="Arial" w:hAnsi="Arial"/>
          <w:sz w:val="18"/>
          <w:szCs w:val="18"/>
          <w:color w:val="auto"/>
        </w:rPr>
      </w:pPr>
      <w:r>
        <w:rPr>
          <w:rFonts w:ascii="Arial" w:cs="Arial" w:eastAsia="Arial" w:hAnsi="Arial"/>
          <w:sz w:val="18"/>
          <w:szCs w:val="18"/>
          <w:color w:val="auto"/>
        </w:rPr>
        <w:t xml:space="preserve">the operating expenses of the Loan Parties and their Subsidiaries determined on a consolidated basis for the six (6) consecutive month period ending on such date of determination, as set forth in the financial statements most recently delivered pursuant to </w:t>
      </w:r>
      <w:r>
        <w:rPr>
          <w:rFonts w:ascii="Arial" w:cs="Arial" w:eastAsia="Arial" w:hAnsi="Arial"/>
          <w:sz w:val="18"/>
          <w:szCs w:val="18"/>
          <w:u w:val="single" w:color="auto"/>
          <w:color w:val="auto"/>
        </w:rPr>
        <w:t>Sections 5.1(c)</w:t>
      </w:r>
      <w:r>
        <w:rPr>
          <w:rFonts w:ascii="Arial" w:cs="Arial" w:eastAsia="Arial" w:hAnsi="Arial"/>
          <w:sz w:val="18"/>
          <w:szCs w:val="18"/>
          <w:color w:val="auto"/>
        </w:rPr>
        <w:t xml:space="preserve">,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(ii) $1,100,000; (b) from and after the Second Amendment Effective Date, as of any date of determination, an amount equal to $10,000,000.</w:t>
      </w:r>
    </w:p>
    <w:p>
      <w:pPr>
        <w:spacing w:after="0" w:line="19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Multiemployer Plan</w:t>
      </w:r>
      <w:r>
        <w:rPr>
          <w:rFonts w:ascii="Arial" w:cs="Arial" w:eastAsia="Arial" w:hAnsi="Arial"/>
          <w:sz w:val="18"/>
          <w:szCs w:val="18"/>
          <w:color w:val="auto"/>
        </w:rPr>
        <w:t>”: any employee benefit plan of the type described in Section 4001(a)(3) of ERISA, to which a Loan Party or any ERISA Affiliate makes or is obligated to make contributions, during the preceding five plan years has made or been obligated to make contributions, or has any liability.</w:t>
      </w:r>
    </w:p>
    <w:p>
      <w:pPr>
        <w:spacing w:after="0" w:line="180"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Net Adjusted Decrease in Operating Cash</w:t>
      </w:r>
      <w:r>
        <w:rPr>
          <w:rFonts w:ascii="Arial" w:cs="Arial" w:eastAsia="Arial" w:hAnsi="Arial"/>
          <w:sz w:val="18"/>
          <w:szCs w:val="18"/>
          <w:color w:val="auto"/>
        </w:rPr>
        <w:t>”: for the applicable period, without duplication, an amount equal to (a) all of Borrower’s cash on hand</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as of the last day of the applicable period, </w:t>
      </w:r>
      <w:r>
        <w:rPr>
          <w:rFonts w:ascii="Arial" w:cs="Arial" w:eastAsia="Arial" w:hAnsi="Arial"/>
          <w:sz w:val="18"/>
          <w:szCs w:val="18"/>
          <w:i w:val="1"/>
          <w:iCs w:val="1"/>
          <w:color w:val="auto"/>
        </w:rPr>
        <w:t>minus</w:t>
      </w:r>
      <w:r>
        <w:rPr>
          <w:rFonts w:ascii="Arial" w:cs="Arial" w:eastAsia="Arial" w:hAnsi="Arial"/>
          <w:sz w:val="18"/>
          <w:szCs w:val="18"/>
          <w:color w:val="auto"/>
        </w:rPr>
        <w:t xml:space="preserve"> (b) Borrower’s Starting Cash, </w:t>
      </w:r>
      <w:r>
        <w:rPr>
          <w:rFonts w:ascii="Arial" w:cs="Arial" w:eastAsia="Arial" w:hAnsi="Arial"/>
          <w:sz w:val="18"/>
          <w:szCs w:val="18"/>
          <w:i w:val="1"/>
          <w:iCs w:val="1"/>
          <w:color w:val="auto"/>
        </w:rPr>
        <w:t>plus</w:t>
      </w:r>
      <w:r>
        <w:rPr>
          <w:rFonts w:ascii="Arial" w:cs="Arial" w:eastAsia="Arial" w:hAnsi="Arial"/>
          <w:sz w:val="18"/>
          <w:szCs w:val="18"/>
          <w:color w:val="auto"/>
        </w:rPr>
        <w:t xml:space="preserve"> (c) the aggregate amount paid in cash during the applicable period of (i) accrued interest on the Term Loan, (ii) principal on the Term Loan, and (iii) monitoring fees paid pursuant to the Fee Letter, </w:t>
      </w:r>
      <w:r>
        <w:rPr>
          <w:rFonts w:ascii="Arial" w:cs="Arial" w:eastAsia="Arial" w:hAnsi="Arial"/>
          <w:sz w:val="18"/>
          <w:szCs w:val="18"/>
          <w:i w:val="1"/>
          <w:iCs w:val="1"/>
          <w:color w:val="auto"/>
        </w:rPr>
        <w:t>minus</w:t>
      </w:r>
      <w:r>
        <w:rPr>
          <w:rFonts w:ascii="Arial" w:cs="Arial" w:eastAsia="Arial" w:hAnsi="Arial"/>
          <w:sz w:val="18"/>
          <w:szCs w:val="18"/>
          <w:color w:val="auto"/>
        </w:rPr>
        <w:t xml:space="preserve"> (d) accounts payable aged in excess of 60 days or more as of the last day of the applicable period, </w:t>
      </w:r>
      <w:r>
        <w:rPr>
          <w:rFonts w:ascii="Arial" w:cs="Arial" w:eastAsia="Arial" w:hAnsi="Arial"/>
          <w:sz w:val="18"/>
          <w:szCs w:val="18"/>
          <w:i w:val="1"/>
          <w:iCs w:val="1"/>
          <w:color w:val="auto"/>
        </w:rPr>
        <w:t>minus</w:t>
      </w:r>
      <w:r>
        <w:rPr>
          <w:rFonts w:ascii="Arial" w:cs="Arial" w:eastAsia="Arial" w:hAnsi="Arial"/>
          <w:sz w:val="18"/>
          <w:szCs w:val="18"/>
          <w:color w:val="auto"/>
        </w:rPr>
        <w:t xml:space="preserve"> (e) all cash proceeds of the issuance or incurrence of Indebtedness or Equity Interests since May 31, 2023.</w:t>
      </w:r>
    </w:p>
    <w:p>
      <w:pPr>
        <w:spacing w:after="0" w:line="200" w:lineRule="exact"/>
        <w:rPr>
          <w:sz w:val="20"/>
          <w:szCs w:val="20"/>
          <w:color w:val="auto"/>
        </w:rPr>
      </w:pP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36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Presto Credit Agreement</w:t>
            </w:r>
          </w:p>
        </w:tc>
        <w:tc>
          <w:tcPr>
            <w:tcW w:w="7580" w:type="dxa"/>
            <w:vAlign w:val="bottom"/>
            <w:tcBorders>
              <w:bottom w:val="single" w:sz="8" w:color="auto"/>
            </w:tcBorders>
          </w:tcPr>
          <w:p>
            <w:pPr>
              <w:jc w:val="right"/>
              <w:ind w:right="5430"/>
              <w:spacing w:after="0"/>
              <w:rPr>
                <w:sz w:val="20"/>
                <w:szCs w:val="20"/>
                <w:color w:val="auto"/>
              </w:rPr>
            </w:pPr>
            <w:r>
              <w:rPr>
                <w:rFonts w:ascii="Arial" w:cs="Arial" w:eastAsia="Arial" w:hAnsi="Arial"/>
                <w:sz w:val="18"/>
                <w:szCs w:val="18"/>
                <w:color w:val="auto"/>
              </w:rPr>
              <w:t>10</w:t>
            </w:r>
          </w:p>
        </w:tc>
      </w:tr>
    </w:tbl>
    <w:p>
      <w:pPr>
        <w:sectPr>
          <w:pgSz w:w="11900" w:h="16838" w:orient="portrait"/>
          <w:cols w:equalWidth="0" w:num="1">
            <w:col w:w="11240"/>
          </w:cols>
          <w:pgMar w:left="320" w:top="908" w:right="339" w:bottom="1440" w:gutter="0" w:footer="0" w:header="0"/>
        </w:sectPr>
      </w:pPr>
    </w:p>
    <w:bookmarkStart w:id="97" w:name="page98"/>
    <w:bookmarkEnd w:id="97"/>
    <w:p>
      <w:pPr>
        <w:jc w:val="both"/>
        <w:ind w:firstLine="648"/>
        <w:spacing w:after="0" w:line="286"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Net Cash Proceeds</w:t>
      </w:r>
      <w:r>
        <w:rPr>
          <w:rFonts w:ascii="Arial" w:cs="Arial" w:eastAsia="Arial" w:hAnsi="Arial"/>
          <w:sz w:val="16"/>
          <w:szCs w:val="16"/>
          <w:color w:val="auto"/>
        </w:rPr>
        <w:t>”: with respect to any transaction or event, an amount equal to the cash proceeds received by any Loan Party from or in respect of such transaction or event (including cash proceeds resulting from any non-cash proceeds received in connection with such transaction or a related transaction), less: (i) any direct costs (including any reasonable and documented legal, accounting or other advisor fees or expenses), commissions and out-of-pocket expenses paid to any Person that is not an Affiliate that are reasonably and actually incurred by such Loan Party solely in connection therewith;</w:t>
      </w:r>
    </w:p>
    <w:p>
      <w:pPr>
        <w:spacing w:after="0" w:line="1" w:lineRule="exact"/>
        <w:rPr>
          <w:sz w:val="20"/>
          <w:szCs w:val="20"/>
          <w:color w:val="auto"/>
        </w:rPr>
      </w:pPr>
    </w:p>
    <w:p>
      <w:pPr>
        <w:jc w:val="both"/>
        <w:ind w:firstLine="8"/>
        <w:spacing w:after="0" w:line="268" w:lineRule="auto"/>
        <w:tabs>
          <w:tab w:leader="none" w:pos="291" w:val="left"/>
        </w:tabs>
        <w:numPr>
          <w:ilvl w:val="0"/>
          <w:numId w:val="82"/>
        </w:numPr>
        <w:rPr>
          <w:rFonts w:ascii="Arial" w:cs="Arial" w:eastAsia="Arial" w:hAnsi="Arial"/>
          <w:sz w:val="17"/>
          <w:szCs w:val="17"/>
          <w:color w:val="auto"/>
        </w:rPr>
      </w:pPr>
      <w:r>
        <w:rPr>
          <w:rFonts w:ascii="Arial" w:cs="Arial" w:eastAsia="Arial" w:hAnsi="Arial"/>
          <w:sz w:val="17"/>
          <w:szCs w:val="17"/>
          <w:color w:val="auto"/>
        </w:rPr>
        <w:t xml:space="preserve">in the case of an asset disposition, casualty or other insured damage, the amount of any Indebtedness secured by a Lien on the related asset and discharged from the proceeds of such asset disposition, casualty or other insured damage; (iii) any Taxes or Tax Distributions to the extent permitted hereunder paid or reasonably estimated by Loan Party to be payable by such Person or such Loan Party in respect of such asset disposition, casualty or other insured damage;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if the actual amount of Taxes paid or taken into account in computing a Tax Distribution is less than the estimated amount, the difference shall constitute Net Cash Proceeds; and (iv) with respect to any issuance or sale of Permitted Cure Securities in connection with an equity cure made pursuant to </w:t>
      </w:r>
      <w:r>
        <w:rPr>
          <w:rFonts w:ascii="Arial" w:cs="Arial" w:eastAsia="Arial" w:hAnsi="Arial"/>
          <w:sz w:val="17"/>
          <w:szCs w:val="17"/>
          <w:u w:val="single" w:color="auto"/>
          <w:color w:val="auto"/>
        </w:rPr>
        <w:t>Section 6.17(d)</w:t>
      </w:r>
      <w:r>
        <w:rPr>
          <w:rFonts w:ascii="Arial" w:cs="Arial" w:eastAsia="Arial" w:hAnsi="Arial"/>
          <w:sz w:val="17"/>
          <w:szCs w:val="17"/>
          <w:color w:val="auto"/>
        </w:rPr>
        <w:t xml:space="preserve"> in respect of a failure to satisfy the financial covenant in </w:t>
      </w:r>
      <w:r>
        <w:rPr>
          <w:rFonts w:ascii="Arial" w:cs="Arial" w:eastAsia="Arial" w:hAnsi="Arial"/>
          <w:sz w:val="17"/>
          <w:szCs w:val="17"/>
          <w:u w:val="single" w:color="auto"/>
          <w:color w:val="auto"/>
        </w:rPr>
        <w:t>Section 6.17(b)</w:t>
      </w:r>
      <w:r>
        <w:rPr>
          <w:rFonts w:ascii="Arial" w:cs="Arial" w:eastAsia="Arial" w:hAnsi="Arial"/>
          <w:sz w:val="17"/>
          <w:szCs w:val="17"/>
          <w:color w:val="auto"/>
        </w:rPr>
        <w:t>, the aggregate cash proceeds received by Parent or its Affiliate pursuant to such issuance or sale, net of the direct costs relating to such issuance or sale (including sales and underwriters’ commissions and any reasonable and documented legal, accounting or other advisor fees or expenses) and Taxes paid or reasonably estimated in good faith by Parent or such Affiliate to be actually payable as a result thereof.</w:t>
      </w:r>
    </w:p>
    <w:p>
      <w:pPr>
        <w:spacing w:after="0" w:line="18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Net Leverage Ratio</w:t>
      </w:r>
      <w:r>
        <w:rPr>
          <w:rFonts w:ascii="Arial" w:cs="Arial" w:eastAsia="Arial" w:hAnsi="Arial"/>
          <w:sz w:val="18"/>
          <w:szCs w:val="18"/>
          <w:color w:val="auto"/>
        </w:rPr>
        <w:t xml:space="preserve">”: the ratio, as of any date of determination, of (a) (i) the outstanding principal amount of the Term Loan (including any capitalized and accrued PIK Interest) </w:t>
      </w:r>
      <w:r>
        <w:rPr>
          <w:rFonts w:ascii="Arial" w:cs="Arial" w:eastAsia="Arial" w:hAnsi="Arial"/>
          <w:sz w:val="18"/>
          <w:szCs w:val="18"/>
          <w:i w:val="1"/>
          <w:iCs w:val="1"/>
          <w:color w:val="auto"/>
        </w:rPr>
        <w:t>minus</w:t>
      </w:r>
      <w:r>
        <w:rPr>
          <w:rFonts w:ascii="Arial" w:cs="Arial" w:eastAsia="Arial" w:hAnsi="Arial"/>
          <w:sz w:val="18"/>
          <w:szCs w:val="18"/>
          <w:color w:val="auto"/>
        </w:rPr>
        <w:t xml:space="preserve"> (ii) Unrestricted Cash, to (b) Annual Platform Revenue of the Loan Parties.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Note</w:t>
      </w:r>
      <w:r>
        <w:rPr>
          <w:rFonts w:ascii="Arial" w:cs="Arial" w:eastAsia="Arial" w:hAnsi="Arial"/>
          <w:sz w:val="18"/>
          <w:szCs w:val="18"/>
          <w:color w:val="auto"/>
        </w:rPr>
        <w:t xml:space="preserve">”: as defined in </w:t>
      </w:r>
      <w:r>
        <w:rPr>
          <w:rFonts w:ascii="Arial" w:cs="Arial" w:eastAsia="Arial" w:hAnsi="Arial"/>
          <w:sz w:val="18"/>
          <w:szCs w:val="18"/>
          <w:u w:val="single" w:color="auto"/>
          <w:color w:val="auto"/>
        </w:rPr>
        <w:t>Section 2.1(b)</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Notice of Borrowing</w:t>
      </w:r>
      <w:r>
        <w:rPr>
          <w:rFonts w:ascii="Arial" w:cs="Arial" w:eastAsia="Arial" w:hAnsi="Arial"/>
          <w:sz w:val="18"/>
          <w:szCs w:val="18"/>
          <w:color w:val="auto"/>
        </w:rPr>
        <w:t xml:space="preserve">”: a notice substantially in the form of </w:t>
      </w:r>
      <w:r>
        <w:rPr>
          <w:rFonts w:ascii="Arial" w:cs="Arial" w:eastAsia="Arial" w:hAnsi="Arial"/>
          <w:sz w:val="18"/>
          <w:szCs w:val="18"/>
          <w:u w:val="single" w:color="auto"/>
          <w:color w:val="auto"/>
        </w:rPr>
        <w:t>Exhibit B</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Obligations</w:t>
      </w:r>
      <w:r>
        <w:rPr>
          <w:rFonts w:ascii="Arial" w:cs="Arial" w:eastAsia="Arial" w:hAnsi="Arial"/>
          <w:sz w:val="18"/>
          <w:szCs w:val="18"/>
          <w:color w:val="auto"/>
        </w:rPr>
        <w:t>”: (a) the unpaid principal of and interest on (including interest accruing after the maturity of the Term Loan and interest accruing after the filing of any petition in bankruptcy, or the commencement of any insolvency, reorganization or like proceeding, relating to any Loan Party, whether or not a claim for post-filing or post-petition interest is allowed in such proceeding) the Term Loan, and (b) all other obligations and liabilities of any Loan Party to Agent or any Lender, whether direct or indirect, absolute or contingent, due or to become due, or now existing or hereafter incurred, which may arise under, out of, or in connection with, this Agreement, any other Loan Document or any other document made, delivered or given in connection herewith or therewith, whether on account of principal, interest, reimbursement obligations, fees, indemnities, costs, expenses (including all reasonable and documented fees, charges and disbursements of counsel to Agent and the Lenders that are required to be paid by any Loan Party pursuant to any Loan Document) or otherwise, including, without limitation, the Loan Parties’ obligations to pay, discharge and satisfy the Erroneous Payment Subrogation Rights.</w:t>
      </w:r>
    </w:p>
    <w:p>
      <w:pPr>
        <w:spacing w:after="0" w:line="196"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Official Body</w:t>
      </w:r>
      <w:r>
        <w:rPr>
          <w:rFonts w:ascii="Arial" w:cs="Arial" w:eastAsia="Arial" w:hAnsi="Arial"/>
          <w:sz w:val="18"/>
          <w:szCs w:val="18"/>
          <w:color w:val="auto"/>
        </w:rPr>
        <w:t>”: the government of the United States of America or any other nation, or of any political subdivision thereof, whether state or local, and any agency, authority, instrumentality, regulatory body, court, central bank or other entity exercising executive, legislative, judicial, taxing, regulatory or administrative powers or functions of or pertaining to government (including any supra-national bodies such as the European Union or the European Central Bank) and any group or body charged with setting financial accounting or regulatory capital rules or standards (including the Financial Accounting Standards Board, the Bank for International Settlements or the Basel Committee on Banking Supervision or any successor or similar authority to any of the foregoing).</w:t>
      </w:r>
    </w:p>
    <w:p>
      <w:pPr>
        <w:spacing w:after="0" w:line="192"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Operating Documents</w:t>
      </w:r>
      <w:r>
        <w:rPr>
          <w:rFonts w:ascii="Arial" w:cs="Arial" w:eastAsia="Arial" w:hAnsi="Arial"/>
          <w:sz w:val="18"/>
          <w:szCs w:val="18"/>
          <w:color w:val="auto"/>
        </w:rPr>
        <w:t>”: for any Person as of any date, such Person’s constitutional documents, formation documents and/or certificate of incorporation (or equivalent thereof), as certified (if applicable) by such Person’s jurisdiction of incorporation or formation as of a recent date, and any stockholders agreements or other applicable documents relating to such Person’s formation, organization or operation, and, (a) if such Person is a corporation, its bylaws or memorandum and articles of association (or equivalent thereof) in current form, (b) if such Person is a limited liability company, its limited liability company agreement (or similar agreement), and (c) if such Person is a partnership, its partnership agreement (or similar agreement), each of the foregoing with all current amendments or modifications thereto.</w:t>
      </w:r>
    </w:p>
    <w:p>
      <w:pPr>
        <w:spacing w:after="0" w:line="19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Other Connection Taxes</w:t>
      </w:r>
      <w:r>
        <w:rPr>
          <w:rFonts w:ascii="Arial" w:cs="Arial" w:eastAsia="Arial" w:hAnsi="Arial"/>
          <w:sz w:val="18"/>
          <w:szCs w:val="18"/>
          <w:color w:val="auto"/>
        </w:rPr>
        <w:t>”: with respect to any Recipient, Taxes imposed as a result of a present or former connection between such Recipient and the jurisdiction imposing such Tax (other than connections arising from such Recipient having executed, delivered, become a party to, performed its obligations under, received payments under, received or perfected a security interest under, engaged in any other transaction pursuant to or enforced any Loan Document, or sold or assigned an interest in the Term Loan or Loan Document).</w:t>
      </w:r>
    </w:p>
    <w:p>
      <w:pPr>
        <w:spacing w:after="0" w:line="200" w:lineRule="exact"/>
        <w:rPr>
          <w:sz w:val="20"/>
          <w:szCs w:val="20"/>
          <w:color w:val="auto"/>
        </w:rPr>
      </w:pP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36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Presto Credit Agreement</w:t>
            </w:r>
          </w:p>
        </w:tc>
        <w:tc>
          <w:tcPr>
            <w:tcW w:w="7580" w:type="dxa"/>
            <w:vAlign w:val="bottom"/>
            <w:tcBorders>
              <w:bottom w:val="single" w:sz="8" w:color="auto"/>
            </w:tcBorders>
          </w:tcPr>
          <w:p>
            <w:pPr>
              <w:jc w:val="right"/>
              <w:ind w:right="5430"/>
              <w:spacing w:after="0"/>
              <w:rPr>
                <w:sz w:val="20"/>
                <w:szCs w:val="20"/>
                <w:color w:val="auto"/>
              </w:rPr>
            </w:pPr>
            <w:r>
              <w:rPr>
                <w:rFonts w:ascii="Arial" w:cs="Arial" w:eastAsia="Arial" w:hAnsi="Arial"/>
                <w:sz w:val="18"/>
                <w:szCs w:val="18"/>
                <w:color w:val="auto"/>
              </w:rPr>
              <w:t>11</w:t>
            </w:r>
          </w:p>
        </w:tc>
      </w:tr>
    </w:tbl>
    <w:p>
      <w:pPr>
        <w:sectPr>
          <w:pgSz w:w="11900" w:h="16838" w:orient="portrait"/>
          <w:cols w:equalWidth="0" w:num="1">
            <w:col w:w="11240"/>
          </w:cols>
          <w:pgMar w:left="320" w:top="908" w:right="339" w:bottom="1440" w:gutter="0" w:footer="0" w:header="0"/>
        </w:sectPr>
      </w:pPr>
    </w:p>
    <w:bookmarkStart w:id="98" w:name="page99"/>
    <w:bookmarkEnd w:id="98"/>
    <w:p>
      <w:pPr>
        <w:jc w:val="both"/>
        <w:ind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Other Taxes</w:t>
      </w:r>
      <w:r>
        <w:rPr>
          <w:rFonts w:ascii="Arial" w:cs="Arial" w:eastAsia="Arial" w:hAnsi="Arial"/>
          <w:sz w:val="18"/>
          <w:szCs w:val="18"/>
          <w:color w:val="auto"/>
        </w:rPr>
        <w:t xml:space="preserve">”: all present or future stamp, court or documentary, intangible, recording, filing or similar Taxes that arise from any payment made under, from the execution, delivery, performance, enforcement or registration of, from the receipt or perfection of a security interest under, or otherwise with respect to, any Loan Document, except any such Taxes that are Other Connection Taxes imposed with respect to an assignment (other than an assignment made pursuant to </w:t>
      </w:r>
      <w:r>
        <w:rPr>
          <w:rFonts w:ascii="Arial" w:cs="Arial" w:eastAsia="Arial" w:hAnsi="Arial"/>
          <w:sz w:val="18"/>
          <w:szCs w:val="18"/>
          <w:u w:val="single" w:color="auto"/>
          <w:color w:val="auto"/>
        </w:rPr>
        <w:t>Section 2.11(b)</w:t>
      </w:r>
      <w:r>
        <w:rPr>
          <w:rFonts w:ascii="Arial" w:cs="Arial" w:eastAsia="Arial" w:hAnsi="Arial"/>
          <w:sz w:val="18"/>
          <w:szCs w:val="18"/>
          <w:color w:val="auto"/>
        </w:rPr>
        <w:t>).</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Parent</w:t>
      </w:r>
      <w:r>
        <w:rPr>
          <w:rFonts w:ascii="Arial" w:cs="Arial" w:eastAsia="Arial" w:hAnsi="Arial"/>
          <w:sz w:val="18"/>
          <w:szCs w:val="18"/>
          <w:color w:val="auto"/>
        </w:rPr>
        <w:t>”: as defined in the Preamble.</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Parent Common Stock</w:t>
      </w:r>
      <w:r>
        <w:rPr>
          <w:rFonts w:ascii="Arial" w:cs="Arial" w:eastAsia="Arial" w:hAnsi="Arial"/>
          <w:sz w:val="18"/>
          <w:szCs w:val="18"/>
          <w:color w:val="auto"/>
        </w:rPr>
        <w:t>”: Parent’s common stock, par value $0.0001 per share, which are currently trading on the Nasdaq Stock Market under the ticker symbol “PRST” (and formerly trading on the Nasdaq Stock Market under the ticker symbol “VTAQ”).</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Parent Subordinated Indebtedness</w:t>
      </w:r>
      <w:r>
        <w:rPr>
          <w:rFonts w:ascii="Arial" w:cs="Arial" w:eastAsia="Arial" w:hAnsi="Arial"/>
          <w:sz w:val="18"/>
          <w:szCs w:val="18"/>
          <w:color w:val="auto"/>
        </w:rPr>
        <w:t>”: any Subordinated Indebtedness issued by Parent and not guaranteed by any Person.</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Participant</w:t>
      </w:r>
      <w:r>
        <w:rPr>
          <w:rFonts w:ascii="Arial" w:cs="Arial" w:eastAsia="Arial" w:hAnsi="Arial"/>
          <w:sz w:val="18"/>
          <w:szCs w:val="18"/>
          <w:color w:val="auto"/>
        </w:rPr>
        <w:t xml:space="preserve">”: as defined in </w:t>
      </w:r>
      <w:r>
        <w:rPr>
          <w:rFonts w:ascii="Arial" w:cs="Arial" w:eastAsia="Arial" w:hAnsi="Arial"/>
          <w:sz w:val="18"/>
          <w:szCs w:val="18"/>
          <w:u w:val="single" w:color="auto"/>
          <w:color w:val="auto"/>
        </w:rPr>
        <w:t>Section 8.6(c)</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Participant Register</w:t>
      </w:r>
      <w:r>
        <w:rPr>
          <w:rFonts w:ascii="Arial" w:cs="Arial" w:eastAsia="Arial" w:hAnsi="Arial"/>
          <w:sz w:val="18"/>
          <w:szCs w:val="18"/>
          <w:color w:val="auto"/>
        </w:rPr>
        <w:t xml:space="preserve">”: as defined in </w:t>
      </w:r>
      <w:r>
        <w:rPr>
          <w:rFonts w:ascii="Arial" w:cs="Arial" w:eastAsia="Arial" w:hAnsi="Arial"/>
          <w:sz w:val="18"/>
          <w:szCs w:val="18"/>
          <w:u w:val="single" w:color="auto"/>
          <w:color w:val="auto"/>
        </w:rPr>
        <w:t>Section 8.6(c)</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Patriot Act</w:t>
      </w:r>
      <w:r>
        <w:rPr>
          <w:rFonts w:ascii="Arial" w:cs="Arial" w:eastAsia="Arial" w:hAnsi="Arial"/>
          <w:sz w:val="18"/>
          <w:szCs w:val="18"/>
          <w:color w:val="auto"/>
        </w:rPr>
        <w:t>”: the Uniting and Strengthening America by Providing Appropriate Tools Required to Intercept and Obstruct Terrorism (USA PATRIOT ACT) Act of 2001, Title III of Pub. L. 107-56, signed into law October 26, 2001.</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Payment Notice</w:t>
      </w:r>
      <w:r>
        <w:rPr>
          <w:rFonts w:ascii="Arial" w:cs="Arial" w:eastAsia="Arial" w:hAnsi="Arial"/>
          <w:sz w:val="18"/>
          <w:szCs w:val="18"/>
          <w:color w:val="auto"/>
        </w:rPr>
        <w:t xml:space="preserve">”: means a notice substantially in the form of </w:t>
      </w:r>
      <w:r>
        <w:rPr>
          <w:rFonts w:ascii="Arial" w:cs="Arial" w:eastAsia="Arial" w:hAnsi="Arial"/>
          <w:sz w:val="18"/>
          <w:szCs w:val="18"/>
          <w:u w:val="single" w:color="auto"/>
          <w:color w:val="auto"/>
        </w:rPr>
        <w:t>Exhibit C</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Payment Recipient</w:t>
      </w:r>
      <w:r>
        <w:rPr>
          <w:rFonts w:ascii="Arial" w:cs="Arial" w:eastAsia="Arial" w:hAnsi="Arial"/>
          <w:sz w:val="18"/>
          <w:szCs w:val="18"/>
          <w:color w:val="auto"/>
        </w:rPr>
        <w:t>”: as defined in Section 9.12(a).</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PBGC</w:t>
      </w:r>
      <w:r>
        <w:rPr>
          <w:rFonts w:ascii="Arial" w:cs="Arial" w:eastAsia="Arial" w:hAnsi="Arial"/>
          <w:sz w:val="18"/>
          <w:szCs w:val="18"/>
          <w:color w:val="auto"/>
        </w:rPr>
        <w:t>”: the Pension Benefit Guaranty Corporation.</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Pension Funding Rules</w:t>
      </w:r>
      <w:r>
        <w:rPr>
          <w:rFonts w:ascii="Arial" w:cs="Arial" w:eastAsia="Arial" w:hAnsi="Arial"/>
          <w:sz w:val="18"/>
          <w:szCs w:val="18"/>
          <w:color w:val="auto"/>
        </w:rPr>
        <w:t>”: the rules of the Code and ERISA regarding minimum funding standards and minimum required contributions (including any installment payment thereof) to Pension Plans and Multiemployer Plans and set forth in Sections 412, 430, 431, 432 and 436 of the Code and Sections 302, 303, 304 and 305 of ERISA.</w:t>
      </w:r>
    </w:p>
    <w:p>
      <w:pPr>
        <w:spacing w:after="0" w:line="18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Pension Plan</w:t>
      </w:r>
      <w:r>
        <w:rPr>
          <w:rFonts w:ascii="Arial" w:cs="Arial" w:eastAsia="Arial" w:hAnsi="Arial"/>
          <w:sz w:val="18"/>
          <w:szCs w:val="18"/>
          <w:color w:val="auto"/>
        </w:rPr>
        <w:t>”: any employee pension benefit plan as defined in Section 3(2) of ERISA, other than a Multiemployer Plan, that is maintained or is contributed to by any Loan Party and any ERISA Affiliate and is either covered by Title IV of ERISA or is subject to the minimum funding standards under Section 412 of the Internal Revenue Code.</w:t>
      </w:r>
    </w:p>
    <w:p>
      <w:pPr>
        <w:spacing w:after="0" w:line="18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Permitted Acquisition</w:t>
      </w:r>
      <w:r>
        <w:rPr>
          <w:rFonts w:ascii="Arial" w:cs="Arial" w:eastAsia="Arial" w:hAnsi="Arial"/>
          <w:sz w:val="18"/>
          <w:szCs w:val="18"/>
          <w:color w:val="auto"/>
        </w:rPr>
        <w:t>”: (i) in the case of any Acquisition where the aggregate cash consideration does not exceed $1,000,000, such Acquisition is approved in writing by Agent (such approval not to be unreasonably withheld, conditioned or delayed) or (ii) in the case of any other Acquisition, such Acquisition is approved in writing by Agent in its sole discretion.</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Permitted Cure Securities</w:t>
      </w:r>
      <w:r>
        <w:rPr>
          <w:rFonts w:ascii="Arial" w:cs="Arial" w:eastAsia="Arial" w:hAnsi="Arial"/>
          <w:sz w:val="16"/>
          <w:szCs w:val="16"/>
          <w:color w:val="auto"/>
        </w:rPr>
        <w:t>”: any (i) Parent Subordinated Indebtedness or (ii) equity security of Parent (other than Disqualified Equity Interests).</w:t>
      </w:r>
    </w:p>
    <w:p>
      <w:pPr>
        <w:spacing w:after="0" w:line="24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Permitted Discretion</w:t>
      </w:r>
      <w:r>
        <w:rPr>
          <w:rFonts w:ascii="Arial" w:cs="Arial" w:eastAsia="Arial" w:hAnsi="Arial"/>
          <w:sz w:val="18"/>
          <w:szCs w:val="18"/>
          <w:color w:val="auto"/>
        </w:rPr>
        <w:t>”: a determination or judgment made in good faith in the exercise of commercially reasonable (from the perspective of a secured lender) credit or business judgment.</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Permitted Indebtedness</w:t>
      </w:r>
      <w:r>
        <w:rPr>
          <w:rFonts w:ascii="Arial" w:cs="Arial" w:eastAsia="Arial" w:hAnsi="Arial"/>
          <w:sz w:val="18"/>
          <w:szCs w:val="18"/>
          <w:color w:val="auto"/>
        </w:rPr>
        <w:t>”:</w:t>
      </w:r>
    </w:p>
    <w:p>
      <w:pPr>
        <w:spacing w:after="0" w:line="225" w:lineRule="exact"/>
        <w:rPr>
          <w:sz w:val="20"/>
          <w:szCs w:val="20"/>
          <w:color w:val="auto"/>
        </w:rPr>
      </w:pPr>
    </w:p>
    <w:p>
      <w:pPr>
        <w:jc w:val="both"/>
        <w:ind w:left="980" w:hanging="324"/>
        <w:spacing w:after="0" w:line="279" w:lineRule="auto"/>
        <w:tabs>
          <w:tab w:leader="none" w:pos="980" w:val="left"/>
        </w:tabs>
        <w:numPr>
          <w:ilvl w:val="0"/>
          <w:numId w:val="83"/>
        </w:numPr>
        <w:rPr>
          <w:rFonts w:ascii="Arial" w:cs="Arial" w:eastAsia="Arial" w:hAnsi="Arial"/>
          <w:sz w:val="17"/>
          <w:szCs w:val="17"/>
          <w:color w:val="auto"/>
        </w:rPr>
      </w:pPr>
      <w:r>
        <w:rPr>
          <w:rFonts w:ascii="Arial" w:cs="Arial" w:eastAsia="Arial" w:hAnsi="Arial"/>
          <w:sz w:val="17"/>
          <w:szCs w:val="17"/>
          <w:color w:val="auto"/>
        </w:rPr>
        <w:t xml:space="preserve">Indebtedness as described in attached </w:t>
      </w:r>
      <w:r>
        <w:rPr>
          <w:rFonts w:ascii="Arial" w:cs="Arial" w:eastAsia="Arial" w:hAnsi="Arial"/>
          <w:sz w:val="17"/>
          <w:szCs w:val="17"/>
          <w:u w:val="single" w:color="auto"/>
          <w:color w:val="auto"/>
        </w:rPr>
        <w:t>Schedule 1.1(c)</w:t>
      </w:r>
      <w:r>
        <w:rPr>
          <w:rFonts w:ascii="Arial" w:cs="Arial" w:eastAsia="Arial" w:hAnsi="Arial"/>
          <w:sz w:val="17"/>
          <w:szCs w:val="17"/>
          <w:color w:val="auto"/>
        </w:rPr>
        <w:t xml:space="preserve"> and any renewals or refinancing of such Indebtedness in amounts not exceeding the scheduled amounts (less any required amortization according to the terms thereof or other payments made reducing the principal amount of such Indebtedness) on substantially the same or better terms for Borrower as in effect on the Closing Date, with a maturity date not less than the maturity date of the debt being renewed or refinanced, and otherwise in compliance with this Agreement;</w:t>
      </w:r>
    </w:p>
    <w:p>
      <w:pPr>
        <w:spacing w:after="0" w:line="198" w:lineRule="exact"/>
        <w:rPr>
          <w:rFonts w:ascii="Arial" w:cs="Arial" w:eastAsia="Arial" w:hAnsi="Arial"/>
          <w:sz w:val="17"/>
          <w:szCs w:val="17"/>
          <w:color w:val="auto"/>
        </w:rPr>
      </w:pPr>
    </w:p>
    <w:p>
      <w:pPr>
        <w:jc w:val="both"/>
        <w:ind w:left="980" w:hanging="324"/>
        <w:spacing w:after="0" w:line="273" w:lineRule="auto"/>
        <w:tabs>
          <w:tab w:leader="none" w:pos="980" w:val="left"/>
        </w:tabs>
        <w:numPr>
          <w:ilvl w:val="0"/>
          <w:numId w:val="83"/>
        </w:numPr>
        <w:rPr>
          <w:rFonts w:ascii="Arial" w:cs="Arial" w:eastAsia="Arial" w:hAnsi="Arial"/>
          <w:sz w:val="17"/>
          <w:szCs w:val="17"/>
          <w:color w:val="auto"/>
        </w:rPr>
      </w:pPr>
      <w:r>
        <w:rPr>
          <w:rFonts w:ascii="Arial" w:cs="Arial" w:eastAsia="Arial" w:hAnsi="Arial"/>
          <w:sz w:val="17"/>
          <w:szCs w:val="17"/>
          <w:color w:val="auto"/>
        </w:rPr>
        <w:t>Indebtedness incurred in connection with (i) existing Capital Leases as of the Closing Date, or (ii) the granting of any Purchase Money Security Interest or Capital Leases (other than existing Capital Leases as of the Closing Date) in an aggregate amount not exceeding $1,000,000 at any time outstanding, and in the case of clause (i), any renewals or refinancing of such Indebtedness in amounts not exceeding the scheduled amounts (less any required amortization according to the terms thereof or other payments made reducing the principal amount of such Indebtedness) on substantially the same or better terms for Borrower as in effect on the Closing Date, with a maturity date not less than the maturity date of the debt being renewed or refinanced and otherwise in compliance with this Agreement;</w:t>
      </w:r>
    </w:p>
    <w:p>
      <w:pPr>
        <w:spacing w:after="0" w:line="204" w:lineRule="exact"/>
        <w:rPr>
          <w:rFonts w:ascii="Arial" w:cs="Arial" w:eastAsia="Arial" w:hAnsi="Arial"/>
          <w:sz w:val="17"/>
          <w:szCs w:val="17"/>
          <w:color w:val="auto"/>
        </w:rPr>
      </w:pPr>
    </w:p>
    <w:p>
      <w:pPr>
        <w:jc w:val="both"/>
        <w:ind w:left="980" w:hanging="324"/>
        <w:spacing w:after="0" w:line="263" w:lineRule="auto"/>
        <w:tabs>
          <w:tab w:leader="none" w:pos="980" w:val="left"/>
        </w:tabs>
        <w:numPr>
          <w:ilvl w:val="0"/>
          <w:numId w:val="83"/>
        </w:numPr>
        <w:rPr>
          <w:rFonts w:ascii="Arial" w:cs="Arial" w:eastAsia="Arial" w:hAnsi="Arial"/>
          <w:sz w:val="18"/>
          <w:szCs w:val="18"/>
          <w:color w:val="auto"/>
        </w:rPr>
      </w:pPr>
      <w:r>
        <w:rPr>
          <w:rFonts w:ascii="Arial" w:cs="Arial" w:eastAsia="Arial" w:hAnsi="Arial"/>
          <w:sz w:val="18"/>
          <w:szCs w:val="18"/>
          <w:color w:val="auto"/>
        </w:rPr>
        <w:t>Guarantee Obligations on (i) Indebtedness under the Loan Documents, (ii) of any refinancing of such Indebtedness, (iii) on Indebtedness of a Loan Party otherwise permitted pursuant to this definition of Permitted Indebtedness or (iv) real property leases of any Loan Party or its Subsidiaries;</w:t>
      </w:r>
    </w:p>
    <w:p>
      <w:pPr>
        <w:spacing w:after="0" w:line="210" w:lineRule="exact"/>
        <w:rPr>
          <w:rFonts w:ascii="Arial" w:cs="Arial" w:eastAsia="Arial" w:hAnsi="Arial"/>
          <w:sz w:val="18"/>
          <w:szCs w:val="18"/>
          <w:color w:val="auto"/>
        </w:rPr>
      </w:pPr>
    </w:p>
    <w:p>
      <w:pPr>
        <w:jc w:val="both"/>
        <w:ind w:left="980" w:hanging="324"/>
        <w:spacing w:after="0" w:line="263" w:lineRule="auto"/>
        <w:tabs>
          <w:tab w:leader="none" w:pos="980" w:val="left"/>
        </w:tabs>
        <w:numPr>
          <w:ilvl w:val="0"/>
          <w:numId w:val="83"/>
        </w:numPr>
        <w:rPr>
          <w:rFonts w:ascii="Arial" w:cs="Arial" w:eastAsia="Arial" w:hAnsi="Arial"/>
          <w:sz w:val="18"/>
          <w:szCs w:val="18"/>
          <w:color w:val="auto"/>
        </w:rPr>
      </w:pPr>
      <w:r>
        <w:rPr>
          <w:rFonts w:ascii="Arial" w:cs="Arial" w:eastAsia="Arial" w:hAnsi="Arial"/>
          <w:sz w:val="18"/>
          <w:szCs w:val="18"/>
          <w:color w:val="auto"/>
        </w:rPr>
        <w:t>unsecured Indebtedness of any Loan Party (other than Parent) owed to Borrower or any other Guarantor, so long as such Indebtedness is subject to a master intercompany note in form and substance satisfactory to the Agent in its Permitted Discretion and pledged to the Agent as Collateral;</w:t>
      </w:r>
    </w:p>
    <w:p>
      <w:pPr>
        <w:spacing w:after="0" w:line="200" w:lineRule="exact"/>
        <w:rPr>
          <w:sz w:val="20"/>
          <w:szCs w:val="20"/>
          <w:color w:val="auto"/>
        </w:rPr>
      </w:pP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36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Presto Credit Agreement</w:t>
            </w:r>
          </w:p>
        </w:tc>
        <w:tc>
          <w:tcPr>
            <w:tcW w:w="7580" w:type="dxa"/>
            <w:vAlign w:val="bottom"/>
            <w:tcBorders>
              <w:bottom w:val="single" w:sz="8" w:color="auto"/>
            </w:tcBorders>
          </w:tcPr>
          <w:p>
            <w:pPr>
              <w:jc w:val="right"/>
              <w:ind w:right="5430"/>
              <w:spacing w:after="0"/>
              <w:rPr>
                <w:sz w:val="20"/>
                <w:szCs w:val="20"/>
                <w:color w:val="auto"/>
              </w:rPr>
            </w:pPr>
            <w:r>
              <w:rPr>
                <w:rFonts w:ascii="Arial" w:cs="Arial" w:eastAsia="Arial" w:hAnsi="Arial"/>
                <w:sz w:val="18"/>
                <w:szCs w:val="18"/>
                <w:color w:val="auto"/>
              </w:rPr>
              <w:t>12</w:t>
            </w:r>
          </w:p>
        </w:tc>
      </w:tr>
    </w:tbl>
    <w:p>
      <w:pPr>
        <w:sectPr>
          <w:pgSz w:w="11900" w:h="16838" w:orient="portrait"/>
          <w:cols w:equalWidth="0" w:num="1">
            <w:col w:w="11240"/>
          </w:cols>
          <w:pgMar w:left="320" w:top="908" w:right="339" w:bottom="960" w:gutter="0" w:footer="0" w:header="0"/>
        </w:sectPr>
      </w:pPr>
    </w:p>
    <w:bookmarkStart w:id="99" w:name="page100"/>
    <w:bookmarkEnd w:id="99"/>
    <w:p>
      <w:pPr>
        <w:ind w:left="980" w:hanging="324"/>
        <w:spacing w:after="0"/>
        <w:tabs>
          <w:tab w:leader="none" w:pos="980" w:val="left"/>
        </w:tabs>
        <w:numPr>
          <w:ilvl w:val="0"/>
          <w:numId w:val="84"/>
        </w:numPr>
        <w:rPr>
          <w:rFonts w:ascii="Arial" w:cs="Arial" w:eastAsia="Arial" w:hAnsi="Arial"/>
          <w:sz w:val="18"/>
          <w:szCs w:val="18"/>
          <w:color w:val="auto"/>
        </w:rPr>
      </w:pPr>
      <w:r>
        <w:rPr>
          <w:rFonts w:ascii="Arial" w:cs="Arial" w:eastAsia="Arial" w:hAnsi="Arial"/>
          <w:sz w:val="18"/>
          <w:szCs w:val="18"/>
          <w:color w:val="auto"/>
        </w:rPr>
        <w:t>[reserved];</w:t>
      </w:r>
    </w:p>
    <w:p>
      <w:pPr>
        <w:spacing w:after="0" w:line="252" w:lineRule="exact"/>
        <w:rPr>
          <w:rFonts w:ascii="Arial" w:cs="Arial" w:eastAsia="Arial" w:hAnsi="Arial"/>
          <w:sz w:val="18"/>
          <w:szCs w:val="18"/>
          <w:color w:val="auto"/>
        </w:rPr>
      </w:pPr>
    </w:p>
    <w:p>
      <w:pPr>
        <w:jc w:val="both"/>
        <w:ind w:left="980" w:hanging="324"/>
        <w:spacing w:after="0" w:line="263" w:lineRule="auto"/>
        <w:tabs>
          <w:tab w:leader="none" w:pos="980" w:val="left"/>
        </w:tabs>
        <w:numPr>
          <w:ilvl w:val="0"/>
          <w:numId w:val="84"/>
        </w:numPr>
        <w:rPr>
          <w:rFonts w:ascii="Arial" w:cs="Arial" w:eastAsia="Arial" w:hAnsi="Arial"/>
          <w:sz w:val="18"/>
          <w:szCs w:val="18"/>
          <w:color w:val="auto"/>
        </w:rPr>
      </w:pPr>
      <w:r>
        <w:rPr>
          <w:rFonts w:ascii="Arial" w:cs="Arial" w:eastAsia="Arial" w:hAnsi="Arial"/>
          <w:sz w:val="18"/>
          <w:szCs w:val="18"/>
          <w:color w:val="auto"/>
        </w:rPr>
        <w:t>Indebtedness incurred in connection with the endorsement of instruments for deposit in the ordinary course of business and Indebtedness in respect of bank overdrafts or returned items, netting services, automatic clearinghouse arrangements and other cash management and similar arrangements incurred in the ordinary course of business;</w:t>
      </w:r>
    </w:p>
    <w:p>
      <w:pPr>
        <w:spacing w:after="0" w:line="210" w:lineRule="exact"/>
        <w:rPr>
          <w:rFonts w:ascii="Arial" w:cs="Arial" w:eastAsia="Arial" w:hAnsi="Arial"/>
          <w:sz w:val="18"/>
          <w:szCs w:val="18"/>
          <w:color w:val="auto"/>
        </w:rPr>
      </w:pPr>
    </w:p>
    <w:p>
      <w:pPr>
        <w:ind w:left="980" w:hanging="324"/>
        <w:spacing w:after="0"/>
        <w:tabs>
          <w:tab w:leader="none" w:pos="980" w:val="left"/>
        </w:tabs>
        <w:numPr>
          <w:ilvl w:val="0"/>
          <w:numId w:val="84"/>
        </w:numPr>
        <w:rPr>
          <w:rFonts w:ascii="Arial" w:cs="Arial" w:eastAsia="Arial" w:hAnsi="Arial"/>
          <w:sz w:val="16"/>
          <w:szCs w:val="16"/>
          <w:color w:val="auto"/>
        </w:rPr>
      </w:pPr>
      <w:r>
        <w:rPr>
          <w:rFonts w:ascii="Arial" w:cs="Arial" w:eastAsia="Arial" w:hAnsi="Arial"/>
          <w:sz w:val="16"/>
          <w:szCs w:val="16"/>
          <w:color w:val="auto"/>
        </w:rPr>
        <w:t>other Indebtedness not otherwise permitted hereunder in an aggregate principal amount not to exceed $500,000 at any time outstanding;</w:t>
      </w:r>
    </w:p>
    <w:p>
      <w:pPr>
        <w:spacing w:after="0" w:line="275" w:lineRule="exact"/>
        <w:rPr>
          <w:rFonts w:ascii="Arial" w:cs="Arial" w:eastAsia="Arial" w:hAnsi="Arial"/>
          <w:sz w:val="16"/>
          <w:szCs w:val="16"/>
          <w:color w:val="auto"/>
        </w:rPr>
      </w:pPr>
    </w:p>
    <w:p>
      <w:pPr>
        <w:ind w:left="980" w:hanging="324"/>
        <w:spacing w:after="0" w:line="277" w:lineRule="auto"/>
        <w:tabs>
          <w:tab w:leader="none" w:pos="980" w:val="left"/>
        </w:tabs>
        <w:numPr>
          <w:ilvl w:val="0"/>
          <w:numId w:val="84"/>
        </w:numPr>
        <w:rPr>
          <w:rFonts w:ascii="Arial" w:cs="Arial" w:eastAsia="Arial" w:hAnsi="Arial"/>
          <w:sz w:val="18"/>
          <w:szCs w:val="18"/>
          <w:color w:val="auto"/>
        </w:rPr>
      </w:pPr>
      <w:r>
        <w:rPr>
          <w:rFonts w:ascii="Arial" w:cs="Arial" w:eastAsia="Arial" w:hAnsi="Arial"/>
          <w:sz w:val="18"/>
          <w:szCs w:val="18"/>
          <w:color w:val="auto"/>
        </w:rPr>
        <w:t>trade indebtedness incurred on usual and customary terms in the ordinary course of business and consistent with past practice (including, without limitation, incurred and paid through third-party credit card service providers);</w:t>
      </w:r>
    </w:p>
    <w:p>
      <w:pPr>
        <w:spacing w:after="0" w:line="197"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84"/>
        </w:numPr>
        <w:rPr>
          <w:rFonts w:ascii="Arial" w:cs="Arial" w:eastAsia="Arial" w:hAnsi="Arial"/>
          <w:sz w:val="18"/>
          <w:szCs w:val="18"/>
          <w:color w:val="auto"/>
        </w:rPr>
      </w:pPr>
      <w:r>
        <w:rPr>
          <w:rFonts w:ascii="Arial" w:cs="Arial" w:eastAsia="Arial" w:hAnsi="Arial"/>
          <w:sz w:val="18"/>
          <w:szCs w:val="18"/>
          <w:color w:val="auto"/>
        </w:rPr>
        <w:t>Indebtedness consisting of reasonable deferred compensation payable to current or former employees incurred in the ordinary course of business;</w:t>
      </w:r>
    </w:p>
    <w:p>
      <w:pPr>
        <w:spacing w:after="0" w:line="197"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84"/>
        </w:numPr>
        <w:rPr>
          <w:rFonts w:ascii="Arial" w:cs="Arial" w:eastAsia="Arial" w:hAnsi="Arial"/>
          <w:sz w:val="18"/>
          <w:szCs w:val="18"/>
          <w:color w:val="auto"/>
        </w:rPr>
      </w:pPr>
      <w:r>
        <w:rPr>
          <w:rFonts w:ascii="Arial" w:cs="Arial" w:eastAsia="Arial" w:hAnsi="Arial"/>
          <w:sz w:val="18"/>
          <w:szCs w:val="18"/>
          <w:color w:val="auto"/>
        </w:rPr>
        <w:t>Indebtedness incurred in the ordinary course of business with respect to workers compensation and health, disability and other employee benefits;</w:t>
      </w:r>
    </w:p>
    <w:p>
      <w:pPr>
        <w:spacing w:after="0" w:line="197" w:lineRule="exact"/>
        <w:rPr>
          <w:rFonts w:ascii="Arial" w:cs="Arial" w:eastAsia="Arial" w:hAnsi="Arial"/>
          <w:sz w:val="18"/>
          <w:szCs w:val="18"/>
          <w:color w:val="auto"/>
        </w:rPr>
      </w:pPr>
    </w:p>
    <w:p>
      <w:pPr>
        <w:jc w:val="both"/>
        <w:ind w:left="980" w:hanging="324"/>
        <w:spacing w:after="0" w:line="311" w:lineRule="auto"/>
        <w:tabs>
          <w:tab w:leader="none" w:pos="980" w:val="left"/>
        </w:tabs>
        <w:numPr>
          <w:ilvl w:val="0"/>
          <w:numId w:val="84"/>
        </w:numPr>
        <w:rPr>
          <w:rFonts w:ascii="Arial" w:cs="Arial" w:eastAsia="Arial" w:hAnsi="Arial"/>
          <w:sz w:val="16"/>
          <w:szCs w:val="16"/>
          <w:color w:val="auto"/>
        </w:rPr>
      </w:pPr>
      <w:r>
        <w:rPr>
          <w:rFonts w:ascii="Arial" w:cs="Arial" w:eastAsia="Arial" w:hAnsi="Arial"/>
          <w:sz w:val="16"/>
          <w:szCs w:val="16"/>
          <w:color w:val="auto"/>
        </w:rPr>
        <w:t>unsecured Indebtedness under that certain Customer Performance Agreement, originally dated April 27, 2021, between the Borrower and Nirvana Funding II, LLC, as in effect on the date hereof (the “</w:t>
      </w:r>
      <w:r>
        <w:rPr>
          <w:rFonts w:ascii="Arial" w:cs="Arial" w:eastAsia="Arial" w:hAnsi="Arial"/>
          <w:sz w:val="16"/>
          <w:szCs w:val="16"/>
          <w:b w:val="1"/>
          <w:bCs w:val="1"/>
          <w:i w:val="1"/>
          <w:iCs w:val="1"/>
          <w:color w:val="auto"/>
        </w:rPr>
        <w:t>Nirvana Debt</w:t>
      </w:r>
      <w:r>
        <w:rPr>
          <w:rFonts w:ascii="Arial" w:cs="Arial" w:eastAsia="Arial" w:hAnsi="Arial"/>
          <w:sz w:val="16"/>
          <w:szCs w:val="16"/>
          <w:color w:val="auto"/>
        </w:rPr>
        <w:t xml:space="preserve">”) in an outstanding principal investment amount not to exceed (i) $6,000,000 </w:t>
      </w:r>
      <w:r>
        <w:rPr>
          <w:rFonts w:ascii="Arial" w:cs="Arial" w:eastAsia="Arial" w:hAnsi="Arial"/>
          <w:sz w:val="16"/>
          <w:szCs w:val="16"/>
          <w:i w:val="1"/>
          <w:iCs w:val="1"/>
          <w:color w:val="auto"/>
        </w:rPr>
        <w:t>minus</w:t>
      </w:r>
      <w:r>
        <w:rPr>
          <w:rFonts w:ascii="Arial" w:cs="Arial" w:eastAsia="Arial" w:hAnsi="Arial"/>
          <w:sz w:val="16"/>
          <w:szCs w:val="16"/>
          <w:color w:val="auto"/>
        </w:rPr>
        <w:t xml:space="preserve"> (ii) the aggregate amount all principal investment repayments made thereon from and after the Closing Date;</w:t>
      </w:r>
    </w:p>
    <w:p>
      <w:pPr>
        <w:spacing w:after="0" w:line="175" w:lineRule="exact"/>
        <w:rPr>
          <w:rFonts w:ascii="Arial" w:cs="Arial" w:eastAsia="Arial" w:hAnsi="Arial"/>
          <w:sz w:val="16"/>
          <w:szCs w:val="16"/>
          <w:color w:val="auto"/>
        </w:rPr>
      </w:pPr>
    </w:p>
    <w:p>
      <w:pPr>
        <w:ind w:left="980" w:hanging="324"/>
        <w:spacing w:after="0" w:line="277" w:lineRule="auto"/>
        <w:tabs>
          <w:tab w:leader="none" w:pos="980" w:val="left"/>
        </w:tabs>
        <w:numPr>
          <w:ilvl w:val="0"/>
          <w:numId w:val="84"/>
        </w:numPr>
        <w:rPr>
          <w:rFonts w:ascii="Arial" w:cs="Arial" w:eastAsia="Arial" w:hAnsi="Arial"/>
          <w:sz w:val="18"/>
          <w:szCs w:val="18"/>
          <w:color w:val="auto"/>
        </w:rPr>
      </w:pPr>
      <w:r>
        <w:rPr>
          <w:rFonts w:ascii="Arial" w:cs="Arial" w:eastAsia="Arial" w:hAnsi="Arial"/>
          <w:sz w:val="18"/>
          <w:szCs w:val="18"/>
          <w:color w:val="auto"/>
        </w:rPr>
        <w:t>Indebtedness incurred pursuant to hedging agreements entered into in the ordinary course of business to manage interest rates or currency risk;</w:t>
      </w:r>
    </w:p>
    <w:p>
      <w:pPr>
        <w:spacing w:after="0" w:line="197"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84"/>
        </w:numPr>
        <w:rPr>
          <w:rFonts w:ascii="Arial" w:cs="Arial" w:eastAsia="Arial" w:hAnsi="Arial"/>
          <w:sz w:val="18"/>
          <w:szCs w:val="18"/>
          <w:color w:val="auto"/>
        </w:rPr>
      </w:pPr>
      <w:r>
        <w:rPr>
          <w:rFonts w:ascii="Arial" w:cs="Arial" w:eastAsia="Arial" w:hAnsi="Arial"/>
          <w:sz w:val="18"/>
          <w:szCs w:val="18"/>
          <w:color w:val="auto"/>
        </w:rPr>
        <w:t>Indebtedness in respect of performance bonds, bid bonds, appeal bonds, surety bonds and similar obligations, in each case provided in the ordinary course of business and in an aggregate amount not to exceed $500,000 at any time outstanding;</w:t>
      </w:r>
    </w:p>
    <w:p>
      <w:pPr>
        <w:spacing w:after="0" w:line="197"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84"/>
        </w:numPr>
        <w:rPr>
          <w:rFonts w:ascii="Arial" w:cs="Arial" w:eastAsia="Arial" w:hAnsi="Arial"/>
          <w:sz w:val="18"/>
          <w:szCs w:val="18"/>
          <w:color w:val="auto"/>
        </w:rPr>
      </w:pPr>
      <w:r>
        <w:rPr>
          <w:rFonts w:ascii="Arial" w:cs="Arial" w:eastAsia="Arial" w:hAnsi="Arial"/>
          <w:sz w:val="18"/>
          <w:szCs w:val="18"/>
          <w:color w:val="auto"/>
        </w:rPr>
        <w:t>Indebtedness arising from corporate credit cards and merchant services arrangements in the ordinary course of business in an aggregate amount not to exceed $500,000 at any time outstanding;</w:t>
      </w:r>
    </w:p>
    <w:p>
      <w:pPr>
        <w:spacing w:after="0" w:line="197" w:lineRule="exact"/>
        <w:rPr>
          <w:rFonts w:ascii="Arial" w:cs="Arial" w:eastAsia="Arial" w:hAnsi="Arial"/>
          <w:sz w:val="18"/>
          <w:szCs w:val="18"/>
          <w:color w:val="auto"/>
        </w:rPr>
      </w:pPr>
    </w:p>
    <w:p>
      <w:pPr>
        <w:ind w:left="980" w:hanging="324"/>
        <w:spacing w:after="0"/>
        <w:tabs>
          <w:tab w:leader="none" w:pos="980" w:val="left"/>
        </w:tabs>
        <w:numPr>
          <w:ilvl w:val="0"/>
          <w:numId w:val="84"/>
        </w:numPr>
        <w:rPr>
          <w:rFonts w:ascii="Arial" w:cs="Arial" w:eastAsia="Arial" w:hAnsi="Arial"/>
          <w:sz w:val="18"/>
          <w:szCs w:val="18"/>
          <w:color w:val="auto"/>
        </w:rPr>
      </w:pPr>
      <w:r>
        <w:rPr>
          <w:rFonts w:ascii="Arial" w:cs="Arial" w:eastAsia="Arial" w:hAnsi="Arial"/>
          <w:sz w:val="18"/>
          <w:szCs w:val="18"/>
          <w:color w:val="auto"/>
        </w:rPr>
        <w:t>Subordinated Indebtedness; and</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84"/>
        </w:numPr>
        <w:rPr>
          <w:rFonts w:ascii="Arial" w:cs="Arial" w:eastAsia="Arial" w:hAnsi="Arial"/>
          <w:sz w:val="18"/>
          <w:szCs w:val="18"/>
          <w:color w:val="auto"/>
        </w:rPr>
      </w:pPr>
      <w:r>
        <w:rPr>
          <w:rFonts w:ascii="Arial" w:cs="Arial" w:eastAsia="Arial" w:hAnsi="Arial"/>
          <w:sz w:val="18"/>
          <w:szCs w:val="18"/>
          <w:color w:val="auto"/>
        </w:rPr>
        <w:t>any other indebtedness incurred by a Loan Party that has been approved in writing by the Agent, in its sole discretion.</w:t>
      </w:r>
    </w:p>
    <w:p>
      <w:pPr>
        <w:spacing w:after="0" w:line="200" w:lineRule="exact"/>
        <w:rPr>
          <w:sz w:val="20"/>
          <w:szCs w:val="20"/>
          <w:color w:val="auto"/>
        </w:rPr>
      </w:pP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36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Presto Credit Agreement</w:t>
            </w:r>
          </w:p>
        </w:tc>
        <w:tc>
          <w:tcPr>
            <w:tcW w:w="7580" w:type="dxa"/>
            <w:vAlign w:val="bottom"/>
            <w:tcBorders>
              <w:bottom w:val="single" w:sz="8" w:color="auto"/>
            </w:tcBorders>
          </w:tcPr>
          <w:p>
            <w:pPr>
              <w:jc w:val="right"/>
              <w:ind w:right="5430"/>
              <w:spacing w:after="0"/>
              <w:rPr>
                <w:sz w:val="20"/>
                <w:szCs w:val="20"/>
                <w:color w:val="auto"/>
              </w:rPr>
            </w:pPr>
            <w:r>
              <w:rPr>
                <w:rFonts w:ascii="Arial" w:cs="Arial" w:eastAsia="Arial" w:hAnsi="Arial"/>
                <w:sz w:val="18"/>
                <w:szCs w:val="18"/>
                <w:color w:val="auto"/>
              </w:rPr>
              <w:t>13</w:t>
            </w:r>
          </w:p>
        </w:tc>
      </w:tr>
    </w:tbl>
    <w:p>
      <w:pPr>
        <w:sectPr>
          <w:pgSz w:w="11900" w:h="16838" w:orient="portrait"/>
          <w:cols w:equalWidth="0" w:num="1">
            <w:col w:w="11240"/>
          </w:cols>
          <w:pgMar w:left="320" w:top="935" w:right="339" w:bottom="1440" w:gutter="0" w:footer="0" w:header="0"/>
        </w:sectPr>
      </w:pPr>
    </w:p>
    <w:bookmarkStart w:id="100" w:name="page101"/>
    <w:bookmarkEnd w:id="100"/>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Permitted Liens</w:t>
      </w:r>
      <w:r>
        <w:rPr>
          <w:rFonts w:ascii="Arial" w:cs="Arial" w:eastAsia="Arial" w:hAnsi="Arial"/>
          <w:sz w:val="18"/>
          <w:szCs w:val="18"/>
          <w:color w:val="auto"/>
        </w:rPr>
        <w:t>”:</w:t>
      </w:r>
    </w:p>
    <w:p>
      <w:pPr>
        <w:spacing w:after="0" w:line="225" w:lineRule="exact"/>
        <w:rPr>
          <w:sz w:val="20"/>
          <w:szCs w:val="20"/>
          <w:color w:val="auto"/>
        </w:rPr>
      </w:pPr>
    </w:p>
    <w:p>
      <w:pPr>
        <w:jc w:val="both"/>
        <w:ind w:firstLine="656"/>
        <w:spacing w:after="0" w:line="263" w:lineRule="auto"/>
        <w:tabs>
          <w:tab w:leader="none" w:pos="978" w:val="left"/>
        </w:tabs>
        <w:numPr>
          <w:ilvl w:val="0"/>
          <w:numId w:val="85"/>
        </w:numPr>
        <w:rPr>
          <w:rFonts w:ascii="Arial" w:cs="Arial" w:eastAsia="Arial" w:hAnsi="Arial"/>
          <w:sz w:val="18"/>
          <w:szCs w:val="18"/>
          <w:color w:val="auto"/>
        </w:rPr>
      </w:pPr>
      <w:r>
        <w:rPr>
          <w:rFonts w:ascii="Arial" w:cs="Arial" w:eastAsia="Arial" w:hAnsi="Arial"/>
          <w:sz w:val="18"/>
          <w:szCs w:val="18"/>
          <w:color w:val="auto"/>
        </w:rPr>
        <w:t>statutory Liens for Taxes not yet due or Liens for Taxes that are being contested in good faith by appropriate proceedings which stay the enforcement of any Lien resulting from the non-payment of such Taxes; provided, that adequate reserves have been set aside for the payment thereof by the Loan Parties in conformity with GAAP;</w:t>
      </w:r>
    </w:p>
    <w:p>
      <w:pPr>
        <w:spacing w:after="0" w:line="183" w:lineRule="exact"/>
        <w:rPr>
          <w:rFonts w:ascii="Arial" w:cs="Arial" w:eastAsia="Arial" w:hAnsi="Arial"/>
          <w:sz w:val="18"/>
          <w:szCs w:val="18"/>
          <w:color w:val="auto"/>
        </w:rPr>
      </w:pPr>
    </w:p>
    <w:p>
      <w:pPr>
        <w:ind w:left="960" w:hanging="304"/>
        <w:spacing w:after="0"/>
        <w:tabs>
          <w:tab w:leader="none" w:pos="960" w:val="left"/>
        </w:tabs>
        <w:numPr>
          <w:ilvl w:val="0"/>
          <w:numId w:val="85"/>
        </w:numPr>
        <w:rPr>
          <w:rFonts w:ascii="Arial" w:cs="Arial" w:eastAsia="Arial" w:hAnsi="Arial"/>
          <w:sz w:val="18"/>
          <w:szCs w:val="18"/>
          <w:color w:val="auto"/>
        </w:rPr>
      </w:pPr>
      <w:r>
        <w:rPr>
          <w:rFonts w:ascii="Arial" w:cs="Arial" w:eastAsia="Arial" w:hAnsi="Arial"/>
          <w:sz w:val="18"/>
          <w:szCs w:val="18"/>
          <w:color w:val="auto"/>
        </w:rPr>
        <w:t>Liens created pursuant to the Security Documents or any other Loan Document;</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85"/>
        </w:numPr>
        <w:rPr>
          <w:rFonts w:ascii="Arial" w:cs="Arial" w:eastAsia="Arial" w:hAnsi="Arial"/>
          <w:sz w:val="18"/>
          <w:szCs w:val="18"/>
          <w:color w:val="auto"/>
        </w:rPr>
      </w:pPr>
      <w:r>
        <w:rPr>
          <w:rFonts w:ascii="Arial" w:cs="Arial" w:eastAsia="Arial" w:hAnsi="Arial"/>
          <w:sz w:val="18"/>
          <w:szCs w:val="18"/>
          <w:color w:val="auto"/>
        </w:rPr>
        <w:t>judgment Liens that do not constitute an Event of Default under Section 7.1(f) of this Agreement;</w:t>
      </w:r>
    </w:p>
    <w:p>
      <w:pPr>
        <w:spacing w:after="0" w:line="225" w:lineRule="exact"/>
        <w:rPr>
          <w:rFonts w:ascii="Arial" w:cs="Arial" w:eastAsia="Arial" w:hAnsi="Arial"/>
          <w:sz w:val="18"/>
          <w:szCs w:val="18"/>
          <w:color w:val="auto"/>
        </w:rPr>
      </w:pPr>
    </w:p>
    <w:p>
      <w:pPr>
        <w:jc w:val="both"/>
        <w:ind w:firstLine="656"/>
        <w:spacing w:after="0" w:line="257" w:lineRule="auto"/>
        <w:tabs>
          <w:tab w:leader="none" w:pos="984" w:val="left"/>
        </w:tabs>
        <w:numPr>
          <w:ilvl w:val="0"/>
          <w:numId w:val="85"/>
        </w:numPr>
        <w:rPr>
          <w:rFonts w:ascii="Arial" w:cs="Arial" w:eastAsia="Arial" w:hAnsi="Arial"/>
          <w:sz w:val="18"/>
          <w:szCs w:val="18"/>
          <w:color w:val="auto"/>
        </w:rPr>
      </w:pPr>
      <w:r>
        <w:rPr>
          <w:rFonts w:ascii="Arial" w:cs="Arial" w:eastAsia="Arial" w:hAnsi="Arial"/>
          <w:sz w:val="18"/>
          <w:szCs w:val="18"/>
          <w:color w:val="auto"/>
        </w:rPr>
        <w:t>bankers’ Liens, rights of setoff and other similar Liens existing solely with respect to cash, Cash Equivalents, securities, commodities and other funds on deposit in one or more accounts maintained by the Loan Parties, in each case arising in the ordinary course of business in favor of banks, other depositary institutions, securities or commodities intermediaries or brokerages with which such accounts are maintained securing amounts owing to such banks or financial institutions with respect to cash management and operating account management or are arising under Section 4-208 or 4-210 of the UCC on items in the course of collection;</w:t>
      </w:r>
    </w:p>
    <w:p>
      <w:pPr>
        <w:spacing w:after="0" w:line="187" w:lineRule="exact"/>
        <w:rPr>
          <w:rFonts w:ascii="Arial" w:cs="Arial" w:eastAsia="Arial" w:hAnsi="Arial"/>
          <w:sz w:val="18"/>
          <w:szCs w:val="18"/>
          <w:color w:val="auto"/>
        </w:rPr>
      </w:pPr>
    </w:p>
    <w:p>
      <w:pPr>
        <w:jc w:val="both"/>
        <w:ind w:firstLine="656"/>
        <w:spacing w:after="0" w:line="259" w:lineRule="auto"/>
        <w:tabs>
          <w:tab w:leader="none" w:pos="967" w:val="left"/>
        </w:tabs>
        <w:numPr>
          <w:ilvl w:val="0"/>
          <w:numId w:val="85"/>
        </w:numPr>
        <w:rPr>
          <w:rFonts w:ascii="Arial" w:cs="Arial" w:eastAsia="Arial" w:hAnsi="Arial"/>
          <w:sz w:val="18"/>
          <w:szCs w:val="18"/>
          <w:color w:val="auto"/>
        </w:rPr>
      </w:pPr>
      <w:r>
        <w:rPr>
          <w:rFonts w:ascii="Arial" w:cs="Arial" w:eastAsia="Arial" w:hAnsi="Arial"/>
          <w:sz w:val="18"/>
          <w:szCs w:val="18"/>
          <w:color w:val="auto"/>
        </w:rPr>
        <w:t xml:space="preserve">Liens securing Permitted Indebtedness described in item (b) of the definition thereof or as set forth on </w:t>
      </w:r>
      <w:r>
        <w:rPr>
          <w:rFonts w:ascii="Arial" w:cs="Arial" w:eastAsia="Arial" w:hAnsi="Arial"/>
          <w:sz w:val="18"/>
          <w:szCs w:val="18"/>
          <w:u w:val="single" w:color="auto"/>
          <w:color w:val="auto"/>
        </w:rPr>
        <w:t>Schedule 1.1(c)</w:t>
      </w:r>
      <w:r>
        <w:rPr>
          <w:rFonts w:ascii="Arial" w:cs="Arial" w:eastAsia="Arial" w:hAnsi="Arial"/>
          <w:sz w:val="18"/>
          <w:szCs w:val="18"/>
          <w:color w:val="auto"/>
        </w:rPr>
        <w:t xml:space="preserve"> hereto to the extent existing on the Closing Date; provided, that with respect to any refinancing thereof, such continuations or renewals do not extend to any additional property or assets of any Loan Party or secure any additional obligations, other than as set forth in item (b) of the definition of Permitted Indebtedness or as set forth on </w:t>
      </w:r>
      <w:r>
        <w:rPr>
          <w:rFonts w:ascii="Arial" w:cs="Arial" w:eastAsia="Arial" w:hAnsi="Arial"/>
          <w:sz w:val="18"/>
          <w:szCs w:val="18"/>
          <w:u w:val="single" w:color="auto"/>
          <w:color w:val="auto"/>
        </w:rPr>
        <w:t>Schedule 1.1(c)</w:t>
      </w:r>
      <w:r>
        <w:rPr>
          <w:rFonts w:ascii="Arial" w:cs="Arial" w:eastAsia="Arial" w:hAnsi="Arial"/>
          <w:sz w:val="18"/>
          <w:szCs w:val="18"/>
          <w:color w:val="auto"/>
        </w:rPr>
        <w:t>;</w:t>
      </w:r>
    </w:p>
    <w:p>
      <w:pPr>
        <w:spacing w:after="0" w:line="186" w:lineRule="exact"/>
        <w:rPr>
          <w:rFonts w:ascii="Arial" w:cs="Arial" w:eastAsia="Arial" w:hAnsi="Arial"/>
          <w:sz w:val="18"/>
          <w:szCs w:val="18"/>
          <w:color w:val="auto"/>
        </w:rPr>
      </w:pPr>
    </w:p>
    <w:p>
      <w:pPr>
        <w:jc w:val="both"/>
        <w:ind w:firstLine="656"/>
        <w:spacing w:after="0" w:line="259" w:lineRule="auto"/>
        <w:tabs>
          <w:tab w:leader="none" w:pos="973" w:val="left"/>
        </w:tabs>
        <w:numPr>
          <w:ilvl w:val="0"/>
          <w:numId w:val="85"/>
        </w:numPr>
        <w:rPr>
          <w:rFonts w:ascii="Arial" w:cs="Arial" w:eastAsia="Arial" w:hAnsi="Arial"/>
          <w:sz w:val="18"/>
          <w:szCs w:val="18"/>
          <w:color w:val="auto"/>
        </w:rPr>
      </w:pPr>
      <w:r>
        <w:rPr>
          <w:rFonts w:ascii="Arial" w:cs="Arial" w:eastAsia="Arial" w:hAnsi="Arial"/>
          <w:sz w:val="18"/>
          <w:szCs w:val="18"/>
          <w:color w:val="auto"/>
        </w:rPr>
        <w:t>carriers’, warehousemen’s, mechanics’, materialmen’s, repairmen’s, landlord’s Liens or other like Liens arising in the ordinary course of business which secure obligations that are not overdue for a period of more than thirty (30) days or are being contested in good faith by appropriate proceedings, provided, that (i) in the case of any such contest, enforcement of such Liens has been suspended and (ii) appropriate reserves have been made on the books of such Person as may be required by GAAP, consistently applied, therefor;</w:t>
      </w:r>
    </w:p>
    <w:p>
      <w:pPr>
        <w:spacing w:after="0" w:line="186" w:lineRule="exact"/>
        <w:rPr>
          <w:rFonts w:ascii="Arial" w:cs="Arial" w:eastAsia="Arial" w:hAnsi="Arial"/>
          <w:sz w:val="18"/>
          <w:szCs w:val="18"/>
          <w:color w:val="auto"/>
        </w:rPr>
      </w:pPr>
    </w:p>
    <w:p>
      <w:pPr>
        <w:jc w:val="both"/>
        <w:ind w:firstLine="656"/>
        <w:spacing w:after="0" w:line="257" w:lineRule="auto"/>
        <w:tabs>
          <w:tab w:leader="none" w:pos="969" w:val="left"/>
        </w:tabs>
        <w:numPr>
          <w:ilvl w:val="0"/>
          <w:numId w:val="85"/>
        </w:numPr>
        <w:rPr>
          <w:rFonts w:ascii="Arial" w:cs="Arial" w:eastAsia="Arial" w:hAnsi="Arial"/>
          <w:sz w:val="18"/>
          <w:szCs w:val="18"/>
          <w:color w:val="auto"/>
        </w:rPr>
      </w:pPr>
      <w:r>
        <w:rPr>
          <w:rFonts w:ascii="Arial" w:cs="Arial" w:eastAsia="Arial" w:hAnsi="Arial"/>
          <w:sz w:val="18"/>
          <w:szCs w:val="18"/>
          <w:color w:val="auto"/>
        </w:rPr>
        <w:t>Liens arising in connection with worker’s compensation, unemployment insurance, old age pensions and social security benefits and similar statutory obligations which are not overdue for a period of more than thirty (30) days or are being contested in good faith by appropriate proceedings diligently pursued; provided, that in the case of any such contest (i) any proceedings commenced for the enforcement of such Liens shall have been duly suspended and (ii) such provision for the payment of such Liens has been made on the books of such Person as may be required by GAAP, consistently applied;</w:t>
      </w:r>
    </w:p>
    <w:p>
      <w:pPr>
        <w:spacing w:after="0" w:line="187" w:lineRule="exact"/>
        <w:rPr>
          <w:rFonts w:ascii="Arial" w:cs="Arial" w:eastAsia="Arial" w:hAnsi="Arial"/>
          <w:sz w:val="18"/>
          <w:szCs w:val="18"/>
          <w:color w:val="auto"/>
        </w:rPr>
      </w:pPr>
    </w:p>
    <w:p>
      <w:pPr>
        <w:ind w:left="960" w:hanging="304"/>
        <w:spacing w:after="0"/>
        <w:tabs>
          <w:tab w:leader="none" w:pos="960" w:val="left"/>
        </w:tabs>
        <w:numPr>
          <w:ilvl w:val="0"/>
          <w:numId w:val="85"/>
        </w:numPr>
        <w:rPr>
          <w:rFonts w:ascii="Arial" w:cs="Arial" w:eastAsia="Arial" w:hAnsi="Arial"/>
          <w:sz w:val="18"/>
          <w:szCs w:val="18"/>
          <w:color w:val="auto"/>
        </w:rPr>
      </w:pPr>
      <w:r>
        <w:rPr>
          <w:rFonts w:ascii="Arial" w:cs="Arial" w:eastAsia="Arial" w:hAnsi="Arial"/>
          <w:sz w:val="18"/>
          <w:szCs w:val="18"/>
          <w:color w:val="auto"/>
        </w:rPr>
        <w:t>any interest or title of a lessor under any lease entered into by any Loan Party in the ordinary course of business;</w:t>
      </w:r>
    </w:p>
    <w:p>
      <w:pPr>
        <w:spacing w:after="0" w:line="225" w:lineRule="exact"/>
        <w:rPr>
          <w:rFonts w:ascii="Arial" w:cs="Arial" w:eastAsia="Arial" w:hAnsi="Arial"/>
          <w:sz w:val="18"/>
          <w:szCs w:val="18"/>
          <w:color w:val="auto"/>
        </w:rPr>
      </w:pPr>
    </w:p>
    <w:p>
      <w:pPr>
        <w:ind w:left="920" w:hanging="264"/>
        <w:spacing w:after="0"/>
        <w:tabs>
          <w:tab w:leader="none" w:pos="920" w:val="left"/>
        </w:tabs>
        <w:numPr>
          <w:ilvl w:val="0"/>
          <w:numId w:val="85"/>
        </w:numPr>
        <w:rPr>
          <w:rFonts w:ascii="Arial" w:cs="Arial" w:eastAsia="Arial" w:hAnsi="Arial"/>
          <w:sz w:val="18"/>
          <w:szCs w:val="18"/>
          <w:color w:val="auto"/>
        </w:rPr>
      </w:pPr>
      <w:r>
        <w:rPr>
          <w:rFonts w:ascii="Arial" w:cs="Arial" w:eastAsia="Arial" w:hAnsi="Arial"/>
          <w:sz w:val="18"/>
          <w:szCs w:val="18"/>
          <w:color w:val="auto"/>
        </w:rPr>
        <w:t>non-exclusive licenses of Intellectual Property entered into in the ordinary course of business;</w:t>
      </w:r>
    </w:p>
    <w:p>
      <w:pPr>
        <w:spacing w:after="0" w:line="225" w:lineRule="exact"/>
        <w:rPr>
          <w:rFonts w:ascii="Arial" w:cs="Arial" w:eastAsia="Arial" w:hAnsi="Arial"/>
          <w:sz w:val="18"/>
          <w:szCs w:val="18"/>
          <w:color w:val="auto"/>
        </w:rPr>
      </w:pPr>
    </w:p>
    <w:p>
      <w:pPr>
        <w:ind w:firstLine="656"/>
        <w:spacing w:after="0" w:line="277" w:lineRule="auto"/>
        <w:tabs>
          <w:tab w:leader="none" w:pos="867" w:val="left"/>
        </w:tabs>
        <w:numPr>
          <w:ilvl w:val="0"/>
          <w:numId w:val="85"/>
        </w:numPr>
        <w:rPr>
          <w:rFonts w:ascii="Arial" w:cs="Arial" w:eastAsia="Arial" w:hAnsi="Arial"/>
          <w:sz w:val="18"/>
          <w:szCs w:val="18"/>
          <w:color w:val="auto"/>
        </w:rPr>
      </w:pPr>
      <w:r>
        <w:rPr>
          <w:rFonts w:ascii="Arial" w:cs="Arial" w:eastAsia="Arial" w:hAnsi="Arial"/>
          <w:sz w:val="18"/>
          <w:szCs w:val="18"/>
          <w:color w:val="auto"/>
        </w:rPr>
        <w:t>Liens securing Indebtedness permitted pursuant to clause (b) of the definition of “Permitted Indebtedness” so long as such Liens attach only to the assets purchased with the proceeds of such Indebtedness and not any other assets or property of any Loan Party;</w:t>
      </w:r>
    </w:p>
    <w:p>
      <w:pPr>
        <w:spacing w:after="0" w:line="386"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36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Presto Credit Agreement</w:t>
            </w:r>
          </w:p>
        </w:tc>
        <w:tc>
          <w:tcPr>
            <w:tcW w:w="7580" w:type="dxa"/>
            <w:vAlign w:val="bottom"/>
            <w:tcBorders>
              <w:bottom w:val="single" w:sz="8" w:color="auto"/>
            </w:tcBorders>
          </w:tcPr>
          <w:p>
            <w:pPr>
              <w:jc w:val="right"/>
              <w:ind w:right="5430"/>
              <w:spacing w:after="0"/>
              <w:rPr>
                <w:sz w:val="20"/>
                <w:szCs w:val="20"/>
                <w:color w:val="auto"/>
              </w:rPr>
            </w:pPr>
            <w:r>
              <w:rPr>
                <w:rFonts w:ascii="Arial" w:cs="Arial" w:eastAsia="Arial" w:hAnsi="Arial"/>
                <w:sz w:val="18"/>
                <w:szCs w:val="18"/>
                <w:color w:val="auto"/>
              </w:rPr>
              <w:t>14</w:t>
            </w:r>
          </w:p>
        </w:tc>
      </w:tr>
    </w:tbl>
    <w:p>
      <w:pPr>
        <w:sectPr>
          <w:pgSz w:w="11900" w:h="16838" w:orient="portrait"/>
          <w:cols w:equalWidth="0" w:num="1">
            <w:col w:w="11240"/>
          </w:cols>
          <w:pgMar w:left="320" w:top="908" w:right="339" w:bottom="1440" w:gutter="0" w:footer="0" w:header="0"/>
        </w:sectPr>
      </w:pPr>
    </w:p>
    <w:bookmarkStart w:id="101" w:name="page102"/>
    <w:bookmarkEnd w:id="101"/>
    <w:p>
      <w:pPr>
        <w:ind w:firstLine="656"/>
        <w:spacing w:after="0" w:line="277" w:lineRule="auto"/>
        <w:tabs>
          <w:tab w:leader="none" w:pos="911" w:val="left"/>
        </w:tabs>
        <w:numPr>
          <w:ilvl w:val="0"/>
          <w:numId w:val="86"/>
        </w:numPr>
        <w:rPr>
          <w:rFonts w:ascii="Arial" w:cs="Arial" w:eastAsia="Arial" w:hAnsi="Arial"/>
          <w:sz w:val="18"/>
          <w:szCs w:val="18"/>
          <w:color w:val="auto"/>
        </w:rPr>
      </w:pPr>
      <w:r>
        <w:rPr>
          <w:rFonts w:ascii="Arial" w:cs="Arial" w:eastAsia="Arial" w:hAnsi="Arial"/>
          <w:sz w:val="18"/>
          <w:szCs w:val="18"/>
          <w:color w:val="auto"/>
        </w:rPr>
        <w:t>cash pledges and deposits in an aggregate amount not to exceed $500,000 securing obligations permitted under clause (n) of the definition of “Permitted Indebtedness”;</w:t>
      </w:r>
    </w:p>
    <w:p>
      <w:pPr>
        <w:spacing w:after="0" w:line="170" w:lineRule="exact"/>
        <w:rPr>
          <w:rFonts w:ascii="Arial" w:cs="Arial" w:eastAsia="Arial" w:hAnsi="Arial"/>
          <w:sz w:val="18"/>
          <w:szCs w:val="18"/>
          <w:color w:val="auto"/>
        </w:rPr>
      </w:pPr>
    </w:p>
    <w:p>
      <w:pPr>
        <w:ind w:left="880" w:hanging="224"/>
        <w:spacing w:after="0"/>
        <w:tabs>
          <w:tab w:leader="none" w:pos="880" w:val="left"/>
        </w:tabs>
        <w:numPr>
          <w:ilvl w:val="0"/>
          <w:numId w:val="86"/>
        </w:numPr>
        <w:rPr>
          <w:rFonts w:ascii="Arial" w:cs="Arial" w:eastAsia="Arial" w:hAnsi="Arial"/>
          <w:sz w:val="18"/>
          <w:szCs w:val="18"/>
          <w:color w:val="auto"/>
        </w:rPr>
      </w:pPr>
      <w:r>
        <w:rPr>
          <w:rFonts w:ascii="Arial" w:cs="Arial" w:eastAsia="Arial" w:hAnsi="Arial"/>
          <w:sz w:val="18"/>
          <w:szCs w:val="18"/>
          <w:color w:val="auto"/>
        </w:rPr>
        <w:t>[reserved];</w:t>
      </w:r>
    </w:p>
    <w:p>
      <w:pPr>
        <w:spacing w:after="0" w:line="225" w:lineRule="exact"/>
        <w:rPr>
          <w:rFonts w:ascii="Arial" w:cs="Arial" w:eastAsia="Arial" w:hAnsi="Arial"/>
          <w:sz w:val="18"/>
          <w:szCs w:val="18"/>
          <w:color w:val="auto"/>
        </w:rPr>
      </w:pPr>
    </w:p>
    <w:p>
      <w:pPr>
        <w:ind w:left="960" w:hanging="304"/>
        <w:spacing w:after="0"/>
        <w:tabs>
          <w:tab w:leader="none" w:pos="960" w:val="left"/>
        </w:tabs>
        <w:numPr>
          <w:ilvl w:val="0"/>
          <w:numId w:val="86"/>
        </w:numPr>
        <w:rPr>
          <w:rFonts w:ascii="Arial" w:cs="Arial" w:eastAsia="Arial" w:hAnsi="Arial"/>
          <w:sz w:val="16"/>
          <w:szCs w:val="16"/>
          <w:color w:val="auto"/>
        </w:rPr>
      </w:pPr>
      <w:r>
        <w:rPr>
          <w:rFonts w:ascii="Arial" w:cs="Arial" w:eastAsia="Arial" w:hAnsi="Arial"/>
          <w:sz w:val="16"/>
          <w:szCs w:val="16"/>
          <w:color w:val="auto"/>
        </w:rPr>
        <w:t>cash deposits held by a third-party landlord and Liens on such cash deposits to secure lease obligations in the ordinary course of business; and</w:t>
      </w:r>
    </w:p>
    <w:p>
      <w:pPr>
        <w:spacing w:after="0" w:line="248" w:lineRule="exact"/>
        <w:rPr>
          <w:rFonts w:ascii="Arial" w:cs="Arial" w:eastAsia="Arial" w:hAnsi="Arial"/>
          <w:sz w:val="16"/>
          <w:szCs w:val="16"/>
          <w:color w:val="auto"/>
        </w:rPr>
      </w:pPr>
    </w:p>
    <w:p>
      <w:pPr>
        <w:ind w:left="960" w:hanging="304"/>
        <w:spacing w:after="0"/>
        <w:tabs>
          <w:tab w:leader="none" w:pos="960" w:val="left"/>
        </w:tabs>
        <w:numPr>
          <w:ilvl w:val="0"/>
          <w:numId w:val="86"/>
        </w:numPr>
        <w:rPr>
          <w:rFonts w:ascii="Arial" w:cs="Arial" w:eastAsia="Arial" w:hAnsi="Arial"/>
          <w:sz w:val="18"/>
          <w:szCs w:val="18"/>
          <w:color w:val="auto"/>
        </w:rPr>
      </w:pPr>
      <w:r>
        <w:rPr>
          <w:rFonts w:ascii="Arial" w:cs="Arial" w:eastAsia="Arial" w:hAnsi="Arial"/>
          <w:sz w:val="18"/>
          <w:szCs w:val="18"/>
          <w:color w:val="auto"/>
        </w:rPr>
        <w:t>Liens which have been approved in writing by the Agent, in its sole discretion.</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Person</w:t>
      </w:r>
      <w:r>
        <w:rPr>
          <w:rFonts w:ascii="Arial" w:cs="Arial" w:eastAsia="Arial" w:hAnsi="Arial"/>
          <w:sz w:val="18"/>
          <w:szCs w:val="18"/>
          <w:color w:val="auto"/>
        </w:rPr>
        <w:t>”: any natural person, corporation, limited liability company, trust, joint venture, association, company, partnership, Governmental Authority or other entity.</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PIK Interest</w:t>
      </w:r>
      <w:r>
        <w:rPr>
          <w:rFonts w:ascii="Arial" w:cs="Arial" w:eastAsia="Arial" w:hAnsi="Arial"/>
          <w:sz w:val="18"/>
          <w:szCs w:val="18"/>
          <w:color w:val="auto"/>
        </w:rPr>
        <w:t>”: shall mean interest accrued with respect to the Term Loan that is paid in kind, and not in cash, by capitalizing such interest as principal of the outstanding Term Loan as provided herein.</w:t>
      </w:r>
    </w:p>
    <w:p>
      <w:pPr>
        <w:spacing w:after="0" w:line="170"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PIK Limit</w:t>
      </w:r>
      <w:r>
        <w:rPr>
          <w:rFonts w:ascii="Arial" w:cs="Arial" w:eastAsia="Arial" w:hAnsi="Arial"/>
          <w:sz w:val="16"/>
          <w:szCs w:val="16"/>
          <w:color w:val="auto"/>
        </w:rPr>
        <w:t>”: with respect to any payment of interest due on any Interest Payment Date, an amount equal to (a) with respect to any Interest Payment Date occurring on or before June 30, 2023, one hundred percent (100%) of such payment of interest (exclusive of the portion of such interest attributable to the implementation of the Default Rate or Protective Advance Rate, if any), (b) with respect to any Interest Payment Date occurring on or after July 1, 2023, but on or before the date that is eighteen (18) months after the Closing Date, fifty percent (50%) of such payment of interest (exclusive of the portion of such interest attributable to the implementation of the Default Rate or Protective Advance Rate, if any), and (c) with respect to any Interest Payment Date occurring after the date that is eighteen (18) months after the Closing Date, zero percent of such payment of interest.</w:t>
      </w:r>
    </w:p>
    <w:p>
      <w:pPr>
        <w:spacing w:after="0" w:line="164"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PIPE Transactions</w:t>
      </w:r>
      <w:r>
        <w:rPr>
          <w:rFonts w:ascii="Arial" w:cs="Arial" w:eastAsia="Arial" w:hAnsi="Arial"/>
          <w:sz w:val="16"/>
          <w:szCs w:val="16"/>
          <w:color w:val="auto"/>
        </w:rPr>
        <w:t>”: the closing of “PIPE” equity investments of $55,000,000 in Parent contemplated by the SPAC Subscription Agreements.</w:t>
      </w:r>
    </w:p>
    <w:p>
      <w:pPr>
        <w:spacing w:after="0" w:line="248"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Plan</w:t>
      </w:r>
      <w:r>
        <w:rPr>
          <w:rFonts w:ascii="Arial" w:cs="Arial" w:eastAsia="Arial" w:hAnsi="Arial"/>
          <w:sz w:val="18"/>
          <w:szCs w:val="18"/>
          <w:color w:val="auto"/>
        </w:rPr>
        <w:t>”: any employee benefit plan within the meaning of Section 3(3) of ERISA, maintained for employees of a Loan Party or any Subsidiary, or any such plan to which a Loan Party or any Subsidiary is required to contribute on behalf of any of its employees or with respect to which such Loan Party has any liability.</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PPP Loans</w:t>
      </w:r>
      <w:r>
        <w:rPr>
          <w:rFonts w:ascii="Arial" w:cs="Arial" w:eastAsia="Arial" w:hAnsi="Arial"/>
          <w:sz w:val="18"/>
          <w:szCs w:val="18"/>
          <w:color w:val="auto"/>
        </w:rPr>
        <w:t>”: (i) the 2020 PPP Loan, and (ii) the 2021 PPP Loan.</w:t>
      </w:r>
    </w:p>
    <w:p>
      <w:pPr>
        <w:spacing w:after="0" w:line="225"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Prepayment Event</w:t>
      </w:r>
      <w:r>
        <w:rPr>
          <w:rFonts w:ascii="Arial" w:cs="Arial" w:eastAsia="Arial" w:hAnsi="Arial"/>
          <w:sz w:val="17"/>
          <w:szCs w:val="17"/>
          <w:color w:val="auto"/>
        </w:rPr>
        <w:t xml:space="preserve">”: any (a) any sale, transfer or other disposition (including pursuant to a sale and leaseback transaction) of any property or asset of any Loan Party outside of the ordinary course of business in excess of $500,000 in the aggregate during any Fiscal Year, (b) casualty or other insured damage to, or any taking under power of eminent domain or by condemnation or similar proceeding of, any property or asset of any Loan Party in excess of $500,000 in the aggregate during any Fiscal Year, (c) the incurrence by any Loan Party of any Indebtedness other than Indebtedness permitted pursuant to </w:t>
      </w:r>
      <w:r>
        <w:rPr>
          <w:rFonts w:ascii="Arial" w:cs="Arial" w:eastAsia="Arial" w:hAnsi="Arial"/>
          <w:sz w:val="17"/>
          <w:szCs w:val="17"/>
          <w:u w:val="single" w:color="auto"/>
          <w:color w:val="auto"/>
        </w:rPr>
        <w:t>Section 6.1</w:t>
      </w:r>
      <w:r>
        <w:rPr>
          <w:rFonts w:ascii="Arial" w:cs="Arial" w:eastAsia="Arial" w:hAnsi="Arial"/>
          <w:sz w:val="17"/>
          <w:szCs w:val="17"/>
          <w:color w:val="auto"/>
        </w:rPr>
        <w:t xml:space="preserve"> hereof, (d) the occurrence of a Change of Control, (e) any equity cure made pursuant to </w:t>
      </w:r>
      <w:r>
        <w:rPr>
          <w:rFonts w:ascii="Arial" w:cs="Arial" w:eastAsia="Arial" w:hAnsi="Arial"/>
          <w:sz w:val="17"/>
          <w:szCs w:val="17"/>
          <w:u w:val="single" w:color="auto"/>
          <w:color w:val="auto"/>
        </w:rPr>
        <w:t>Section 6.17(d)</w:t>
      </w:r>
      <w:r>
        <w:rPr>
          <w:rFonts w:ascii="Arial" w:cs="Arial" w:eastAsia="Arial" w:hAnsi="Arial"/>
          <w:sz w:val="17"/>
          <w:szCs w:val="17"/>
          <w:color w:val="auto"/>
        </w:rPr>
        <w:t xml:space="preserve"> in respect of a failure to satisfy the financial covenants in </w:t>
      </w:r>
      <w:r>
        <w:rPr>
          <w:rFonts w:ascii="Arial" w:cs="Arial" w:eastAsia="Arial" w:hAnsi="Arial"/>
          <w:sz w:val="17"/>
          <w:szCs w:val="17"/>
          <w:u w:val="single" w:color="auto"/>
          <w:color w:val="auto"/>
        </w:rPr>
        <w:t>Section 6.17(b)</w:t>
      </w:r>
      <w:r>
        <w:rPr>
          <w:rFonts w:ascii="Arial" w:cs="Arial" w:eastAsia="Arial" w:hAnsi="Arial"/>
          <w:sz w:val="17"/>
          <w:szCs w:val="17"/>
          <w:color w:val="auto"/>
        </w:rPr>
        <w:t>, (f) Borrower’s receipt of the proceeds of any business interruption insurance, and (g) any receipt by a Loan Party of any Extraordinary Receipt in excess of $500,000 in the aggregate during any Fiscal Year.</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Presto</w:t>
      </w:r>
      <w:r>
        <w:rPr>
          <w:rFonts w:ascii="Arial" w:cs="Arial" w:eastAsia="Arial" w:hAnsi="Arial"/>
          <w:sz w:val="18"/>
          <w:szCs w:val="18"/>
          <w:color w:val="auto"/>
        </w:rPr>
        <w:t>”: as defined in the preamble hereto, and shall include its successors and assigns.</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Principal Market</w:t>
      </w:r>
      <w:r>
        <w:rPr>
          <w:rFonts w:ascii="Arial" w:cs="Arial" w:eastAsia="Arial" w:hAnsi="Arial"/>
          <w:sz w:val="18"/>
          <w:szCs w:val="18"/>
          <w:color w:val="auto"/>
        </w:rPr>
        <w:t>”: any Eligible Market, or any national securities exchange, market or trading or quotation facility on which the common stock of the Parent is then listed or quoted.</w:t>
      </w:r>
    </w:p>
    <w:p>
      <w:pPr>
        <w:spacing w:after="0" w:line="170"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Prior Debt</w:t>
      </w:r>
      <w:r>
        <w:rPr>
          <w:rFonts w:ascii="Arial" w:cs="Arial" w:eastAsia="Arial" w:hAnsi="Arial"/>
          <w:sz w:val="16"/>
          <w:szCs w:val="16"/>
          <w:color w:val="auto"/>
        </w:rPr>
        <w:t>”: all Indebtedness and other obligations of Borrower (or any of them) owing to (i) Horizon Technology Finance Corporation under that certain Venture Loan and Security Agreement, originally dated as of March 5, 2021, and (ii) to Lago Innovation Fund, LLC and Lago Innovation Fund II, LLC under that certain Venture Loan and Security Agreement, dated as of March 11, 2022, in each case as it may have been amended from time to time.</w:t>
      </w: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36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Presto Credit Agreement</w:t>
            </w:r>
          </w:p>
        </w:tc>
        <w:tc>
          <w:tcPr>
            <w:tcW w:w="7580" w:type="dxa"/>
            <w:vAlign w:val="bottom"/>
            <w:tcBorders>
              <w:bottom w:val="single" w:sz="8" w:color="auto"/>
            </w:tcBorders>
          </w:tcPr>
          <w:p>
            <w:pPr>
              <w:jc w:val="right"/>
              <w:ind w:right="5430"/>
              <w:spacing w:after="0"/>
              <w:rPr>
                <w:sz w:val="20"/>
                <w:szCs w:val="20"/>
                <w:color w:val="auto"/>
              </w:rPr>
            </w:pPr>
            <w:r>
              <w:rPr>
                <w:rFonts w:ascii="Arial" w:cs="Arial" w:eastAsia="Arial" w:hAnsi="Arial"/>
                <w:sz w:val="18"/>
                <w:szCs w:val="18"/>
                <w:color w:val="auto"/>
              </w:rPr>
              <w:t>15</w:t>
            </w:r>
          </w:p>
        </w:tc>
      </w:tr>
    </w:tbl>
    <w:p>
      <w:pPr>
        <w:sectPr>
          <w:pgSz w:w="11900" w:h="16838" w:orient="portrait"/>
          <w:cols w:equalWidth="0" w:num="1">
            <w:col w:w="11240"/>
          </w:cols>
          <w:pgMar w:left="320" w:top="908" w:right="339" w:bottom="1440" w:gutter="0" w:footer="0" w:header="0"/>
        </w:sectPr>
      </w:pPr>
    </w:p>
    <w:bookmarkStart w:id="102" w:name="page103"/>
    <w:bookmarkEnd w:id="102"/>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Protective Advance</w:t>
      </w:r>
      <w:r>
        <w:rPr>
          <w:rFonts w:ascii="Arial" w:cs="Arial" w:eastAsia="Arial" w:hAnsi="Arial"/>
          <w:sz w:val="18"/>
          <w:szCs w:val="18"/>
          <w:color w:val="auto"/>
        </w:rPr>
        <w:t xml:space="preserve">”: as defined in </w:t>
      </w:r>
      <w:r>
        <w:rPr>
          <w:rFonts w:ascii="Arial" w:cs="Arial" w:eastAsia="Arial" w:hAnsi="Arial"/>
          <w:sz w:val="18"/>
          <w:szCs w:val="18"/>
          <w:u w:val="single" w:color="auto"/>
          <w:color w:val="auto"/>
        </w:rPr>
        <w:t>Section 2.6(f)</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Purchase Money Security Interest</w:t>
      </w:r>
      <w:r>
        <w:rPr>
          <w:rFonts w:ascii="Arial" w:cs="Arial" w:eastAsia="Arial" w:hAnsi="Arial"/>
          <w:sz w:val="17"/>
          <w:szCs w:val="17"/>
          <w:color w:val="auto"/>
        </w:rPr>
        <w:t xml:space="preserve">”: Liens upon tangible personal property (including the proceeds thereof) securing loans to the Loan Parties or deferred payments (including, without limitation, capitalized lease obligations under GAAP) by the Loan Parties for the purchase or capital lease of such tangible personal property;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such security interest does not encumber any asset except the assets purchased (and the proceeds thereof);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further</w:t>
      </w:r>
      <w:r>
        <w:rPr>
          <w:rFonts w:ascii="Arial" w:cs="Arial" w:eastAsia="Arial" w:hAnsi="Arial"/>
          <w:sz w:val="17"/>
          <w:szCs w:val="17"/>
          <w:color w:val="auto"/>
        </w:rPr>
        <w:t>, that such security interest does not secure obligations in excess of such purchase price or deferred payments; provided that notwithstanding anything to the contrary, “Purchase Money Security Interest” does not include Capital Leases.</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Qualified Equity Interest</w:t>
      </w:r>
      <w:r>
        <w:rPr>
          <w:rFonts w:ascii="Arial" w:cs="Arial" w:eastAsia="Arial" w:hAnsi="Arial"/>
          <w:sz w:val="18"/>
          <w:szCs w:val="18"/>
          <w:color w:val="auto"/>
        </w:rPr>
        <w:t>”: any Equity Interest issued by any Loan Party that is not a Disqualified Equity Interest.</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Recipient</w:t>
      </w:r>
      <w:r>
        <w:rPr>
          <w:rFonts w:ascii="Arial" w:cs="Arial" w:eastAsia="Arial" w:hAnsi="Arial"/>
          <w:sz w:val="18"/>
          <w:szCs w:val="18"/>
          <w:color w:val="auto"/>
        </w:rPr>
        <w:t>”: the Agent, any Lender or any other financial institution party hereto, or to an arrangement contemplated hereby, that is the recipient of any payment to be made by or on account of any Obligations of any Loan Party hereunder.</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Registration Rights Agreements</w:t>
      </w:r>
      <w:r>
        <w:rPr>
          <w:rFonts w:ascii="Arial" w:cs="Arial" w:eastAsia="Arial" w:hAnsi="Arial"/>
          <w:sz w:val="18"/>
          <w:szCs w:val="18"/>
          <w:color w:val="auto"/>
        </w:rPr>
        <w:t>”: individually and collectively the Closing Date Registration Rights Agreement and the First Amendment Registration Rights Agreement.</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Regulation T</w:t>
      </w:r>
      <w:r>
        <w:rPr>
          <w:rFonts w:ascii="Arial" w:cs="Arial" w:eastAsia="Arial" w:hAnsi="Arial"/>
          <w:sz w:val="18"/>
          <w:szCs w:val="18"/>
          <w:color w:val="auto"/>
        </w:rPr>
        <w:t>”: Regulation T of the Board, as in effect from time to time and all official rulings and interpretations thereunder or thereof.</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Regulation U</w:t>
      </w:r>
      <w:r>
        <w:rPr>
          <w:rFonts w:ascii="Arial" w:cs="Arial" w:eastAsia="Arial" w:hAnsi="Arial"/>
          <w:sz w:val="18"/>
          <w:szCs w:val="18"/>
          <w:color w:val="auto"/>
        </w:rPr>
        <w:t>”: Regulation U of the Board as in effect from time to time and all official rulings and interpretations thereunder or thereof.</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Regulation X</w:t>
      </w:r>
      <w:r>
        <w:rPr>
          <w:rFonts w:ascii="Arial" w:cs="Arial" w:eastAsia="Arial" w:hAnsi="Arial"/>
          <w:sz w:val="17"/>
          <w:szCs w:val="17"/>
          <w:color w:val="auto"/>
        </w:rPr>
        <w:t>”: Regulation X of the Board, as in effect from time to time and all official rulings and interpretations thereunder or thereof.</w:t>
      </w:r>
    </w:p>
    <w:p>
      <w:pPr>
        <w:spacing w:after="0" w:line="23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Related Parties</w:t>
      </w:r>
      <w:r>
        <w:rPr>
          <w:rFonts w:ascii="Arial" w:cs="Arial" w:eastAsia="Arial" w:hAnsi="Arial"/>
          <w:sz w:val="18"/>
          <w:szCs w:val="18"/>
          <w:color w:val="auto"/>
        </w:rPr>
        <w:t>”: with respect to any Person, such Person’s Affiliates and the members, partners, directors, officers, trustees, managers, representatives, attorneys, equity owners, professional consultants, portfolio management services, employees, agents and advisors of such Person and of such Person’s Affiliates.</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Reportable Event</w:t>
      </w:r>
      <w:r>
        <w:rPr>
          <w:rFonts w:ascii="Arial" w:cs="Arial" w:eastAsia="Arial" w:hAnsi="Arial"/>
          <w:sz w:val="16"/>
          <w:szCs w:val="16"/>
          <w:color w:val="auto"/>
        </w:rPr>
        <w:t>”: any of the events set forth in Section 4043(c) of ERISA, other than events for which the thirty-day notice period has been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waived.</w:t>
      </w:r>
    </w:p>
    <w:p>
      <w:pPr>
        <w:spacing w:after="0" w:line="21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Required Lenders</w:t>
      </w:r>
      <w:r>
        <w:rPr>
          <w:rFonts w:ascii="Arial" w:cs="Arial" w:eastAsia="Arial" w:hAnsi="Arial"/>
          <w:sz w:val="18"/>
          <w:szCs w:val="18"/>
          <w:color w:val="auto"/>
        </w:rPr>
        <w:t xml:space="preserve">”: Lenders having more than 50% of the aggregate outstanding amount of the Term Loan on such date of determination </w:t>
      </w:r>
      <w:r>
        <w:rPr>
          <w:rFonts w:ascii="Arial" w:cs="Arial" w:eastAsia="Arial" w:hAnsi="Arial"/>
          <w:sz w:val="18"/>
          <w:szCs w:val="18"/>
          <w:u w:val="single" w:color="auto"/>
          <w:color w:val="auto"/>
        </w:rPr>
        <w:t>provided</w:t>
      </w:r>
      <w:r>
        <w:rPr>
          <w:rFonts w:ascii="Arial" w:cs="Arial" w:eastAsia="Arial" w:hAnsi="Arial"/>
          <w:sz w:val="18"/>
          <w:szCs w:val="18"/>
          <w:color w:val="auto"/>
        </w:rPr>
        <w:t>, that for so long as Metropolitan holds any Term Loan, Required Lenders shall include Metropolitan.</w:t>
      </w:r>
    </w:p>
    <w:p>
      <w:pPr>
        <w:spacing w:after="0" w:line="17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Requirement of Law</w:t>
      </w:r>
      <w:r>
        <w:rPr>
          <w:rFonts w:ascii="Arial" w:cs="Arial" w:eastAsia="Arial" w:hAnsi="Arial"/>
          <w:sz w:val="18"/>
          <w:szCs w:val="18"/>
          <w:color w:val="auto"/>
        </w:rPr>
        <w:t>”: as to any Person, the Operating Documents of such Person, and any Law, treaty, rule or regulation or determination of an arbitrator or a court or other Governmental Authority, in each case applicable to or binding upon such Person or any of its property or to which such Person or any of its property is subject.</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Responsible Officer</w:t>
      </w:r>
      <w:r>
        <w:rPr>
          <w:rFonts w:ascii="Arial" w:cs="Arial" w:eastAsia="Arial" w:hAnsi="Arial"/>
          <w:sz w:val="18"/>
          <w:szCs w:val="18"/>
          <w:color w:val="auto"/>
        </w:rPr>
        <w:t>”: the chief executive officer or the chief financial officer of the applicable Loan Party.</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Restricted Payments</w:t>
      </w:r>
      <w:r>
        <w:rPr>
          <w:rFonts w:ascii="Arial" w:cs="Arial" w:eastAsia="Arial" w:hAnsi="Arial"/>
          <w:sz w:val="18"/>
          <w:szCs w:val="18"/>
          <w:color w:val="auto"/>
        </w:rPr>
        <w:t xml:space="preserve">”: as defined in </w:t>
      </w:r>
      <w:r>
        <w:rPr>
          <w:rFonts w:ascii="Arial" w:cs="Arial" w:eastAsia="Arial" w:hAnsi="Arial"/>
          <w:sz w:val="18"/>
          <w:szCs w:val="18"/>
          <w:u w:val="single" w:color="auto"/>
          <w:color w:val="auto"/>
        </w:rPr>
        <w:t>Section 6.5</w:t>
      </w:r>
      <w:r>
        <w:rPr>
          <w:rFonts w:ascii="Arial" w:cs="Arial" w:eastAsia="Arial" w:hAnsi="Arial"/>
          <w:sz w:val="18"/>
          <w:szCs w:val="18"/>
          <w:color w:val="auto"/>
        </w:rPr>
        <w:t>.</w:t>
      </w:r>
    </w:p>
    <w:p>
      <w:pPr>
        <w:spacing w:after="0" w:line="200" w:lineRule="exact"/>
        <w:rPr>
          <w:sz w:val="20"/>
          <w:szCs w:val="20"/>
          <w:color w:val="auto"/>
        </w:rPr>
      </w:pP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36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Presto Credit Agreement</w:t>
            </w:r>
          </w:p>
        </w:tc>
        <w:tc>
          <w:tcPr>
            <w:tcW w:w="7580" w:type="dxa"/>
            <w:vAlign w:val="bottom"/>
            <w:tcBorders>
              <w:bottom w:val="single" w:sz="8" w:color="auto"/>
            </w:tcBorders>
          </w:tcPr>
          <w:p>
            <w:pPr>
              <w:jc w:val="right"/>
              <w:ind w:right="5430"/>
              <w:spacing w:after="0"/>
              <w:rPr>
                <w:sz w:val="20"/>
                <w:szCs w:val="20"/>
                <w:color w:val="auto"/>
              </w:rPr>
            </w:pPr>
            <w:r>
              <w:rPr>
                <w:rFonts w:ascii="Arial" w:cs="Arial" w:eastAsia="Arial" w:hAnsi="Arial"/>
                <w:sz w:val="18"/>
                <w:szCs w:val="18"/>
                <w:color w:val="auto"/>
              </w:rPr>
              <w:t>16</w:t>
            </w:r>
          </w:p>
        </w:tc>
      </w:tr>
    </w:tbl>
    <w:p>
      <w:pPr>
        <w:sectPr>
          <w:pgSz w:w="11900" w:h="16838" w:orient="portrait"/>
          <w:cols w:equalWidth="0" w:num="1">
            <w:col w:w="11240"/>
          </w:cols>
          <w:pgMar w:left="320" w:top="908" w:right="339" w:bottom="1440" w:gutter="0" w:footer="0" w:header="0"/>
        </w:sectPr>
      </w:pPr>
    </w:p>
    <w:bookmarkStart w:id="103" w:name="page104"/>
    <w:bookmarkEnd w:id="103"/>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Sanctions</w:t>
      </w:r>
      <w:r>
        <w:rPr>
          <w:rFonts w:ascii="Arial" w:cs="Arial" w:eastAsia="Arial" w:hAnsi="Arial"/>
          <w:sz w:val="18"/>
          <w:szCs w:val="18"/>
          <w:color w:val="auto"/>
        </w:rPr>
        <w:t xml:space="preserve">”: as defined in </w:t>
      </w:r>
      <w:r>
        <w:rPr>
          <w:rFonts w:ascii="Arial" w:cs="Arial" w:eastAsia="Arial" w:hAnsi="Arial"/>
          <w:sz w:val="18"/>
          <w:szCs w:val="18"/>
          <w:u w:val="single" w:color="auto"/>
          <w:color w:val="auto"/>
        </w:rPr>
        <w:t>Section 3.23</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SEC</w:t>
      </w:r>
      <w:r>
        <w:rPr>
          <w:rFonts w:ascii="Arial" w:cs="Arial" w:eastAsia="Arial" w:hAnsi="Arial"/>
          <w:sz w:val="18"/>
          <w:szCs w:val="18"/>
          <w:color w:val="auto"/>
        </w:rPr>
        <w:t>”: the United States Securities and Exchange Commission and any successor thereto.</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Second Amendment</w:t>
      </w:r>
      <w:r>
        <w:rPr>
          <w:rFonts w:ascii="Arial" w:cs="Arial" w:eastAsia="Arial" w:hAnsi="Arial"/>
          <w:sz w:val="18"/>
          <w:szCs w:val="18"/>
          <w:color w:val="auto"/>
        </w:rPr>
        <w:t>”: that certain Second Amendment to Credit Agreement dated as of the Second Amendment Effective Date, by and among the Borrower, the Parent, the Lenders and the Agent.</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Second Amendment Effective Date</w:t>
      </w:r>
      <w:r>
        <w:rPr>
          <w:rFonts w:ascii="Arial" w:cs="Arial" w:eastAsia="Arial" w:hAnsi="Arial"/>
          <w:sz w:val="18"/>
          <w:szCs w:val="18"/>
          <w:color w:val="auto"/>
        </w:rPr>
        <w:t>”: May [●], 2023.</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Second Amendment Warrants</w:t>
      </w:r>
      <w:r>
        <w:rPr>
          <w:rFonts w:ascii="Arial" w:cs="Arial" w:eastAsia="Arial" w:hAnsi="Arial"/>
          <w:sz w:val="18"/>
          <w:szCs w:val="18"/>
          <w:color w:val="auto"/>
        </w:rPr>
        <w:t>”: those certain warrants to purchase 2,000,000 shares of Parent Common Stock at a purchase price of $0.01 per share issued by Parent pursuant to the Fee Letter to the Lenders on the Second Amendment Effective Date, as may be amended, restated, supplemented or otherwise modified from time to time.</w:t>
      </w:r>
    </w:p>
    <w:p>
      <w:pPr>
        <w:spacing w:after="0" w:line="18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Securities Act</w:t>
      </w:r>
      <w:r>
        <w:rPr>
          <w:rFonts w:ascii="Arial" w:cs="Arial" w:eastAsia="Arial" w:hAnsi="Arial"/>
          <w:sz w:val="18"/>
          <w:szCs w:val="18"/>
          <w:color w:val="auto"/>
        </w:rPr>
        <w:t>”: the Securities Act of 1933, as amended, or any similar federal statute, and the rules and regulations thereunder as the same shall be in effect at the time.</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Securities Accounts</w:t>
      </w:r>
      <w:r>
        <w:rPr>
          <w:rFonts w:ascii="Arial" w:cs="Arial" w:eastAsia="Arial" w:hAnsi="Arial"/>
          <w:sz w:val="18"/>
          <w:szCs w:val="18"/>
          <w:color w:val="auto"/>
        </w:rPr>
        <w:t>”: all “securities accounts” as defined in Article 8 of the UCC.</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Security Agreement</w:t>
      </w:r>
      <w:r>
        <w:rPr>
          <w:rFonts w:ascii="Arial" w:cs="Arial" w:eastAsia="Arial" w:hAnsi="Arial"/>
          <w:sz w:val="18"/>
          <w:szCs w:val="18"/>
          <w:color w:val="auto"/>
        </w:rPr>
        <w:t>”: that certain Guarantee and Collateral Agreement, dated as of the date hereof, by and among the Borrower, the other Loan Parties, and Agent, as may be amended, restated, supplemented or otherwise modified from time to time.</w:t>
      </w:r>
    </w:p>
    <w:p>
      <w:pPr>
        <w:spacing w:after="0" w:line="170"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Security Documents</w:t>
      </w:r>
      <w:r>
        <w:rPr>
          <w:rFonts w:ascii="Arial" w:cs="Arial" w:eastAsia="Arial" w:hAnsi="Arial"/>
          <w:sz w:val="17"/>
          <w:szCs w:val="17"/>
          <w:color w:val="auto"/>
        </w:rPr>
        <w:t>”: the collective reference to the Security Agreement, any Control Agreement, any Collateral Access Agreement and all other security documents hereafter delivered to Agent granting a Lien on any property of any Person to secure the Obligations of any Loan Party arising under any Loan Document, and all financing statements, fixtures filings, patent, trademark and copyright filings, assignments, acknowledgments and other filings, documents and agreements made or delivered pursuant to any of the foregoing.</w:t>
      </w:r>
    </w:p>
    <w:p>
      <w:pPr>
        <w:spacing w:after="0" w:line="171"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Solvent</w:t>
      </w:r>
      <w:r>
        <w:rPr>
          <w:rFonts w:ascii="Arial" w:cs="Arial" w:eastAsia="Arial" w:hAnsi="Arial"/>
          <w:sz w:val="17"/>
          <w:szCs w:val="17"/>
          <w:color w:val="auto"/>
        </w:rPr>
        <w:t>”: when used with respect to any Person, means that, as of any date of determination, (a) the amount of the “fair value” of the assets of such Person will, as of such date, exceed the amount of all “liabilities of such Person, contingent or otherwise,” as of such date, as such quoted terms are determined in accordance with applicable federal and state Laws governing determinations of the insolvency of debtors, (b) the “present fair saleable value” of the assets of such Person will, as of such date, be greater than the amount that will be required to pay the liability of such Person on its debts as such debts become absolute and matured, as such quoted terms are determined in accordance with applicable federal and state Laws governing determinations of the insolvency of debtors, (c) such Person will not have, as of such date, an unreasonably small amount of capital with which to conduct its business, and (d) such Person will be able to pay its debts as they mature. For purposes of this definition, (i) “debt” means liability on a “claim”, and (ii) “claim” means any (x) right to payment, whether or not such a right is reduced to judgment, liquidated, unliquidated, fixed, contingent, matured, unmatured, disputed, undisputed, legal, equitable, secured or unsecured or (y) right to an equitable remedy for breach of performance if such breach gives rise to a right to payment, whether or not such right to an equitable remedy is reduced to judgment, fixed, contingent, matured or unmatured, disputed, undisputed, secured or unsecured.</w:t>
      </w:r>
    </w:p>
    <w:p>
      <w:pPr>
        <w:spacing w:after="0" w:line="182"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SPAC Business Combination</w:t>
      </w:r>
      <w:r>
        <w:rPr>
          <w:rFonts w:ascii="Arial" w:cs="Arial" w:eastAsia="Arial" w:hAnsi="Arial"/>
          <w:sz w:val="17"/>
          <w:szCs w:val="17"/>
          <w:color w:val="auto"/>
        </w:rPr>
        <w:t>”: the business combination transaction contemplated by the SPAC Merger Agreement, pursuant to which (a) Ventoux Merger Sub I Inc. will merge with and into E La Carte, Inc. (the “</w:t>
      </w:r>
      <w:r>
        <w:rPr>
          <w:rFonts w:ascii="Arial" w:cs="Arial" w:eastAsia="Arial" w:hAnsi="Arial"/>
          <w:sz w:val="17"/>
          <w:szCs w:val="17"/>
          <w:b w:val="1"/>
          <w:bCs w:val="1"/>
          <w:i w:val="1"/>
          <w:iCs w:val="1"/>
          <w:color w:val="auto"/>
        </w:rPr>
        <w:t>First Merger</w:t>
      </w:r>
      <w:r>
        <w:rPr>
          <w:rFonts w:ascii="Arial" w:cs="Arial" w:eastAsia="Arial" w:hAnsi="Arial"/>
          <w:sz w:val="17"/>
          <w:szCs w:val="17"/>
          <w:color w:val="auto"/>
        </w:rPr>
        <w:t>”), with E La Carte, Inc. being the surviving entity in the First Merger and continuing (immediately following the First Merger) as a wholly-owned subsidiary of Parent (the “</w:t>
      </w:r>
      <w:r>
        <w:rPr>
          <w:rFonts w:ascii="Arial" w:cs="Arial" w:eastAsia="Arial" w:hAnsi="Arial"/>
          <w:sz w:val="17"/>
          <w:szCs w:val="17"/>
          <w:b w:val="1"/>
          <w:bCs w:val="1"/>
          <w:i w:val="1"/>
          <w:iCs w:val="1"/>
          <w:color w:val="auto"/>
        </w:rPr>
        <w:t>Surviving Corporation</w:t>
      </w:r>
      <w:r>
        <w:rPr>
          <w:rFonts w:ascii="Arial" w:cs="Arial" w:eastAsia="Arial" w:hAnsi="Arial"/>
          <w:sz w:val="17"/>
          <w:szCs w:val="17"/>
          <w:color w:val="auto"/>
        </w:rPr>
        <w:t>”) and (b) immediately following the First Merger and as part of the same overall transaction as the First Merger, the Surviving Corporation will merge with and into Presto (the “</w:t>
      </w:r>
      <w:r>
        <w:rPr>
          <w:rFonts w:ascii="Arial" w:cs="Arial" w:eastAsia="Arial" w:hAnsi="Arial"/>
          <w:sz w:val="17"/>
          <w:szCs w:val="17"/>
          <w:b w:val="1"/>
          <w:bCs w:val="1"/>
          <w:i w:val="1"/>
          <w:iCs w:val="1"/>
          <w:color w:val="auto"/>
        </w:rPr>
        <w:t>Second Merger</w:t>
      </w:r>
      <w:r>
        <w:rPr>
          <w:rFonts w:ascii="Arial" w:cs="Arial" w:eastAsia="Arial" w:hAnsi="Arial"/>
          <w:sz w:val="17"/>
          <w:szCs w:val="17"/>
          <w:color w:val="auto"/>
        </w:rPr>
        <w:t>”), with Presto being the surviving entity in the Second Merger and continuing (immediately following the Second Merger) as a wholly-owned subsidiary of Parent, at which time Parent shall be renamed “Presto Automation Inc.”.</w:t>
      </w:r>
    </w:p>
    <w:p>
      <w:pPr>
        <w:spacing w:after="0" w:line="178"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SPAC Merger Agreement</w:t>
      </w:r>
      <w:r>
        <w:rPr>
          <w:rFonts w:ascii="Arial" w:cs="Arial" w:eastAsia="Arial" w:hAnsi="Arial"/>
          <w:sz w:val="18"/>
          <w:szCs w:val="18"/>
          <w:color w:val="auto"/>
        </w:rPr>
        <w:t>”: that certain Agreement and Plan of Merger, dated as of November 10, 2021, among E La Carte, Inc., the Parent, Ventoux Merger Sub I Inc. and Ventoux Merger Sub II LLC, as amended on April 1, 2022 and July 25, 2022, as in effect on the date hereof or as later amended, restated, supplemented or otherwise modified with the consent of the Agent, in its Permitted Discretion.</w:t>
      </w:r>
    </w:p>
    <w:p>
      <w:pPr>
        <w:spacing w:after="0" w:line="400"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36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Presto Credit Agreement</w:t>
            </w:r>
          </w:p>
        </w:tc>
        <w:tc>
          <w:tcPr>
            <w:tcW w:w="7580" w:type="dxa"/>
            <w:vAlign w:val="bottom"/>
            <w:tcBorders>
              <w:bottom w:val="single" w:sz="8" w:color="auto"/>
            </w:tcBorders>
          </w:tcPr>
          <w:p>
            <w:pPr>
              <w:jc w:val="right"/>
              <w:ind w:right="5430"/>
              <w:spacing w:after="0"/>
              <w:rPr>
                <w:sz w:val="20"/>
                <w:szCs w:val="20"/>
                <w:color w:val="auto"/>
              </w:rPr>
            </w:pPr>
            <w:r>
              <w:rPr>
                <w:rFonts w:ascii="Arial" w:cs="Arial" w:eastAsia="Arial" w:hAnsi="Arial"/>
                <w:sz w:val="18"/>
                <w:szCs w:val="18"/>
                <w:color w:val="auto"/>
              </w:rPr>
              <w:t>17</w:t>
            </w:r>
          </w:p>
        </w:tc>
      </w:tr>
    </w:tbl>
    <w:p>
      <w:pPr>
        <w:sectPr>
          <w:pgSz w:w="11900" w:h="16838" w:orient="portrait"/>
          <w:cols w:equalWidth="0" w:num="1">
            <w:col w:w="11240"/>
          </w:cols>
          <w:pgMar w:left="320" w:top="908" w:right="339" w:bottom="1440" w:gutter="0" w:footer="0" w:header="0"/>
        </w:sectPr>
      </w:pPr>
    </w:p>
    <w:bookmarkStart w:id="104" w:name="page105"/>
    <w:bookmarkEnd w:id="104"/>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SPAC Subscription Agreement(s)</w:t>
      </w:r>
      <w:r>
        <w:rPr>
          <w:rFonts w:ascii="Arial" w:cs="Arial" w:eastAsia="Arial" w:hAnsi="Arial"/>
          <w:sz w:val="18"/>
          <w:szCs w:val="18"/>
          <w:color w:val="auto"/>
        </w:rPr>
        <w:t xml:space="preserve">”: each subscription agreement executed in connection with the SPAC Transaction for Parent Common Stock, including, without limitation, those identified on </w:t>
      </w:r>
      <w:r>
        <w:rPr>
          <w:rFonts w:ascii="Arial" w:cs="Arial" w:eastAsia="Arial" w:hAnsi="Arial"/>
          <w:sz w:val="18"/>
          <w:szCs w:val="18"/>
          <w:u w:val="single" w:color="auto"/>
          <w:color w:val="auto"/>
        </w:rPr>
        <w:t>Schedule 1.1(d)</w:t>
      </w:r>
      <w:r>
        <w:rPr>
          <w:rFonts w:ascii="Arial" w:cs="Arial" w:eastAsia="Arial" w:hAnsi="Arial"/>
          <w:sz w:val="18"/>
          <w:szCs w:val="18"/>
          <w:color w:val="auto"/>
        </w:rPr>
        <w:t>.</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SPAC Transaction</w:t>
      </w:r>
      <w:r>
        <w:rPr>
          <w:rFonts w:ascii="Arial" w:cs="Arial" w:eastAsia="Arial" w:hAnsi="Arial"/>
          <w:sz w:val="18"/>
          <w:szCs w:val="18"/>
          <w:color w:val="auto"/>
        </w:rPr>
        <w:t>”: the consummation of the SPAC Business Combination, including the closing of the PIPE Transactions and all other transactions contemplated by the SPAC Merger Agreement.</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Specified Locations</w:t>
      </w:r>
      <w:r>
        <w:rPr>
          <w:rFonts w:ascii="Arial" w:cs="Arial" w:eastAsia="Arial" w:hAnsi="Arial"/>
          <w:sz w:val="18"/>
          <w:szCs w:val="18"/>
          <w:color w:val="auto"/>
        </w:rPr>
        <w:t>”: means (a) 816 Hamilton St., Redwood City, CA 94063 and (b) each other location identified by Borrower to Agent from time to time hereafter and approved by Agent in its Permitted Discretion.</w:t>
      </w:r>
    </w:p>
    <w:p>
      <w:pPr>
        <w:spacing w:after="0" w:line="170"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Sponsor Support Agreement</w:t>
      </w:r>
      <w:r>
        <w:rPr>
          <w:rFonts w:ascii="Arial" w:cs="Arial" w:eastAsia="Arial" w:hAnsi="Arial"/>
          <w:sz w:val="16"/>
          <w:szCs w:val="16"/>
          <w:color w:val="auto"/>
        </w:rPr>
        <w:t>”: that certain Amended and Restated Sponsor Support Agreement dated as of July 25, 2022 by and among, Parent, the Sponsors, E La Carte, Inc. and the other parties thereto, as may be amended, restated, supplemented or otherwise modified from time to time.</w:t>
      </w:r>
    </w:p>
    <w:p>
      <w:pPr>
        <w:spacing w:after="0" w:line="12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Sponsors</w:t>
      </w:r>
      <w:r>
        <w:rPr>
          <w:rFonts w:ascii="Arial" w:cs="Arial" w:eastAsia="Arial" w:hAnsi="Arial"/>
          <w:sz w:val="18"/>
          <w:szCs w:val="18"/>
          <w:color w:val="auto"/>
        </w:rPr>
        <w:t>”: Ventoux Acquisition Holdings LLC and Chardan International Investments, LLC.</w:t>
      </w:r>
    </w:p>
    <w:p>
      <w:pPr>
        <w:spacing w:after="0" w:line="221"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Starting Cash</w:t>
      </w:r>
      <w:r>
        <w:rPr>
          <w:rFonts w:ascii="Arial" w:cs="Arial" w:eastAsia="Arial" w:hAnsi="Arial"/>
          <w:sz w:val="18"/>
          <w:szCs w:val="18"/>
          <w:b w:val="1"/>
          <w:bCs w:val="1"/>
          <w:color w:val="auto"/>
        </w:rPr>
        <w:t xml:space="preserve">” </w:t>
      </w:r>
      <w:r>
        <w:rPr>
          <w:rFonts w:ascii="Arial" w:cs="Arial" w:eastAsia="Arial" w:hAnsi="Arial"/>
          <w:sz w:val="18"/>
          <w:szCs w:val="18"/>
          <w:color w:val="auto"/>
        </w:rPr>
        <w:t>as of any date of determination, Borrower’s cash on hand as of the day prior to the start of the applicable period,</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minus</w:t>
      </w:r>
      <w:r>
        <w:rPr>
          <w:rFonts w:ascii="Arial" w:cs="Arial" w:eastAsia="Arial" w:hAnsi="Arial"/>
          <w:sz w:val="18"/>
          <w:szCs w:val="18"/>
          <w:b w:val="1"/>
          <w:bCs w:val="1"/>
          <w:color w:val="auto"/>
        </w:rPr>
        <w:t xml:space="preserve"> </w:t>
      </w:r>
      <w:r>
        <w:rPr>
          <w:rFonts w:ascii="Arial" w:cs="Arial" w:eastAsia="Arial" w:hAnsi="Arial"/>
          <w:sz w:val="18"/>
          <w:szCs w:val="18"/>
          <w:color w:val="auto"/>
        </w:rPr>
        <w:t>all cash</w:t>
      </w:r>
      <w:r>
        <w:rPr>
          <w:rFonts w:ascii="Arial" w:cs="Arial" w:eastAsia="Arial" w:hAnsi="Arial"/>
          <w:sz w:val="18"/>
          <w:szCs w:val="18"/>
          <w:b w:val="1"/>
          <w:bCs w:val="1"/>
          <w:color w:val="auto"/>
        </w:rPr>
        <w:t xml:space="preserve"> </w:t>
      </w:r>
      <w:r>
        <w:rPr>
          <w:rFonts w:ascii="Arial" w:cs="Arial" w:eastAsia="Arial" w:hAnsi="Arial"/>
          <w:sz w:val="18"/>
          <w:szCs w:val="18"/>
          <w:color w:val="auto"/>
        </w:rPr>
        <w:t>proceeds of the issuance or incurrence of Indebtedness or Equity Interests from and after May 31, 2023 through the day prior to the start of the applicable period.</w:t>
      </w:r>
    </w:p>
    <w:p>
      <w:pPr>
        <w:spacing w:after="0" w:line="18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Stockholder Support Agreement</w:t>
      </w:r>
      <w:r>
        <w:rPr>
          <w:rFonts w:ascii="Arial" w:cs="Arial" w:eastAsia="Arial" w:hAnsi="Arial"/>
          <w:sz w:val="18"/>
          <w:szCs w:val="18"/>
          <w:color w:val="auto"/>
        </w:rPr>
        <w:t>”: that certain Amended and Restated Support Agreement dated as of July 25, 2022 by and among, Parent, E La Carte, Inc., and certain stockholders of E La Carte, Inc. party thereto.</w:t>
      </w:r>
    </w:p>
    <w:p>
      <w:pPr>
        <w:spacing w:after="0" w:line="17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Subordinated Debt</w:t>
      </w:r>
      <w:r>
        <w:rPr>
          <w:rFonts w:ascii="Arial" w:cs="Arial" w:eastAsia="Arial" w:hAnsi="Arial"/>
          <w:sz w:val="18"/>
          <w:szCs w:val="18"/>
          <w:color w:val="auto"/>
        </w:rPr>
        <w:t>”: unsecured Indebtedness incurred with the prior written consent of the Agent in its sole discretion, the payment of which is subordinated as to right and time of payment and as to other rights and remedies thereunder and having such subordination and other terms as are, in each case, satisfactory to Agent in its sole discretion.</w:t>
      </w:r>
    </w:p>
    <w:p>
      <w:pPr>
        <w:spacing w:after="0" w:line="184"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Subsidiary</w:t>
      </w:r>
      <w:r>
        <w:rPr>
          <w:rFonts w:ascii="Arial" w:cs="Arial" w:eastAsia="Arial" w:hAnsi="Arial"/>
          <w:sz w:val="17"/>
          <w:szCs w:val="17"/>
          <w:color w:val="auto"/>
        </w:rPr>
        <w:t>”: as to any Person, a corporation, partnership, limited liability company or other entity of which shares of stock or other ownership interests having ordinary voting power (other than stock or such other ownership interests having such power only by reason of the happening of a contingency) to elect a majority of the board of directors or other managers of such corporation, partnership or other entity are at the time owned, or the management of which is otherwise controlled, directly or indirectly through one or more intermediaries, or both, by such Person.</w:t>
      </w:r>
    </w:p>
    <w:p>
      <w:pPr>
        <w:spacing w:after="0" w:line="17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Tax Distributions</w:t>
      </w:r>
      <w:r>
        <w:rPr>
          <w:rFonts w:ascii="Arial" w:cs="Arial" w:eastAsia="Arial" w:hAnsi="Arial"/>
          <w:sz w:val="18"/>
          <w:szCs w:val="18"/>
          <w:color w:val="auto"/>
        </w:rPr>
        <w:t>”: with respect to any taxable period for which Borrower is a member of a consolidated, combined, affiliated, unitary or similar income tax group for U.S. federal and/or applicable state or local income tax purposes of which another Person is the common parent, cash distributions by Borrower in an amount not to exceed the amount of any U.S. federal, state and/or local income taxes that Borrower would have paid for such taxable period had Borrower been a stand-alone corporate taxpayer or the common parent of a consolidated, combined, affiliated, unitary or similar income tax group including its Subsidiaries.</w:t>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36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Presto Credit Agreement</w:t>
            </w:r>
          </w:p>
        </w:tc>
        <w:tc>
          <w:tcPr>
            <w:tcW w:w="7580" w:type="dxa"/>
            <w:vAlign w:val="bottom"/>
            <w:tcBorders>
              <w:bottom w:val="single" w:sz="8" w:color="auto"/>
            </w:tcBorders>
          </w:tcPr>
          <w:p>
            <w:pPr>
              <w:jc w:val="right"/>
              <w:ind w:right="5430"/>
              <w:spacing w:after="0"/>
              <w:rPr>
                <w:sz w:val="20"/>
                <w:szCs w:val="20"/>
                <w:color w:val="auto"/>
              </w:rPr>
            </w:pPr>
            <w:r>
              <w:rPr>
                <w:rFonts w:ascii="Arial" w:cs="Arial" w:eastAsia="Arial" w:hAnsi="Arial"/>
                <w:sz w:val="18"/>
                <w:szCs w:val="18"/>
                <w:color w:val="auto"/>
              </w:rPr>
              <w:t>18</w:t>
            </w:r>
          </w:p>
        </w:tc>
      </w:tr>
    </w:tbl>
    <w:p>
      <w:pPr>
        <w:sectPr>
          <w:pgSz w:w="11900" w:h="16838" w:orient="portrait"/>
          <w:cols w:equalWidth="0" w:num="1">
            <w:col w:w="11240"/>
          </w:cols>
          <w:pgMar w:left="320" w:top="908" w:right="339" w:bottom="1440" w:gutter="0" w:footer="0" w:header="0"/>
        </w:sectPr>
      </w:pPr>
    </w:p>
    <w:bookmarkStart w:id="105" w:name="page106"/>
    <w:bookmarkEnd w:id="105"/>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Taxes</w:t>
      </w:r>
      <w:r>
        <w:rPr>
          <w:rFonts w:ascii="Arial" w:cs="Arial" w:eastAsia="Arial" w:hAnsi="Arial"/>
          <w:sz w:val="18"/>
          <w:szCs w:val="18"/>
          <w:color w:val="auto"/>
        </w:rPr>
        <w:t>”: all present or future taxes, levies, imposts, duties, deductions, withholdings (including backup withholding), assessments, fees or other charges imposed by any Governmental Authority, including any interest, additions to tax or penalties applicable thereto.</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Term Loan</w:t>
      </w:r>
      <w:r>
        <w:rPr>
          <w:rFonts w:ascii="Arial" w:cs="Arial" w:eastAsia="Arial" w:hAnsi="Arial"/>
          <w:sz w:val="18"/>
          <w:szCs w:val="18"/>
          <w:color w:val="auto"/>
        </w:rPr>
        <w:t xml:space="preserve">”: as defined in </w:t>
      </w:r>
      <w:r>
        <w:rPr>
          <w:rFonts w:ascii="Arial" w:cs="Arial" w:eastAsia="Arial" w:hAnsi="Arial"/>
          <w:sz w:val="18"/>
          <w:szCs w:val="18"/>
          <w:u w:val="single" w:color="auto"/>
          <w:color w:val="auto"/>
        </w:rPr>
        <w:t>Section 2.1</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Term Loan Commitment</w:t>
      </w:r>
      <w:r>
        <w:rPr>
          <w:rFonts w:ascii="Arial" w:cs="Arial" w:eastAsia="Arial" w:hAnsi="Arial"/>
          <w:sz w:val="18"/>
          <w:szCs w:val="18"/>
          <w:color w:val="auto"/>
        </w:rPr>
        <w:t>”: the commitment of a Lender to make or otherwise fund Term Loan and “</w:t>
      </w:r>
      <w:r>
        <w:rPr>
          <w:rFonts w:ascii="Arial" w:cs="Arial" w:eastAsia="Arial" w:hAnsi="Arial"/>
          <w:sz w:val="18"/>
          <w:szCs w:val="18"/>
          <w:b w:val="1"/>
          <w:bCs w:val="1"/>
          <w:i w:val="1"/>
          <w:iCs w:val="1"/>
          <w:color w:val="auto"/>
        </w:rPr>
        <w:t>Term Loan Commitments</w:t>
      </w:r>
      <w:r>
        <w:rPr>
          <w:rFonts w:ascii="Arial" w:cs="Arial" w:eastAsia="Arial" w:hAnsi="Arial"/>
          <w:sz w:val="18"/>
          <w:szCs w:val="18"/>
          <w:color w:val="auto"/>
        </w:rPr>
        <w:t xml:space="preserve">” means such commitments of all Lenders to fund the Term Loan in the aggregate. The amount of each Lender’s Term Loan Commitment, if any, is set forth on </w:t>
      </w:r>
      <w:r>
        <w:rPr>
          <w:rFonts w:ascii="Arial" w:cs="Arial" w:eastAsia="Arial" w:hAnsi="Arial"/>
          <w:sz w:val="18"/>
          <w:szCs w:val="18"/>
          <w:u w:val="single" w:color="auto"/>
          <w:color w:val="auto"/>
        </w:rPr>
        <w:t>Schedule</w:t>
      </w:r>
      <w:r>
        <w:rPr>
          <w:rFonts w:ascii="Arial" w:cs="Arial" w:eastAsia="Arial" w:hAnsi="Arial"/>
          <w:sz w:val="18"/>
          <w:szCs w:val="18"/>
          <w:color w:val="auto"/>
        </w:rPr>
        <w:t xml:space="preserve"> </w:t>
      </w:r>
      <w:r>
        <w:rPr>
          <w:rFonts w:ascii="Arial" w:cs="Arial" w:eastAsia="Arial" w:hAnsi="Arial"/>
          <w:sz w:val="18"/>
          <w:szCs w:val="18"/>
          <w:u w:val="single" w:color="auto"/>
          <w:color w:val="auto"/>
        </w:rPr>
        <w:t>1.1(a)</w:t>
      </w:r>
      <w:r>
        <w:rPr>
          <w:rFonts w:ascii="Arial" w:cs="Arial" w:eastAsia="Arial" w:hAnsi="Arial"/>
          <w:sz w:val="18"/>
          <w:szCs w:val="18"/>
          <w:color w:val="auto"/>
        </w:rPr>
        <w:t xml:space="preserve"> attached hereto, subject to any adjustment or reduction pursuant to the terms and conditions hereof. The aggregate amount of the Term Loan Commitments as of the Closing Date, prior to the funding of the Term Loan, is $55,000,000.</w:t>
      </w:r>
    </w:p>
    <w:p>
      <w:pPr>
        <w:spacing w:after="0" w:line="18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Touch Annual Platform Revenue</w:t>
      </w:r>
      <w:r>
        <w:rPr>
          <w:rFonts w:ascii="Arial" w:cs="Arial" w:eastAsia="Arial" w:hAnsi="Arial"/>
          <w:sz w:val="18"/>
          <w:szCs w:val="18"/>
          <w:color w:val="auto"/>
        </w:rPr>
        <w:t xml:space="preserve">”: for any date of determination, (a) Touch Platform Revenue for the three (3) consecutive month period ending as of such date </w:t>
      </w:r>
      <w:r>
        <w:rPr>
          <w:rFonts w:ascii="Arial" w:cs="Arial" w:eastAsia="Arial" w:hAnsi="Arial"/>
          <w:sz w:val="18"/>
          <w:szCs w:val="18"/>
          <w:u w:val="single" w:color="auto"/>
          <w:color w:val="auto"/>
        </w:rPr>
        <w:t>multiplied</w:t>
      </w:r>
      <w:r>
        <w:rPr>
          <w:rFonts w:ascii="Arial" w:cs="Arial" w:eastAsia="Arial" w:hAnsi="Arial"/>
          <w:sz w:val="18"/>
          <w:szCs w:val="18"/>
          <w:color w:val="auto"/>
        </w:rPr>
        <w:t xml:space="preserve"> by (b) four (4).</w:t>
      </w:r>
    </w:p>
    <w:p>
      <w:pPr>
        <w:spacing w:after="0" w:line="17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Touch Platform Revenue</w:t>
      </w:r>
      <w:r>
        <w:rPr>
          <w:rFonts w:ascii="Arial" w:cs="Arial" w:eastAsia="Arial" w:hAnsi="Arial"/>
          <w:sz w:val="18"/>
          <w:szCs w:val="18"/>
          <w:color w:val="auto"/>
        </w:rPr>
        <w:t xml:space="preserve">”: platform revenue earned during any calendar month by Borrower from (a) Borrower’s sale of hardware to restaurants and (b) subscriptions for Borrower’s software products entered into by restaurants, and calculated in a manner consistent with the calculation of same on </w:t>
      </w:r>
      <w:r>
        <w:rPr>
          <w:rFonts w:ascii="Arial" w:cs="Arial" w:eastAsia="Arial" w:hAnsi="Arial"/>
          <w:sz w:val="18"/>
          <w:szCs w:val="18"/>
          <w:u w:val="single" w:color="auto"/>
          <w:color w:val="auto"/>
        </w:rPr>
        <w:t>Exhibit E</w:t>
      </w:r>
      <w:r>
        <w:rPr>
          <w:rFonts w:ascii="Arial" w:cs="Arial" w:eastAsia="Arial" w:hAnsi="Arial"/>
          <w:sz w:val="18"/>
          <w:szCs w:val="18"/>
          <w:color w:val="auto"/>
        </w:rPr>
        <w:t>.</w:t>
      </w:r>
    </w:p>
    <w:p>
      <w:pPr>
        <w:spacing w:after="0" w:line="18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UCC</w:t>
      </w:r>
      <w:r>
        <w:rPr>
          <w:rFonts w:ascii="Arial" w:cs="Arial" w:eastAsia="Arial" w:hAnsi="Arial"/>
          <w:sz w:val="18"/>
          <w:szCs w:val="18"/>
          <w:color w:val="auto"/>
        </w:rPr>
        <w:t>”: the Uniform Commercial Code (or any similar or equivalent legislation) as in effect from time to time in the State of New York, or as the context may require, any other applicable jurisdiction.</w:t>
      </w:r>
    </w:p>
    <w:p>
      <w:pPr>
        <w:spacing w:after="0" w:line="170"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Unrestricted Cash</w:t>
      </w:r>
      <w:r>
        <w:rPr>
          <w:rFonts w:ascii="Arial" w:cs="Arial" w:eastAsia="Arial" w:hAnsi="Arial"/>
          <w:sz w:val="17"/>
          <w:szCs w:val="17"/>
          <w:color w:val="auto"/>
        </w:rPr>
        <w:t xml:space="preserve">”: as of any date of determination, the sum of (i) all unrestricted balance sheet cash of the Borrower that is on deposit in any Deposit Account that is, subject to </w:t>
      </w:r>
      <w:r>
        <w:rPr>
          <w:rFonts w:ascii="Arial" w:cs="Arial" w:eastAsia="Arial" w:hAnsi="Arial"/>
          <w:sz w:val="17"/>
          <w:szCs w:val="17"/>
          <w:u w:val="single" w:color="auto"/>
          <w:color w:val="auto"/>
        </w:rPr>
        <w:t>Section 5.13(b)</w:t>
      </w:r>
      <w:r>
        <w:rPr>
          <w:rFonts w:ascii="Arial" w:cs="Arial" w:eastAsia="Arial" w:hAnsi="Arial"/>
          <w:sz w:val="17"/>
          <w:szCs w:val="17"/>
          <w:color w:val="auto"/>
        </w:rPr>
        <w:t xml:space="preserve">, subject to a Control Agreement in favor of the Agent, and (ii) all unrestricted Cash Equivalents of the Borrower held in a Securities Account that is, subject to </w:t>
      </w:r>
      <w:r>
        <w:rPr>
          <w:rFonts w:ascii="Arial" w:cs="Arial" w:eastAsia="Arial" w:hAnsi="Arial"/>
          <w:sz w:val="17"/>
          <w:szCs w:val="17"/>
          <w:u w:val="single" w:color="auto"/>
          <w:color w:val="auto"/>
        </w:rPr>
        <w:t>Section 5.13(b)</w:t>
      </w:r>
      <w:r>
        <w:rPr>
          <w:rFonts w:ascii="Arial" w:cs="Arial" w:eastAsia="Arial" w:hAnsi="Arial"/>
          <w:sz w:val="17"/>
          <w:szCs w:val="17"/>
          <w:color w:val="auto"/>
        </w:rPr>
        <w:t>, subject to a Control Agreement in favor of Agent.</w:t>
      </w:r>
    </w:p>
    <w:p>
      <w:pPr>
        <w:spacing w:after="0" w:line="16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U.S. Person</w:t>
      </w:r>
      <w:r>
        <w:rPr>
          <w:rFonts w:ascii="Arial" w:cs="Arial" w:eastAsia="Arial" w:hAnsi="Arial"/>
          <w:sz w:val="18"/>
          <w:szCs w:val="18"/>
          <w:color w:val="auto"/>
        </w:rPr>
        <w:t>”: any Person that is a “United States Person” as defined in Section 7701(a)(30) of the Code.</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Voice Annual Platform Revenue</w:t>
      </w:r>
      <w:r>
        <w:rPr>
          <w:rFonts w:ascii="Arial" w:cs="Arial" w:eastAsia="Arial" w:hAnsi="Arial"/>
          <w:sz w:val="18"/>
          <w:szCs w:val="18"/>
          <w:color w:val="auto"/>
        </w:rPr>
        <w:t xml:space="preserve">”: for any date of determination, (a) Voice Platform Revenue for the three (3) consecutive month period ending as of such date </w:t>
      </w:r>
      <w:r>
        <w:rPr>
          <w:rFonts w:ascii="Arial" w:cs="Arial" w:eastAsia="Arial" w:hAnsi="Arial"/>
          <w:sz w:val="18"/>
          <w:szCs w:val="18"/>
          <w:u w:val="single" w:color="auto"/>
          <w:color w:val="auto"/>
        </w:rPr>
        <w:t>multiplied</w:t>
      </w:r>
      <w:r>
        <w:rPr>
          <w:rFonts w:ascii="Arial" w:cs="Arial" w:eastAsia="Arial" w:hAnsi="Arial"/>
          <w:sz w:val="18"/>
          <w:szCs w:val="18"/>
          <w:color w:val="auto"/>
        </w:rPr>
        <w:t xml:space="preserve"> by (b) four (4).</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Voice Platform Revenue</w:t>
      </w:r>
      <w:r>
        <w:rPr>
          <w:rFonts w:ascii="Arial" w:cs="Arial" w:eastAsia="Arial" w:hAnsi="Arial"/>
          <w:sz w:val="18"/>
          <w:szCs w:val="18"/>
          <w:color w:val="auto"/>
        </w:rPr>
        <w:t xml:space="preserve">”: platform revenue earned during any calendar month by the Borrower from Voice Products, and calculated in a manner consistent with the calculation of same on </w:t>
      </w:r>
      <w:r>
        <w:rPr>
          <w:rFonts w:ascii="Arial" w:cs="Arial" w:eastAsia="Arial" w:hAnsi="Arial"/>
          <w:sz w:val="18"/>
          <w:szCs w:val="18"/>
          <w:u w:val="single" w:color="auto"/>
          <w:color w:val="auto"/>
        </w:rPr>
        <w:t>Exhibit E</w:t>
      </w:r>
      <w:r>
        <w:rPr>
          <w:rFonts w:ascii="Arial" w:cs="Arial" w:eastAsia="Arial" w:hAnsi="Arial"/>
          <w:sz w:val="18"/>
          <w:szCs w:val="18"/>
          <w:color w:val="auto"/>
        </w:rPr>
        <w:t>.</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Voice Products</w:t>
      </w:r>
      <w:r>
        <w:rPr>
          <w:rFonts w:ascii="Arial" w:cs="Arial" w:eastAsia="Arial" w:hAnsi="Arial"/>
          <w:sz w:val="18"/>
          <w:szCs w:val="18"/>
          <w:color w:val="auto"/>
        </w:rPr>
        <w:t>”: Borrower’s speech recognition technology for use in the customer order process and otherwise determined in a manner consistent with the calculation of Voice Platform Revenue.</w:t>
      </w:r>
    </w:p>
    <w:p>
      <w:pPr>
        <w:spacing w:after="0" w:line="170"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Warrant Agreement</w:t>
      </w:r>
      <w:r>
        <w:rPr>
          <w:rFonts w:ascii="Arial" w:cs="Arial" w:eastAsia="Arial" w:hAnsi="Arial"/>
          <w:sz w:val="16"/>
          <w:szCs w:val="16"/>
          <w:color w:val="auto"/>
        </w:rPr>
        <w:t>”: that certain Amended and Restated Warrant Agreement, dated as of the Closing Date, by and between Parent and Continental Stock Transfer &amp; Trust Company, as Warrant Agent in substantially the form attached as Exhibit A to the Warrant Subscription Agreement.</w:t>
      </w:r>
    </w:p>
    <w:p>
      <w:pPr>
        <w:spacing w:after="0" w:line="12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Warrant Subscription Agreement</w:t>
      </w:r>
      <w:r>
        <w:rPr>
          <w:rFonts w:ascii="Arial" w:cs="Arial" w:eastAsia="Arial" w:hAnsi="Arial"/>
          <w:sz w:val="18"/>
          <w:szCs w:val="18"/>
          <w:color w:val="auto"/>
        </w:rPr>
        <w:t>”: that certain Warrant Subscription Agreement, dated as of the Closing Date, by and between Parent and the Lenders, as may be amended, restated, supplemented or otherwise modified from time to time.</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Warrants</w:t>
      </w:r>
      <w:r>
        <w:rPr>
          <w:rFonts w:ascii="Arial" w:cs="Arial" w:eastAsia="Arial" w:hAnsi="Arial"/>
          <w:sz w:val="18"/>
          <w:szCs w:val="18"/>
          <w:color w:val="auto"/>
        </w:rPr>
        <w:t>”: individually and collectively, the Closing Date Warrants, the First Amendment Warrants, Conversion Warrants, and the Second Amendment Warrants as applicable.</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Withholding Agent</w:t>
      </w:r>
      <w:r>
        <w:rPr>
          <w:rFonts w:ascii="Arial" w:cs="Arial" w:eastAsia="Arial" w:hAnsi="Arial"/>
          <w:sz w:val="18"/>
          <w:szCs w:val="18"/>
          <w:color w:val="auto"/>
        </w:rPr>
        <w:t>”: any Loan Party and Agent.</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XAC Litigation</w:t>
      </w:r>
      <w:r>
        <w:rPr>
          <w:rFonts w:ascii="Arial" w:cs="Arial" w:eastAsia="Arial" w:hAnsi="Arial"/>
          <w:sz w:val="18"/>
          <w:szCs w:val="18"/>
          <w:color w:val="auto"/>
        </w:rPr>
        <w:t>”: means any litigation relating to that certain Final Award, dated June 28, 2022 in respect of SIAC Arbitration No. 099 of 2021 between E La Carte, Inc., as claimant, and XAC Taiwan, as respondent.</w:t>
      </w:r>
    </w:p>
    <w:p>
      <w:pPr>
        <w:spacing w:after="0" w:line="386"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36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Presto Credit Agreement</w:t>
            </w:r>
          </w:p>
        </w:tc>
        <w:tc>
          <w:tcPr>
            <w:tcW w:w="7580" w:type="dxa"/>
            <w:vAlign w:val="bottom"/>
            <w:tcBorders>
              <w:bottom w:val="single" w:sz="8" w:color="auto"/>
            </w:tcBorders>
          </w:tcPr>
          <w:p>
            <w:pPr>
              <w:jc w:val="right"/>
              <w:ind w:right="5430"/>
              <w:spacing w:after="0"/>
              <w:rPr>
                <w:sz w:val="20"/>
                <w:szCs w:val="20"/>
                <w:color w:val="auto"/>
              </w:rPr>
            </w:pPr>
            <w:r>
              <w:rPr>
                <w:rFonts w:ascii="Arial" w:cs="Arial" w:eastAsia="Arial" w:hAnsi="Arial"/>
                <w:sz w:val="18"/>
                <w:szCs w:val="18"/>
                <w:color w:val="auto"/>
              </w:rPr>
              <w:t>19</w:t>
            </w:r>
          </w:p>
        </w:tc>
      </w:tr>
    </w:tbl>
    <w:p>
      <w:pPr>
        <w:sectPr>
          <w:pgSz w:w="11900" w:h="16838" w:orient="portrait"/>
          <w:cols w:equalWidth="0" w:num="1">
            <w:col w:w="11240"/>
          </w:cols>
          <w:pgMar w:left="320" w:top="908" w:right="339" w:bottom="1440" w:gutter="0" w:footer="0" w:header="0"/>
        </w:sectPr>
      </w:pPr>
    </w:p>
    <w:bookmarkStart w:id="106" w:name="page107"/>
    <w:bookmarkEnd w:id="106"/>
    <w:p>
      <w:pPr>
        <w:ind w:left="660"/>
        <w:spacing w:after="0"/>
        <w:rPr>
          <w:sz w:val="20"/>
          <w:szCs w:val="20"/>
          <w:color w:val="auto"/>
        </w:rPr>
      </w:pPr>
      <w:r>
        <w:rPr>
          <w:rFonts w:ascii="Arial" w:cs="Arial" w:eastAsia="Arial" w:hAnsi="Arial"/>
          <w:sz w:val="18"/>
          <w:szCs w:val="18"/>
          <w:b w:val="1"/>
          <w:bCs w:val="1"/>
          <w:color w:val="auto"/>
        </w:rPr>
        <w:t>1.2 Other Definitional Provisions</w:t>
      </w:r>
      <w:r>
        <w:rPr>
          <w:rFonts w:ascii="Arial" w:cs="Arial" w:eastAsia="Arial" w:hAnsi="Arial"/>
          <w:sz w:val="18"/>
          <w:szCs w:val="18"/>
          <w:color w:val="auto"/>
        </w:rPr>
        <w:t>.</w:t>
      </w:r>
    </w:p>
    <w:p>
      <w:pPr>
        <w:spacing w:after="0" w:line="229" w:lineRule="exact"/>
        <w:rPr>
          <w:sz w:val="20"/>
          <w:szCs w:val="20"/>
          <w:color w:val="auto"/>
        </w:rPr>
      </w:pPr>
    </w:p>
    <w:p>
      <w:pPr>
        <w:ind w:firstLine="656"/>
        <w:spacing w:after="0" w:line="277" w:lineRule="auto"/>
        <w:tabs>
          <w:tab w:leader="none" w:pos="931" w:val="left"/>
        </w:tabs>
        <w:numPr>
          <w:ilvl w:val="0"/>
          <w:numId w:val="87"/>
        </w:numPr>
        <w:rPr>
          <w:rFonts w:ascii="Arial" w:cs="Arial" w:eastAsia="Arial" w:hAnsi="Arial"/>
          <w:sz w:val="18"/>
          <w:szCs w:val="18"/>
          <w:color w:val="auto"/>
        </w:rPr>
      </w:pPr>
      <w:r>
        <w:rPr>
          <w:rFonts w:ascii="Arial" w:cs="Arial" w:eastAsia="Arial" w:hAnsi="Arial"/>
          <w:sz w:val="18"/>
          <w:szCs w:val="18"/>
          <w:color w:val="auto"/>
        </w:rPr>
        <w:t>Unless otherwise specified therein, all terms defined in this Agreement shall have the defined meanings when used in the other Loan Documents or any certificate or other document made or delivered pursuant hereto or thereto.</w:t>
      </w:r>
    </w:p>
    <w:p>
      <w:pPr>
        <w:spacing w:after="0" w:line="170" w:lineRule="exact"/>
        <w:rPr>
          <w:rFonts w:ascii="Arial" w:cs="Arial" w:eastAsia="Arial" w:hAnsi="Arial"/>
          <w:sz w:val="18"/>
          <w:szCs w:val="18"/>
          <w:color w:val="auto"/>
        </w:rPr>
      </w:pPr>
    </w:p>
    <w:p>
      <w:pPr>
        <w:jc w:val="both"/>
        <w:ind w:firstLine="656"/>
        <w:spacing w:after="0" w:line="287" w:lineRule="auto"/>
        <w:tabs>
          <w:tab w:leader="none" w:pos="917" w:val="left"/>
        </w:tabs>
        <w:numPr>
          <w:ilvl w:val="0"/>
          <w:numId w:val="87"/>
        </w:numPr>
        <w:rPr>
          <w:rFonts w:ascii="Arial" w:cs="Arial" w:eastAsia="Arial" w:hAnsi="Arial"/>
          <w:sz w:val="16"/>
          <w:szCs w:val="16"/>
          <w:color w:val="auto"/>
        </w:rPr>
      </w:pPr>
      <w:r>
        <w:rPr>
          <w:rFonts w:ascii="Arial" w:cs="Arial" w:eastAsia="Arial" w:hAnsi="Arial"/>
          <w:sz w:val="16"/>
          <w:szCs w:val="16"/>
          <w:color w:val="auto"/>
        </w:rPr>
        <w:t xml:space="preserve">As used herein and in the other Loan Documents, and in any certificate or other document made or delivered pursuant hereto or thereto, (i) accounting terms relating to the Loan Parties not defined in </w:t>
      </w:r>
      <w:r>
        <w:rPr>
          <w:rFonts w:ascii="Arial" w:cs="Arial" w:eastAsia="Arial" w:hAnsi="Arial"/>
          <w:sz w:val="16"/>
          <w:szCs w:val="16"/>
          <w:u w:val="single" w:color="auto"/>
          <w:color w:val="auto"/>
        </w:rPr>
        <w:t>Section 1.1</w:t>
      </w:r>
      <w:r>
        <w:rPr>
          <w:rFonts w:ascii="Arial" w:cs="Arial" w:eastAsia="Arial" w:hAnsi="Arial"/>
          <w:sz w:val="16"/>
          <w:szCs w:val="16"/>
          <w:color w:val="auto"/>
        </w:rPr>
        <w:t xml:space="preserve"> and accounting terms partly defined in </w:t>
      </w:r>
      <w:r>
        <w:rPr>
          <w:rFonts w:ascii="Arial" w:cs="Arial" w:eastAsia="Arial" w:hAnsi="Arial"/>
          <w:sz w:val="16"/>
          <w:szCs w:val="16"/>
          <w:u w:val="single" w:color="auto"/>
          <w:color w:val="auto"/>
        </w:rPr>
        <w:t>Section 1.1</w:t>
      </w:r>
      <w:r>
        <w:rPr>
          <w:rFonts w:ascii="Arial" w:cs="Arial" w:eastAsia="Arial" w:hAnsi="Arial"/>
          <w:sz w:val="16"/>
          <w:szCs w:val="16"/>
          <w:color w:val="auto"/>
        </w:rPr>
        <w:t>, to the extent not defined, shall have the respective meanings given to them under GAAP, (ii) the words “include,” “includes” and “including” shall be deemed to be followed by the phrase “without limitation,” (iii) the word “incur” shall be construed to mean incur, create, issue, assume, become liable in respect of or suffer to exist (and the words “incurred” and “incurrence” shall have correlative meanings), (iv) the words “asset” and “property” shall be construed to have the same meaning and effect and to refer to any and all tangible and intangible assets and properties, including cash, Equity Interests, securities, revenues, accounts, leasehold interests and contract rights, (v) any Default or Event of Default is deemed continuing until waived in writing by Agent or the Required Lenders, (vi) references to agreements (including this Agreement) or other Contractual Obligations, or any Law or regulation, shall, unless otherwise specified, be deemed to refer to such agreements or Contractual Obligations, or Law or regulation, as applicable, as amended, supplemented, restated, amended and restated or otherwise modified from time to time and (vii) all capitalized terms used which are not specifically defined shall have the meanings provided in Article 9 of the UCC in effect on the date hereof to the extent the same are used or defined therein. All references to the principal amount of the Term Loan shall include accrued and capitalized PIK Interest, unless expressly stated otherwise.</w:t>
      </w:r>
    </w:p>
    <w:p>
      <w:pPr>
        <w:spacing w:after="0" w:line="167" w:lineRule="exact"/>
        <w:rPr>
          <w:rFonts w:ascii="Arial" w:cs="Arial" w:eastAsia="Arial" w:hAnsi="Arial"/>
          <w:sz w:val="16"/>
          <w:szCs w:val="16"/>
          <w:color w:val="auto"/>
        </w:rPr>
      </w:pPr>
    </w:p>
    <w:p>
      <w:pPr>
        <w:jc w:val="both"/>
        <w:ind w:firstLine="656"/>
        <w:spacing w:after="0" w:line="253" w:lineRule="auto"/>
        <w:tabs>
          <w:tab w:leader="none" w:pos="905" w:val="left"/>
        </w:tabs>
        <w:numPr>
          <w:ilvl w:val="0"/>
          <w:numId w:val="87"/>
        </w:numPr>
        <w:rPr>
          <w:rFonts w:ascii="Arial" w:cs="Arial" w:eastAsia="Arial" w:hAnsi="Arial"/>
          <w:sz w:val="18"/>
          <w:szCs w:val="18"/>
          <w:color w:val="auto"/>
        </w:rPr>
      </w:pPr>
      <w:r>
        <w:rPr>
          <w:rFonts w:ascii="Arial" w:cs="Arial" w:eastAsia="Arial" w:hAnsi="Arial"/>
          <w:sz w:val="18"/>
          <w:szCs w:val="18"/>
          <w:color w:val="auto"/>
        </w:rPr>
        <w:t>The words “hereof”, “herein” and “hereunder” and words of similar import, when used in this Agreement, shall refer to this Agreement as a whole and not to any particular provision of this Agreement, and all references herein to Sections, Exhibits and Schedules shall be construed to refer to this Agreement unless otherwise specified. The word “will” shall be construed to have the same meaning and effect as the word “shall”. Unless the context requires otherwise, (i) any reference herein to any Person shall be construed to include such Person’s successors and assigns, (ii) any reference to any Law or regulation herein shall, unless otherwise specified, refer to such Law or regulation as amended, modified or supplemented from time to time, (iii) relative to the determination of any period of time, “from” means “from and including”, “to” means “to and including”, and “through” means “through and including”, (iv) section headings herein and in each other Loan Document are included for convenience and shall not affect the interpretation of this Agreement or such Loan Document and (v) unless otherwise specified, all references herein to times of day shall constitute references to New York City time.</w:t>
      </w:r>
    </w:p>
    <w:p>
      <w:pPr>
        <w:spacing w:after="0" w:line="196" w:lineRule="exact"/>
        <w:rPr>
          <w:rFonts w:ascii="Arial" w:cs="Arial" w:eastAsia="Arial" w:hAnsi="Arial"/>
          <w:sz w:val="18"/>
          <w:szCs w:val="18"/>
          <w:color w:val="auto"/>
        </w:rPr>
      </w:pPr>
    </w:p>
    <w:p>
      <w:pPr>
        <w:ind w:firstLine="656"/>
        <w:spacing w:after="0" w:line="277" w:lineRule="auto"/>
        <w:tabs>
          <w:tab w:leader="none" w:pos="921" w:val="left"/>
        </w:tabs>
        <w:numPr>
          <w:ilvl w:val="0"/>
          <w:numId w:val="87"/>
        </w:numPr>
        <w:rPr>
          <w:rFonts w:ascii="Arial" w:cs="Arial" w:eastAsia="Arial" w:hAnsi="Arial"/>
          <w:sz w:val="18"/>
          <w:szCs w:val="18"/>
          <w:color w:val="auto"/>
        </w:rPr>
      </w:pPr>
      <w:r>
        <w:rPr>
          <w:rFonts w:ascii="Arial" w:cs="Arial" w:eastAsia="Arial" w:hAnsi="Arial"/>
          <w:sz w:val="18"/>
          <w:szCs w:val="18"/>
          <w:color w:val="auto"/>
        </w:rPr>
        <w:t>The meanings given to terms defined herein shall be equally applicable to both the singular and plural forms of such terms. Whenever the context may require, any pronoun shall include the corresponding masculine, feminine and neuter forms.</w:t>
      </w:r>
    </w:p>
    <w:p>
      <w:pPr>
        <w:spacing w:after="0" w:line="170" w:lineRule="exact"/>
        <w:rPr>
          <w:rFonts w:ascii="Arial" w:cs="Arial" w:eastAsia="Arial" w:hAnsi="Arial"/>
          <w:sz w:val="18"/>
          <w:szCs w:val="18"/>
          <w:color w:val="auto"/>
        </w:rPr>
      </w:pPr>
    </w:p>
    <w:p>
      <w:pPr>
        <w:jc w:val="both"/>
        <w:ind w:firstLine="656"/>
        <w:spacing w:after="0" w:line="269" w:lineRule="auto"/>
        <w:tabs>
          <w:tab w:leader="none" w:pos="909" w:val="left"/>
        </w:tabs>
        <w:numPr>
          <w:ilvl w:val="0"/>
          <w:numId w:val="87"/>
        </w:numPr>
        <w:rPr>
          <w:rFonts w:ascii="Arial" w:cs="Arial" w:eastAsia="Arial" w:hAnsi="Arial"/>
          <w:sz w:val="17"/>
          <w:szCs w:val="17"/>
          <w:color w:val="auto"/>
        </w:rPr>
      </w:pPr>
      <w:r>
        <w:rPr>
          <w:rFonts w:ascii="Arial" w:cs="Arial" w:eastAsia="Arial" w:hAnsi="Arial"/>
          <w:sz w:val="17"/>
          <w:szCs w:val="17"/>
          <w:color w:val="auto"/>
        </w:rPr>
        <w:t xml:space="preserve">Except as otherwise provided in this Agreement, all computations and determinations as to accounting or financial matters and all financial statements to be delivered pursuant to this Agreement shall be made and prepared in accordance with GAAP (including principles of consolidation where appropriate), and all accounting or financial terms shall have the meanings ascribed to such terms by GAAP. Notwithstanding the foregoing, if the Borrower notifies Agent in writing that the Loan Parties wish wishes to amend any financial covenant in </w:t>
      </w:r>
      <w:r>
        <w:rPr>
          <w:rFonts w:ascii="Arial" w:cs="Arial" w:eastAsia="Arial" w:hAnsi="Arial"/>
          <w:sz w:val="17"/>
          <w:szCs w:val="17"/>
          <w:u w:val="single" w:color="auto"/>
          <w:color w:val="auto"/>
        </w:rPr>
        <w:t>Section 6.17</w:t>
      </w:r>
      <w:r>
        <w:rPr>
          <w:rFonts w:ascii="Arial" w:cs="Arial" w:eastAsia="Arial" w:hAnsi="Arial"/>
          <w:sz w:val="17"/>
          <w:szCs w:val="17"/>
          <w:color w:val="auto"/>
        </w:rPr>
        <w:t xml:space="preserve"> of this Agreement and/or any related definition to eliminate the effect of any change in GAAP occurring after the Closing Date on the operation of such covenants (or if Agent notifies the Borrower in writing that the Required Lenders wish to amend any covenant in </w:t>
      </w:r>
      <w:r>
        <w:rPr>
          <w:rFonts w:ascii="Arial" w:cs="Arial" w:eastAsia="Arial" w:hAnsi="Arial"/>
          <w:sz w:val="17"/>
          <w:szCs w:val="17"/>
          <w:u w:val="single" w:color="auto"/>
          <w:color w:val="auto"/>
        </w:rPr>
        <w:t>Section 6.17</w:t>
      </w:r>
      <w:r>
        <w:rPr>
          <w:rFonts w:ascii="Arial" w:cs="Arial" w:eastAsia="Arial" w:hAnsi="Arial"/>
          <w:sz w:val="17"/>
          <w:szCs w:val="17"/>
          <w:color w:val="auto"/>
        </w:rPr>
        <w:t xml:space="preserve"> and/or any related definition to eliminate the effect of any such change in GAAP), then Agent, the Lenders and the Borrower shall negotiate in good faith to amend such ratios or requirements to preserve the original intent thereof in light of such change in GAAP (subject to the approval of the Required Lenders);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until so amended, the Loan Parties’ compliance with such covenants and/or the definitions shall be determined on the basis of GAAP in effect immediately before the relevant change in GAAP became effective, until either such notice is withdrawn or such covenants or definitions are amended in a manner satisfactory to the Borrower, Agent and the Required Lenders, and the Loan Parties shall provide to Agent, when they deliver their financial statements pursuant to </w:t>
      </w:r>
      <w:r>
        <w:rPr>
          <w:rFonts w:ascii="Arial" w:cs="Arial" w:eastAsia="Arial" w:hAnsi="Arial"/>
          <w:sz w:val="17"/>
          <w:szCs w:val="17"/>
          <w:u w:val="single" w:color="auto"/>
          <w:color w:val="auto"/>
        </w:rPr>
        <w:t>Section 5.1</w:t>
      </w:r>
      <w:r>
        <w:rPr>
          <w:rFonts w:ascii="Arial" w:cs="Arial" w:eastAsia="Arial" w:hAnsi="Arial"/>
          <w:sz w:val="17"/>
          <w:szCs w:val="17"/>
          <w:color w:val="auto"/>
        </w:rPr>
        <w:t xml:space="preserve"> of this Agreement, such reconciliation statements as shall be reasonably requested by Agent.</w:t>
      </w:r>
    </w:p>
    <w:p>
      <w:pPr>
        <w:spacing w:after="0" w:line="178" w:lineRule="exact"/>
        <w:rPr>
          <w:rFonts w:ascii="Arial" w:cs="Arial" w:eastAsia="Arial" w:hAnsi="Arial"/>
          <w:sz w:val="17"/>
          <w:szCs w:val="17"/>
          <w:color w:val="auto"/>
        </w:rPr>
      </w:pPr>
    </w:p>
    <w:p>
      <w:pPr>
        <w:jc w:val="both"/>
        <w:ind w:firstLine="656"/>
        <w:spacing w:after="0" w:line="259" w:lineRule="auto"/>
        <w:tabs>
          <w:tab w:leader="none" w:pos="876" w:val="left"/>
        </w:tabs>
        <w:numPr>
          <w:ilvl w:val="0"/>
          <w:numId w:val="87"/>
        </w:numPr>
        <w:rPr>
          <w:rFonts w:ascii="Arial" w:cs="Arial" w:eastAsia="Arial" w:hAnsi="Arial"/>
          <w:sz w:val="18"/>
          <w:szCs w:val="18"/>
          <w:color w:val="auto"/>
        </w:rPr>
      </w:pPr>
      <w:r>
        <w:rPr>
          <w:rFonts w:ascii="Arial" w:cs="Arial" w:eastAsia="Arial" w:hAnsi="Arial"/>
          <w:sz w:val="18"/>
          <w:szCs w:val="18"/>
          <w:color w:val="auto"/>
        </w:rPr>
        <w:t>For all purposes under the Loan Documents, in connection with any Division/Series Transaction: (i) if any asset, right, obligation or liability of any Person becomes the asset, right, obligation or liability of a different Person, then it shall be deemed to have been transferred from the original Person to the subsequent Person, and (ii) if any new Person comes into existence, such new Person shall be deemed to have been organized on the first date of its existence by the holders of its Equity Interests at such time</w:t>
      </w:r>
    </w:p>
    <w:p>
      <w:pPr>
        <w:spacing w:after="0" w:line="186" w:lineRule="exact"/>
        <w:rPr>
          <w:rFonts w:ascii="Arial" w:cs="Arial" w:eastAsia="Arial" w:hAnsi="Arial"/>
          <w:sz w:val="18"/>
          <w:szCs w:val="18"/>
          <w:color w:val="auto"/>
        </w:rPr>
      </w:pPr>
    </w:p>
    <w:p>
      <w:pPr>
        <w:jc w:val="both"/>
        <w:ind w:firstLine="656"/>
        <w:spacing w:after="0" w:line="255" w:lineRule="auto"/>
        <w:tabs>
          <w:tab w:leader="none" w:pos="938" w:val="left"/>
        </w:tabs>
        <w:numPr>
          <w:ilvl w:val="0"/>
          <w:numId w:val="87"/>
        </w:numPr>
        <w:rPr>
          <w:rFonts w:ascii="Arial" w:cs="Arial" w:eastAsia="Arial" w:hAnsi="Arial"/>
          <w:sz w:val="18"/>
          <w:szCs w:val="18"/>
          <w:color w:val="auto"/>
        </w:rPr>
      </w:pPr>
      <w:r>
        <w:rPr>
          <w:rFonts w:ascii="Arial" w:cs="Arial" w:eastAsia="Arial" w:hAnsi="Arial"/>
          <w:sz w:val="18"/>
          <w:szCs w:val="18"/>
          <w:color w:val="auto"/>
        </w:rPr>
        <w:t xml:space="preserve">Notwithstanding anything to the contrary contained in </w:t>
      </w:r>
      <w:r>
        <w:rPr>
          <w:rFonts w:ascii="Arial" w:cs="Arial" w:eastAsia="Arial" w:hAnsi="Arial"/>
          <w:sz w:val="18"/>
          <w:szCs w:val="18"/>
          <w:u w:val="single" w:color="auto"/>
          <w:color w:val="auto"/>
        </w:rPr>
        <w:t>Section 1.2</w:t>
      </w:r>
      <w:r>
        <w:rPr>
          <w:rFonts w:ascii="Arial" w:cs="Arial" w:eastAsia="Arial" w:hAnsi="Arial"/>
          <w:sz w:val="18"/>
          <w:szCs w:val="18"/>
          <w:color w:val="auto"/>
        </w:rPr>
        <w:t xml:space="preserve"> or in the definition of “Capital Lease,” any provision related to the accounting for leases pursuant to GAAP reflecting the adoption of Financial Accounting Standards Board Accounting Standards Update No. 2016-02, Leases (Topic 842) (“FAS 842”), to the extent such provisions require or would require treating any lease (or similar arrangement conveying the right to use) as a capital lease where such lease (or similar arrangement) would not have been required to be so treated under GAAP prior to the adoption thereof, such lease shall not be considered a capital lease, and all calculations and deliverables under this Agreement or any other Loan Document shall be made or delivered, as applicable, in accordance therewith.</w:t>
      </w:r>
    </w:p>
    <w:p>
      <w:pPr>
        <w:spacing w:after="0" w:line="192" w:lineRule="exact"/>
        <w:rPr>
          <w:rFonts w:ascii="Arial" w:cs="Arial" w:eastAsia="Arial" w:hAnsi="Arial"/>
          <w:sz w:val="18"/>
          <w:szCs w:val="18"/>
          <w:color w:val="auto"/>
        </w:rPr>
      </w:pPr>
    </w:p>
    <w:p>
      <w:pPr>
        <w:jc w:val="both"/>
        <w:ind w:firstLine="656"/>
        <w:spacing w:after="0" w:line="291" w:lineRule="auto"/>
        <w:tabs>
          <w:tab w:leader="none" w:pos="919" w:val="left"/>
        </w:tabs>
        <w:numPr>
          <w:ilvl w:val="0"/>
          <w:numId w:val="87"/>
        </w:numPr>
        <w:rPr>
          <w:rFonts w:ascii="Arial" w:cs="Arial" w:eastAsia="Arial" w:hAnsi="Arial"/>
          <w:sz w:val="16"/>
          <w:szCs w:val="16"/>
          <w:color w:val="auto"/>
        </w:rPr>
      </w:pPr>
      <w:r>
        <w:rPr>
          <w:rFonts w:ascii="Arial" w:cs="Arial" w:eastAsia="Arial" w:hAnsi="Arial"/>
          <w:sz w:val="16"/>
          <w:szCs w:val="16"/>
          <w:color w:val="auto"/>
        </w:rPr>
        <w:t>Notwithstanding any other provision contained herein, all terms of an accounting or financial nature used herein shall be construed, and all computations of amounts and ratios referred to herein shall be made (i) without giving effect to any election under Financial Accounting Standards Board Accounting Standards Codification 825 10 25 (or any other Accounting Standards Codification or Financial Accounting Standard having a similar result or effect) to value any Indebtedness or other liabilities of any Loan Party or any Subsidiary at “fair value”, as defined therein and (ii) without giving effect to any treatment of Indebtedness under Financial Accounting Standards Board Accounting Standards Codification 470 20 or 2015-03 (or any other Accounting Standards Codification or Financial Accounting Standard having a similar result or effect) to value any such Indebtedness in a reduced or bifurcated manner as described therein, and such Indebtedness shall at all times be valued at the full stated principal amount thereof.</w:t>
      </w:r>
    </w:p>
    <w:p>
      <w:pPr>
        <w:spacing w:after="0" w:line="382"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36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Presto Credit Agreement</w:t>
            </w:r>
          </w:p>
        </w:tc>
        <w:tc>
          <w:tcPr>
            <w:tcW w:w="7580" w:type="dxa"/>
            <w:vAlign w:val="bottom"/>
            <w:tcBorders>
              <w:bottom w:val="single" w:sz="8" w:color="auto"/>
            </w:tcBorders>
          </w:tcPr>
          <w:p>
            <w:pPr>
              <w:jc w:val="right"/>
              <w:ind w:right="5430"/>
              <w:spacing w:after="0"/>
              <w:rPr>
                <w:sz w:val="20"/>
                <w:szCs w:val="20"/>
                <w:color w:val="auto"/>
              </w:rPr>
            </w:pPr>
            <w:r>
              <w:rPr>
                <w:rFonts w:ascii="Arial" w:cs="Arial" w:eastAsia="Arial" w:hAnsi="Arial"/>
                <w:sz w:val="18"/>
                <w:szCs w:val="18"/>
                <w:color w:val="auto"/>
              </w:rPr>
              <w:t>20</w:t>
            </w:r>
          </w:p>
        </w:tc>
      </w:tr>
    </w:tbl>
    <w:p>
      <w:pPr>
        <w:sectPr>
          <w:pgSz w:w="11900" w:h="16838" w:orient="portrait"/>
          <w:cols w:equalWidth="0" w:num="1">
            <w:col w:w="11240"/>
          </w:cols>
          <w:pgMar w:left="320" w:top="904" w:right="339" w:bottom="1068" w:gutter="0" w:footer="0" w:header="0"/>
        </w:sectPr>
      </w:pPr>
    </w:p>
    <w:bookmarkStart w:id="107" w:name="page108"/>
    <w:bookmarkEnd w:id="107"/>
    <w:p>
      <w:pPr>
        <w:jc w:val="center"/>
        <w:spacing w:after="0"/>
        <w:rPr>
          <w:sz w:val="20"/>
          <w:szCs w:val="20"/>
          <w:color w:val="auto"/>
        </w:rPr>
      </w:pPr>
      <w:r>
        <w:rPr>
          <w:rFonts w:ascii="Arial" w:cs="Arial" w:eastAsia="Arial" w:hAnsi="Arial"/>
          <w:sz w:val="18"/>
          <w:szCs w:val="18"/>
          <w:color w:val="auto"/>
        </w:rPr>
        <w:t>SECTION 2</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 AND TERMS OF COMMITMENTS</w:t>
      </w:r>
    </w:p>
    <w:p>
      <w:pPr>
        <w:spacing w:after="0" w:line="207"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2.1 Commitments; Repayment</w:t>
      </w:r>
      <w:r>
        <w:rPr>
          <w:rFonts w:ascii="Arial" w:cs="Arial" w:eastAsia="Arial" w:hAnsi="Arial"/>
          <w:sz w:val="18"/>
          <w:szCs w:val="18"/>
          <w:color w:val="auto"/>
        </w:rPr>
        <w:t>.</w:t>
      </w:r>
    </w:p>
    <w:p>
      <w:pPr>
        <w:spacing w:after="0" w:line="229" w:lineRule="exact"/>
        <w:rPr>
          <w:sz w:val="20"/>
          <w:szCs w:val="20"/>
          <w:color w:val="auto"/>
        </w:rPr>
      </w:pPr>
    </w:p>
    <w:p>
      <w:pPr>
        <w:jc w:val="both"/>
        <w:ind w:firstLine="656"/>
        <w:spacing w:after="0" w:line="263" w:lineRule="auto"/>
        <w:tabs>
          <w:tab w:leader="none" w:pos="894" w:val="left"/>
        </w:tabs>
        <w:numPr>
          <w:ilvl w:val="1"/>
          <w:numId w:val="88"/>
        </w:numPr>
        <w:rPr>
          <w:rFonts w:ascii="Arial" w:cs="Arial" w:eastAsia="Arial" w:hAnsi="Arial"/>
          <w:sz w:val="18"/>
          <w:szCs w:val="18"/>
          <w:color w:val="auto"/>
        </w:rPr>
      </w:pPr>
      <w:r>
        <w:rPr>
          <w:rFonts w:ascii="Arial" w:cs="Arial" w:eastAsia="Arial" w:hAnsi="Arial"/>
          <w:sz w:val="18"/>
          <w:szCs w:val="18"/>
          <w:u w:val="single" w:color="auto"/>
          <w:color w:val="auto"/>
        </w:rPr>
        <w:t>Term Loan</w:t>
      </w:r>
      <w:r>
        <w:rPr>
          <w:rFonts w:ascii="Arial" w:cs="Arial" w:eastAsia="Arial" w:hAnsi="Arial"/>
          <w:sz w:val="18"/>
          <w:szCs w:val="18"/>
          <w:color w:val="auto"/>
        </w:rPr>
        <w:t>. Subject to the terms and conditions hereof, Lenders agree to make a term loan on the Closing Date in the aggregate initial principal amount of $55,000,000 (the “</w:t>
      </w:r>
      <w:r>
        <w:rPr>
          <w:rFonts w:ascii="Arial" w:cs="Arial" w:eastAsia="Arial" w:hAnsi="Arial"/>
          <w:sz w:val="18"/>
          <w:szCs w:val="18"/>
          <w:b w:val="1"/>
          <w:bCs w:val="1"/>
          <w:i w:val="1"/>
          <w:iCs w:val="1"/>
          <w:color w:val="auto"/>
        </w:rPr>
        <w:t>Term Loan</w:t>
      </w:r>
      <w:r>
        <w:rPr>
          <w:rFonts w:ascii="Arial" w:cs="Arial" w:eastAsia="Arial" w:hAnsi="Arial"/>
          <w:sz w:val="18"/>
          <w:szCs w:val="18"/>
          <w:color w:val="auto"/>
        </w:rPr>
        <w:t>”). Once repaid, no portion of the Term Loan may be re-borrowed. Upon the funding on the Closing Date, the Term Loan Commitment shall be immediately terminated and reduced to $0.</w:t>
      </w:r>
    </w:p>
    <w:p>
      <w:pPr>
        <w:spacing w:after="0" w:line="183" w:lineRule="exact"/>
        <w:rPr>
          <w:rFonts w:ascii="Arial" w:cs="Arial" w:eastAsia="Arial" w:hAnsi="Arial"/>
          <w:sz w:val="18"/>
          <w:szCs w:val="18"/>
          <w:color w:val="auto"/>
        </w:rPr>
      </w:pPr>
    </w:p>
    <w:p>
      <w:pPr>
        <w:jc w:val="both"/>
        <w:ind w:firstLine="656"/>
        <w:spacing w:after="0" w:line="259" w:lineRule="auto"/>
        <w:tabs>
          <w:tab w:leader="none" w:pos="921" w:val="left"/>
        </w:tabs>
        <w:numPr>
          <w:ilvl w:val="1"/>
          <w:numId w:val="88"/>
        </w:numPr>
        <w:rPr>
          <w:rFonts w:ascii="Arial" w:cs="Arial" w:eastAsia="Arial" w:hAnsi="Arial"/>
          <w:sz w:val="18"/>
          <w:szCs w:val="18"/>
          <w:color w:val="auto"/>
        </w:rPr>
      </w:pPr>
      <w:r>
        <w:rPr>
          <w:rFonts w:ascii="Arial" w:cs="Arial" w:eastAsia="Arial" w:hAnsi="Arial"/>
          <w:sz w:val="18"/>
          <w:szCs w:val="18"/>
          <w:u w:val="single" w:color="auto"/>
          <w:color w:val="auto"/>
        </w:rPr>
        <w:t>Notes.</w:t>
      </w:r>
      <w:r>
        <w:rPr>
          <w:rFonts w:ascii="Arial" w:cs="Arial" w:eastAsia="Arial" w:hAnsi="Arial"/>
          <w:sz w:val="18"/>
          <w:szCs w:val="18"/>
          <w:color w:val="auto"/>
        </w:rPr>
        <w:t xml:space="preserve"> The Advances made by each Lender may, upon request by each Lender, be evidenced by a promissory note payable to the order of Agent, for the benefit of such Lender, substantially in the form of </w:t>
      </w:r>
      <w:r>
        <w:rPr>
          <w:rFonts w:ascii="Arial" w:cs="Arial" w:eastAsia="Arial" w:hAnsi="Arial"/>
          <w:sz w:val="18"/>
          <w:szCs w:val="18"/>
          <w:u w:val="single" w:color="auto"/>
          <w:color w:val="auto"/>
        </w:rPr>
        <w:t>Exhibit D</w:t>
      </w:r>
      <w:r>
        <w:rPr>
          <w:rFonts w:ascii="Arial" w:cs="Arial" w:eastAsia="Arial" w:hAnsi="Arial"/>
          <w:sz w:val="18"/>
          <w:szCs w:val="18"/>
          <w:color w:val="auto"/>
        </w:rPr>
        <w:t xml:space="preserve"> (as amended, restated, amended and restated, supplemented or otherwise modified from time to time, a “</w:t>
      </w:r>
      <w:r>
        <w:rPr>
          <w:rFonts w:ascii="Arial" w:cs="Arial" w:eastAsia="Arial" w:hAnsi="Arial"/>
          <w:sz w:val="18"/>
          <w:szCs w:val="18"/>
          <w:b w:val="1"/>
          <w:bCs w:val="1"/>
          <w:i w:val="1"/>
          <w:iCs w:val="1"/>
          <w:color w:val="auto"/>
        </w:rPr>
        <w:t>Note</w:t>
      </w:r>
      <w:r>
        <w:rPr>
          <w:rFonts w:ascii="Arial" w:cs="Arial" w:eastAsia="Arial" w:hAnsi="Arial"/>
          <w:sz w:val="18"/>
          <w:szCs w:val="18"/>
          <w:color w:val="auto"/>
        </w:rPr>
        <w:t>”), executed by Borrower and delivered to such Lender. Each Note shall be in a stated maximum principal amount equal to such Lender’s Term Loan Commitment, as applicable.</w:t>
      </w:r>
    </w:p>
    <w:p>
      <w:pPr>
        <w:spacing w:after="0" w:line="186" w:lineRule="exact"/>
        <w:rPr>
          <w:rFonts w:ascii="Arial" w:cs="Arial" w:eastAsia="Arial" w:hAnsi="Arial"/>
          <w:sz w:val="18"/>
          <w:szCs w:val="18"/>
          <w:color w:val="auto"/>
        </w:rPr>
      </w:pPr>
    </w:p>
    <w:p>
      <w:pPr>
        <w:ind w:left="900" w:hanging="244"/>
        <w:spacing w:after="0"/>
        <w:tabs>
          <w:tab w:leader="none" w:pos="900" w:val="left"/>
        </w:tabs>
        <w:numPr>
          <w:ilvl w:val="1"/>
          <w:numId w:val="88"/>
        </w:numPr>
        <w:rPr>
          <w:rFonts w:ascii="Arial" w:cs="Arial" w:eastAsia="Arial" w:hAnsi="Arial"/>
          <w:sz w:val="18"/>
          <w:szCs w:val="18"/>
          <w:color w:val="auto"/>
        </w:rPr>
      </w:pPr>
      <w:r>
        <w:rPr>
          <w:rFonts w:ascii="Arial" w:cs="Arial" w:eastAsia="Arial" w:hAnsi="Arial"/>
          <w:sz w:val="18"/>
          <w:szCs w:val="18"/>
          <w:u w:val="single" w:color="auto"/>
          <w:color w:val="auto"/>
        </w:rPr>
        <w:t>Mandatory Repayments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left="1300" w:firstLine="652"/>
        <w:spacing w:after="0" w:line="263" w:lineRule="auto"/>
        <w:tabs>
          <w:tab w:leader="none" w:pos="2171" w:val="left"/>
        </w:tabs>
        <w:numPr>
          <w:ilvl w:val="2"/>
          <w:numId w:val="88"/>
        </w:numPr>
        <w:rPr>
          <w:rFonts w:ascii="Arial" w:cs="Arial" w:eastAsia="Arial" w:hAnsi="Arial"/>
          <w:sz w:val="18"/>
          <w:szCs w:val="18"/>
          <w:color w:val="auto"/>
        </w:rPr>
      </w:pPr>
      <w:r>
        <w:rPr>
          <w:rFonts w:ascii="Arial" w:cs="Arial" w:eastAsia="Arial" w:hAnsi="Arial"/>
          <w:sz w:val="18"/>
          <w:szCs w:val="18"/>
          <w:color w:val="auto"/>
        </w:rPr>
        <w:t>To the extent not previously paid, the then outstanding Term Loan and all other Obligations shall be due and payable on the Maturity Date, together with all accrued and unpaid interest on such Obligations to be paid to and including the date of payment and any Make Whole Premium and other Obligations.</w:t>
      </w:r>
    </w:p>
    <w:p>
      <w:pPr>
        <w:spacing w:after="0" w:line="183" w:lineRule="exact"/>
        <w:rPr>
          <w:rFonts w:ascii="Arial" w:cs="Arial" w:eastAsia="Arial" w:hAnsi="Arial"/>
          <w:sz w:val="18"/>
          <w:szCs w:val="18"/>
          <w:color w:val="auto"/>
        </w:rPr>
      </w:pPr>
    </w:p>
    <w:p>
      <w:pPr>
        <w:jc w:val="both"/>
        <w:ind w:left="1300" w:firstLine="652"/>
        <w:spacing w:after="0" w:line="269" w:lineRule="auto"/>
        <w:tabs>
          <w:tab w:leader="none" w:pos="2221" w:val="left"/>
        </w:tabs>
        <w:numPr>
          <w:ilvl w:val="2"/>
          <w:numId w:val="88"/>
        </w:numPr>
        <w:rPr>
          <w:rFonts w:ascii="Arial" w:cs="Arial" w:eastAsia="Arial" w:hAnsi="Arial"/>
          <w:sz w:val="17"/>
          <w:szCs w:val="17"/>
          <w:color w:val="auto"/>
        </w:rPr>
      </w:pPr>
      <w:r>
        <w:rPr>
          <w:rFonts w:ascii="Arial" w:cs="Arial" w:eastAsia="Arial" w:hAnsi="Arial"/>
          <w:sz w:val="17"/>
          <w:szCs w:val="17"/>
          <w:color w:val="auto"/>
        </w:rPr>
        <w:t>Upon receipt by Borrower of the proceeds of any Prepayment Event, Borrower shall make a prepayment of principal of the Term Loan in an amount equal to 100% of the Net Cash Proceeds of such Prepayment Event, together with any accrued interest on such amount and any Make Whole Premium payable pursuant to Section 2.1(e) in connection therewith. Notwithstanding the foregoing and provided no Event of Default has occurred and is continuing, in the case of any event of the type described in either clause (a) or (b) of the definition of the term “Prepayment Event”, such prepayment shall not be required to the extent Borrower reinvests the Net Cash Proceeds of such Prepayment Event, in assets of a kind then used or usable in the business of Borrower and in which Agent has a first-priority perfected Lien within ninety (90) days (with respect to clause (a)) and one hundred eighty (180) days (with respect to clause (b)) after the date of such Disposition or enters into a binding commitment thereof within such period and subsequently makes such reinvestment, provided until such date of reinvestment such Net Cash Proceeds are deposited into a Controlled Account over which Agent has a first-priority perfected Lien.</w:t>
      </w:r>
    </w:p>
    <w:p>
      <w:pPr>
        <w:spacing w:after="0" w:line="185" w:lineRule="exact"/>
        <w:rPr>
          <w:rFonts w:ascii="Arial" w:cs="Arial" w:eastAsia="Arial" w:hAnsi="Arial"/>
          <w:sz w:val="17"/>
          <w:szCs w:val="17"/>
          <w:color w:val="auto"/>
        </w:rPr>
      </w:pPr>
    </w:p>
    <w:p>
      <w:pPr>
        <w:jc w:val="both"/>
        <w:ind w:firstLine="656"/>
        <w:spacing w:after="0" w:line="257" w:lineRule="auto"/>
        <w:tabs>
          <w:tab w:leader="none" w:pos="929" w:val="left"/>
        </w:tabs>
        <w:numPr>
          <w:ilvl w:val="1"/>
          <w:numId w:val="88"/>
        </w:numPr>
        <w:rPr>
          <w:rFonts w:ascii="Arial" w:cs="Arial" w:eastAsia="Arial" w:hAnsi="Arial"/>
          <w:sz w:val="18"/>
          <w:szCs w:val="18"/>
          <w:color w:val="auto"/>
        </w:rPr>
      </w:pPr>
      <w:r>
        <w:rPr>
          <w:rFonts w:ascii="Arial" w:cs="Arial" w:eastAsia="Arial" w:hAnsi="Arial"/>
          <w:sz w:val="18"/>
          <w:szCs w:val="18"/>
          <w:u w:val="single" w:color="auto"/>
          <w:color w:val="auto"/>
        </w:rPr>
        <w:t>Voluntary Prepayment</w:t>
      </w:r>
      <w:r>
        <w:rPr>
          <w:rFonts w:ascii="Arial" w:cs="Arial" w:eastAsia="Arial" w:hAnsi="Arial"/>
          <w:sz w:val="18"/>
          <w:szCs w:val="18"/>
          <w:color w:val="auto"/>
        </w:rPr>
        <w:t xml:space="preserve">. With thirty (30) days’ prior written notice, Borrower may at any time voluntarily prepay, in whole or in part, the principal amount of the outstanding Term Loan,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 all accrued and unpaid interest and fees with respect to the outstanding Obligations are paid simultaneously with such voluntary principal payment;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further</w:t>
      </w:r>
      <w:r>
        <w:rPr>
          <w:rFonts w:ascii="Arial" w:cs="Arial" w:eastAsia="Arial" w:hAnsi="Arial"/>
          <w:sz w:val="18"/>
          <w:szCs w:val="18"/>
          <w:color w:val="auto"/>
        </w:rPr>
        <w:t>, that to the extent such voluntary principal payment occurs on or before the date that is eighteen (18) months following the Closing Date, such payment shall be accompanied by payment in full in cash of the Make Whole Premium on the amount of the Term Loan repaid and all other earned and unpaid fees.</w:t>
      </w:r>
    </w:p>
    <w:p>
      <w:pPr>
        <w:spacing w:after="0" w:line="183" w:lineRule="exact"/>
        <w:rPr>
          <w:rFonts w:ascii="Arial" w:cs="Arial" w:eastAsia="Arial" w:hAnsi="Arial"/>
          <w:sz w:val="18"/>
          <w:szCs w:val="18"/>
          <w:color w:val="auto"/>
        </w:rPr>
      </w:pPr>
    </w:p>
    <w:p>
      <w:pPr>
        <w:jc w:val="both"/>
        <w:ind w:firstLine="656"/>
        <w:spacing w:after="0" w:line="293" w:lineRule="auto"/>
        <w:tabs>
          <w:tab w:leader="none" w:pos="911" w:val="left"/>
        </w:tabs>
        <w:numPr>
          <w:ilvl w:val="1"/>
          <w:numId w:val="88"/>
        </w:numPr>
        <w:rPr>
          <w:rFonts w:ascii="Arial" w:cs="Arial" w:eastAsia="Arial" w:hAnsi="Arial"/>
          <w:sz w:val="16"/>
          <w:szCs w:val="16"/>
          <w:color w:val="auto"/>
        </w:rPr>
      </w:pPr>
      <w:r>
        <w:rPr>
          <w:rFonts w:ascii="Arial" w:cs="Arial" w:eastAsia="Arial" w:hAnsi="Arial"/>
          <w:sz w:val="16"/>
          <w:szCs w:val="16"/>
          <w:b w:val="1"/>
          <w:bCs w:val="1"/>
          <w:color w:val="auto"/>
        </w:rPr>
        <w:t>Make Whole Premium</w:t>
      </w:r>
      <w:r>
        <w:rPr>
          <w:rFonts w:ascii="Arial" w:cs="Arial" w:eastAsia="Arial" w:hAnsi="Arial"/>
          <w:sz w:val="16"/>
          <w:szCs w:val="16"/>
          <w:color w:val="auto"/>
        </w:rPr>
        <w:t>. To the extent any payment pursuant to</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Sections 2.1(c)</w:t>
      </w:r>
      <w:r>
        <w:rPr>
          <w:rFonts w:ascii="Arial" w:cs="Arial" w:eastAsia="Arial" w:hAnsi="Arial"/>
          <w:sz w:val="16"/>
          <w:szCs w:val="16"/>
          <w:b w:val="1"/>
          <w:bCs w:val="1"/>
          <w:color w:val="auto"/>
        </w:rPr>
        <w:t xml:space="preserve"> </w:t>
      </w:r>
      <w:r>
        <w:rPr>
          <w:rFonts w:ascii="Arial" w:cs="Arial" w:eastAsia="Arial" w:hAnsi="Arial"/>
          <w:sz w:val="16"/>
          <w:szCs w:val="16"/>
          <w:color w:val="auto"/>
        </w:rPr>
        <w:t>or</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2.1(d)</w:t>
      </w:r>
      <w:r>
        <w:rPr>
          <w:rFonts w:ascii="Arial" w:cs="Arial" w:eastAsia="Arial" w:hAnsi="Arial"/>
          <w:sz w:val="16"/>
          <w:szCs w:val="16"/>
          <w:b w:val="1"/>
          <w:bCs w:val="1"/>
          <w:color w:val="auto"/>
        </w:rPr>
        <w:t xml:space="preserve"> </w:t>
      </w:r>
      <w:r>
        <w:rPr>
          <w:rFonts w:ascii="Arial" w:cs="Arial" w:eastAsia="Arial" w:hAnsi="Arial"/>
          <w:sz w:val="16"/>
          <w:szCs w:val="16"/>
          <w:color w:val="auto"/>
        </w:rPr>
        <w:t>occurs on or before the date that is eighteen (18)</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months following the Closing Date, any prepayment made (i) pursuant to </w:t>
      </w:r>
      <w:r>
        <w:rPr>
          <w:rFonts w:ascii="Arial" w:cs="Arial" w:eastAsia="Arial" w:hAnsi="Arial"/>
          <w:sz w:val="16"/>
          <w:szCs w:val="16"/>
          <w:u w:val="single" w:color="auto"/>
          <w:color w:val="auto"/>
        </w:rPr>
        <w:t>Section 2.1(c)(ii)</w:t>
      </w:r>
      <w:r>
        <w:rPr>
          <w:rFonts w:ascii="Arial" w:cs="Arial" w:eastAsia="Arial" w:hAnsi="Arial"/>
          <w:sz w:val="16"/>
          <w:szCs w:val="16"/>
          <w:color w:val="auto"/>
        </w:rPr>
        <w:t xml:space="preserve"> as a result of a Prepayment Event described in </w:t>
      </w:r>
      <w:r>
        <w:rPr>
          <w:rFonts w:ascii="Arial" w:cs="Arial" w:eastAsia="Arial" w:hAnsi="Arial"/>
          <w:sz w:val="16"/>
          <w:szCs w:val="16"/>
          <w:u w:val="single" w:color="auto"/>
          <w:color w:val="auto"/>
        </w:rPr>
        <w:t>clauses (a)</w:t>
      </w:r>
      <w:r>
        <w:rPr>
          <w:rFonts w:ascii="Arial" w:cs="Arial" w:eastAsia="Arial" w:hAnsi="Arial"/>
          <w:sz w:val="16"/>
          <w:szCs w:val="16"/>
          <w:color w:val="auto"/>
        </w:rPr>
        <w:t xml:space="preserve">, </w:t>
      </w:r>
      <w:r>
        <w:rPr>
          <w:rFonts w:ascii="Arial" w:cs="Arial" w:eastAsia="Arial" w:hAnsi="Arial"/>
          <w:sz w:val="16"/>
          <w:szCs w:val="16"/>
          <w:u w:val="single" w:color="auto"/>
          <w:color w:val="auto"/>
        </w:rPr>
        <w:t>(c)</w:t>
      </w:r>
      <w:r>
        <w:rPr>
          <w:rFonts w:ascii="Arial" w:cs="Arial" w:eastAsia="Arial" w:hAnsi="Arial"/>
          <w:sz w:val="16"/>
          <w:szCs w:val="16"/>
          <w:color w:val="auto"/>
        </w:rPr>
        <w:t>,</w:t>
      </w:r>
    </w:p>
    <w:p>
      <w:pPr>
        <w:spacing w:after="0" w:line="1" w:lineRule="exact"/>
        <w:rPr>
          <w:rFonts w:ascii="Arial" w:cs="Arial" w:eastAsia="Arial" w:hAnsi="Arial"/>
          <w:sz w:val="16"/>
          <w:szCs w:val="16"/>
          <w:color w:val="auto"/>
        </w:rPr>
      </w:pPr>
    </w:p>
    <w:p>
      <w:pPr>
        <w:jc w:val="both"/>
        <w:ind w:firstLine="8"/>
        <w:spacing w:after="0" w:line="266" w:lineRule="auto"/>
        <w:tabs>
          <w:tab w:leader="none" w:pos="261" w:val="left"/>
        </w:tabs>
        <w:numPr>
          <w:ilvl w:val="0"/>
          <w:numId w:val="89"/>
        </w:numPr>
        <w:rPr>
          <w:rFonts w:ascii="Arial" w:cs="Arial" w:eastAsia="Arial" w:hAnsi="Arial"/>
          <w:sz w:val="17"/>
          <w:szCs w:val="17"/>
          <w:u w:val="single" w:color="auto"/>
          <w:color w:val="auto"/>
        </w:rPr>
      </w:pPr>
      <w:r>
        <w:rPr>
          <w:rFonts w:ascii="Arial" w:cs="Arial" w:eastAsia="Arial" w:hAnsi="Arial"/>
          <w:sz w:val="17"/>
          <w:szCs w:val="17"/>
          <w:color w:val="auto"/>
        </w:rPr>
        <w:t xml:space="preserve">or </w:t>
      </w:r>
      <w:r>
        <w:rPr>
          <w:rFonts w:ascii="Arial" w:cs="Arial" w:eastAsia="Arial" w:hAnsi="Arial"/>
          <w:sz w:val="17"/>
          <w:szCs w:val="17"/>
          <w:u w:val="single" w:color="auto"/>
          <w:color w:val="auto"/>
        </w:rPr>
        <w:t>(e)</w:t>
      </w:r>
      <w:r>
        <w:rPr>
          <w:rFonts w:ascii="Arial" w:cs="Arial" w:eastAsia="Arial" w:hAnsi="Arial"/>
          <w:sz w:val="17"/>
          <w:szCs w:val="17"/>
          <w:color w:val="auto"/>
        </w:rPr>
        <w:t xml:space="preserve"> thereof, or </w:t>
      </w:r>
      <w:r>
        <w:rPr>
          <w:rFonts w:ascii="Arial" w:cs="Arial" w:eastAsia="Arial" w:hAnsi="Arial"/>
          <w:sz w:val="17"/>
          <w:szCs w:val="17"/>
          <w:u w:val="single" w:color="auto"/>
          <w:color w:val="auto"/>
        </w:rPr>
        <w:t>Section 2.1(d)</w:t>
      </w:r>
      <w:r>
        <w:rPr>
          <w:rFonts w:ascii="Arial" w:cs="Arial" w:eastAsia="Arial" w:hAnsi="Arial"/>
          <w:sz w:val="17"/>
          <w:szCs w:val="17"/>
          <w:color w:val="auto"/>
        </w:rPr>
        <w:t>, shall be accompanied by payment in full in cash of the Make Whole Premium. Any Make Whole Premium payable in accordance with this Agreement shall be presumed to be equal to the liquidated damages sustained by the Lenders as the result of the occurrence of any event triggering the prepayment of such Make Whole Premium and Borrower agrees that it is reasonable under the circumstances currently existing. The parties hereto acknowledge that the Make Whole Premium shall survive acceleration of the Obligations and/or the occurrence of any insolvency proceeding, and shall automatically accrue to the principal amount of the Term Loan pro rata and shall constitute part of the Obligations for all purposes herein. If the Term Loan is accelerated for any reason pursuant to the terms herein, the Make Whole Premium shall be calculated as if the date of acceleration of the Term Loan was the date of prepayment of the Term Loan. THE BORROWER EXPRESSLY WAIVES THE PROVISIONS OF ANY PRESENT OR FUTURE STATUTE OR LAW THAT PROHIBITS OR MAY PROHIBIT THE COLLECTION OF THE FOREGOING MAKE WHOLE PREMIUM IN CONNECTION WITH ANY ACCELERATION. The Borrower expressly agrees that: (A) the Make Whole Premium is reasonable and is the product of an arm’s length transaction between sophisticated business people, ably represented by counsel; (B) the Make Whole Premium shall be payable notwithstanding the then prevailing market rates at the time payment is made; (C) there has been a course of conduct between Lenders and Borrower giving specific consideration in this transaction for such agreement to pay the Make Whole Premium; (D) Borrower shall be estopped hereafter from claiming differently than as agreed to in this paragraph; (E) Borrower’s agreement to pay the Make Whole Premium is a material inducement to Lenders to extend the Term Loan; and (F) the Make Whole Premium represents a good faith, reasonable estimate and calculation of the lost profits or damages of Lenders and that it would be impractical and extremely difficult to ascertain the actual amount of damages to Lenders or profits lost by Lenders as a result of such event triggering payment of the Make Whole Premium.</w:t>
      </w:r>
    </w:p>
    <w:p>
      <w:pPr>
        <w:spacing w:after="0" w:line="200" w:lineRule="exact"/>
        <w:rPr>
          <w:sz w:val="20"/>
          <w:szCs w:val="20"/>
          <w:color w:val="auto"/>
        </w:rPr>
      </w:pP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36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Presto Credit Agreement</w:t>
            </w:r>
          </w:p>
        </w:tc>
        <w:tc>
          <w:tcPr>
            <w:tcW w:w="7580" w:type="dxa"/>
            <w:vAlign w:val="bottom"/>
            <w:tcBorders>
              <w:bottom w:val="single" w:sz="8" w:color="auto"/>
            </w:tcBorders>
          </w:tcPr>
          <w:p>
            <w:pPr>
              <w:jc w:val="right"/>
              <w:ind w:right="5430"/>
              <w:spacing w:after="0"/>
              <w:rPr>
                <w:sz w:val="20"/>
                <w:szCs w:val="20"/>
                <w:color w:val="auto"/>
              </w:rPr>
            </w:pPr>
            <w:r>
              <w:rPr>
                <w:rFonts w:ascii="Arial" w:cs="Arial" w:eastAsia="Arial" w:hAnsi="Arial"/>
                <w:sz w:val="18"/>
                <w:szCs w:val="18"/>
                <w:color w:val="auto"/>
              </w:rPr>
              <w:t>21</w:t>
            </w:r>
          </w:p>
        </w:tc>
      </w:tr>
    </w:tbl>
    <w:p>
      <w:pPr>
        <w:sectPr>
          <w:pgSz w:w="11900" w:h="16838" w:orient="portrait"/>
          <w:cols w:equalWidth="0" w:num="1">
            <w:col w:w="11240"/>
          </w:cols>
          <w:pgMar w:left="320" w:top="908" w:right="339" w:bottom="1440" w:gutter="0" w:footer="0" w:header="0"/>
        </w:sectPr>
      </w:pPr>
    </w:p>
    <w:bookmarkStart w:id="108" w:name="page109"/>
    <w:bookmarkEnd w:id="108"/>
    <w:p>
      <w:pPr>
        <w:ind w:left="660"/>
        <w:spacing w:after="0"/>
        <w:rPr>
          <w:sz w:val="20"/>
          <w:szCs w:val="20"/>
          <w:color w:val="auto"/>
        </w:rPr>
      </w:pPr>
      <w:r>
        <w:rPr>
          <w:rFonts w:ascii="Arial" w:cs="Arial" w:eastAsia="Arial" w:hAnsi="Arial"/>
          <w:sz w:val="18"/>
          <w:szCs w:val="18"/>
          <w:b w:val="1"/>
          <w:bCs w:val="1"/>
          <w:color w:val="auto"/>
        </w:rPr>
        <w:t>2.2 Advances</w:t>
      </w:r>
      <w:r>
        <w:rPr>
          <w:rFonts w:ascii="Arial" w:cs="Arial" w:eastAsia="Arial" w:hAnsi="Arial"/>
          <w:sz w:val="18"/>
          <w:szCs w:val="18"/>
          <w:color w:val="auto"/>
        </w:rPr>
        <w:t>.</w:t>
      </w:r>
    </w:p>
    <w:p>
      <w:pPr>
        <w:spacing w:after="0" w:line="229" w:lineRule="exact"/>
        <w:rPr>
          <w:sz w:val="20"/>
          <w:szCs w:val="20"/>
          <w:color w:val="auto"/>
        </w:rPr>
      </w:pPr>
    </w:p>
    <w:p>
      <w:pPr>
        <w:jc w:val="both"/>
        <w:ind w:firstLine="656"/>
        <w:spacing w:after="0" w:line="255" w:lineRule="auto"/>
        <w:tabs>
          <w:tab w:leader="none" w:pos="904" w:val="left"/>
        </w:tabs>
        <w:numPr>
          <w:ilvl w:val="0"/>
          <w:numId w:val="90"/>
        </w:numPr>
        <w:rPr>
          <w:rFonts w:ascii="Arial" w:cs="Arial" w:eastAsia="Arial" w:hAnsi="Arial"/>
          <w:sz w:val="18"/>
          <w:szCs w:val="18"/>
          <w:color w:val="auto"/>
        </w:rPr>
      </w:pPr>
      <w:r>
        <w:rPr>
          <w:rFonts w:ascii="Arial" w:cs="Arial" w:eastAsia="Arial" w:hAnsi="Arial"/>
          <w:sz w:val="18"/>
          <w:szCs w:val="18"/>
          <w:u w:val="single" w:color="auto"/>
          <w:color w:val="auto"/>
        </w:rPr>
        <w:t>Procedure for Borrowing</w:t>
      </w:r>
      <w:r>
        <w:rPr>
          <w:rFonts w:ascii="Arial" w:cs="Arial" w:eastAsia="Arial" w:hAnsi="Arial"/>
          <w:sz w:val="18"/>
          <w:szCs w:val="18"/>
          <w:color w:val="auto"/>
        </w:rPr>
        <w:t xml:space="preserve">. Subject to the terms and conditions of this Agreement, Borrower may borrow the Term Loan on the Closing Date; provided, that Borrower shall give Agent a Notice of Borrowing specifying the principal amount of the requested Term Loan to be made, the requested Borrowing Date, and instructions for remittance of the proceeds of the requested Term Loan (which notice must be received by Agent prior to 11:00 am (New York City time) on the Closing Date). The Term Loan shall be in an initial principal amount equal to $55,000,000 on the Closing Date. Subject to the satisfaction or waiver of the conditions set forth in </w:t>
      </w:r>
      <w:r>
        <w:rPr>
          <w:rFonts w:ascii="Arial" w:cs="Arial" w:eastAsia="Arial" w:hAnsi="Arial"/>
          <w:sz w:val="18"/>
          <w:szCs w:val="18"/>
          <w:u w:val="single" w:color="auto"/>
          <w:color w:val="auto"/>
        </w:rPr>
        <w:t>Section 4</w:t>
      </w:r>
      <w:r>
        <w:rPr>
          <w:rFonts w:ascii="Arial" w:cs="Arial" w:eastAsia="Arial" w:hAnsi="Arial"/>
          <w:sz w:val="18"/>
          <w:szCs w:val="18"/>
          <w:color w:val="auto"/>
        </w:rPr>
        <w:t>, Lenders will fund the principal amount of the requested Advance pursuant to the wiring instructions provided in the Notice of Borrowing on the requested Borrowing Date.</w:t>
      </w:r>
    </w:p>
    <w:p>
      <w:pPr>
        <w:spacing w:after="0" w:line="192" w:lineRule="exact"/>
        <w:rPr>
          <w:rFonts w:ascii="Arial" w:cs="Arial" w:eastAsia="Arial" w:hAnsi="Arial"/>
          <w:sz w:val="18"/>
          <w:szCs w:val="18"/>
          <w:color w:val="auto"/>
        </w:rPr>
      </w:pPr>
    </w:p>
    <w:p>
      <w:pPr>
        <w:ind w:left="920" w:hanging="264"/>
        <w:spacing w:after="0"/>
        <w:tabs>
          <w:tab w:leader="none" w:pos="920" w:val="left"/>
        </w:tabs>
        <w:numPr>
          <w:ilvl w:val="0"/>
          <w:numId w:val="90"/>
        </w:numPr>
        <w:rPr>
          <w:rFonts w:ascii="Arial" w:cs="Arial" w:eastAsia="Arial" w:hAnsi="Arial"/>
          <w:sz w:val="18"/>
          <w:szCs w:val="18"/>
          <w:color w:val="auto"/>
        </w:rPr>
      </w:pPr>
      <w:r>
        <w:rPr>
          <w:rFonts w:ascii="Arial" w:cs="Arial" w:eastAsia="Arial" w:hAnsi="Arial"/>
          <w:sz w:val="18"/>
          <w:szCs w:val="18"/>
          <w:u w:val="single" w:color="auto"/>
          <w:color w:val="auto"/>
        </w:rPr>
        <w:t>Making of the Term Loan</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left="660" w:firstLine="1292"/>
        <w:spacing w:after="0" w:line="257" w:lineRule="auto"/>
        <w:tabs>
          <w:tab w:leader="none" w:pos="2184" w:val="left"/>
        </w:tabs>
        <w:numPr>
          <w:ilvl w:val="1"/>
          <w:numId w:val="90"/>
        </w:numPr>
        <w:rPr>
          <w:rFonts w:ascii="Arial" w:cs="Arial" w:eastAsia="Arial" w:hAnsi="Arial"/>
          <w:sz w:val="18"/>
          <w:szCs w:val="18"/>
          <w:color w:val="auto"/>
        </w:rPr>
      </w:pPr>
      <w:r>
        <w:rPr>
          <w:rFonts w:ascii="Arial" w:cs="Arial" w:eastAsia="Arial" w:hAnsi="Arial"/>
          <w:sz w:val="18"/>
          <w:szCs w:val="18"/>
          <w:color w:val="auto"/>
        </w:rPr>
        <w:t xml:space="preserve">Following receipt of a Notice of Borrowing in accordance with </w:t>
      </w:r>
      <w:r>
        <w:rPr>
          <w:rFonts w:ascii="Arial" w:cs="Arial" w:eastAsia="Arial" w:hAnsi="Arial"/>
          <w:sz w:val="18"/>
          <w:szCs w:val="18"/>
          <w:u w:val="single" w:color="auto"/>
          <w:color w:val="auto"/>
        </w:rPr>
        <w:t>Section 2.2(a)</w:t>
      </w:r>
      <w:r>
        <w:rPr>
          <w:rFonts w:ascii="Arial" w:cs="Arial" w:eastAsia="Arial" w:hAnsi="Arial"/>
          <w:sz w:val="18"/>
          <w:szCs w:val="18"/>
          <w:color w:val="auto"/>
        </w:rPr>
        <w:t xml:space="preserve">, Agent shall promptly notify each applicable Lender of the amount of its Applicable Percentage of the requested Advance. Each Lender shall make the amount of its applicable portion of the Term Loan available to Agent in immediately available funds at Agent’s office not later than 1:00 p.m. on the related Borrowing Date. Upon satisfaction of the applicable conditions set forth in </w:t>
      </w:r>
      <w:r>
        <w:rPr>
          <w:rFonts w:ascii="Arial" w:cs="Arial" w:eastAsia="Arial" w:hAnsi="Arial"/>
          <w:sz w:val="18"/>
          <w:szCs w:val="18"/>
          <w:u w:val="single" w:color="auto"/>
          <w:color w:val="auto"/>
        </w:rPr>
        <w:t>Section 4.1</w:t>
      </w:r>
      <w:r>
        <w:rPr>
          <w:rFonts w:ascii="Arial" w:cs="Arial" w:eastAsia="Arial" w:hAnsi="Arial"/>
          <w:sz w:val="18"/>
          <w:szCs w:val="18"/>
          <w:color w:val="auto"/>
        </w:rPr>
        <w:t>, Agent shall remit, or cause to be remitted, all funds so received as directed by the Borrower in the Notice of Borrowing.</w:t>
      </w:r>
    </w:p>
    <w:p>
      <w:pPr>
        <w:spacing w:after="0" w:line="187" w:lineRule="exact"/>
        <w:rPr>
          <w:rFonts w:ascii="Arial" w:cs="Arial" w:eastAsia="Arial" w:hAnsi="Arial"/>
          <w:sz w:val="18"/>
          <w:szCs w:val="18"/>
          <w:color w:val="auto"/>
        </w:rPr>
      </w:pPr>
    </w:p>
    <w:p>
      <w:pPr>
        <w:jc w:val="both"/>
        <w:ind w:left="660" w:firstLine="1292"/>
        <w:spacing w:after="0" w:line="285" w:lineRule="auto"/>
        <w:tabs>
          <w:tab w:leader="none" w:pos="2238" w:val="left"/>
        </w:tabs>
        <w:numPr>
          <w:ilvl w:val="1"/>
          <w:numId w:val="90"/>
        </w:numPr>
        <w:rPr>
          <w:rFonts w:ascii="Arial" w:cs="Arial" w:eastAsia="Arial" w:hAnsi="Arial"/>
          <w:sz w:val="16"/>
          <w:szCs w:val="16"/>
          <w:color w:val="auto"/>
        </w:rPr>
      </w:pPr>
      <w:r>
        <w:rPr>
          <w:rFonts w:ascii="Arial" w:cs="Arial" w:eastAsia="Arial" w:hAnsi="Arial"/>
          <w:sz w:val="16"/>
          <w:szCs w:val="16"/>
          <w:color w:val="auto"/>
        </w:rPr>
        <w:t xml:space="preserve">Unless Agent receives notice from a Lender prior to 9:30 a.m. on the Business Day that is the requested Borrowing Date relative to a requested Advance as to which Agent has notified the Lenders of a requested Advance that such Lender will not make available as and when required hereunder to Agent for the account of Borrower the amount of that Lender’s Applicable Percentage of the Advance, Agent may assume that each Lender has made or will make such amount available to Agent in immediately available funds on the Borrowing Date and Agent may (but shall not be so required), in reliance upon such assumption, make available to Borrower a corresponding amount. If, on the requested Borrowing Date, any Lender shall not have remitted the full amount that it is required to make available to Agent in immediately available funds and if Agent has made available to Borrower such amount on the requested Borrowing Date, then such Lender shall make the amount of such Lender’s pro rata share of the requested Advance available to Agent in immediately available funds, to Agent’s designated account, no later than 10:00 a.m. on the Business Day that is the first Business Day after the requested Borrowing Date (in which case, the interest accrued on such Lender’s portion of such Advance for the Borrowing Date shall be for Agent’s separate account). If any Lender shall not remit the full amount that it is required to make available to Agent in immediately available funds as and when required hereby and if Agent has made available to Borrower such amount, then that Lender shall be obligated to immediately remit such amount to Agent, together with interest at the Interest Rate for each day until the date on which such amount is so remitted. A notice submitted by Agent to any Lender with respect to amounts owing under this </w:t>
      </w:r>
      <w:r>
        <w:rPr>
          <w:rFonts w:ascii="Arial" w:cs="Arial" w:eastAsia="Arial" w:hAnsi="Arial"/>
          <w:sz w:val="16"/>
          <w:szCs w:val="16"/>
          <w:u w:val="single" w:color="auto"/>
          <w:color w:val="auto"/>
        </w:rPr>
        <w:t>Section 2.3(b)(ii)</w:t>
      </w:r>
      <w:r>
        <w:rPr>
          <w:rFonts w:ascii="Arial" w:cs="Arial" w:eastAsia="Arial" w:hAnsi="Arial"/>
          <w:sz w:val="16"/>
          <w:szCs w:val="16"/>
          <w:color w:val="auto"/>
        </w:rPr>
        <w:t xml:space="preserve"> shall be conclusive, absent manifest error. If the amount that a Lender is required to remit is made available to Agent, then such payment to Agent shall constitute such Lender’s Advance for all purposes of this Agreement. If such amount is not made available to Agent on the Business Day following the Borrowing Date, Agent will notify Borrower of such failure to fund and, upon demand by Agent, Borrower shall pay such amount to Agent for Agent’s account, together with interest thereon for each day elapsed since the date of such borrowing, at a rate per annum equal to the interest rate applicable at the time to the Advances composing such Advance.</w:t>
      </w:r>
    </w:p>
    <w:p>
      <w:pPr>
        <w:spacing w:after="0" w:line="171" w:lineRule="exact"/>
        <w:rPr>
          <w:rFonts w:ascii="Arial" w:cs="Arial" w:eastAsia="Arial" w:hAnsi="Arial"/>
          <w:sz w:val="16"/>
          <w:szCs w:val="16"/>
          <w:color w:val="auto"/>
        </w:rPr>
      </w:pPr>
    </w:p>
    <w:p>
      <w:pPr>
        <w:jc w:val="both"/>
        <w:ind w:firstLine="656"/>
        <w:spacing w:after="0" w:line="257" w:lineRule="auto"/>
        <w:tabs>
          <w:tab w:leader="none" w:pos="896" w:val="left"/>
        </w:tabs>
        <w:numPr>
          <w:ilvl w:val="0"/>
          <w:numId w:val="90"/>
        </w:numPr>
        <w:rPr>
          <w:rFonts w:ascii="Arial" w:cs="Arial" w:eastAsia="Arial" w:hAnsi="Arial"/>
          <w:sz w:val="18"/>
          <w:szCs w:val="18"/>
          <w:color w:val="auto"/>
        </w:rPr>
      </w:pPr>
      <w:r>
        <w:rPr>
          <w:rFonts w:ascii="Arial" w:cs="Arial" w:eastAsia="Arial" w:hAnsi="Arial"/>
          <w:sz w:val="18"/>
          <w:szCs w:val="18"/>
          <w:u w:val="single" w:color="auto"/>
          <w:color w:val="auto"/>
        </w:rPr>
        <w:t>Independent Obligations</w:t>
      </w:r>
      <w:r>
        <w:rPr>
          <w:rFonts w:ascii="Arial" w:cs="Arial" w:eastAsia="Arial" w:hAnsi="Arial"/>
          <w:sz w:val="18"/>
          <w:szCs w:val="18"/>
          <w:color w:val="auto"/>
        </w:rPr>
        <w:t>. All Advances shall be made by the Lenders contemporaneously and in accordance with their Applicable Percentages. It is understood that (i) no Lender shall be responsible for any failure by any other Lender to perform its obligation to make any Advance (or other extension of credit) hereunder, nor shall any Term Loan Commitment of any Lender be increased or decreased as a result of any failure by any other Lender to perform its obligations hereunder, and (ii) no failure by any Lender to perform its obligations hereunder shall excuse any other Lender from its obligations hereunder.</w:t>
      </w:r>
    </w:p>
    <w:p>
      <w:pPr>
        <w:spacing w:after="0" w:line="184"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b w:val="1"/>
          <w:bCs w:val="1"/>
          <w:color w:val="auto"/>
        </w:rPr>
        <w:t>2.3 Fees</w:t>
      </w:r>
      <w:r>
        <w:rPr>
          <w:rFonts w:ascii="Arial" w:cs="Arial" w:eastAsia="Arial" w:hAnsi="Arial"/>
          <w:sz w:val="18"/>
          <w:szCs w:val="18"/>
          <w:color w:val="auto"/>
        </w:rPr>
        <w:t>. As compensation for the Term Loan Commitment and Agent’s commitment to perform its obligations hereunder, Borrower shall pay to</w:t>
      </w:r>
      <w:r>
        <w:rPr>
          <w:rFonts w:ascii="Arial" w:cs="Arial" w:eastAsia="Arial" w:hAnsi="Arial"/>
          <w:sz w:val="18"/>
          <w:szCs w:val="18"/>
          <w:b w:val="1"/>
          <w:bCs w:val="1"/>
          <w:color w:val="auto"/>
        </w:rPr>
        <w:t xml:space="preserve"> </w:t>
      </w:r>
      <w:r>
        <w:rPr>
          <w:rFonts w:ascii="Arial" w:cs="Arial" w:eastAsia="Arial" w:hAnsi="Arial"/>
          <w:sz w:val="18"/>
          <w:szCs w:val="18"/>
          <w:color w:val="auto"/>
        </w:rPr>
        <w:t>Agent for its own account or for the benefit of the Lenders, as applicable, the fees set forth in the Fee Letter, the First Amendment, and the Second Amendment.</w:t>
      </w:r>
    </w:p>
    <w:p>
      <w:pPr>
        <w:spacing w:after="0" w:line="396"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36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Presto Credit Agreement</w:t>
            </w:r>
          </w:p>
        </w:tc>
        <w:tc>
          <w:tcPr>
            <w:tcW w:w="7580" w:type="dxa"/>
            <w:vAlign w:val="bottom"/>
            <w:tcBorders>
              <w:bottom w:val="single" w:sz="8" w:color="auto"/>
            </w:tcBorders>
          </w:tcPr>
          <w:p>
            <w:pPr>
              <w:jc w:val="right"/>
              <w:ind w:right="5430"/>
              <w:spacing w:after="0"/>
              <w:rPr>
                <w:sz w:val="20"/>
                <w:szCs w:val="20"/>
                <w:color w:val="auto"/>
              </w:rPr>
            </w:pPr>
            <w:r>
              <w:rPr>
                <w:rFonts w:ascii="Arial" w:cs="Arial" w:eastAsia="Arial" w:hAnsi="Arial"/>
                <w:sz w:val="18"/>
                <w:szCs w:val="18"/>
                <w:color w:val="auto"/>
              </w:rPr>
              <w:t>22</w:t>
            </w:r>
          </w:p>
        </w:tc>
      </w:tr>
    </w:tbl>
    <w:p>
      <w:pPr>
        <w:sectPr>
          <w:pgSz w:w="11900" w:h="16838" w:orient="portrait"/>
          <w:cols w:equalWidth="0" w:num="1">
            <w:col w:w="11240"/>
          </w:cols>
          <w:pgMar w:left="320" w:top="904" w:right="339" w:bottom="1440" w:gutter="0" w:footer="0" w:header="0"/>
        </w:sectPr>
      </w:pPr>
    </w:p>
    <w:bookmarkStart w:id="109" w:name="page110"/>
    <w:bookmarkEnd w:id="109"/>
    <w:p>
      <w:pPr>
        <w:ind w:left="660"/>
        <w:spacing w:after="0"/>
        <w:rPr>
          <w:sz w:val="20"/>
          <w:szCs w:val="20"/>
          <w:color w:val="auto"/>
        </w:rPr>
      </w:pPr>
      <w:r>
        <w:rPr>
          <w:rFonts w:ascii="Arial" w:cs="Arial" w:eastAsia="Arial" w:hAnsi="Arial"/>
          <w:sz w:val="18"/>
          <w:szCs w:val="18"/>
          <w:b w:val="1"/>
          <w:bCs w:val="1"/>
          <w:color w:val="auto"/>
        </w:rPr>
        <w:t>2.4 Interest Rates and Payment Dates</w:t>
      </w:r>
      <w:r>
        <w:rPr>
          <w:rFonts w:ascii="Arial" w:cs="Arial" w:eastAsia="Arial" w:hAnsi="Arial"/>
          <w:sz w:val="18"/>
          <w:szCs w:val="18"/>
          <w:color w:val="auto"/>
        </w:rPr>
        <w:t>.</w:t>
      </w:r>
    </w:p>
    <w:p>
      <w:pPr>
        <w:spacing w:after="0" w:line="229" w:lineRule="exact"/>
        <w:rPr>
          <w:sz w:val="20"/>
          <w:szCs w:val="20"/>
          <w:color w:val="auto"/>
        </w:rPr>
      </w:pPr>
    </w:p>
    <w:p>
      <w:pPr>
        <w:ind w:left="900" w:hanging="244"/>
        <w:spacing w:after="0"/>
        <w:tabs>
          <w:tab w:leader="none" w:pos="900" w:val="left"/>
        </w:tabs>
        <w:numPr>
          <w:ilvl w:val="0"/>
          <w:numId w:val="91"/>
        </w:numPr>
        <w:rPr>
          <w:rFonts w:ascii="Arial" w:cs="Arial" w:eastAsia="Arial" w:hAnsi="Arial"/>
          <w:sz w:val="17"/>
          <w:szCs w:val="17"/>
          <w:color w:val="auto"/>
        </w:rPr>
      </w:pPr>
      <w:r>
        <w:rPr>
          <w:rFonts w:ascii="Arial" w:cs="Arial" w:eastAsia="Arial" w:hAnsi="Arial"/>
          <w:sz w:val="17"/>
          <w:szCs w:val="17"/>
          <w:color w:val="auto"/>
        </w:rPr>
        <w:t xml:space="preserve">Each Term Loan shall bear interest at a rate per annum equal to the Interest Rate, subject to adjustment as set forth in this </w:t>
      </w:r>
      <w:r>
        <w:rPr>
          <w:rFonts w:ascii="Arial" w:cs="Arial" w:eastAsia="Arial" w:hAnsi="Arial"/>
          <w:sz w:val="17"/>
          <w:szCs w:val="17"/>
          <w:u w:val="single" w:color="auto"/>
          <w:color w:val="auto"/>
        </w:rPr>
        <w:t>Section 2.4</w:t>
      </w:r>
      <w:r>
        <w:rPr>
          <w:rFonts w:ascii="Arial" w:cs="Arial" w:eastAsia="Arial" w:hAnsi="Arial"/>
          <w:sz w:val="17"/>
          <w:szCs w:val="17"/>
          <w:color w:val="auto"/>
        </w:rPr>
        <w:t>.</w:t>
      </w:r>
    </w:p>
    <w:p>
      <w:pPr>
        <w:spacing w:after="0" w:line="236" w:lineRule="exact"/>
        <w:rPr>
          <w:rFonts w:ascii="Arial" w:cs="Arial" w:eastAsia="Arial" w:hAnsi="Arial"/>
          <w:sz w:val="17"/>
          <w:szCs w:val="17"/>
          <w:color w:val="auto"/>
        </w:rPr>
      </w:pPr>
    </w:p>
    <w:p>
      <w:pPr>
        <w:jc w:val="both"/>
        <w:ind w:firstLine="656"/>
        <w:spacing w:after="0" w:line="296" w:lineRule="auto"/>
        <w:tabs>
          <w:tab w:leader="none" w:pos="908" w:val="left"/>
        </w:tabs>
        <w:numPr>
          <w:ilvl w:val="0"/>
          <w:numId w:val="91"/>
        </w:numPr>
        <w:rPr>
          <w:rFonts w:ascii="Arial" w:cs="Arial" w:eastAsia="Arial" w:hAnsi="Arial"/>
          <w:sz w:val="16"/>
          <w:szCs w:val="16"/>
          <w:color w:val="auto"/>
        </w:rPr>
      </w:pPr>
      <w:r>
        <w:rPr>
          <w:rFonts w:ascii="Arial" w:cs="Arial" w:eastAsia="Arial" w:hAnsi="Arial"/>
          <w:sz w:val="16"/>
          <w:szCs w:val="16"/>
          <w:color w:val="auto"/>
        </w:rPr>
        <w:t xml:space="preserve">During the continuance of an Event of Default, the outstanding Obligations shall, at the election of the Agent (or automatically upon an Event of Default pursuant to </w:t>
      </w:r>
      <w:r>
        <w:rPr>
          <w:rFonts w:ascii="Arial" w:cs="Arial" w:eastAsia="Arial" w:hAnsi="Arial"/>
          <w:sz w:val="16"/>
          <w:szCs w:val="16"/>
          <w:u w:val="single" w:color="auto"/>
          <w:color w:val="auto"/>
        </w:rPr>
        <w:t>Section 7.1(a)</w:t>
      </w:r>
      <w:r>
        <w:rPr>
          <w:rFonts w:ascii="Arial" w:cs="Arial" w:eastAsia="Arial" w:hAnsi="Arial"/>
          <w:sz w:val="16"/>
          <w:szCs w:val="16"/>
          <w:color w:val="auto"/>
        </w:rPr>
        <w:t xml:space="preserve">, </w:t>
      </w:r>
      <w:r>
        <w:rPr>
          <w:rFonts w:ascii="Arial" w:cs="Arial" w:eastAsia="Arial" w:hAnsi="Arial"/>
          <w:sz w:val="16"/>
          <w:szCs w:val="16"/>
          <w:u w:val="single" w:color="auto"/>
          <w:color w:val="auto"/>
        </w:rPr>
        <w:t>(d)</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(e)</w:t>
      </w:r>
      <w:r>
        <w:rPr>
          <w:rFonts w:ascii="Arial" w:cs="Arial" w:eastAsia="Arial" w:hAnsi="Arial"/>
          <w:sz w:val="16"/>
          <w:szCs w:val="16"/>
          <w:color w:val="auto"/>
        </w:rPr>
        <w:t xml:space="preserve">) bear interest at a rate per annum equal to the lesser of (i) the rate that would otherwise be applicable thereto pursuant to the foregoing provisions of this Section </w:t>
      </w:r>
      <w:r>
        <w:rPr>
          <w:rFonts w:ascii="Arial" w:cs="Arial" w:eastAsia="Arial" w:hAnsi="Arial"/>
          <w:sz w:val="16"/>
          <w:szCs w:val="16"/>
          <w:u w:val="single" w:color="auto"/>
          <w:color w:val="auto"/>
        </w:rPr>
        <w:t>plus</w:t>
      </w:r>
      <w:r>
        <w:rPr>
          <w:rFonts w:ascii="Arial" w:cs="Arial" w:eastAsia="Arial" w:hAnsi="Arial"/>
          <w:sz w:val="16"/>
          <w:szCs w:val="16"/>
          <w:color w:val="auto"/>
        </w:rPr>
        <w:t xml:space="preserve"> five percent (5%) and (ii) the maximum rate allowed by applicable Law (the “</w:t>
      </w:r>
      <w:r>
        <w:rPr>
          <w:rFonts w:ascii="Arial" w:cs="Arial" w:eastAsia="Arial" w:hAnsi="Arial"/>
          <w:sz w:val="16"/>
          <w:szCs w:val="16"/>
          <w:b w:val="1"/>
          <w:bCs w:val="1"/>
          <w:i w:val="1"/>
          <w:iCs w:val="1"/>
          <w:color w:val="auto"/>
        </w:rPr>
        <w:t>Default Rate</w:t>
      </w:r>
      <w:r>
        <w:rPr>
          <w:rFonts w:ascii="Arial" w:cs="Arial" w:eastAsia="Arial" w:hAnsi="Arial"/>
          <w:sz w:val="16"/>
          <w:szCs w:val="16"/>
          <w:color w:val="auto"/>
        </w:rPr>
        <w:t>”). The terms of this paragraph shall not be construed as Agent’s consent to Borrower’s failure to pay any amounts in strict accordance with this Agreement, and Agent’s charging any such fees and/or acceptance of any such payments shall not restrict Agent’s exercise of any remedies arising out of any such failure.</w:t>
      </w:r>
    </w:p>
    <w:p>
      <w:pPr>
        <w:spacing w:after="0" w:line="161" w:lineRule="exact"/>
        <w:rPr>
          <w:rFonts w:ascii="Arial" w:cs="Arial" w:eastAsia="Arial" w:hAnsi="Arial"/>
          <w:sz w:val="16"/>
          <w:szCs w:val="16"/>
          <w:color w:val="auto"/>
        </w:rPr>
      </w:pPr>
    </w:p>
    <w:p>
      <w:pPr>
        <w:jc w:val="both"/>
        <w:ind w:firstLine="656"/>
        <w:spacing w:after="0" w:line="253" w:lineRule="auto"/>
        <w:tabs>
          <w:tab w:leader="none" w:pos="902" w:val="left"/>
        </w:tabs>
        <w:numPr>
          <w:ilvl w:val="0"/>
          <w:numId w:val="91"/>
        </w:numPr>
        <w:rPr>
          <w:rFonts w:ascii="Arial" w:cs="Arial" w:eastAsia="Arial" w:hAnsi="Arial"/>
          <w:sz w:val="18"/>
          <w:szCs w:val="18"/>
          <w:color w:val="auto"/>
        </w:rPr>
      </w:pPr>
      <w:r>
        <w:rPr>
          <w:rFonts w:ascii="Arial" w:cs="Arial" w:eastAsia="Arial" w:hAnsi="Arial"/>
          <w:sz w:val="18"/>
          <w:szCs w:val="18"/>
          <w:color w:val="auto"/>
        </w:rPr>
        <w:t xml:space="preserve">Accrued interest shall be payable in arrears on each Interest Payment Date;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on or prior to the date that is eighteen (18) months following the Closing Date, a portion of the interest payable on each Interest Payment Date equal to the applicable PIK Limit may be paid on such Interest Payment Date as PIK Interest if not less than five (5) Business Days prior to such Interest Payment Date, Borrower notifies Agent in writing of its intention to pay a portion of such interest in kind on such Interest Payment Date. All PIK Interest shall be compounded on the applicable Interest Payment Date by capitalizing the amount of such PIK Interest and adding the same to the principal balance of the Term Loan, after which such PIK Interest shall accrue interest at the Interest Rate and otherwise constitute principal under the Term Loan for all purposes (including, without limitation, for purposes of calculating interest on the principal amount thereof). For the avoidance of doubt, all accrued and unpaid PIK Interest, together with all other Obligations hereunder, shall be payable by Borrower on the Maturity Date. All interest payable in cash shall be payable on each Interest Payment Date in accordance with </w:t>
      </w:r>
      <w:r>
        <w:rPr>
          <w:rFonts w:ascii="Arial" w:cs="Arial" w:eastAsia="Arial" w:hAnsi="Arial"/>
          <w:sz w:val="18"/>
          <w:szCs w:val="18"/>
          <w:u w:val="single" w:color="auto"/>
          <w:color w:val="auto"/>
        </w:rPr>
        <w:t>Section 2.6</w:t>
      </w:r>
      <w:r>
        <w:rPr>
          <w:rFonts w:ascii="Arial" w:cs="Arial" w:eastAsia="Arial" w:hAnsi="Arial"/>
          <w:sz w:val="18"/>
          <w:szCs w:val="18"/>
          <w:color w:val="auto"/>
        </w:rPr>
        <w:t>.</w:t>
      </w:r>
    </w:p>
    <w:p>
      <w:pPr>
        <w:spacing w:after="0" w:line="192"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2.5 Computation of Interest and Fees</w:t>
      </w:r>
      <w:r>
        <w:rPr>
          <w:rFonts w:ascii="Arial" w:cs="Arial" w:eastAsia="Arial" w:hAnsi="Arial"/>
          <w:sz w:val="18"/>
          <w:szCs w:val="18"/>
          <w:color w:val="auto"/>
        </w:rPr>
        <w:t>.</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Interest and fees payable pursuant hereto shall be calculated on the basis of a 360-day year for the actual days elapsed and shall be calculated on the beginning of day principal balance of the Term Loan outstanding for each day of the relevant calendar month. Each determination of an interest rate by Agent pursuant to any provision of this Agreement shall be conclusive and binding on Borrower in the absence of manifest error. For the avoidance of doubt, Advances shall be included in the daily principal balance on the date they occur.</w:t>
      </w:r>
    </w:p>
    <w:p>
      <w:pPr>
        <w:spacing w:after="0" w:line="183"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2.6 Payments</w:t>
      </w:r>
      <w:r>
        <w:rPr>
          <w:rFonts w:ascii="Arial" w:cs="Arial" w:eastAsia="Arial" w:hAnsi="Arial"/>
          <w:sz w:val="18"/>
          <w:szCs w:val="18"/>
          <w:color w:val="auto"/>
        </w:rPr>
        <w:t>.</w:t>
      </w:r>
    </w:p>
    <w:p>
      <w:pPr>
        <w:spacing w:after="0" w:line="229" w:lineRule="exact"/>
        <w:rPr>
          <w:sz w:val="20"/>
          <w:szCs w:val="20"/>
          <w:color w:val="auto"/>
        </w:rPr>
      </w:pPr>
    </w:p>
    <w:p>
      <w:pPr>
        <w:jc w:val="both"/>
        <w:ind w:firstLine="656"/>
        <w:spacing w:after="0" w:line="263" w:lineRule="auto"/>
        <w:tabs>
          <w:tab w:leader="none" w:pos="894" w:val="left"/>
        </w:tabs>
        <w:numPr>
          <w:ilvl w:val="0"/>
          <w:numId w:val="92"/>
        </w:numPr>
        <w:rPr>
          <w:rFonts w:ascii="Arial" w:cs="Arial" w:eastAsia="Arial" w:hAnsi="Arial"/>
          <w:sz w:val="18"/>
          <w:szCs w:val="18"/>
          <w:color w:val="auto"/>
        </w:rPr>
      </w:pPr>
      <w:r>
        <w:rPr>
          <w:rFonts w:ascii="Arial" w:cs="Arial" w:eastAsia="Arial" w:hAnsi="Arial"/>
          <w:sz w:val="18"/>
          <w:szCs w:val="18"/>
          <w:color w:val="auto"/>
        </w:rPr>
        <w:t>Unless otherwise specified herein or in any other Loan Document, prior to (or simultaneously with) making any principal payment on the Term Loan, Borrower shall deliver to Agent a Payment Notice (which such Payment Notice shall be irrevocable and binding unless Borrower otherwise notifies Agent in writing) with respect thereto.</w:t>
      </w:r>
    </w:p>
    <w:p>
      <w:pPr>
        <w:spacing w:after="0" w:line="183" w:lineRule="exact"/>
        <w:rPr>
          <w:rFonts w:ascii="Arial" w:cs="Arial" w:eastAsia="Arial" w:hAnsi="Arial"/>
          <w:sz w:val="18"/>
          <w:szCs w:val="18"/>
          <w:color w:val="auto"/>
        </w:rPr>
      </w:pPr>
    </w:p>
    <w:p>
      <w:pPr>
        <w:jc w:val="both"/>
        <w:ind w:firstLine="656"/>
        <w:spacing w:after="0" w:line="271" w:lineRule="auto"/>
        <w:tabs>
          <w:tab w:leader="none" w:pos="905" w:val="left"/>
        </w:tabs>
        <w:numPr>
          <w:ilvl w:val="0"/>
          <w:numId w:val="92"/>
        </w:numPr>
        <w:rPr>
          <w:rFonts w:ascii="Arial" w:cs="Arial" w:eastAsia="Arial" w:hAnsi="Arial"/>
          <w:sz w:val="17"/>
          <w:szCs w:val="17"/>
          <w:color w:val="auto"/>
        </w:rPr>
      </w:pPr>
      <w:r>
        <w:rPr>
          <w:rFonts w:ascii="Arial" w:cs="Arial" w:eastAsia="Arial" w:hAnsi="Arial"/>
          <w:sz w:val="17"/>
          <w:szCs w:val="17"/>
          <w:color w:val="auto"/>
        </w:rPr>
        <w:t>All payments (including prepayments) to be made by Borrower hereunder, whether on account of principal, interest, fees or otherwise, shall be made without condition or deduction for any counterclaim, defense, recoupment or setoff and shall be made prior to 2:00 P.M. (New York City time), on the due date thereof to Agent in Dollars in immediately available funds. Any payment received by Agent after 2:00 P.M. (New York City time), shall be deemed received on the next succeeding Business Day and any applicable interest or fee shall continue to accrue. If any payment hereunder (other than the capitalization of accrued PIK Interest) becomes due and payable on a day other than a Business Day, such payment due date shall be extended to the next succeeding Business Day, other than with respect to the payment to be made on the Maturity Date, which, if not a Business Day, shall be made on the immediately preceding Business Day. In the case of any extension of any payment of principal pursuant to the preceding sentence, interest thereon shall be payable at the then applicable rate during such extension.</w:t>
      </w:r>
    </w:p>
    <w:p>
      <w:pPr>
        <w:spacing w:after="0" w:line="178" w:lineRule="exact"/>
        <w:rPr>
          <w:rFonts w:ascii="Arial" w:cs="Arial" w:eastAsia="Arial" w:hAnsi="Arial"/>
          <w:sz w:val="17"/>
          <w:szCs w:val="17"/>
          <w:color w:val="auto"/>
        </w:rPr>
      </w:pPr>
    </w:p>
    <w:p>
      <w:pPr>
        <w:ind w:firstLine="656"/>
        <w:spacing w:after="0" w:line="342" w:lineRule="auto"/>
        <w:tabs>
          <w:tab w:leader="none" w:pos="899" w:val="left"/>
        </w:tabs>
        <w:numPr>
          <w:ilvl w:val="0"/>
          <w:numId w:val="92"/>
        </w:numPr>
        <w:rPr>
          <w:rFonts w:ascii="Arial" w:cs="Arial" w:eastAsia="Arial" w:hAnsi="Arial"/>
          <w:sz w:val="16"/>
          <w:szCs w:val="16"/>
          <w:color w:val="auto"/>
        </w:rPr>
      </w:pPr>
      <w:r>
        <w:rPr>
          <w:rFonts w:ascii="Arial" w:cs="Arial" w:eastAsia="Arial" w:hAnsi="Arial"/>
          <w:sz w:val="16"/>
          <w:szCs w:val="16"/>
          <w:color w:val="auto"/>
        </w:rPr>
        <w:t>Nothing herein shall be deemed to obligate Agent or any Lender to obtain the funds for the Term Loan in any particular place or manner or to constitute a representation by Agent or any Lender that it has obtained or will obtain the funds for the Term Loan in any particular place or manner.</w:t>
      </w:r>
    </w:p>
    <w:p>
      <w:pPr>
        <w:spacing w:after="0" w:line="123" w:lineRule="exact"/>
        <w:rPr>
          <w:rFonts w:ascii="Arial" w:cs="Arial" w:eastAsia="Arial" w:hAnsi="Arial"/>
          <w:sz w:val="16"/>
          <w:szCs w:val="16"/>
          <w:color w:val="auto"/>
        </w:rPr>
      </w:pPr>
    </w:p>
    <w:p>
      <w:pPr>
        <w:jc w:val="both"/>
        <w:ind w:firstLine="656"/>
        <w:spacing w:after="0" w:line="259" w:lineRule="auto"/>
        <w:tabs>
          <w:tab w:leader="none" w:pos="907" w:val="left"/>
        </w:tabs>
        <w:numPr>
          <w:ilvl w:val="0"/>
          <w:numId w:val="92"/>
        </w:numPr>
        <w:rPr>
          <w:rFonts w:ascii="Arial" w:cs="Arial" w:eastAsia="Arial" w:hAnsi="Arial"/>
          <w:sz w:val="18"/>
          <w:szCs w:val="18"/>
          <w:color w:val="auto"/>
        </w:rPr>
      </w:pPr>
      <w:r>
        <w:rPr>
          <w:rFonts w:ascii="Arial" w:cs="Arial" w:eastAsia="Arial" w:hAnsi="Arial"/>
          <w:sz w:val="18"/>
          <w:szCs w:val="18"/>
          <w:color w:val="auto"/>
        </w:rPr>
        <w:t>All payments, prepayments or repayments of the Term Loan shall be accompanied by payment in full of all accrued and unpaid interest on the portion of such Term Loan being paid, prepaid or repaid to the date of payment, prepayment, or repayment, including the Make Whole Premium as applicable, all other earned and unpaid fees, and all other amounts due and owing hereunder, including without limitation all costs associated with such payment, prepayment, or repayment.</w:t>
      </w:r>
    </w:p>
    <w:p>
      <w:pPr>
        <w:spacing w:after="0" w:line="200" w:lineRule="exact"/>
        <w:rPr>
          <w:sz w:val="20"/>
          <w:szCs w:val="20"/>
          <w:color w:val="auto"/>
        </w:rPr>
      </w:pP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36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Presto Credit Agreement</w:t>
            </w:r>
          </w:p>
        </w:tc>
        <w:tc>
          <w:tcPr>
            <w:tcW w:w="7580" w:type="dxa"/>
            <w:vAlign w:val="bottom"/>
            <w:tcBorders>
              <w:bottom w:val="single" w:sz="8" w:color="auto"/>
            </w:tcBorders>
          </w:tcPr>
          <w:p>
            <w:pPr>
              <w:jc w:val="right"/>
              <w:ind w:right="5430"/>
              <w:spacing w:after="0"/>
              <w:rPr>
                <w:sz w:val="20"/>
                <w:szCs w:val="20"/>
                <w:color w:val="auto"/>
              </w:rPr>
            </w:pPr>
            <w:r>
              <w:rPr>
                <w:rFonts w:ascii="Arial" w:cs="Arial" w:eastAsia="Arial" w:hAnsi="Arial"/>
                <w:sz w:val="18"/>
                <w:szCs w:val="18"/>
                <w:color w:val="auto"/>
              </w:rPr>
              <w:t>23</w:t>
            </w:r>
          </w:p>
        </w:tc>
      </w:tr>
    </w:tbl>
    <w:p>
      <w:pPr>
        <w:sectPr>
          <w:pgSz w:w="11900" w:h="16838" w:orient="portrait"/>
          <w:cols w:equalWidth="0" w:num="1">
            <w:col w:w="11240"/>
          </w:cols>
          <w:pgMar w:left="320" w:top="904" w:right="339" w:bottom="1440" w:gutter="0" w:footer="0" w:header="0"/>
        </w:sectPr>
      </w:pPr>
    </w:p>
    <w:bookmarkStart w:id="110" w:name="page111"/>
    <w:bookmarkEnd w:id="110"/>
    <w:p>
      <w:pPr>
        <w:jc w:val="both"/>
        <w:ind w:firstLine="656"/>
        <w:spacing w:after="0" w:line="257" w:lineRule="auto"/>
        <w:tabs>
          <w:tab w:leader="none" w:pos="907" w:val="left"/>
        </w:tabs>
        <w:numPr>
          <w:ilvl w:val="0"/>
          <w:numId w:val="93"/>
        </w:numPr>
        <w:rPr>
          <w:rFonts w:ascii="Arial" w:cs="Arial" w:eastAsia="Arial" w:hAnsi="Arial"/>
          <w:sz w:val="18"/>
          <w:szCs w:val="18"/>
          <w:color w:val="auto"/>
        </w:rPr>
      </w:pPr>
      <w:r>
        <w:rPr>
          <w:rFonts w:ascii="Arial" w:cs="Arial" w:eastAsia="Arial" w:hAnsi="Arial"/>
          <w:sz w:val="18"/>
          <w:szCs w:val="18"/>
          <w:color w:val="auto"/>
        </w:rPr>
        <w:t xml:space="preserve">Except as specifically set forth elsewhere in this Agreement and subject to </w:t>
      </w:r>
      <w:r>
        <w:rPr>
          <w:rFonts w:ascii="Arial" w:cs="Arial" w:eastAsia="Arial" w:hAnsi="Arial"/>
          <w:sz w:val="18"/>
          <w:szCs w:val="18"/>
          <w:u w:val="single" w:color="auto"/>
          <w:color w:val="auto"/>
        </w:rPr>
        <w:t>Section 7.3</w:t>
      </w:r>
      <w:r>
        <w:rPr>
          <w:rFonts w:ascii="Arial" w:cs="Arial" w:eastAsia="Arial" w:hAnsi="Arial"/>
          <w:sz w:val="18"/>
          <w:szCs w:val="18"/>
          <w:color w:val="auto"/>
        </w:rPr>
        <w:t>, any payment, prepayment or repayment of the Term Loan shall be made by the Loan Parties to Agent, for the benefit of the Lenders, on a pro rata basis based upon each Lender’s Applicable Percentage of the amount of such payment, prepayment or repayment. If at any time insufficient funds are received by and available to Agent or any Lender to pay fully all amounts of principal, interest and fees then due hereunder, such funds shall be applied in accordance with the Lenders’ Applicable Percentage or as otherwise determined by Agent in its sole discretion.</w:t>
      </w:r>
    </w:p>
    <w:p>
      <w:pPr>
        <w:spacing w:after="0" w:line="187" w:lineRule="exact"/>
        <w:rPr>
          <w:rFonts w:ascii="Arial" w:cs="Arial" w:eastAsia="Arial" w:hAnsi="Arial"/>
          <w:sz w:val="18"/>
          <w:szCs w:val="18"/>
          <w:color w:val="auto"/>
        </w:rPr>
      </w:pPr>
    </w:p>
    <w:p>
      <w:pPr>
        <w:jc w:val="both"/>
        <w:ind w:firstLine="656"/>
        <w:spacing w:after="0" w:line="259" w:lineRule="auto"/>
        <w:tabs>
          <w:tab w:leader="none" w:pos="896" w:val="left"/>
        </w:tabs>
        <w:numPr>
          <w:ilvl w:val="0"/>
          <w:numId w:val="93"/>
        </w:numPr>
        <w:rPr>
          <w:rFonts w:ascii="Arial" w:cs="Arial" w:eastAsia="Arial" w:hAnsi="Arial"/>
          <w:sz w:val="18"/>
          <w:szCs w:val="18"/>
          <w:color w:val="auto"/>
        </w:rPr>
      </w:pPr>
      <w:r>
        <w:rPr>
          <w:rFonts w:ascii="Arial" w:cs="Arial" w:eastAsia="Arial" w:hAnsi="Arial"/>
          <w:sz w:val="18"/>
          <w:szCs w:val="18"/>
          <w:color w:val="auto"/>
        </w:rPr>
        <w:t xml:space="preserve">Notwithstanding anything to the contrary in this Agreement, Agent or any Lender may, in its discretion at any time or from time to time, without Borrower’s request and even if the conditions set forth in </w:t>
      </w:r>
      <w:r>
        <w:rPr>
          <w:rFonts w:ascii="Arial" w:cs="Arial" w:eastAsia="Arial" w:hAnsi="Arial"/>
          <w:sz w:val="18"/>
          <w:szCs w:val="18"/>
          <w:u w:val="single" w:color="auto"/>
          <w:color w:val="auto"/>
        </w:rPr>
        <w:t>Section</w:t>
      </w:r>
      <w:r>
        <w:rPr>
          <w:rFonts w:ascii="Arial" w:cs="Arial" w:eastAsia="Arial" w:hAnsi="Arial"/>
          <w:sz w:val="18"/>
          <w:szCs w:val="18"/>
          <w:color w:val="auto"/>
        </w:rPr>
        <w:t xml:space="preserve"> 4.1 would not be satisfied, make a Term Loan in an amount equal to the portion of the Obligations constituting overdue interest, fees, indemnification payments or any other Obligations from time to time due and payable to itself and apply the proceeds of any such Term Loan to those Obligations.</w:t>
      </w:r>
    </w:p>
    <w:p>
      <w:pPr>
        <w:spacing w:after="0" w:line="186" w:lineRule="exact"/>
        <w:rPr>
          <w:rFonts w:ascii="Arial" w:cs="Arial" w:eastAsia="Arial" w:hAnsi="Arial"/>
          <w:sz w:val="18"/>
          <w:szCs w:val="18"/>
          <w:color w:val="auto"/>
        </w:rPr>
      </w:pPr>
    </w:p>
    <w:p>
      <w:pPr>
        <w:jc w:val="both"/>
        <w:ind w:firstLine="656"/>
        <w:spacing w:after="0" w:line="284" w:lineRule="auto"/>
        <w:tabs>
          <w:tab w:leader="none" w:pos="904" w:val="left"/>
        </w:tabs>
        <w:numPr>
          <w:ilvl w:val="0"/>
          <w:numId w:val="93"/>
        </w:numPr>
        <w:rPr>
          <w:rFonts w:ascii="Arial" w:cs="Arial" w:eastAsia="Arial" w:hAnsi="Arial"/>
          <w:sz w:val="16"/>
          <w:szCs w:val="16"/>
          <w:color w:val="auto"/>
        </w:rPr>
      </w:pPr>
      <w:r>
        <w:rPr>
          <w:rFonts w:ascii="Arial" w:cs="Arial" w:eastAsia="Arial" w:hAnsi="Arial"/>
          <w:sz w:val="16"/>
          <w:szCs w:val="16"/>
          <w:color w:val="auto"/>
        </w:rPr>
        <w:t>Notwithstanding any provision of any Loan Document, Agent, in its sole discretion shall have the right, but not any obligation, at any time that Borrower fails to do so, and from time to time, without prior notice, to: (i) discharge (at Borrower’s expense) taxes or Liens affecting any of the Collateral that have not been paid in violation of any Loan Document or that jeopardize the Agent’s Lien priority in the Collateral; or (ii) make any other payment (at Borrower’s expense) reasonably necessary for the administration, servicing, maintenance, preservation or protection of the Collateral (each such advance or payment set forth in clauses (i) and (ii), a “</w:t>
      </w:r>
      <w:r>
        <w:rPr>
          <w:rFonts w:ascii="Arial" w:cs="Arial" w:eastAsia="Arial" w:hAnsi="Arial"/>
          <w:sz w:val="16"/>
          <w:szCs w:val="16"/>
          <w:b w:val="1"/>
          <w:bCs w:val="1"/>
          <w:i w:val="1"/>
          <w:iCs w:val="1"/>
          <w:color w:val="auto"/>
        </w:rPr>
        <w:t>Protective Advance</w:t>
      </w:r>
      <w:r>
        <w:rPr>
          <w:rFonts w:ascii="Arial" w:cs="Arial" w:eastAsia="Arial" w:hAnsi="Arial"/>
          <w:sz w:val="16"/>
          <w:szCs w:val="16"/>
          <w:color w:val="auto"/>
        </w:rPr>
        <w:t xml:space="preserve">”). The Agent shall be reimbursed for all Protective Advances pursuant to </w:t>
      </w:r>
      <w:r>
        <w:rPr>
          <w:rFonts w:ascii="Arial" w:cs="Arial" w:eastAsia="Arial" w:hAnsi="Arial"/>
          <w:sz w:val="16"/>
          <w:szCs w:val="16"/>
          <w:u w:val="single" w:color="auto"/>
          <w:color w:val="auto"/>
        </w:rPr>
        <w:t>Section 2.4</w:t>
      </w:r>
      <w:r>
        <w:rPr>
          <w:rFonts w:ascii="Arial" w:cs="Arial" w:eastAsia="Arial" w:hAnsi="Arial"/>
          <w:sz w:val="16"/>
          <w:szCs w:val="16"/>
          <w:color w:val="auto"/>
        </w:rPr>
        <w:t xml:space="preserve"> and any Protective Advances shall bear interest at the lesser of (i) the Interest Rate plus ten percent (10%) per annum, and (ii) the maximum rate permitted by Law (the “</w:t>
      </w:r>
      <w:r>
        <w:rPr>
          <w:rFonts w:ascii="Arial" w:cs="Arial" w:eastAsia="Arial" w:hAnsi="Arial"/>
          <w:sz w:val="16"/>
          <w:szCs w:val="16"/>
          <w:b w:val="1"/>
          <w:bCs w:val="1"/>
          <w:i w:val="1"/>
          <w:iCs w:val="1"/>
          <w:color w:val="auto"/>
        </w:rPr>
        <w:t>Protective Advance Rate</w:t>
      </w:r>
      <w:r>
        <w:rPr>
          <w:rFonts w:ascii="Arial" w:cs="Arial" w:eastAsia="Arial" w:hAnsi="Arial"/>
          <w:sz w:val="16"/>
          <w:szCs w:val="16"/>
          <w:color w:val="auto"/>
        </w:rPr>
        <w:t>”), payable in cash, from the date the Protective Advance is paid by Agent until it is repaid. No Protective Advance by Agent shall be construed as a waiver by Agent, or any Lender of any Default, Event of Default or any of the rights or remedies of Agent or any Lender. Upon the making of a Protective Advance by the Agent, without any further action on the part of the Agent or any Lender, the Agent will be deemed to have granted to each Lender, and each Lender will be deemed to have acquired from the Agent, without recourse or warranty, a participation in such Protective Advance equal to such Lender’s Applicable Percentage of the amount of such Protective Advance. Each Lender shall transfer (each such transfer, a “</w:t>
      </w:r>
      <w:r>
        <w:rPr>
          <w:rFonts w:ascii="Arial" w:cs="Arial" w:eastAsia="Arial" w:hAnsi="Arial"/>
          <w:sz w:val="16"/>
          <w:szCs w:val="16"/>
          <w:b w:val="1"/>
          <w:bCs w:val="1"/>
          <w:i w:val="1"/>
          <w:iCs w:val="1"/>
          <w:color w:val="auto"/>
        </w:rPr>
        <w:t>Transfer</w:t>
      </w:r>
      <w:r>
        <w:rPr>
          <w:rFonts w:ascii="Arial" w:cs="Arial" w:eastAsia="Arial" w:hAnsi="Arial"/>
          <w:sz w:val="16"/>
          <w:szCs w:val="16"/>
          <w:color w:val="auto"/>
        </w:rPr>
        <w:t>”) the amount of such Lender’s Applicable Percentage of the outstanding principal amount of the applicable Protective Advance with respect to such acquired interest and participation promptly when requested to the Agent, to such account of the Agent as the Agent may designate, but in any case not later than 2:00 P.M. (New York City time), on the Business Day requested (if notice is provided by the Agent prior to noon (New York City time) on such Business Day) or otherwise on the immediately following Business Day (each such transfer date, as to the applicable Transfer, a “</w:t>
      </w:r>
      <w:r>
        <w:rPr>
          <w:rFonts w:ascii="Arial" w:cs="Arial" w:eastAsia="Arial" w:hAnsi="Arial"/>
          <w:sz w:val="16"/>
          <w:szCs w:val="16"/>
          <w:b w:val="1"/>
          <w:bCs w:val="1"/>
          <w:i w:val="1"/>
          <w:iCs w:val="1"/>
          <w:color w:val="auto"/>
        </w:rPr>
        <w:t>Transfer Date</w:t>
      </w:r>
      <w:r>
        <w:rPr>
          <w:rFonts w:ascii="Arial" w:cs="Arial" w:eastAsia="Arial" w:hAnsi="Arial"/>
          <w:sz w:val="16"/>
          <w:szCs w:val="16"/>
          <w:color w:val="auto"/>
        </w:rPr>
        <w:t xml:space="preserve">”). Transfers may occur during the existence of a Default or Event of Default and regardless of whether the applicable conditions precedent set forth in </w:t>
      </w:r>
      <w:r>
        <w:rPr>
          <w:rFonts w:ascii="Arial" w:cs="Arial" w:eastAsia="Arial" w:hAnsi="Arial"/>
          <w:sz w:val="16"/>
          <w:szCs w:val="16"/>
          <w:u w:val="single" w:color="auto"/>
          <w:color w:val="auto"/>
        </w:rPr>
        <w:t>Section</w:t>
      </w:r>
      <w:r>
        <w:rPr>
          <w:rFonts w:ascii="Arial" w:cs="Arial" w:eastAsia="Arial" w:hAnsi="Arial"/>
          <w:sz w:val="16"/>
          <w:szCs w:val="16"/>
          <w:color w:val="auto"/>
        </w:rPr>
        <w:t xml:space="preserve"> </w:t>
      </w:r>
      <w:r>
        <w:rPr>
          <w:rFonts w:ascii="Arial" w:cs="Arial" w:eastAsia="Arial" w:hAnsi="Arial"/>
          <w:sz w:val="16"/>
          <w:szCs w:val="16"/>
          <w:u w:val="single" w:color="auto"/>
          <w:color w:val="auto"/>
        </w:rPr>
        <w:t>4.1</w:t>
      </w:r>
      <w:r>
        <w:rPr>
          <w:rFonts w:ascii="Arial" w:cs="Arial" w:eastAsia="Arial" w:hAnsi="Arial"/>
          <w:sz w:val="16"/>
          <w:szCs w:val="16"/>
          <w:color w:val="auto"/>
        </w:rPr>
        <w:t xml:space="preserve"> have then been satisfied. Such amounts transferred to the Agent will be applied against the amount of the Protective Advance and, together with each Lender’s Applicable Percentage of such Protective Advance, will constitute Advances of such Lenders, respectively. If any such amount is not transferred to the Agent by any Lender on the applicable Transfer Date, then the Agent may recover such amount on demand from such Lender together with interest thereon. From and after the date, if any, on which any Lender is required to fund, and funds, its participation in any Protective Advance purchased hereunder, the Agent shall promptly distribute to such Lender such Lender’s Applicable Percentage of all payments of principal and interest and all proceeds of Collateral received by the Agent in respect of such Protective Advance in accordance with this Agreement.</w:t>
      </w:r>
    </w:p>
    <w:p>
      <w:pPr>
        <w:spacing w:after="0" w:line="174"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2.7 [Reserved]</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2.8 Taxes</w:t>
      </w:r>
      <w:r>
        <w:rPr>
          <w:rFonts w:ascii="Arial" w:cs="Arial" w:eastAsia="Arial" w:hAnsi="Arial"/>
          <w:sz w:val="18"/>
          <w:szCs w:val="18"/>
          <w:color w:val="auto"/>
        </w:rPr>
        <w:t>.</w:t>
      </w:r>
    </w:p>
    <w:p>
      <w:pPr>
        <w:spacing w:after="0" w:line="229" w:lineRule="exact"/>
        <w:rPr>
          <w:sz w:val="20"/>
          <w:szCs w:val="20"/>
          <w:color w:val="auto"/>
        </w:rPr>
      </w:pPr>
    </w:p>
    <w:p>
      <w:pPr>
        <w:ind w:left="900" w:hanging="244"/>
        <w:spacing w:after="0"/>
        <w:tabs>
          <w:tab w:leader="none" w:pos="900" w:val="left"/>
        </w:tabs>
        <w:numPr>
          <w:ilvl w:val="0"/>
          <w:numId w:val="94"/>
        </w:numPr>
        <w:rPr>
          <w:rFonts w:ascii="Arial" w:cs="Arial" w:eastAsia="Arial" w:hAnsi="Arial"/>
          <w:sz w:val="18"/>
          <w:szCs w:val="18"/>
          <w:color w:val="auto"/>
        </w:rPr>
      </w:pPr>
      <w:r>
        <w:rPr>
          <w:rFonts w:ascii="Arial" w:cs="Arial" w:eastAsia="Arial" w:hAnsi="Arial"/>
          <w:sz w:val="18"/>
          <w:szCs w:val="18"/>
          <w:u w:val="single" w:color="auto"/>
          <w:color w:val="auto"/>
        </w:rPr>
        <w:t>Defined Terms</w:t>
      </w:r>
      <w:r>
        <w:rPr>
          <w:rFonts w:ascii="Arial" w:cs="Arial" w:eastAsia="Arial" w:hAnsi="Arial"/>
          <w:sz w:val="18"/>
          <w:szCs w:val="18"/>
          <w:color w:val="auto"/>
        </w:rPr>
        <w:t>. For purposes of this Section, the term “Requirement of Law” includes FATCA.</w:t>
      </w:r>
    </w:p>
    <w:p>
      <w:pPr>
        <w:spacing w:after="0" w:line="225" w:lineRule="exact"/>
        <w:rPr>
          <w:rFonts w:ascii="Arial" w:cs="Arial" w:eastAsia="Arial" w:hAnsi="Arial"/>
          <w:sz w:val="18"/>
          <w:szCs w:val="18"/>
          <w:color w:val="auto"/>
        </w:rPr>
      </w:pPr>
    </w:p>
    <w:p>
      <w:pPr>
        <w:jc w:val="both"/>
        <w:ind w:firstLine="656"/>
        <w:spacing w:after="0" w:line="289" w:lineRule="auto"/>
        <w:tabs>
          <w:tab w:leader="none" w:pos="906" w:val="left"/>
        </w:tabs>
        <w:numPr>
          <w:ilvl w:val="0"/>
          <w:numId w:val="94"/>
        </w:numPr>
        <w:rPr>
          <w:rFonts w:ascii="Arial" w:cs="Arial" w:eastAsia="Arial" w:hAnsi="Arial"/>
          <w:sz w:val="16"/>
          <w:szCs w:val="16"/>
          <w:color w:val="auto"/>
        </w:rPr>
      </w:pPr>
      <w:r>
        <w:rPr>
          <w:rFonts w:ascii="Arial" w:cs="Arial" w:eastAsia="Arial" w:hAnsi="Arial"/>
          <w:sz w:val="16"/>
          <w:szCs w:val="16"/>
          <w:u w:val="single" w:color="auto"/>
          <w:color w:val="auto"/>
        </w:rPr>
        <w:t>Payments Free of Taxes</w:t>
      </w:r>
      <w:r>
        <w:rPr>
          <w:rFonts w:ascii="Arial" w:cs="Arial" w:eastAsia="Arial" w:hAnsi="Arial"/>
          <w:sz w:val="16"/>
          <w:szCs w:val="16"/>
          <w:color w:val="auto"/>
        </w:rPr>
        <w:t>. Any and all payments by or on account of any obligation of any Loan Party under any Loan Document to a Recipient shall be made without deduction or withholding for any Taxes, except as required by any Requirement of Law. If any Requirement of Law (as determined in the good faith discretion of an applicable Withholding Agent) requires the deduction or withholding of any Tax from any such payment by a Withholding Agent, then the applicable Withholding Agent shall be entitled to make such deduction or withholding and shall timely pay the full amount deducted or withheld to the relevant Governmental Authority in accordance with any Requirement of Law and, if such Tax is an Indemnified Tax, then the sum payable by the applicable Loan Party shall be increased as necessary so that after such deduction or withholding has been made (including such deductions and withholdings applicable to additional sums payable under this Section) the applicable Recipient receives an amount equal to the sum it would have received had no such deduction or withholding been made. The applicable Recipient and each relevant Loan Party shall cooperate in completing any procedural formalities necessary for the relevant Loan Party to obtain authorization to make payments without any deduction or withholding on account of tax.</w:t>
      </w:r>
    </w:p>
    <w:p>
      <w:pPr>
        <w:spacing w:after="0" w:line="382"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36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Presto Credit Agreement</w:t>
            </w:r>
          </w:p>
        </w:tc>
        <w:tc>
          <w:tcPr>
            <w:tcW w:w="7580" w:type="dxa"/>
            <w:vAlign w:val="bottom"/>
            <w:tcBorders>
              <w:bottom w:val="single" w:sz="8" w:color="auto"/>
            </w:tcBorders>
          </w:tcPr>
          <w:p>
            <w:pPr>
              <w:jc w:val="right"/>
              <w:ind w:right="5430"/>
              <w:spacing w:after="0"/>
              <w:rPr>
                <w:sz w:val="20"/>
                <w:szCs w:val="20"/>
                <w:color w:val="auto"/>
              </w:rPr>
            </w:pPr>
            <w:r>
              <w:rPr>
                <w:rFonts w:ascii="Arial" w:cs="Arial" w:eastAsia="Arial" w:hAnsi="Arial"/>
                <w:sz w:val="18"/>
                <w:szCs w:val="18"/>
                <w:color w:val="auto"/>
              </w:rPr>
              <w:t>24</w:t>
            </w:r>
          </w:p>
        </w:tc>
      </w:tr>
    </w:tbl>
    <w:p>
      <w:pPr>
        <w:sectPr>
          <w:pgSz w:w="11900" w:h="16838" w:orient="portrait"/>
          <w:cols w:equalWidth="0" w:num="1">
            <w:col w:w="11240"/>
          </w:cols>
          <w:pgMar w:left="320" w:top="908" w:right="339" w:bottom="1440" w:gutter="0" w:footer="0" w:header="0"/>
        </w:sectPr>
      </w:pPr>
    </w:p>
    <w:bookmarkStart w:id="111" w:name="page112"/>
    <w:bookmarkEnd w:id="111"/>
    <w:p>
      <w:pPr>
        <w:ind w:firstLine="656"/>
        <w:spacing w:after="0" w:line="277" w:lineRule="auto"/>
        <w:tabs>
          <w:tab w:leader="none" w:pos="908" w:val="left"/>
        </w:tabs>
        <w:numPr>
          <w:ilvl w:val="0"/>
          <w:numId w:val="95"/>
        </w:numPr>
        <w:rPr>
          <w:rFonts w:ascii="Arial" w:cs="Arial" w:eastAsia="Arial" w:hAnsi="Arial"/>
          <w:sz w:val="18"/>
          <w:szCs w:val="18"/>
          <w:color w:val="auto"/>
        </w:rPr>
      </w:pPr>
      <w:r>
        <w:rPr>
          <w:rFonts w:ascii="Arial" w:cs="Arial" w:eastAsia="Arial" w:hAnsi="Arial"/>
          <w:sz w:val="18"/>
          <w:szCs w:val="18"/>
          <w:u w:val="single" w:color="auto"/>
          <w:color w:val="auto"/>
        </w:rPr>
        <w:t>Payment of Other Taxes by Loan Parties</w:t>
      </w:r>
      <w:r>
        <w:rPr>
          <w:rFonts w:ascii="Arial" w:cs="Arial" w:eastAsia="Arial" w:hAnsi="Arial"/>
          <w:sz w:val="18"/>
          <w:szCs w:val="18"/>
          <w:color w:val="auto"/>
        </w:rPr>
        <w:t>. The Loan Parties shall timely pay to the relevant Governmental Authority in accordance with any Requirement of Law, or at the option of Agent timely reimburse it for the payment of, any Other Taxes.</w:t>
      </w:r>
    </w:p>
    <w:p>
      <w:pPr>
        <w:spacing w:after="0" w:line="170" w:lineRule="exact"/>
        <w:rPr>
          <w:rFonts w:ascii="Arial" w:cs="Arial" w:eastAsia="Arial" w:hAnsi="Arial"/>
          <w:sz w:val="18"/>
          <w:szCs w:val="18"/>
          <w:color w:val="auto"/>
        </w:rPr>
      </w:pPr>
    </w:p>
    <w:p>
      <w:pPr>
        <w:jc w:val="both"/>
        <w:ind w:firstLine="656"/>
        <w:spacing w:after="0" w:line="255" w:lineRule="auto"/>
        <w:tabs>
          <w:tab w:leader="none" w:pos="924" w:val="left"/>
        </w:tabs>
        <w:numPr>
          <w:ilvl w:val="0"/>
          <w:numId w:val="95"/>
        </w:numPr>
        <w:rPr>
          <w:rFonts w:ascii="Arial" w:cs="Arial" w:eastAsia="Arial" w:hAnsi="Arial"/>
          <w:sz w:val="18"/>
          <w:szCs w:val="18"/>
          <w:color w:val="auto"/>
        </w:rPr>
      </w:pPr>
      <w:r>
        <w:rPr>
          <w:rFonts w:ascii="Arial" w:cs="Arial" w:eastAsia="Arial" w:hAnsi="Arial"/>
          <w:sz w:val="18"/>
          <w:szCs w:val="18"/>
          <w:u w:val="single" w:color="auto"/>
          <w:color w:val="auto"/>
        </w:rPr>
        <w:t>Indemnification of Agent and Lenders</w:t>
      </w:r>
      <w:r>
        <w:rPr>
          <w:rFonts w:ascii="Arial" w:cs="Arial" w:eastAsia="Arial" w:hAnsi="Arial"/>
          <w:sz w:val="18"/>
          <w:szCs w:val="18"/>
          <w:color w:val="auto"/>
        </w:rPr>
        <w:t xml:space="preserve">. Loan Parties shall indemnify any Recipient, within ten (10) days after demand thereof, for the full amount of any Indemnified Taxes (including Indemnified Taxes imposed or asserted on or attributable to amounts payable under this </w:t>
      </w:r>
      <w:r>
        <w:rPr>
          <w:rFonts w:ascii="Arial" w:cs="Arial" w:eastAsia="Arial" w:hAnsi="Arial"/>
          <w:sz w:val="18"/>
          <w:szCs w:val="18"/>
          <w:u w:val="single" w:color="auto"/>
          <w:color w:val="auto"/>
        </w:rPr>
        <w:t>Section 2.8</w:t>
      </w:r>
      <w:r>
        <w:rPr>
          <w:rFonts w:ascii="Arial" w:cs="Arial" w:eastAsia="Arial" w:hAnsi="Arial"/>
          <w:sz w:val="18"/>
          <w:szCs w:val="18"/>
          <w:color w:val="auto"/>
        </w:rPr>
        <w:t>) payable or paid by such Recipient or required to be withheld or deducted from a payment to the Recipient and any reasonable expenses arising therefrom or with respect thereto, whether or not such Indemnified Taxes were correctly or legally imposed or asserted by the relevant Governmental Authority. A certificate setting forth the amount of such payment or liability delivered to Borrower by a Recipient (with a copy to Agent, as applicable), or by Agent on its own behalf or on behalf of a Recipient, shall be conclusive absent manifest error.</w:t>
      </w:r>
    </w:p>
    <w:p>
      <w:pPr>
        <w:spacing w:after="0" w:line="192" w:lineRule="exact"/>
        <w:rPr>
          <w:rFonts w:ascii="Arial" w:cs="Arial" w:eastAsia="Arial" w:hAnsi="Arial"/>
          <w:sz w:val="18"/>
          <w:szCs w:val="18"/>
          <w:color w:val="auto"/>
        </w:rPr>
      </w:pPr>
    </w:p>
    <w:p>
      <w:pPr>
        <w:jc w:val="both"/>
        <w:ind w:firstLine="656"/>
        <w:spacing w:after="0" w:line="253" w:lineRule="auto"/>
        <w:tabs>
          <w:tab w:leader="none" w:pos="908" w:val="left"/>
        </w:tabs>
        <w:numPr>
          <w:ilvl w:val="0"/>
          <w:numId w:val="95"/>
        </w:numPr>
        <w:rPr>
          <w:rFonts w:ascii="Arial" w:cs="Arial" w:eastAsia="Arial" w:hAnsi="Arial"/>
          <w:sz w:val="18"/>
          <w:szCs w:val="18"/>
          <w:color w:val="auto"/>
        </w:rPr>
      </w:pPr>
      <w:r>
        <w:rPr>
          <w:rFonts w:ascii="Arial" w:cs="Arial" w:eastAsia="Arial" w:hAnsi="Arial"/>
          <w:sz w:val="18"/>
          <w:szCs w:val="18"/>
          <w:u w:val="single" w:color="auto"/>
          <w:color w:val="auto"/>
        </w:rPr>
        <w:t>Indemnification of Agent</w:t>
      </w:r>
      <w:r>
        <w:rPr>
          <w:rFonts w:ascii="Arial" w:cs="Arial" w:eastAsia="Arial" w:hAnsi="Arial"/>
          <w:sz w:val="18"/>
          <w:szCs w:val="18"/>
          <w:color w:val="auto"/>
        </w:rPr>
        <w:t xml:space="preserve">. Each Lender shall severally indemnify Agent, within ten (10) days after demand therefor, for (i) any Indemnified Taxes attributable to such Lender (but only to the extent that the Loan Parties have not already indemnified Agent for such Indemnified Taxes and without limiting the obligation of the Loan Parties to do so), (ii) any Taxes attributable to such Lender’s failure to comply with the provisions of </w:t>
      </w:r>
      <w:r>
        <w:rPr>
          <w:rFonts w:ascii="Arial" w:cs="Arial" w:eastAsia="Arial" w:hAnsi="Arial"/>
          <w:sz w:val="18"/>
          <w:szCs w:val="18"/>
          <w:u w:val="single" w:color="auto"/>
          <w:color w:val="auto"/>
        </w:rPr>
        <w:t>Section 8.6(b)</w:t>
      </w:r>
      <w:r>
        <w:rPr>
          <w:rFonts w:ascii="Arial" w:cs="Arial" w:eastAsia="Arial" w:hAnsi="Arial"/>
          <w:sz w:val="18"/>
          <w:szCs w:val="18"/>
          <w:color w:val="auto"/>
        </w:rPr>
        <w:t xml:space="preserve"> relating to the maintenance of a Participant Register and (iii) any Excluded Taxes attributable to such Lender, in each case, that are payable or paid by Agent in connection with any Loan Document, and any reasonable expenses arising therefrom or with respect thereto, whether or not such Taxes were correctly or legally imposed or asserted by the relevant Governmental Authority. A certificate as to the amount of such payment or liability delivered to any Lender by Agent shall be conclusive absent manifest error. Each Lender hereby authorizes Agent to set off and apply any and all amounts at any time owing to such Lender under any Loan Document or otherwise payable by Agent to Lenders from any other source against any amount due to Agent under this Section 2.8(e).</w:t>
      </w:r>
    </w:p>
    <w:p>
      <w:pPr>
        <w:spacing w:after="0" w:line="196" w:lineRule="exact"/>
        <w:rPr>
          <w:rFonts w:ascii="Arial" w:cs="Arial" w:eastAsia="Arial" w:hAnsi="Arial"/>
          <w:sz w:val="18"/>
          <w:szCs w:val="18"/>
          <w:color w:val="auto"/>
        </w:rPr>
      </w:pPr>
    </w:p>
    <w:p>
      <w:pPr>
        <w:jc w:val="both"/>
        <w:ind w:firstLine="656"/>
        <w:spacing w:after="0" w:line="263" w:lineRule="auto"/>
        <w:tabs>
          <w:tab w:leader="none" w:pos="882" w:val="left"/>
        </w:tabs>
        <w:numPr>
          <w:ilvl w:val="0"/>
          <w:numId w:val="95"/>
        </w:numPr>
        <w:rPr>
          <w:rFonts w:ascii="Arial" w:cs="Arial" w:eastAsia="Arial" w:hAnsi="Arial"/>
          <w:sz w:val="18"/>
          <w:szCs w:val="18"/>
          <w:color w:val="auto"/>
        </w:rPr>
      </w:pPr>
      <w:r>
        <w:rPr>
          <w:rFonts w:ascii="Arial" w:cs="Arial" w:eastAsia="Arial" w:hAnsi="Arial"/>
          <w:sz w:val="18"/>
          <w:szCs w:val="18"/>
          <w:u w:val="single" w:color="auto"/>
          <w:color w:val="auto"/>
        </w:rPr>
        <w:t>Certification</w:t>
      </w:r>
      <w:r>
        <w:rPr>
          <w:rFonts w:ascii="Arial" w:cs="Arial" w:eastAsia="Arial" w:hAnsi="Arial"/>
          <w:sz w:val="18"/>
          <w:szCs w:val="18"/>
          <w:color w:val="auto"/>
        </w:rPr>
        <w:t xml:space="preserve">. As soon as practicable after any payment of Taxes by any Loan Party to a Governmental Authority pursuant to this </w:t>
      </w:r>
      <w:r>
        <w:rPr>
          <w:rFonts w:ascii="Arial" w:cs="Arial" w:eastAsia="Arial" w:hAnsi="Arial"/>
          <w:sz w:val="18"/>
          <w:szCs w:val="18"/>
          <w:u w:val="single" w:color="auto"/>
          <w:color w:val="auto"/>
        </w:rPr>
        <w:t>Section 2.8</w:t>
      </w:r>
      <w:r>
        <w:rPr>
          <w:rFonts w:ascii="Arial" w:cs="Arial" w:eastAsia="Arial" w:hAnsi="Arial"/>
          <w:sz w:val="18"/>
          <w:szCs w:val="18"/>
          <w:color w:val="auto"/>
        </w:rPr>
        <w:t>, the Borrower shall deliver to Agent the original or a certified copy of a receipt issued by such Governmental Authority evidencing such payment, a copy of the return reporting such payment or other evidence of such payment reasonably satisfactory to Agent.</w:t>
      </w:r>
    </w:p>
    <w:p>
      <w:pPr>
        <w:spacing w:after="0" w:line="183" w:lineRule="exact"/>
        <w:rPr>
          <w:rFonts w:ascii="Arial" w:cs="Arial" w:eastAsia="Arial" w:hAnsi="Arial"/>
          <w:sz w:val="18"/>
          <w:szCs w:val="18"/>
          <w:color w:val="auto"/>
        </w:rPr>
      </w:pPr>
    </w:p>
    <w:p>
      <w:pPr>
        <w:ind w:left="920" w:hanging="264"/>
        <w:spacing w:after="0"/>
        <w:tabs>
          <w:tab w:leader="none" w:pos="920" w:val="left"/>
        </w:tabs>
        <w:numPr>
          <w:ilvl w:val="0"/>
          <w:numId w:val="95"/>
        </w:numPr>
        <w:rPr>
          <w:rFonts w:ascii="Arial" w:cs="Arial" w:eastAsia="Arial" w:hAnsi="Arial"/>
          <w:sz w:val="18"/>
          <w:szCs w:val="18"/>
          <w:color w:val="auto"/>
        </w:rPr>
      </w:pPr>
      <w:r>
        <w:rPr>
          <w:rFonts w:ascii="Arial" w:cs="Arial" w:eastAsia="Arial" w:hAnsi="Arial"/>
          <w:sz w:val="18"/>
          <w:szCs w:val="18"/>
          <w:u w:val="single" w:color="auto"/>
          <w:color w:val="auto"/>
        </w:rPr>
        <w:t>Status of Recipients; Tax Documentation</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left="660" w:firstLine="644"/>
        <w:spacing w:after="0" w:line="269" w:lineRule="auto"/>
        <w:tabs>
          <w:tab w:leader="none" w:pos="1533" w:val="left"/>
        </w:tabs>
        <w:numPr>
          <w:ilvl w:val="1"/>
          <w:numId w:val="95"/>
        </w:numPr>
        <w:rPr>
          <w:rFonts w:ascii="Arial" w:cs="Arial" w:eastAsia="Arial" w:hAnsi="Arial"/>
          <w:sz w:val="17"/>
          <w:szCs w:val="17"/>
          <w:color w:val="auto"/>
        </w:rPr>
      </w:pPr>
      <w:r>
        <w:rPr>
          <w:rFonts w:ascii="Arial" w:cs="Arial" w:eastAsia="Arial" w:hAnsi="Arial"/>
          <w:sz w:val="17"/>
          <w:szCs w:val="17"/>
          <w:color w:val="auto"/>
        </w:rPr>
        <w:t xml:space="preserve">Any Recipient that is entitled to an exemption from or reduction of withholding Tax with respect to payments made under any Loan Document shall deliver to the applicable Withholding Agent, at the time or times reasonably requested by such Withholding Agent, such properly completed and executed documentation reasonably requested by the Withholding Agent as will permit such payments to be made without withholding or at a reduced rate of withholding. In addition, any Recipient, if reasonably requested by the applicable Withholding Agent, shall deliver such other documentation prescribed by any Requirement of Law or reasonably requested by the applicable Withholding Agent as will enable Borrower or Agent to determine whether or not such Recipient is subject to backup withholding or information reporting requirements. Notwithstanding anything to the contrary in the preceding two sentences, the completion, execution and submission of such documentation (other than the documentation in </w:t>
      </w:r>
      <w:r>
        <w:rPr>
          <w:rFonts w:ascii="Arial" w:cs="Arial" w:eastAsia="Arial" w:hAnsi="Arial"/>
          <w:sz w:val="17"/>
          <w:szCs w:val="17"/>
          <w:u w:val="single" w:color="auto"/>
          <w:color w:val="auto"/>
        </w:rPr>
        <w:t>Section 2.8(a)(ii)(A)</w:t>
      </w:r>
      <w:r>
        <w:rPr>
          <w:rFonts w:ascii="Arial" w:cs="Arial" w:eastAsia="Arial" w:hAnsi="Arial"/>
          <w:sz w:val="17"/>
          <w:szCs w:val="17"/>
          <w:color w:val="auto"/>
        </w:rPr>
        <w:t xml:space="preserve">, </w:t>
      </w:r>
      <w:r>
        <w:rPr>
          <w:rFonts w:ascii="Arial" w:cs="Arial" w:eastAsia="Arial" w:hAnsi="Arial"/>
          <w:sz w:val="17"/>
          <w:szCs w:val="17"/>
          <w:u w:val="single" w:color="auto"/>
          <w:color w:val="auto"/>
        </w:rPr>
        <w:t>(ii)(B)</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(ii)(D)</w:t>
      </w:r>
      <w:r>
        <w:rPr>
          <w:rFonts w:ascii="Arial" w:cs="Arial" w:eastAsia="Arial" w:hAnsi="Arial"/>
          <w:sz w:val="17"/>
          <w:szCs w:val="17"/>
          <w:color w:val="auto"/>
        </w:rPr>
        <w:t>) shall not be required if in Recipient’s reasonable judgment such completion, execution or submission would subject such Recipient to any material unreimbursed cost or expense or would materially prejudice the legal or commercial position of such Recipient.</w:t>
      </w:r>
    </w:p>
    <w:p>
      <w:pPr>
        <w:spacing w:after="0" w:line="185" w:lineRule="exact"/>
        <w:rPr>
          <w:rFonts w:ascii="Arial" w:cs="Arial" w:eastAsia="Arial" w:hAnsi="Arial"/>
          <w:sz w:val="17"/>
          <w:szCs w:val="17"/>
          <w:color w:val="auto"/>
        </w:rPr>
      </w:pPr>
    </w:p>
    <w:p>
      <w:pPr>
        <w:ind w:left="1560" w:hanging="256"/>
        <w:spacing w:after="0"/>
        <w:tabs>
          <w:tab w:leader="none" w:pos="1560" w:val="left"/>
        </w:tabs>
        <w:numPr>
          <w:ilvl w:val="1"/>
          <w:numId w:val="95"/>
        </w:numPr>
        <w:rPr>
          <w:rFonts w:ascii="Arial" w:cs="Arial" w:eastAsia="Arial" w:hAnsi="Arial"/>
          <w:sz w:val="18"/>
          <w:szCs w:val="18"/>
          <w:color w:val="auto"/>
        </w:rPr>
      </w:pPr>
      <w:r>
        <w:rPr>
          <w:rFonts w:ascii="Arial" w:cs="Arial" w:eastAsia="Arial" w:hAnsi="Arial"/>
          <w:sz w:val="18"/>
          <w:szCs w:val="18"/>
          <w:color w:val="auto"/>
        </w:rPr>
        <w:t>Without limiting the generality of the foregoing, in the event that Borrower is a U.S. Person,</w:t>
      </w:r>
    </w:p>
    <w:p>
      <w:pPr>
        <w:spacing w:after="0" w:line="225" w:lineRule="exact"/>
        <w:rPr>
          <w:sz w:val="20"/>
          <w:szCs w:val="20"/>
          <w:color w:val="auto"/>
        </w:rPr>
      </w:pPr>
    </w:p>
    <w:p>
      <w:pPr>
        <w:jc w:val="both"/>
        <w:ind w:left="1300" w:firstLine="4"/>
        <w:spacing w:after="0" w:line="259" w:lineRule="auto"/>
        <w:tabs>
          <w:tab w:leader="none" w:pos="1604" w:val="left"/>
        </w:tabs>
        <w:numPr>
          <w:ilvl w:val="0"/>
          <w:numId w:val="96"/>
        </w:numPr>
        <w:rPr>
          <w:rFonts w:ascii="Arial" w:cs="Arial" w:eastAsia="Arial" w:hAnsi="Arial"/>
          <w:sz w:val="18"/>
          <w:szCs w:val="18"/>
          <w:color w:val="auto"/>
        </w:rPr>
      </w:pPr>
      <w:r>
        <w:rPr>
          <w:rFonts w:ascii="Arial" w:cs="Arial" w:eastAsia="Arial" w:hAnsi="Arial"/>
          <w:sz w:val="18"/>
          <w:szCs w:val="18"/>
          <w:color w:val="auto"/>
        </w:rPr>
        <w:t>Any Recipient that is a U.S. Person shall deliver to Borrower and Agent on or prior to the date on which such Recipient becomes a Recipient under this Agreement (and from time to time thereafter upon the reasonable request of the applicable Withholding Agent) properly completed and duly executed copies of IRS Form W-9 (or any successor or other applicable form) certifying that such Recipient is exempt from U.S. federal backup withholding tax.</w:t>
      </w:r>
    </w:p>
    <w:p>
      <w:pPr>
        <w:spacing w:after="0" w:line="186" w:lineRule="exact"/>
        <w:rPr>
          <w:rFonts w:ascii="Arial" w:cs="Arial" w:eastAsia="Arial" w:hAnsi="Arial"/>
          <w:sz w:val="18"/>
          <w:szCs w:val="18"/>
          <w:color w:val="auto"/>
        </w:rPr>
      </w:pPr>
    </w:p>
    <w:p>
      <w:pPr>
        <w:jc w:val="both"/>
        <w:ind w:left="1300" w:firstLine="4"/>
        <w:spacing w:after="0" w:line="259" w:lineRule="auto"/>
        <w:tabs>
          <w:tab w:leader="none" w:pos="1593" w:val="left"/>
        </w:tabs>
        <w:numPr>
          <w:ilvl w:val="0"/>
          <w:numId w:val="96"/>
        </w:numPr>
        <w:rPr>
          <w:rFonts w:ascii="Arial" w:cs="Arial" w:eastAsia="Arial" w:hAnsi="Arial"/>
          <w:sz w:val="18"/>
          <w:szCs w:val="18"/>
          <w:color w:val="auto"/>
        </w:rPr>
      </w:pPr>
      <w:r>
        <w:rPr>
          <w:rFonts w:ascii="Arial" w:cs="Arial" w:eastAsia="Arial" w:hAnsi="Arial"/>
          <w:sz w:val="18"/>
          <w:szCs w:val="18"/>
          <w:color w:val="auto"/>
        </w:rPr>
        <w:t>Any Foreign Recipient shall, to the extent it is legally entitled to do so, deliver to Borrower and Agent (in such number of copies as shall be requested by the recipient) on or prior to the date on which such Foreign Recipient becomes a Recipient under this Agreement (and from time to time thereafter upon the reasonable request of the applicable Withholding Agent), whichever of the following is applicable:</w:t>
      </w:r>
    </w:p>
    <w:p>
      <w:pPr>
        <w:spacing w:after="0" w:line="186" w:lineRule="exact"/>
        <w:rPr>
          <w:rFonts w:ascii="Arial" w:cs="Arial" w:eastAsia="Arial" w:hAnsi="Arial"/>
          <w:sz w:val="18"/>
          <w:szCs w:val="18"/>
          <w:color w:val="auto"/>
        </w:rPr>
      </w:pPr>
    </w:p>
    <w:p>
      <w:pPr>
        <w:jc w:val="both"/>
        <w:ind w:left="1960" w:firstLine="640"/>
        <w:spacing w:after="0" w:line="311" w:lineRule="auto"/>
        <w:tabs>
          <w:tab w:leader="none" w:pos="2864" w:val="left"/>
        </w:tabs>
        <w:numPr>
          <w:ilvl w:val="1"/>
          <w:numId w:val="96"/>
        </w:numPr>
        <w:rPr>
          <w:rFonts w:ascii="Arial" w:cs="Arial" w:eastAsia="Arial" w:hAnsi="Arial"/>
          <w:sz w:val="16"/>
          <w:szCs w:val="16"/>
          <w:color w:val="auto"/>
        </w:rPr>
      </w:pPr>
      <w:r>
        <w:rPr>
          <w:rFonts w:ascii="Arial" w:cs="Arial" w:eastAsia="Arial" w:hAnsi="Arial"/>
          <w:sz w:val="16"/>
          <w:szCs w:val="16"/>
          <w:color w:val="auto"/>
        </w:rPr>
        <w:t>in the case of a Foreign Recipient claiming the benefits of an income tax treaty to which the United States is a party, properly completed and executed copies of IRS Form W-8BEN or W-8BEN-E (or successor forms), as applicable, establishing an exemption from, or reduction of, U.S. federal withholding Tax pursuant to the applicable provisions of the income tax treaty;</w:t>
      </w: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36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Presto Credit Agreement</w:t>
            </w:r>
          </w:p>
        </w:tc>
        <w:tc>
          <w:tcPr>
            <w:tcW w:w="7580" w:type="dxa"/>
            <w:vAlign w:val="bottom"/>
            <w:tcBorders>
              <w:bottom w:val="single" w:sz="8" w:color="auto"/>
            </w:tcBorders>
          </w:tcPr>
          <w:p>
            <w:pPr>
              <w:jc w:val="right"/>
              <w:ind w:right="5430"/>
              <w:spacing w:after="0"/>
              <w:rPr>
                <w:sz w:val="20"/>
                <w:szCs w:val="20"/>
                <w:color w:val="auto"/>
              </w:rPr>
            </w:pPr>
            <w:r>
              <w:rPr>
                <w:rFonts w:ascii="Arial" w:cs="Arial" w:eastAsia="Arial" w:hAnsi="Arial"/>
                <w:sz w:val="18"/>
                <w:szCs w:val="18"/>
                <w:color w:val="auto"/>
              </w:rPr>
              <w:t>25</w:t>
            </w:r>
          </w:p>
        </w:tc>
      </w:tr>
    </w:tbl>
    <w:p>
      <w:pPr>
        <w:sectPr>
          <w:pgSz w:w="11900" w:h="16838" w:orient="portrait"/>
          <w:cols w:equalWidth="0" w:num="1">
            <w:col w:w="11240"/>
          </w:cols>
          <w:pgMar w:left="320" w:top="908" w:right="339" w:bottom="1440" w:gutter="0" w:footer="0" w:header="0"/>
        </w:sectPr>
      </w:pPr>
    </w:p>
    <w:bookmarkStart w:id="112" w:name="page113"/>
    <w:bookmarkEnd w:id="112"/>
    <w:p>
      <w:pPr>
        <w:ind w:left="2860" w:hanging="260"/>
        <w:spacing w:after="0"/>
        <w:tabs>
          <w:tab w:leader="none" w:pos="2860" w:val="left"/>
        </w:tabs>
        <w:numPr>
          <w:ilvl w:val="1"/>
          <w:numId w:val="97"/>
        </w:numPr>
        <w:rPr>
          <w:rFonts w:ascii="Arial" w:cs="Arial" w:eastAsia="Arial" w:hAnsi="Arial"/>
          <w:sz w:val="18"/>
          <w:szCs w:val="18"/>
          <w:color w:val="auto"/>
        </w:rPr>
      </w:pPr>
      <w:r>
        <w:rPr>
          <w:rFonts w:ascii="Arial" w:cs="Arial" w:eastAsia="Arial" w:hAnsi="Arial"/>
          <w:sz w:val="18"/>
          <w:szCs w:val="18"/>
          <w:color w:val="auto"/>
        </w:rPr>
        <w:t>properly completed and executed copies of IRS Form W-8ECI (or successor form);</w:t>
      </w:r>
    </w:p>
    <w:p>
      <w:pPr>
        <w:spacing w:after="0" w:line="225" w:lineRule="exact"/>
        <w:rPr>
          <w:rFonts w:ascii="Arial" w:cs="Arial" w:eastAsia="Arial" w:hAnsi="Arial"/>
          <w:sz w:val="18"/>
          <w:szCs w:val="18"/>
          <w:color w:val="auto"/>
        </w:rPr>
      </w:pPr>
    </w:p>
    <w:p>
      <w:pPr>
        <w:jc w:val="both"/>
        <w:ind w:left="1960" w:firstLine="640"/>
        <w:spacing w:after="0" w:line="255" w:lineRule="auto"/>
        <w:tabs>
          <w:tab w:leader="none" w:pos="2867" w:val="left"/>
        </w:tabs>
        <w:numPr>
          <w:ilvl w:val="1"/>
          <w:numId w:val="97"/>
        </w:numPr>
        <w:rPr>
          <w:rFonts w:ascii="Arial" w:cs="Arial" w:eastAsia="Arial" w:hAnsi="Arial"/>
          <w:sz w:val="18"/>
          <w:szCs w:val="18"/>
          <w:color w:val="auto"/>
        </w:rPr>
      </w:pPr>
      <w:r>
        <w:rPr>
          <w:rFonts w:ascii="Arial" w:cs="Arial" w:eastAsia="Arial" w:hAnsi="Arial"/>
          <w:sz w:val="18"/>
          <w:szCs w:val="18"/>
          <w:color w:val="auto"/>
        </w:rPr>
        <w:t>in the case of a Foreign Recipient claiming the benefits of the exemption for portfolio interest under Section 871(h) or Section 881(c) of the Code, (x) a certificate to the effect that such Foreign Recipient is not a “bank” within the meaning of Section 881(c)(3)(A) of the Code, a “10 percent shareholder” of any Loan Party within the meaning of Section 881(c)(3)(B) of the Code, or a “controlled foreign corporation” described in Section 881(c)(3)(C) of the Code (a “</w:t>
      </w:r>
      <w:r>
        <w:rPr>
          <w:rFonts w:ascii="Arial" w:cs="Arial" w:eastAsia="Arial" w:hAnsi="Arial"/>
          <w:sz w:val="18"/>
          <w:szCs w:val="18"/>
          <w:b w:val="1"/>
          <w:bCs w:val="1"/>
          <w:i w:val="1"/>
          <w:iCs w:val="1"/>
          <w:color w:val="auto"/>
        </w:rPr>
        <w:t>U.S. Tax Compliance</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Certificate</w:t>
      </w:r>
      <w:r>
        <w:rPr>
          <w:rFonts w:ascii="Arial" w:cs="Arial" w:eastAsia="Arial" w:hAnsi="Arial"/>
          <w:sz w:val="18"/>
          <w:szCs w:val="18"/>
          <w:color w:val="auto"/>
        </w:rPr>
        <w:t>”) and (y) properly completed and executed copies of IRS Form W-8BEN or W-8BEN-E (or successor forms), as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applicable; or</w:t>
      </w:r>
    </w:p>
    <w:p>
      <w:pPr>
        <w:spacing w:after="0" w:line="192" w:lineRule="exact"/>
        <w:rPr>
          <w:rFonts w:ascii="Arial" w:cs="Arial" w:eastAsia="Arial" w:hAnsi="Arial"/>
          <w:sz w:val="18"/>
          <w:szCs w:val="18"/>
          <w:color w:val="auto"/>
        </w:rPr>
      </w:pPr>
    </w:p>
    <w:p>
      <w:pPr>
        <w:jc w:val="both"/>
        <w:ind w:left="1960" w:firstLine="640"/>
        <w:spacing w:after="0" w:line="273" w:lineRule="auto"/>
        <w:tabs>
          <w:tab w:leader="none" w:pos="2870" w:val="left"/>
        </w:tabs>
        <w:numPr>
          <w:ilvl w:val="1"/>
          <w:numId w:val="97"/>
        </w:numPr>
        <w:rPr>
          <w:rFonts w:ascii="Arial" w:cs="Arial" w:eastAsia="Arial" w:hAnsi="Arial"/>
          <w:sz w:val="17"/>
          <w:szCs w:val="17"/>
          <w:color w:val="auto"/>
        </w:rPr>
      </w:pPr>
      <w:r>
        <w:rPr>
          <w:rFonts w:ascii="Arial" w:cs="Arial" w:eastAsia="Arial" w:hAnsi="Arial"/>
          <w:sz w:val="17"/>
          <w:szCs w:val="17"/>
          <w:color w:val="auto"/>
        </w:rPr>
        <w:t>to the extent a Foreign Recipient is not the beneficial owner, properly completed and executed copies of IRS Form W-8IMY, accompanied by IRS Form W-8ECI, W-8BEN, W-8BEN-E, a U.S. Tax Compliance Certificate, IRS Form W-9, and/or other certification documents from each beneficial owner, as applicable, in a form reasonably acceptable to Borrower; provided that if the Foreign Recipient is a partnership and one or more direct or indirect partners of such Foreign Recipient are claiming the portfolio interest exemption, such Foreign Recipient may provide in a form reasonable acceptable to Borrower a U.S. Tax Compliance Certificate on behalf of each such direct and indirect partner(s).</w:t>
      </w:r>
    </w:p>
    <w:p>
      <w:pPr>
        <w:spacing w:after="0" w:line="177" w:lineRule="exact"/>
        <w:rPr>
          <w:rFonts w:ascii="Arial" w:cs="Arial" w:eastAsia="Arial" w:hAnsi="Arial"/>
          <w:sz w:val="17"/>
          <w:szCs w:val="17"/>
          <w:color w:val="auto"/>
        </w:rPr>
      </w:pPr>
    </w:p>
    <w:p>
      <w:pPr>
        <w:jc w:val="both"/>
        <w:ind w:left="1300" w:firstLine="4"/>
        <w:spacing w:after="0" w:line="255" w:lineRule="auto"/>
        <w:tabs>
          <w:tab w:leader="none" w:pos="1595" w:val="left"/>
        </w:tabs>
        <w:numPr>
          <w:ilvl w:val="0"/>
          <w:numId w:val="98"/>
        </w:numPr>
        <w:rPr>
          <w:rFonts w:ascii="Arial" w:cs="Arial" w:eastAsia="Arial" w:hAnsi="Arial"/>
          <w:sz w:val="18"/>
          <w:szCs w:val="18"/>
          <w:color w:val="auto"/>
        </w:rPr>
      </w:pPr>
      <w:r>
        <w:rPr>
          <w:rFonts w:ascii="Arial" w:cs="Arial" w:eastAsia="Arial" w:hAnsi="Arial"/>
          <w:sz w:val="18"/>
          <w:szCs w:val="18"/>
          <w:color w:val="auto"/>
        </w:rPr>
        <w:t>any Foreign Recipient shall, to the extent it is legally entitled to do so, deliver to Borrower and Agent (in such number of copies as shall be requested by the recipient) on or about the date on which such Foreign Recipient becomes a Recipient under this Agreement (and from time to time thereafter upon the reasonable request of Borrower or Agent), executed copies of any other form prescribed by a Requirement of Law as a basis for claiming exemption from or a reduction in U.S. federal withholding Tax, duly completed, together with such supplementary documentation as may be prescribed by Requirement of Law to permit Borrower or Agent to determine the withholding or deduction required to be made.</w:t>
      </w:r>
    </w:p>
    <w:p>
      <w:pPr>
        <w:spacing w:after="0" w:line="192" w:lineRule="exact"/>
        <w:rPr>
          <w:rFonts w:ascii="Arial" w:cs="Arial" w:eastAsia="Arial" w:hAnsi="Arial"/>
          <w:sz w:val="18"/>
          <w:szCs w:val="18"/>
          <w:color w:val="auto"/>
        </w:rPr>
      </w:pPr>
    </w:p>
    <w:p>
      <w:pPr>
        <w:jc w:val="both"/>
        <w:ind w:left="1300" w:firstLine="4"/>
        <w:spacing w:after="0" w:line="270" w:lineRule="auto"/>
        <w:tabs>
          <w:tab w:leader="none" w:pos="1598" w:val="left"/>
        </w:tabs>
        <w:numPr>
          <w:ilvl w:val="0"/>
          <w:numId w:val="98"/>
        </w:numPr>
        <w:rPr>
          <w:rFonts w:ascii="Arial" w:cs="Arial" w:eastAsia="Arial" w:hAnsi="Arial"/>
          <w:sz w:val="17"/>
          <w:szCs w:val="17"/>
          <w:color w:val="auto"/>
        </w:rPr>
      </w:pPr>
      <w:r>
        <w:rPr>
          <w:rFonts w:ascii="Arial" w:cs="Arial" w:eastAsia="Arial" w:hAnsi="Arial"/>
          <w:sz w:val="17"/>
          <w:szCs w:val="17"/>
          <w:color w:val="auto"/>
        </w:rPr>
        <w:t xml:space="preserve">If a payment made to a Recipient under any Loan Document would be subject to U.S. federal withholding Tax imposed by FATCA if such Recipient were to fail to comply with the applicable reporting requirements of FATCA (including those contained in Section 1471(b) or 1472(b) of the Code, as applicable), such Recipient shall deliver to the applicable Withholding Agent at the time or times prescribed by Requirement of Law and at such time or times reasonably requested by such Withholding Agent such documentation prescribed by any Requirement of Law (including as prescribed by Section 1471(b)(3)(C)(i) of the Code) and such additional documentation reasonably requested by the Withholding Agent as may be necessary for the Withholding Agent to comply with their obligations under FATCA and to determine that such Recipient has complied with such Recipient’s obligations under FATCA or to determine the amount, if any, to deduct and withhold from such payment. Solely for purposes of this </w:t>
      </w:r>
      <w:r>
        <w:rPr>
          <w:rFonts w:ascii="Arial" w:cs="Arial" w:eastAsia="Arial" w:hAnsi="Arial"/>
          <w:sz w:val="17"/>
          <w:szCs w:val="17"/>
          <w:u w:val="single" w:color="auto"/>
          <w:color w:val="auto"/>
        </w:rPr>
        <w:t>Section 2.8(g)(ii)(D</w:t>
      </w:r>
      <w:r>
        <w:rPr>
          <w:rFonts w:ascii="Arial" w:cs="Arial" w:eastAsia="Arial" w:hAnsi="Arial"/>
          <w:sz w:val="17"/>
          <w:szCs w:val="17"/>
          <w:color w:val="auto"/>
        </w:rPr>
        <w:t>), “FATCA” shall include any amendments made to FATCA after the date of this Agreement.</w:t>
      </w:r>
    </w:p>
    <w:p>
      <w:pPr>
        <w:spacing w:after="0" w:line="181" w:lineRule="exact"/>
        <w:rPr>
          <w:sz w:val="20"/>
          <w:szCs w:val="20"/>
          <w:color w:val="auto"/>
        </w:rPr>
      </w:pPr>
    </w:p>
    <w:p>
      <w:pPr>
        <w:jc w:val="both"/>
        <w:ind w:left="660" w:firstLine="644"/>
        <w:spacing w:after="0" w:line="263" w:lineRule="auto"/>
        <w:tabs>
          <w:tab w:leader="none" w:pos="1632" w:val="left"/>
        </w:tabs>
        <w:numPr>
          <w:ilvl w:val="1"/>
          <w:numId w:val="99"/>
        </w:numPr>
        <w:rPr>
          <w:rFonts w:ascii="Arial" w:cs="Arial" w:eastAsia="Arial" w:hAnsi="Arial"/>
          <w:sz w:val="18"/>
          <w:szCs w:val="18"/>
          <w:color w:val="auto"/>
        </w:rPr>
      </w:pPr>
      <w:r>
        <w:rPr>
          <w:rFonts w:ascii="Arial" w:cs="Arial" w:eastAsia="Arial" w:hAnsi="Arial"/>
          <w:sz w:val="18"/>
          <w:szCs w:val="18"/>
          <w:color w:val="auto"/>
        </w:rPr>
        <w:t xml:space="preserve">Each Recipient agrees that if any form or certification it previously delivered under this </w:t>
      </w:r>
      <w:r>
        <w:rPr>
          <w:rFonts w:ascii="Arial" w:cs="Arial" w:eastAsia="Arial" w:hAnsi="Arial"/>
          <w:sz w:val="18"/>
          <w:szCs w:val="18"/>
          <w:u w:val="single" w:color="auto"/>
          <w:color w:val="auto"/>
        </w:rPr>
        <w:t>Section 2.8(g)</w:t>
      </w:r>
      <w:r>
        <w:rPr>
          <w:rFonts w:ascii="Arial" w:cs="Arial" w:eastAsia="Arial" w:hAnsi="Arial"/>
          <w:sz w:val="18"/>
          <w:szCs w:val="18"/>
          <w:color w:val="auto"/>
        </w:rPr>
        <w:t xml:space="preserve"> expires or becomes obsolete or inaccurate in any respect, it shall update such form or certification or promptly notify the applicable Withholding Agent in writing of its legal inability to do so.</w:t>
      </w:r>
    </w:p>
    <w:p>
      <w:pPr>
        <w:spacing w:after="0" w:line="183" w:lineRule="exact"/>
        <w:rPr>
          <w:rFonts w:ascii="Arial" w:cs="Arial" w:eastAsia="Arial" w:hAnsi="Arial"/>
          <w:sz w:val="18"/>
          <w:szCs w:val="18"/>
          <w:color w:val="auto"/>
        </w:rPr>
      </w:pPr>
    </w:p>
    <w:p>
      <w:pPr>
        <w:jc w:val="both"/>
        <w:ind w:firstLine="656"/>
        <w:spacing w:after="0" w:line="287" w:lineRule="auto"/>
        <w:tabs>
          <w:tab w:leader="none" w:pos="915" w:val="left"/>
        </w:tabs>
        <w:numPr>
          <w:ilvl w:val="0"/>
          <w:numId w:val="100"/>
        </w:numPr>
        <w:rPr>
          <w:rFonts w:ascii="Arial" w:cs="Arial" w:eastAsia="Arial" w:hAnsi="Arial"/>
          <w:sz w:val="16"/>
          <w:szCs w:val="16"/>
          <w:color w:val="auto"/>
        </w:rPr>
      </w:pPr>
      <w:r>
        <w:rPr>
          <w:rFonts w:ascii="Arial" w:cs="Arial" w:eastAsia="Arial" w:hAnsi="Arial"/>
          <w:sz w:val="16"/>
          <w:szCs w:val="16"/>
          <w:u w:val="single" w:color="auto"/>
          <w:color w:val="auto"/>
        </w:rPr>
        <w:t>Treatment of Certain Refunds</w:t>
      </w:r>
      <w:r>
        <w:rPr>
          <w:rFonts w:ascii="Arial" w:cs="Arial" w:eastAsia="Arial" w:hAnsi="Arial"/>
          <w:sz w:val="16"/>
          <w:szCs w:val="16"/>
          <w:color w:val="auto"/>
        </w:rPr>
        <w:t xml:space="preserve">. If any Recipient determines, in its sole discretion exercised in good faith, that it has received a refund of any Taxes as to which it has been indemnified by any Loan Party pursuant to this </w:t>
      </w:r>
      <w:r>
        <w:rPr>
          <w:rFonts w:ascii="Arial" w:cs="Arial" w:eastAsia="Arial" w:hAnsi="Arial"/>
          <w:sz w:val="16"/>
          <w:szCs w:val="16"/>
          <w:u w:val="single" w:color="auto"/>
          <w:color w:val="auto"/>
        </w:rPr>
        <w:t>Section 2.8</w:t>
      </w:r>
      <w:r>
        <w:rPr>
          <w:rFonts w:ascii="Arial" w:cs="Arial" w:eastAsia="Arial" w:hAnsi="Arial"/>
          <w:sz w:val="16"/>
          <w:szCs w:val="16"/>
          <w:color w:val="auto"/>
        </w:rPr>
        <w:t xml:space="preserve"> (including by the payment of additional amounts pursuant to this </w:t>
      </w:r>
      <w:r>
        <w:rPr>
          <w:rFonts w:ascii="Arial" w:cs="Arial" w:eastAsia="Arial" w:hAnsi="Arial"/>
          <w:sz w:val="16"/>
          <w:szCs w:val="16"/>
          <w:u w:val="single" w:color="auto"/>
          <w:color w:val="auto"/>
        </w:rPr>
        <w:t>Section 2.8</w:t>
      </w:r>
      <w:r>
        <w:rPr>
          <w:rFonts w:ascii="Arial" w:cs="Arial" w:eastAsia="Arial" w:hAnsi="Arial"/>
          <w:sz w:val="16"/>
          <w:szCs w:val="16"/>
          <w:color w:val="auto"/>
        </w:rPr>
        <w:t xml:space="preserve">), it shall pay to such Loan Party an amount equal to such refund (but only to the extent of indemnity payments made under this </w:t>
      </w:r>
      <w:r>
        <w:rPr>
          <w:rFonts w:ascii="Arial" w:cs="Arial" w:eastAsia="Arial" w:hAnsi="Arial"/>
          <w:sz w:val="16"/>
          <w:szCs w:val="16"/>
          <w:u w:val="single" w:color="auto"/>
          <w:color w:val="auto"/>
        </w:rPr>
        <w:t>Section 2.8</w:t>
      </w:r>
      <w:r>
        <w:rPr>
          <w:rFonts w:ascii="Arial" w:cs="Arial" w:eastAsia="Arial" w:hAnsi="Arial"/>
          <w:sz w:val="16"/>
          <w:szCs w:val="16"/>
          <w:color w:val="auto"/>
        </w:rPr>
        <w:t xml:space="preserve"> with respect to the Taxes giving rise to such refund), net of all out-of-pocket expenses (including Taxes) incurred by such Recipient and without interest (other than any interest paid by the relevant Governmental Authority with respect to such refund); provided that each Loan Party, upon the request of the Recipient, shall repay to the Recipient the amount paid over to such Loan Party by such Recipient pursuant to this </w:t>
      </w:r>
      <w:r>
        <w:rPr>
          <w:rFonts w:ascii="Arial" w:cs="Arial" w:eastAsia="Arial" w:hAnsi="Arial"/>
          <w:sz w:val="16"/>
          <w:szCs w:val="16"/>
          <w:u w:val="single" w:color="auto"/>
          <w:color w:val="auto"/>
        </w:rPr>
        <w:t>Section 2.8(h)</w:t>
      </w:r>
      <w:r>
        <w:rPr>
          <w:rFonts w:ascii="Arial" w:cs="Arial" w:eastAsia="Arial" w:hAnsi="Arial"/>
          <w:sz w:val="16"/>
          <w:szCs w:val="16"/>
          <w:color w:val="auto"/>
        </w:rPr>
        <w:t xml:space="preserve"> (</w:t>
      </w:r>
      <w:r>
        <w:rPr>
          <w:rFonts w:ascii="Arial" w:cs="Arial" w:eastAsia="Arial" w:hAnsi="Arial"/>
          <w:sz w:val="16"/>
          <w:szCs w:val="16"/>
          <w:u w:val="single" w:color="auto"/>
          <w:color w:val="auto"/>
        </w:rPr>
        <w:t>plus</w:t>
      </w:r>
      <w:r>
        <w:rPr>
          <w:rFonts w:ascii="Arial" w:cs="Arial" w:eastAsia="Arial" w:hAnsi="Arial"/>
          <w:sz w:val="16"/>
          <w:szCs w:val="16"/>
          <w:color w:val="auto"/>
        </w:rPr>
        <w:t xml:space="preserve"> any penalties, interest or other charges imposed by the relevant Governmental Authority) in the event that the Recipient is required to repay such refund to such Governmental Authority. Notwithstanding anything to the contrary in this </w:t>
      </w:r>
      <w:r>
        <w:rPr>
          <w:rFonts w:ascii="Arial" w:cs="Arial" w:eastAsia="Arial" w:hAnsi="Arial"/>
          <w:sz w:val="16"/>
          <w:szCs w:val="16"/>
          <w:u w:val="single" w:color="auto"/>
          <w:color w:val="auto"/>
        </w:rPr>
        <w:t>Section 2.8(h)</w:t>
      </w:r>
      <w:r>
        <w:rPr>
          <w:rFonts w:ascii="Arial" w:cs="Arial" w:eastAsia="Arial" w:hAnsi="Arial"/>
          <w:sz w:val="16"/>
          <w:szCs w:val="16"/>
          <w:color w:val="auto"/>
        </w:rPr>
        <w:t xml:space="preserve">, in no event will any Recipient be required to pay any amount to any Loan Party pursuant to this </w:t>
      </w:r>
      <w:r>
        <w:rPr>
          <w:rFonts w:ascii="Arial" w:cs="Arial" w:eastAsia="Arial" w:hAnsi="Arial"/>
          <w:sz w:val="16"/>
          <w:szCs w:val="16"/>
          <w:u w:val="single" w:color="auto"/>
          <w:color w:val="auto"/>
        </w:rPr>
        <w:t>Section 2.8(h)</w:t>
      </w:r>
      <w:r>
        <w:rPr>
          <w:rFonts w:ascii="Arial" w:cs="Arial" w:eastAsia="Arial" w:hAnsi="Arial"/>
          <w:sz w:val="16"/>
          <w:szCs w:val="16"/>
          <w:color w:val="auto"/>
        </w:rPr>
        <w:t xml:space="preserve">, the payment of which would place the Recipient in a less favorable net after-Tax position than the Recipient would have been in if the Tax subject to indemnification and giving rise to such refund had not been deducted, withheld or otherwise imposed and the indemnification payments or additional amounts with respect to such Tax had never been paid. This </w:t>
      </w:r>
      <w:r>
        <w:rPr>
          <w:rFonts w:ascii="Arial" w:cs="Arial" w:eastAsia="Arial" w:hAnsi="Arial"/>
          <w:sz w:val="16"/>
          <w:szCs w:val="16"/>
          <w:u w:val="single" w:color="auto"/>
          <w:color w:val="auto"/>
        </w:rPr>
        <w:t>Section 2.8(h)</w:t>
      </w:r>
      <w:r>
        <w:rPr>
          <w:rFonts w:ascii="Arial" w:cs="Arial" w:eastAsia="Arial" w:hAnsi="Arial"/>
          <w:sz w:val="16"/>
          <w:szCs w:val="16"/>
          <w:color w:val="auto"/>
        </w:rPr>
        <w:t xml:space="preserve"> shall not be construed to require any Recipient to make available its Tax returns (or any other information relating to its Taxes that it deems confidential) to a Loan Party or any other Person.</w:t>
      </w:r>
    </w:p>
    <w:p>
      <w:pPr>
        <w:spacing w:after="0" w:line="167" w:lineRule="exact"/>
        <w:rPr>
          <w:rFonts w:ascii="Arial" w:cs="Arial" w:eastAsia="Arial" w:hAnsi="Arial"/>
          <w:sz w:val="16"/>
          <w:szCs w:val="16"/>
          <w:color w:val="auto"/>
        </w:rPr>
      </w:pPr>
    </w:p>
    <w:p>
      <w:pPr>
        <w:ind w:firstLine="656"/>
        <w:spacing w:after="0" w:line="342" w:lineRule="auto"/>
        <w:tabs>
          <w:tab w:leader="none" w:pos="863" w:val="left"/>
        </w:tabs>
        <w:numPr>
          <w:ilvl w:val="0"/>
          <w:numId w:val="100"/>
        </w:numPr>
        <w:rPr>
          <w:rFonts w:ascii="Arial" w:cs="Arial" w:eastAsia="Arial" w:hAnsi="Arial"/>
          <w:sz w:val="16"/>
          <w:szCs w:val="16"/>
          <w:color w:val="auto"/>
        </w:rPr>
      </w:pPr>
      <w:r>
        <w:rPr>
          <w:rFonts w:ascii="Arial" w:cs="Arial" w:eastAsia="Arial" w:hAnsi="Arial"/>
          <w:sz w:val="16"/>
          <w:szCs w:val="16"/>
          <w:u w:val="single" w:color="auto"/>
          <w:color w:val="auto"/>
        </w:rPr>
        <w:t>Survival</w:t>
      </w:r>
      <w:r>
        <w:rPr>
          <w:rFonts w:ascii="Arial" w:cs="Arial" w:eastAsia="Arial" w:hAnsi="Arial"/>
          <w:sz w:val="16"/>
          <w:szCs w:val="16"/>
          <w:color w:val="auto"/>
        </w:rPr>
        <w:t xml:space="preserve">. Each party’s obligations under this </w:t>
      </w:r>
      <w:r>
        <w:rPr>
          <w:rFonts w:ascii="Arial" w:cs="Arial" w:eastAsia="Arial" w:hAnsi="Arial"/>
          <w:sz w:val="16"/>
          <w:szCs w:val="16"/>
          <w:u w:val="single" w:color="auto"/>
          <w:color w:val="auto"/>
        </w:rPr>
        <w:t>Section 2.8</w:t>
      </w:r>
      <w:r>
        <w:rPr>
          <w:rFonts w:ascii="Arial" w:cs="Arial" w:eastAsia="Arial" w:hAnsi="Arial"/>
          <w:sz w:val="16"/>
          <w:szCs w:val="16"/>
          <w:color w:val="auto"/>
        </w:rPr>
        <w:t xml:space="preserve"> shall survive the resignation or replacement of Agent or any assignment of rights by, or the replacement of, a Lender, the termination of the Term Loan Commitments and the repayment, satisfaction or discharge of all other Obligations.</w:t>
      </w:r>
    </w:p>
    <w:p>
      <w:pPr>
        <w:spacing w:after="0" w:line="120"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2.9 Collections</w:t>
      </w:r>
      <w:r>
        <w:rPr>
          <w:rFonts w:ascii="Arial" w:cs="Arial" w:eastAsia="Arial" w:hAnsi="Arial"/>
          <w:sz w:val="18"/>
          <w:szCs w:val="18"/>
          <w:color w:val="auto"/>
        </w:rPr>
        <w:t>.</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Each Loan Party shall and shall cause each of its Subsidiaries (other than its Immaterial Subsidiaries) to:</w:t>
      </w:r>
    </w:p>
    <w:p>
      <w:pPr>
        <w:spacing w:after="0" w:line="225" w:lineRule="exact"/>
        <w:rPr>
          <w:sz w:val="20"/>
          <w:szCs w:val="20"/>
          <w:color w:val="auto"/>
        </w:rPr>
      </w:pPr>
    </w:p>
    <w:p>
      <w:pPr>
        <w:ind w:firstLine="656"/>
        <w:spacing w:after="0" w:line="277" w:lineRule="auto"/>
        <w:tabs>
          <w:tab w:leader="none" w:pos="925" w:val="left"/>
        </w:tabs>
        <w:numPr>
          <w:ilvl w:val="0"/>
          <w:numId w:val="101"/>
        </w:numPr>
        <w:rPr>
          <w:rFonts w:ascii="Arial" w:cs="Arial" w:eastAsia="Arial" w:hAnsi="Arial"/>
          <w:sz w:val="18"/>
          <w:szCs w:val="18"/>
          <w:color w:val="auto"/>
        </w:rPr>
      </w:pPr>
      <w:r>
        <w:rPr>
          <w:rFonts w:ascii="Arial" w:cs="Arial" w:eastAsia="Arial" w:hAnsi="Arial"/>
          <w:sz w:val="18"/>
          <w:szCs w:val="18"/>
          <w:color w:val="auto"/>
        </w:rPr>
        <w:t xml:space="preserve">Make (or direct any payor to make) all Collections to a Deposit Account which is, subject to </w:t>
      </w:r>
      <w:r>
        <w:rPr>
          <w:rFonts w:ascii="Arial" w:cs="Arial" w:eastAsia="Arial" w:hAnsi="Arial"/>
          <w:sz w:val="18"/>
          <w:szCs w:val="18"/>
          <w:u w:val="single" w:color="auto"/>
          <w:color w:val="auto"/>
        </w:rPr>
        <w:t>Section 5.13(b)</w:t>
      </w:r>
      <w:r>
        <w:rPr>
          <w:rFonts w:ascii="Arial" w:cs="Arial" w:eastAsia="Arial" w:hAnsi="Arial"/>
          <w:sz w:val="18"/>
          <w:szCs w:val="18"/>
          <w:color w:val="auto"/>
        </w:rPr>
        <w:t>, the subject to a Control Agreement (a “</w:t>
      </w:r>
      <w:r>
        <w:rPr>
          <w:rFonts w:ascii="Arial" w:cs="Arial" w:eastAsia="Arial" w:hAnsi="Arial"/>
          <w:sz w:val="18"/>
          <w:szCs w:val="18"/>
          <w:b w:val="1"/>
          <w:bCs w:val="1"/>
          <w:i w:val="1"/>
          <w:iCs w:val="1"/>
          <w:color w:val="auto"/>
        </w:rPr>
        <w:t>Controlled Account</w:t>
      </w:r>
      <w:r>
        <w:rPr>
          <w:rFonts w:ascii="Arial" w:cs="Arial" w:eastAsia="Arial" w:hAnsi="Arial"/>
          <w:sz w:val="18"/>
          <w:szCs w:val="18"/>
          <w:color w:val="auto"/>
        </w:rPr>
        <w:t>”);</w:t>
      </w:r>
    </w:p>
    <w:p>
      <w:pPr>
        <w:spacing w:after="0" w:line="170" w:lineRule="exact"/>
        <w:rPr>
          <w:rFonts w:ascii="Arial" w:cs="Arial" w:eastAsia="Arial" w:hAnsi="Arial"/>
          <w:sz w:val="18"/>
          <w:szCs w:val="18"/>
          <w:color w:val="auto"/>
        </w:rPr>
      </w:pPr>
    </w:p>
    <w:p>
      <w:pPr>
        <w:jc w:val="both"/>
        <w:ind w:firstLine="656"/>
        <w:spacing w:after="0" w:line="263" w:lineRule="auto"/>
        <w:tabs>
          <w:tab w:leader="none" w:pos="913" w:val="left"/>
        </w:tabs>
        <w:numPr>
          <w:ilvl w:val="0"/>
          <w:numId w:val="101"/>
        </w:numPr>
        <w:rPr>
          <w:rFonts w:ascii="Arial" w:cs="Arial" w:eastAsia="Arial" w:hAnsi="Arial"/>
          <w:sz w:val="18"/>
          <w:szCs w:val="18"/>
          <w:color w:val="auto"/>
        </w:rPr>
      </w:pPr>
      <w:r>
        <w:rPr>
          <w:rFonts w:ascii="Arial" w:cs="Arial" w:eastAsia="Arial" w:hAnsi="Arial"/>
          <w:sz w:val="18"/>
          <w:szCs w:val="18"/>
          <w:color w:val="auto"/>
        </w:rPr>
        <w:t>If any Loan Party shall receive any Collections in any manner other than by deposit into the Controlled Account, such Loan Party shall hold such Collections in trust for the benefit of Agent and deposit such Collections into the Controlled Account within three (3) Business Days following such Loan Party’s receipt thereof; and</w:t>
      </w:r>
    </w:p>
    <w:p>
      <w:pPr>
        <w:spacing w:after="0" w:line="183" w:lineRule="exact"/>
        <w:rPr>
          <w:rFonts w:ascii="Arial" w:cs="Arial" w:eastAsia="Arial" w:hAnsi="Arial"/>
          <w:sz w:val="18"/>
          <w:szCs w:val="18"/>
          <w:color w:val="auto"/>
        </w:rPr>
      </w:pPr>
    </w:p>
    <w:p>
      <w:pPr>
        <w:jc w:val="both"/>
        <w:ind w:firstLine="656"/>
        <w:spacing w:after="0" w:line="311" w:lineRule="auto"/>
        <w:tabs>
          <w:tab w:leader="none" w:pos="904" w:val="left"/>
        </w:tabs>
        <w:numPr>
          <w:ilvl w:val="0"/>
          <w:numId w:val="101"/>
        </w:numPr>
        <w:rPr>
          <w:rFonts w:ascii="Arial" w:cs="Arial" w:eastAsia="Arial" w:hAnsi="Arial"/>
          <w:sz w:val="16"/>
          <w:szCs w:val="16"/>
          <w:color w:val="auto"/>
        </w:rPr>
      </w:pPr>
      <w:r>
        <w:rPr>
          <w:rFonts w:ascii="Arial" w:cs="Arial" w:eastAsia="Arial" w:hAnsi="Arial"/>
          <w:sz w:val="16"/>
          <w:szCs w:val="16"/>
          <w:color w:val="auto"/>
        </w:rPr>
        <w:t>Prevent the deposit into any Deposit Account (other than Excluded Deposit Accounts) of any funds other than the funds to be deposited into such Deposit Accounts under this Agreement or the other Loan Documents (provided that, this covenant shall not be breached to the extent that funds are inadvertently deposited into any of such Deposit Accounts and are promptly segregated and removed such Deposit Account to the Controlled Account).</w:t>
      </w: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36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Presto Credit Agreement</w:t>
            </w:r>
          </w:p>
        </w:tc>
        <w:tc>
          <w:tcPr>
            <w:tcW w:w="7580" w:type="dxa"/>
            <w:vAlign w:val="bottom"/>
            <w:tcBorders>
              <w:bottom w:val="single" w:sz="8" w:color="auto"/>
            </w:tcBorders>
          </w:tcPr>
          <w:p>
            <w:pPr>
              <w:jc w:val="right"/>
              <w:ind w:right="5430"/>
              <w:spacing w:after="0"/>
              <w:rPr>
                <w:sz w:val="20"/>
                <w:szCs w:val="20"/>
                <w:color w:val="auto"/>
              </w:rPr>
            </w:pPr>
            <w:r>
              <w:rPr>
                <w:rFonts w:ascii="Arial" w:cs="Arial" w:eastAsia="Arial" w:hAnsi="Arial"/>
                <w:sz w:val="18"/>
                <w:szCs w:val="18"/>
                <w:color w:val="auto"/>
              </w:rPr>
              <w:t>26</w:t>
            </w:r>
          </w:p>
        </w:tc>
      </w:tr>
    </w:tbl>
    <w:p>
      <w:pPr>
        <w:sectPr>
          <w:pgSz w:w="11900" w:h="16838" w:orient="portrait"/>
          <w:cols w:equalWidth="0" w:num="1">
            <w:col w:w="11240"/>
          </w:cols>
          <w:pgMar w:left="320" w:top="908" w:right="339" w:bottom="204" w:gutter="0" w:footer="0" w:header="0"/>
        </w:sectPr>
      </w:pPr>
    </w:p>
    <w:bookmarkStart w:id="113" w:name="page114"/>
    <w:bookmarkEnd w:id="113"/>
    <w:p>
      <w:pPr>
        <w:ind w:left="660"/>
        <w:spacing w:after="0"/>
        <w:rPr>
          <w:sz w:val="20"/>
          <w:szCs w:val="20"/>
          <w:color w:val="auto"/>
        </w:rPr>
      </w:pPr>
      <w:r>
        <w:rPr>
          <w:rFonts w:ascii="Arial" w:cs="Arial" w:eastAsia="Arial" w:hAnsi="Arial"/>
          <w:sz w:val="18"/>
          <w:szCs w:val="18"/>
          <w:b w:val="1"/>
          <w:bCs w:val="1"/>
          <w:color w:val="auto"/>
        </w:rPr>
        <w:t>2.10 Increased Costs</w:t>
      </w:r>
    </w:p>
    <w:p>
      <w:pPr>
        <w:spacing w:after="0" w:line="229" w:lineRule="exact"/>
        <w:rPr>
          <w:sz w:val="20"/>
          <w:szCs w:val="20"/>
          <w:color w:val="auto"/>
        </w:rPr>
      </w:pPr>
    </w:p>
    <w:p>
      <w:pPr>
        <w:ind w:left="900" w:hanging="244"/>
        <w:spacing w:after="0"/>
        <w:tabs>
          <w:tab w:leader="none" w:pos="900" w:val="left"/>
        </w:tabs>
        <w:numPr>
          <w:ilvl w:val="0"/>
          <w:numId w:val="102"/>
        </w:numPr>
        <w:rPr>
          <w:rFonts w:ascii="Arial" w:cs="Arial" w:eastAsia="Arial" w:hAnsi="Arial"/>
          <w:sz w:val="18"/>
          <w:szCs w:val="18"/>
          <w:color w:val="auto"/>
        </w:rPr>
      </w:pPr>
      <w:r>
        <w:rPr>
          <w:rFonts w:ascii="Arial" w:cs="Arial" w:eastAsia="Arial" w:hAnsi="Arial"/>
          <w:sz w:val="18"/>
          <w:szCs w:val="18"/>
          <w:u w:val="single" w:color="auto"/>
          <w:color w:val="auto"/>
        </w:rPr>
        <w:t>Increased Costs Generally</w:t>
      </w:r>
      <w:r>
        <w:rPr>
          <w:rFonts w:ascii="Arial" w:cs="Arial" w:eastAsia="Arial" w:hAnsi="Arial"/>
          <w:sz w:val="18"/>
          <w:szCs w:val="18"/>
          <w:color w:val="auto"/>
        </w:rPr>
        <w:t>. If any Change in Law shall:</w:t>
      </w:r>
    </w:p>
    <w:p>
      <w:pPr>
        <w:spacing w:after="0" w:line="225" w:lineRule="exact"/>
        <w:rPr>
          <w:rFonts w:ascii="Arial" w:cs="Arial" w:eastAsia="Arial" w:hAnsi="Arial"/>
          <w:sz w:val="18"/>
          <w:szCs w:val="18"/>
          <w:color w:val="auto"/>
        </w:rPr>
      </w:pPr>
    </w:p>
    <w:p>
      <w:pPr>
        <w:ind w:left="660" w:firstLine="644"/>
        <w:spacing w:after="0" w:line="277" w:lineRule="auto"/>
        <w:tabs>
          <w:tab w:leader="none" w:pos="1543" w:val="left"/>
        </w:tabs>
        <w:numPr>
          <w:ilvl w:val="1"/>
          <w:numId w:val="102"/>
        </w:numPr>
        <w:rPr>
          <w:rFonts w:ascii="Arial" w:cs="Arial" w:eastAsia="Arial" w:hAnsi="Arial"/>
          <w:sz w:val="18"/>
          <w:szCs w:val="18"/>
          <w:color w:val="auto"/>
        </w:rPr>
      </w:pPr>
      <w:r>
        <w:rPr>
          <w:rFonts w:ascii="Arial" w:cs="Arial" w:eastAsia="Arial" w:hAnsi="Arial"/>
          <w:sz w:val="18"/>
          <w:szCs w:val="18"/>
          <w:color w:val="auto"/>
        </w:rPr>
        <w:t>impose, modify or deem applicable any reserve, special deposit, compulsory loan, insurance charge or similar requirement against assets of, deposits with or for the account of, or credit extended or participated in by, any Lender; or</w:t>
      </w:r>
    </w:p>
    <w:p>
      <w:pPr>
        <w:spacing w:after="0" w:line="170" w:lineRule="exact"/>
        <w:rPr>
          <w:rFonts w:ascii="Arial" w:cs="Arial" w:eastAsia="Arial" w:hAnsi="Arial"/>
          <w:sz w:val="18"/>
          <w:szCs w:val="18"/>
          <w:color w:val="auto"/>
        </w:rPr>
      </w:pPr>
    </w:p>
    <w:p>
      <w:pPr>
        <w:jc w:val="both"/>
        <w:ind w:left="660" w:firstLine="644"/>
        <w:spacing w:after="0" w:line="263" w:lineRule="auto"/>
        <w:tabs>
          <w:tab w:leader="none" w:pos="1576" w:val="left"/>
        </w:tabs>
        <w:numPr>
          <w:ilvl w:val="1"/>
          <w:numId w:val="102"/>
        </w:numPr>
        <w:rPr>
          <w:rFonts w:ascii="Arial" w:cs="Arial" w:eastAsia="Arial" w:hAnsi="Arial"/>
          <w:sz w:val="18"/>
          <w:szCs w:val="18"/>
          <w:color w:val="auto"/>
        </w:rPr>
      </w:pPr>
      <w:r>
        <w:rPr>
          <w:rFonts w:ascii="Arial" w:cs="Arial" w:eastAsia="Arial" w:hAnsi="Arial"/>
          <w:sz w:val="18"/>
          <w:szCs w:val="18"/>
          <w:color w:val="auto"/>
        </w:rPr>
        <w:t>subject any Recipient to any Taxes (other than (A) Indemnified Taxes, (B) Taxes described in clauses (b) through (d) of the definition of Excluded Taxes, and (C) Connection Income Taxes) on its loans, loan principal, letters of credit, commitments, or other obligations, or its deposits, reserves, other liabilities or capital attributable thereto; or;</w:t>
      </w:r>
    </w:p>
    <w:p>
      <w:pPr>
        <w:spacing w:after="0" w:line="183" w:lineRule="exact"/>
        <w:rPr>
          <w:rFonts w:ascii="Arial" w:cs="Arial" w:eastAsia="Arial" w:hAnsi="Arial"/>
          <w:sz w:val="18"/>
          <w:szCs w:val="18"/>
          <w:color w:val="auto"/>
        </w:rPr>
      </w:pPr>
    </w:p>
    <w:p>
      <w:pPr>
        <w:ind w:left="660" w:firstLine="644"/>
        <w:spacing w:after="0" w:line="277" w:lineRule="auto"/>
        <w:tabs>
          <w:tab w:leader="none" w:pos="1731" w:val="left"/>
        </w:tabs>
        <w:numPr>
          <w:ilvl w:val="1"/>
          <w:numId w:val="102"/>
        </w:numPr>
        <w:rPr>
          <w:rFonts w:ascii="Arial" w:cs="Arial" w:eastAsia="Arial" w:hAnsi="Arial"/>
          <w:sz w:val="18"/>
          <w:szCs w:val="18"/>
          <w:color w:val="auto"/>
        </w:rPr>
      </w:pPr>
      <w:r>
        <w:rPr>
          <w:rFonts w:ascii="Arial" w:cs="Arial" w:eastAsia="Arial" w:hAnsi="Arial"/>
          <w:sz w:val="18"/>
          <w:szCs w:val="18"/>
          <w:color w:val="auto"/>
        </w:rPr>
        <w:t>impose on any Lender or the London interbank market any other condition, cost or expense (other than Taxes) affecting this Agreement or the portion of the Term Loan made by such Lender or participation therein</w:t>
      </w:r>
    </w:p>
    <w:p>
      <w:pPr>
        <w:spacing w:after="0" w:line="170"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and the result of any of the foregoing shall be to increase the cost to such Lender of making, converting to, continuing or maintaining the Term Loan or of maintaining its obligation to make any such Term Loan, or to increase the cost to such Lender or such other Person of participating in, or to reduce the amount of any sum received or receivable by such Lender or other Person hereunder (whether of principal, interest or any other amount) then, upon request of such Lender or other Person, Borrower will pay to such Lender or other Person, as the case may be, such additional amount or amounts as will compensate such Lender or other Person, as the case may be, for such additional costs incurred or reduction suffered.</w:t>
      </w:r>
    </w:p>
    <w:p>
      <w:pPr>
        <w:spacing w:after="0" w:line="176" w:lineRule="exact"/>
        <w:rPr>
          <w:sz w:val="20"/>
          <w:szCs w:val="20"/>
          <w:color w:val="auto"/>
        </w:rPr>
      </w:pPr>
    </w:p>
    <w:p>
      <w:pPr>
        <w:jc w:val="both"/>
        <w:ind w:firstLine="656"/>
        <w:spacing w:after="0" w:line="254" w:lineRule="auto"/>
        <w:tabs>
          <w:tab w:leader="none" w:pos="914" w:val="left"/>
        </w:tabs>
        <w:numPr>
          <w:ilvl w:val="0"/>
          <w:numId w:val="103"/>
        </w:numPr>
        <w:rPr>
          <w:rFonts w:ascii="Arial" w:cs="Arial" w:eastAsia="Arial" w:hAnsi="Arial"/>
          <w:sz w:val="18"/>
          <w:szCs w:val="18"/>
          <w:color w:val="auto"/>
        </w:rPr>
      </w:pPr>
      <w:r>
        <w:rPr>
          <w:rFonts w:ascii="Arial" w:cs="Arial" w:eastAsia="Arial" w:hAnsi="Arial"/>
          <w:sz w:val="18"/>
          <w:szCs w:val="18"/>
          <w:u w:val="single" w:color="auto"/>
          <w:color w:val="auto"/>
        </w:rPr>
        <w:t>Capital Requirements</w:t>
      </w:r>
      <w:r>
        <w:rPr>
          <w:rFonts w:ascii="Arial" w:cs="Arial" w:eastAsia="Arial" w:hAnsi="Arial"/>
          <w:sz w:val="18"/>
          <w:szCs w:val="18"/>
          <w:color w:val="auto"/>
        </w:rPr>
        <w:t>. If any Lender determines that any Change in Law affecting such Lender or any lending office of such Lender or such Lender’s holding company, if any, regarding capital or liquidity requirements has or would have the effect of reducing the rate of return on such Lender’s capital or on the capital of such Lender’s holding company, if any, as a consequence of this Agreement, the Term Loan Commitments of such Lender or the Term Loan made by such Lender to a level below that which such Lender or such Lender’s holding company could have achieved but for such Change in Law (taking into consideration such Lender’s policies and the policies of such Lender’s holding company with respect to capital adequacy), then from time to time Borrower will pay to such Lender or holding company such additional amount or amounts as will compensate such Lender or such Lender’s holding company for any such reduction suffered.</w:t>
      </w:r>
    </w:p>
    <w:p>
      <w:pPr>
        <w:spacing w:after="0" w:line="194" w:lineRule="exact"/>
        <w:rPr>
          <w:rFonts w:ascii="Arial" w:cs="Arial" w:eastAsia="Arial" w:hAnsi="Arial"/>
          <w:sz w:val="18"/>
          <w:szCs w:val="18"/>
          <w:color w:val="auto"/>
        </w:rPr>
      </w:pPr>
    </w:p>
    <w:p>
      <w:pPr>
        <w:jc w:val="both"/>
        <w:ind w:firstLine="656"/>
        <w:spacing w:after="0" w:line="259" w:lineRule="auto"/>
        <w:tabs>
          <w:tab w:leader="none" w:pos="910" w:val="left"/>
        </w:tabs>
        <w:numPr>
          <w:ilvl w:val="0"/>
          <w:numId w:val="103"/>
        </w:numPr>
        <w:rPr>
          <w:rFonts w:ascii="Arial" w:cs="Arial" w:eastAsia="Arial" w:hAnsi="Arial"/>
          <w:sz w:val="18"/>
          <w:szCs w:val="18"/>
          <w:color w:val="auto"/>
        </w:rPr>
      </w:pPr>
      <w:r>
        <w:rPr>
          <w:rFonts w:ascii="Arial" w:cs="Arial" w:eastAsia="Arial" w:hAnsi="Arial"/>
          <w:sz w:val="18"/>
          <w:szCs w:val="18"/>
          <w:u w:val="single" w:color="auto"/>
          <w:color w:val="auto"/>
        </w:rPr>
        <w:t>Certificates for Reimbursement</w:t>
      </w:r>
      <w:r>
        <w:rPr>
          <w:rFonts w:ascii="Arial" w:cs="Arial" w:eastAsia="Arial" w:hAnsi="Arial"/>
          <w:sz w:val="18"/>
          <w:szCs w:val="18"/>
          <w:color w:val="auto"/>
        </w:rPr>
        <w:t xml:space="preserve">. A certificate of a Lender setting forth in reasonable detail the amount or amounts necessary to compensate such Lender or its holding company, as the case may be, as specified in </w:t>
      </w:r>
      <w:r>
        <w:rPr>
          <w:rFonts w:ascii="Arial" w:cs="Arial" w:eastAsia="Arial" w:hAnsi="Arial"/>
          <w:sz w:val="18"/>
          <w:szCs w:val="18"/>
          <w:u w:val="single" w:color="auto"/>
          <w:color w:val="auto"/>
        </w:rPr>
        <w:t>Section 2.10(a)</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(b)</w:t>
      </w:r>
      <w:r>
        <w:rPr>
          <w:rFonts w:ascii="Arial" w:cs="Arial" w:eastAsia="Arial" w:hAnsi="Arial"/>
          <w:sz w:val="18"/>
          <w:szCs w:val="18"/>
          <w:color w:val="auto"/>
        </w:rPr>
        <w:t xml:space="preserve"> and delivered to the Borrower shall be conclusive absent manifest error. Borrower shall pay such Lender or its holding company, as the case may be, the amount shown as due on any such certificate within ten (10) days after receipt thereof.</w:t>
      </w:r>
    </w:p>
    <w:p>
      <w:pPr>
        <w:spacing w:after="0" w:line="186" w:lineRule="exact"/>
        <w:rPr>
          <w:rFonts w:ascii="Arial" w:cs="Arial" w:eastAsia="Arial" w:hAnsi="Arial"/>
          <w:sz w:val="18"/>
          <w:szCs w:val="18"/>
          <w:color w:val="auto"/>
        </w:rPr>
      </w:pPr>
    </w:p>
    <w:p>
      <w:pPr>
        <w:jc w:val="both"/>
        <w:ind w:firstLine="656"/>
        <w:spacing w:after="0" w:line="273" w:lineRule="auto"/>
        <w:tabs>
          <w:tab w:leader="none" w:pos="922" w:val="left"/>
        </w:tabs>
        <w:numPr>
          <w:ilvl w:val="0"/>
          <w:numId w:val="103"/>
        </w:numPr>
        <w:rPr>
          <w:rFonts w:ascii="Arial" w:cs="Arial" w:eastAsia="Arial" w:hAnsi="Arial"/>
          <w:sz w:val="17"/>
          <w:szCs w:val="17"/>
          <w:color w:val="auto"/>
        </w:rPr>
      </w:pPr>
      <w:r>
        <w:rPr>
          <w:rFonts w:ascii="Arial" w:cs="Arial" w:eastAsia="Arial" w:hAnsi="Arial"/>
          <w:sz w:val="17"/>
          <w:szCs w:val="17"/>
          <w:u w:val="single" w:color="auto"/>
          <w:color w:val="auto"/>
        </w:rPr>
        <w:t>Delays in Request</w:t>
      </w:r>
      <w:r>
        <w:rPr>
          <w:rFonts w:ascii="Arial" w:cs="Arial" w:eastAsia="Arial" w:hAnsi="Arial"/>
          <w:sz w:val="17"/>
          <w:szCs w:val="17"/>
          <w:color w:val="auto"/>
        </w:rPr>
        <w:t xml:space="preserve">. Failure or delay on the part of any Lender to demand compensation pursuant to this </w:t>
      </w:r>
      <w:r>
        <w:rPr>
          <w:rFonts w:ascii="Arial" w:cs="Arial" w:eastAsia="Arial" w:hAnsi="Arial"/>
          <w:sz w:val="17"/>
          <w:szCs w:val="17"/>
          <w:u w:val="single" w:color="auto"/>
          <w:color w:val="auto"/>
        </w:rPr>
        <w:t>Section 2.10</w:t>
      </w:r>
      <w:r>
        <w:rPr>
          <w:rFonts w:ascii="Arial" w:cs="Arial" w:eastAsia="Arial" w:hAnsi="Arial"/>
          <w:sz w:val="17"/>
          <w:szCs w:val="17"/>
          <w:color w:val="auto"/>
        </w:rPr>
        <w:t xml:space="preserve"> shall not constitute a waiver of such Lender’s right to demand such compensation, provided that Borrower shall not be required to compensate a Lender or other Person pursuant to this section for any increased costs incurred or reductions suffered more than nine (9) months prior to the date that such Lender or other Person, as the case may be, notifies Borrower of the Change in Law giving rise to such increased costs or reductions and of such Lender’s or Person’s intention to claim compensation therefor (except that, if the Change in Law giving rise to such increased costs or reductions is retroactive, then the nine (9) month period referred to above shall be extended to include the period of retroactive effect thereof).</w:t>
      </w:r>
    </w:p>
    <w:p>
      <w:pPr>
        <w:spacing w:after="0" w:line="174"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2.11 Mitigation Obligations.</w:t>
      </w:r>
    </w:p>
    <w:p>
      <w:pPr>
        <w:spacing w:after="0" w:line="229"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 xml:space="preserve">If any Lender requires the Borrower to pay any Indemnified Taxes or additional amounts to any Lender or any Governmental Authority for the account of any Lender pursuant to </w:t>
      </w:r>
      <w:r>
        <w:rPr>
          <w:rFonts w:ascii="Arial" w:cs="Arial" w:eastAsia="Arial" w:hAnsi="Arial"/>
          <w:sz w:val="16"/>
          <w:szCs w:val="16"/>
          <w:u w:val="single" w:color="auto"/>
          <w:color w:val="auto"/>
        </w:rPr>
        <w:t>Section 2.8</w:t>
      </w:r>
      <w:r>
        <w:rPr>
          <w:rFonts w:ascii="Arial" w:cs="Arial" w:eastAsia="Arial" w:hAnsi="Arial"/>
          <w:sz w:val="16"/>
          <w:szCs w:val="16"/>
          <w:color w:val="auto"/>
        </w:rPr>
        <w:t xml:space="preserve">, then such Lender shall (at the request of the Borrower) use reasonable efforts to designate a different lending office for funding or booking its Term Loan hereunder or to assign its rights and obligations hereunder to another of its offices, branches or affiliates, if, in the judgment of such Lender, such designation or assignment (i) would eliminate or reduce amounts payable pursuant to </w:t>
      </w:r>
      <w:r>
        <w:rPr>
          <w:rFonts w:ascii="Arial" w:cs="Arial" w:eastAsia="Arial" w:hAnsi="Arial"/>
          <w:sz w:val="16"/>
          <w:szCs w:val="16"/>
          <w:u w:val="single" w:color="auto"/>
          <w:color w:val="auto"/>
        </w:rPr>
        <w:t>Section 2.8</w:t>
      </w:r>
      <w:r>
        <w:rPr>
          <w:rFonts w:ascii="Arial" w:cs="Arial" w:eastAsia="Arial" w:hAnsi="Arial"/>
          <w:sz w:val="16"/>
          <w:szCs w:val="16"/>
          <w:color w:val="auto"/>
        </w:rPr>
        <w:t>, as the case may be, in the future, and (ii) would not subject such Lender to any unreimbursed cost or expense and would not otherwise be disadvantageous to such Lender. Borrower hereby agree to pay all reasonable costs and expenses incurred by any Lender in connection with any such designation or assignment.</w:t>
      </w:r>
    </w:p>
    <w:p>
      <w:pPr>
        <w:spacing w:after="0" w:line="380"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36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Presto Credit Agreement</w:t>
            </w:r>
          </w:p>
        </w:tc>
        <w:tc>
          <w:tcPr>
            <w:tcW w:w="7580" w:type="dxa"/>
            <w:vAlign w:val="bottom"/>
            <w:tcBorders>
              <w:bottom w:val="single" w:sz="8" w:color="auto"/>
            </w:tcBorders>
          </w:tcPr>
          <w:p>
            <w:pPr>
              <w:jc w:val="right"/>
              <w:ind w:right="5430"/>
              <w:spacing w:after="0"/>
              <w:rPr>
                <w:sz w:val="20"/>
                <w:szCs w:val="20"/>
                <w:color w:val="auto"/>
              </w:rPr>
            </w:pPr>
            <w:r>
              <w:rPr>
                <w:rFonts w:ascii="Arial" w:cs="Arial" w:eastAsia="Arial" w:hAnsi="Arial"/>
                <w:sz w:val="18"/>
                <w:szCs w:val="18"/>
                <w:color w:val="auto"/>
              </w:rPr>
              <w:t>27</w:t>
            </w:r>
          </w:p>
        </w:tc>
      </w:tr>
    </w:tbl>
    <w:p>
      <w:pPr>
        <w:sectPr>
          <w:pgSz w:w="11900" w:h="16838" w:orient="portrait"/>
          <w:cols w:equalWidth="0" w:num="1">
            <w:col w:w="11240"/>
          </w:cols>
          <w:pgMar w:left="320" w:top="904" w:right="339" w:bottom="1440" w:gutter="0" w:footer="0" w:header="0"/>
        </w:sectPr>
      </w:pPr>
    </w:p>
    <w:bookmarkStart w:id="114" w:name="page115"/>
    <w:bookmarkEnd w:id="114"/>
    <w:p>
      <w:pPr>
        <w:jc w:val="center"/>
        <w:spacing w:after="0"/>
        <w:rPr>
          <w:sz w:val="20"/>
          <w:szCs w:val="20"/>
          <w:color w:val="auto"/>
        </w:rPr>
      </w:pPr>
      <w:r>
        <w:rPr>
          <w:rFonts w:ascii="Arial" w:cs="Arial" w:eastAsia="Arial" w:hAnsi="Arial"/>
          <w:sz w:val="18"/>
          <w:szCs w:val="18"/>
          <w:color w:val="auto"/>
        </w:rPr>
        <w:t>SECTION 3</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REPRESENTATIONS AND WARRANTIES</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To induce Agent and Lenders to enter into this Agreement and to make the Term Loan, the Loan Parties hereby represent and warrant to Agent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Lenders on the Closing Date that:</w:t>
      </w:r>
    </w:p>
    <w:p>
      <w:pPr>
        <w:spacing w:after="0" w:line="207"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b w:val="1"/>
          <w:bCs w:val="1"/>
          <w:color w:val="auto"/>
        </w:rPr>
        <w:t>3.1 Financial Condition</w:t>
      </w:r>
      <w:r>
        <w:rPr>
          <w:rFonts w:ascii="Arial" w:cs="Arial" w:eastAsia="Arial" w:hAnsi="Arial"/>
          <w:sz w:val="18"/>
          <w:szCs w:val="18"/>
          <w:color w:val="auto"/>
        </w:rPr>
        <w:t>. None of the Loan Parties have any material Guarantee Obligations (other than pursuant to the Loan Documents),</w:t>
      </w:r>
      <w:r>
        <w:rPr>
          <w:rFonts w:ascii="Arial" w:cs="Arial" w:eastAsia="Arial" w:hAnsi="Arial"/>
          <w:sz w:val="18"/>
          <w:szCs w:val="18"/>
          <w:b w:val="1"/>
          <w:bCs w:val="1"/>
          <w:color w:val="auto"/>
        </w:rPr>
        <w:t xml:space="preserve"> </w:t>
      </w:r>
      <w:r>
        <w:rPr>
          <w:rFonts w:ascii="Arial" w:cs="Arial" w:eastAsia="Arial" w:hAnsi="Arial"/>
          <w:sz w:val="18"/>
          <w:szCs w:val="18"/>
          <w:color w:val="auto"/>
        </w:rPr>
        <w:t>contingent liabilities and liabilities for Taxes, or any long term leases or unusual forward or long term commitments, including any interest rate or foreign currency swap or exchange transaction or other obligation in respect of derivatives, required to be set forth on financial statements prepared in accordance with GAAP that are not reflected in the most recent financial statements.</w:t>
      </w:r>
    </w:p>
    <w:p>
      <w:pPr>
        <w:spacing w:after="0" w:line="180"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color w:val="auto"/>
        </w:rPr>
        <w:t>3.2 No Change</w:t>
      </w:r>
      <w:r>
        <w:rPr>
          <w:rFonts w:ascii="Arial" w:cs="Arial" w:eastAsia="Arial" w:hAnsi="Arial"/>
          <w:sz w:val="18"/>
          <w:szCs w:val="18"/>
          <w:color w:val="auto"/>
        </w:rPr>
        <w:t>. Since June 30, 2022, there has been no change in the financial condition, operations, assets, business or properties of Loan Parties</w:t>
      </w:r>
      <w:r>
        <w:rPr>
          <w:rFonts w:ascii="Arial" w:cs="Arial" w:eastAsia="Arial" w:hAnsi="Arial"/>
          <w:sz w:val="18"/>
          <w:szCs w:val="18"/>
          <w:b w:val="1"/>
          <w:bCs w:val="1"/>
          <w:color w:val="auto"/>
        </w:rPr>
        <w:t xml:space="preserve"> </w:t>
      </w:r>
      <w:r>
        <w:rPr>
          <w:rFonts w:ascii="Arial" w:cs="Arial" w:eastAsia="Arial" w:hAnsi="Arial"/>
          <w:sz w:val="18"/>
          <w:szCs w:val="18"/>
          <w:color w:val="auto"/>
        </w:rPr>
        <w:t>which could reasonably be expected to result in a Material Adverse Effect.</w:t>
      </w:r>
    </w:p>
    <w:p>
      <w:pPr>
        <w:spacing w:after="0" w:line="162"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8"/>
          <w:szCs w:val="18"/>
          <w:b w:val="1"/>
          <w:bCs w:val="1"/>
          <w:color w:val="auto"/>
        </w:rPr>
        <w:t>3.3 Existence; Compliance with Law</w:t>
      </w:r>
      <w:r>
        <w:rPr>
          <w:rFonts w:ascii="Arial" w:cs="Arial" w:eastAsia="Arial" w:hAnsi="Arial"/>
          <w:sz w:val="18"/>
          <w:szCs w:val="18"/>
          <w:color w:val="auto"/>
        </w:rPr>
        <w:t>. Each Loan Party (i) is duly organized, validly existing and in good standing under the Laws of the</w:t>
      </w:r>
      <w:r>
        <w:rPr>
          <w:rFonts w:ascii="Arial" w:cs="Arial" w:eastAsia="Arial" w:hAnsi="Arial"/>
          <w:sz w:val="18"/>
          <w:szCs w:val="18"/>
          <w:b w:val="1"/>
          <w:bCs w:val="1"/>
          <w:color w:val="auto"/>
        </w:rPr>
        <w:t xml:space="preserve"> </w:t>
      </w:r>
      <w:r>
        <w:rPr>
          <w:rFonts w:ascii="Arial" w:cs="Arial" w:eastAsia="Arial" w:hAnsi="Arial"/>
          <w:sz w:val="18"/>
          <w:szCs w:val="18"/>
          <w:color w:val="auto"/>
        </w:rPr>
        <w:t>jurisdiction of its organization, (ii) has the power and authority, and the legal right, to own and operate its property, to lease the property it operates as lessee and to conduct the business in which it is currently engaged, (iii) is duly qualified as a foreign corporation or other organization, as applicable, and in good standing under the Laws of each jurisdiction where the failure to be so qualified could reasonably be expected to have a Material Adverse Effect and (iv) is in material compliance with all Requirements of Law.</w:t>
      </w:r>
    </w:p>
    <w:p>
      <w:pPr>
        <w:spacing w:after="0" w:line="183"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b w:val="1"/>
          <w:bCs w:val="1"/>
          <w:color w:val="auto"/>
        </w:rPr>
        <w:t>3.4 Power, Authorization; Enforceable Obligations</w:t>
      </w:r>
      <w:r>
        <w:rPr>
          <w:rFonts w:ascii="Arial" w:cs="Arial" w:eastAsia="Arial" w:hAnsi="Arial"/>
          <w:sz w:val="17"/>
          <w:szCs w:val="17"/>
          <w:color w:val="auto"/>
        </w:rPr>
        <w:t>. Each Loan Party has the power and authority, and the legal right, to make, deliver and</w:t>
      </w:r>
      <w:r>
        <w:rPr>
          <w:rFonts w:ascii="Arial" w:cs="Arial" w:eastAsia="Arial" w:hAnsi="Arial"/>
          <w:sz w:val="17"/>
          <w:szCs w:val="17"/>
          <w:b w:val="1"/>
          <w:bCs w:val="1"/>
          <w:color w:val="auto"/>
        </w:rPr>
        <w:t xml:space="preserve"> </w:t>
      </w:r>
      <w:r>
        <w:rPr>
          <w:rFonts w:ascii="Arial" w:cs="Arial" w:eastAsia="Arial" w:hAnsi="Arial"/>
          <w:sz w:val="17"/>
          <w:szCs w:val="17"/>
          <w:color w:val="auto"/>
        </w:rPr>
        <w:t>perform the Loan Documents to which it is a party and, in the case of Borrower, to obtain extensions of credit hereunder. Each Loan Party has taken all necessary organizational action to authorize the execution, delivery and performance of the Loan Documents to which it is a party and, in the case of Borrower, to authorize the extensions of credit on the terms and conditions of this Agreement. No Governmental Approval or consent or authorization of, filing with, notice to or other act by or in respect of, any other Person is required in connection with the extensions of credit hereunder or with the execution, delivery, performance, validity or enforceability of this Agreement or any of the other Loan Documents, except (i) Governmental Approvals, consents, authorizations, filings and notices that have previously been obtained or made and are in full force and effect and (ii) the filings of UCC financing statements in accordance with the Security Agreement. Each Loan Document has been duly executed and delivered on behalf of each Loan Party thereto. This Agreement constitutes, and each other Loan Document upon execution will constitute, a legal, valid and binding obligation of each Loan Party thereto, enforceable against each such Loan Party in accordance with its terms, except as enforceability may be limited by applicable bankruptcy, insolvency, reorganization, moratorium or similar Laws affecting the enforcement of creditors’ rights generally and by general equitable principles (whether enforcement is sought by proceedings in equity or at Law).</w:t>
      </w:r>
    </w:p>
    <w:p>
      <w:pPr>
        <w:spacing w:after="0" w:line="179" w:lineRule="exact"/>
        <w:rPr>
          <w:sz w:val="20"/>
          <w:szCs w:val="20"/>
          <w:color w:val="auto"/>
        </w:rPr>
      </w:pPr>
    </w:p>
    <w:p>
      <w:pPr>
        <w:jc w:val="both"/>
        <w:ind w:firstLine="648"/>
        <w:spacing w:after="0" w:line="294" w:lineRule="auto"/>
        <w:rPr>
          <w:sz w:val="20"/>
          <w:szCs w:val="20"/>
          <w:color w:val="auto"/>
        </w:rPr>
      </w:pPr>
      <w:r>
        <w:rPr>
          <w:rFonts w:ascii="Arial" w:cs="Arial" w:eastAsia="Arial" w:hAnsi="Arial"/>
          <w:sz w:val="16"/>
          <w:szCs w:val="16"/>
          <w:b w:val="1"/>
          <w:bCs w:val="1"/>
          <w:color w:val="auto"/>
        </w:rPr>
        <w:t>3.5 No Legal Bar</w:t>
      </w:r>
      <w:r>
        <w:rPr>
          <w:rFonts w:ascii="Arial" w:cs="Arial" w:eastAsia="Arial" w:hAnsi="Arial"/>
          <w:sz w:val="16"/>
          <w:szCs w:val="16"/>
          <w:color w:val="auto"/>
        </w:rPr>
        <w:t>. The execution, delivery and performance of this Agreement and the other Loan Documents, the borrowings hereunder and the</w:t>
      </w:r>
      <w:r>
        <w:rPr>
          <w:rFonts w:ascii="Arial" w:cs="Arial" w:eastAsia="Arial" w:hAnsi="Arial"/>
          <w:sz w:val="16"/>
          <w:szCs w:val="16"/>
          <w:b w:val="1"/>
          <w:bCs w:val="1"/>
          <w:color w:val="auto"/>
        </w:rPr>
        <w:t xml:space="preserve"> </w:t>
      </w:r>
      <w:r>
        <w:rPr>
          <w:rFonts w:ascii="Arial" w:cs="Arial" w:eastAsia="Arial" w:hAnsi="Arial"/>
          <w:sz w:val="16"/>
          <w:szCs w:val="16"/>
          <w:color w:val="auto"/>
        </w:rPr>
        <w:t>use of the proceeds thereof will not violate any Requirement of Law or any Contractual Obligation of such Loan Party and will not result in, or require, the creation or imposition of any Lien on any of their respective properties or revenues pursuant to any Requirement of Law or any Contractual Obligation (other than the Liens created by the Security Documents). No Requirement of Law or Contractual Obligation applicable to a Loan Party could reasonably be expected to have a Material Adverse Effect. No Loan Party is subject to regulation under any Requirement of Law (other than Regulation X) that limits its ability to incur Indebtedness or which may otherwise render all or any portion of the Obligations unenforceable.</w:t>
      </w:r>
    </w:p>
    <w:p>
      <w:pPr>
        <w:spacing w:after="0" w:line="380"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36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Presto Credit Agreement</w:t>
            </w:r>
          </w:p>
        </w:tc>
        <w:tc>
          <w:tcPr>
            <w:tcW w:w="7580" w:type="dxa"/>
            <w:vAlign w:val="bottom"/>
            <w:tcBorders>
              <w:bottom w:val="single" w:sz="8" w:color="auto"/>
            </w:tcBorders>
          </w:tcPr>
          <w:p>
            <w:pPr>
              <w:jc w:val="right"/>
              <w:ind w:right="5430"/>
              <w:spacing w:after="0"/>
              <w:rPr>
                <w:sz w:val="20"/>
                <w:szCs w:val="20"/>
                <w:color w:val="auto"/>
              </w:rPr>
            </w:pPr>
            <w:r>
              <w:rPr>
                <w:rFonts w:ascii="Arial" w:cs="Arial" w:eastAsia="Arial" w:hAnsi="Arial"/>
                <w:sz w:val="18"/>
                <w:szCs w:val="18"/>
                <w:color w:val="auto"/>
              </w:rPr>
              <w:t>28</w:t>
            </w:r>
          </w:p>
        </w:tc>
      </w:tr>
    </w:tbl>
    <w:p>
      <w:pPr>
        <w:sectPr>
          <w:pgSz w:w="11900" w:h="16838" w:orient="portrait"/>
          <w:cols w:equalWidth="0" w:num="1">
            <w:col w:w="11240"/>
          </w:cols>
          <w:pgMar w:left="320" w:top="908" w:right="339" w:bottom="1440" w:gutter="0" w:footer="0" w:header="0"/>
        </w:sectPr>
      </w:pPr>
    </w:p>
    <w:bookmarkStart w:id="115" w:name="page116"/>
    <w:bookmarkEnd w:id="115"/>
    <w:p>
      <w:pPr>
        <w:jc w:val="both"/>
        <w:ind w:firstLine="648"/>
        <w:spacing w:after="0" w:line="281" w:lineRule="auto"/>
        <w:rPr>
          <w:sz w:val="20"/>
          <w:szCs w:val="20"/>
          <w:color w:val="auto"/>
        </w:rPr>
      </w:pPr>
      <w:r>
        <w:rPr>
          <w:rFonts w:ascii="Arial" w:cs="Arial" w:eastAsia="Arial" w:hAnsi="Arial"/>
          <w:sz w:val="17"/>
          <w:szCs w:val="17"/>
          <w:b w:val="1"/>
          <w:bCs w:val="1"/>
          <w:color w:val="auto"/>
        </w:rPr>
        <w:t>3.6 Litigation</w:t>
      </w:r>
      <w:r>
        <w:rPr>
          <w:rFonts w:ascii="Arial" w:cs="Arial" w:eastAsia="Arial" w:hAnsi="Arial"/>
          <w:sz w:val="17"/>
          <w:szCs w:val="17"/>
          <w:color w:val="auto"/>
        </w:rPr>
        <w:t>. No litigation, investigation or proceeding of or before any arbitrator or Governmental Authority is pending or, to the knowledge of</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such Loan Party after reasonable inquiry, threatened by or against any Loan Party or against any of its properties or revenues (a) with respect to any of the Loan Documents, the Collateral or any of the transactions contemplated hereby or thereby, or (b) that could reasonably be expected to have a Material Adverse Effect. As of the First Amendment Effective Date, all litigation to which any Loan Party is a party is set forth in </w:t>
      </w:r>
      <w:r>
        <w:rPr>
          <w:rFonts w:ascii="Arial" w:cs="Arial" w:eastAsia="Arial" w:hAnsi="Arial"/>
          <w:sz w:val="17"/>
          <w:szCs w:val="17"/>
          <w:u w:val="single" w:color="auto"/>
          <w:color w:val="auto"/>
        </w:rPr>
        <w:t>Schedule 3.6</w:t>
      </w:r>
      <w:r>
        <w:rPr>
          <w:rFonts w:ascii="Arial" w:cs="Arial" w:eastAsia="Arial" w:hAnsi="Arial"/>
          <w:sz w:val="17"/>
          <w:szCs w:val="17"/>
          <w:color w:val="auto"/>
        </w:rPr>
        <w:t>.</w:t>
      </w:r>
    </w:p>
    <w:p>
      <w:pPr>
        <w:spacing w:after="0" w:line="165"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b w:val="1"/>
          <w:bCs w:val="1"/>
          <w:color w:val="auto"/>
        </w:rPr>
        <w:t>3.7 No Default</w:t>
      </w:r>
      <w:r>
        <w:rPr>
          <w:rFonts w:ascii="Arial" w:cs="Arial" w:eastAsia="Arial" w:hAnsi="Arial"/>
          <w:sz w:val="18"/>
          <w:szCs w:val="18"/>
          <w:color w:val="auto"/>
        </w:rPr>
        <w:t>. No Loan Party is, or will be upon consummation of the transactions contemplated herein, in default under or with respect to any</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of its Contractual Obligations in any respect, including, without limitation, under any Material Contract. No Default or Event of Default has occurred and is continuing, nor shall either result from the making of a requested Term Loan. As of the First Amendment Effective Date, each of the Material Contracts of the Loan Parties are set forth on </w:t>
      </w:r>
      <w:r>
        <w:rPr>
          <w:rFonts w:ascii="Arial" w:cs="Arial" w:eastAsia="Arial" w:hAnsi="Arial"/>
          <w:sz w:val="18"/>
          <w:szCs w:val="18"/>
          <w:u w:val="single" w:color="auto"/>
          <w:color w:val="auto"/>
        </w:rPr>
        <w:t>Schedule 3.7</w:t>
      </w:r>
      <w:r>
        <w:rPr>
          <w:rFonts w:ascii="Arial" w:cs="Arial" w:eastAsia="Arial" w:hAnsi="Arial"/>
          <w:sz w:val="18"/>
          <w:szCs w:val="18"/>
          <w:color w:val="auto"/>
        </w:rPr>
        <w:t xml:space="preserve"> attached hereto.</w:t>
      </w:r>
    </w:p>
    <w:p>
      <w:pPr>
        <w:spacing w:after="0" w:line="180"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17"/>
          <w:szCs w:val="17"/>
          <w:b w:val="1"/>
          <w:bCs w:val="1"/>
          <w:color w:val="auto"/>
        </w:rPr>
        <w:t>3.8 Taxes</w:t>
      </w:r>
      <w:r>
        <w:rPr>
          <w:rFonts w:ascii="Arial" w:cs="Arial" w:eastAsia="Arial" w:hAnsi="Arial"/>
          <w:sz w:val="17"/>
          <w:szCs w:val="17"/>
          <w:color w:val="auto"/>
        </w:rPr>
        <w:t>. Each Loan Party and each of its Subsidiaries has filed or caused to be filed all federal, state and other material Tax returns and reports</w:t>
      </w:r>
      <w:r>
        <w:rPr>
          <w:rFonts w:ascii="Arial" w:cs="Arial" w:eastAsia="Arial" w:hAnsi="Arial"/>
          <w:sz w:val="17"/>
          <w:szCs w:val="17"/>
          <w:b w:val="1"/>
          <w:bCs w:val="1"/>
          <w:color w:val="auto"/>
        </w:rPr>
        <w:t xml:space="preserve"> </w:t>
      </w:r>
      <w:r>
        <w:rPr>
          <w:rFonts w:ascii="Arial" w:cs="Arial" w:eastAsia="Arial" w:hAnsi="Arial"/>
          <w:sz w:val="17"/>
          <w:szCs w:val="17"/>
          <w:color w:val="auto"/>
        </w:rPr>
        <w:t>that are required to be filed by it and has paid all federal, state and other material Taxes shown to be due and payable (other than Taxes that are currently being contested in good faith by appropriate proceedings which stay the enforcement of any Lien resulting from the non-payment thereof and with respect to which adequate reserves have been set aside for the payment thereof in conformity with GAAP). No Tax Lien has been filed (other than Permitted Liens) in respect of any Loan Party or any of their Subsidiaries. To the knowledge of each Loan Party after reasonable inquiry, no claim is currently being asserted against it or any of its Subsidiaries with respect to any Tax.</w:t>
      </w:r>
    </w:p>
    <w:p>
      <w:pPr>
        <w:spacing w:after="0" w:line="173"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b w:val="1"/>
          <w:bCs w:val="1"/>
          <w:color w:val="auto"/>
        </w:rPr>
        <w:t>3.9 Margin Stock</w:t>
      </w:r>
      <w:r>
        <w:rPr>
          <w:rFonts w:ascii="Arial" w:cs="Arial" w:eastAsia="Arial" w:hAnsi="Arial"/>
          <w:sz w:val="18"/>
          <w:szCs w:val="18"/>
          <w:color w:val="auto"/>
        </w:rPr>
        <w:t>. No Loan Party is engaged and will not engage, principally or as one of its important activities, in the business of purchasing or</w:t>
      </w:r>
      <w:r>
        <w:rPr>
          <w:rFonts w:ascii="Arial" w:cs="Arial" w:eastAsia="Arial" w:hAnsi="Arial"/>
          <w:sz w:val="18"/>
          <w:szCs w:val="18"/>
          <w:b w:val="1"/>
          <w:bCs w:val="1"/>
          <w:color w:val="auto"/>
        </w:rPr>
        <w:t xml:space="preserve"> </w:t>
      </w:r>
      <w:r>
        <w:rPr>
          <w:rFonts w:ascii="Arial" w:cs="Arial" w:eastAsia="Arial" w:hAnsi="Arial"/>
          <w:sz w:val="18"/>
          <w:szCs w:val="18"/>
          <w:color w:val="auto"/>
        </w:rPr>
        <w:t>carrying Margin Stock, or extending credit for the purpose of purchasing or carrying Margin Stock, and no part of the proceeds of any Term Loan, and no other extensions of credit hereunder, will be used for “buying” or “carrying” any Margin Stock for any purpose that violates the provisions of the Regulations T, U, X or any other regulations of the Board.</w:t>
      </w:r>
    </w:p>
    <w:p>
      <w:pPr>
        <w:spacing w:after="0" w:line="180"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b w:val="1"/>
          <w:bCs w:val="1"/>
          <w:color w:val="auto"/>
        </w:rPr>
        <w:t>3.10 ERISA</w:t>
      </w:r>
      <w:r>
        <w:rPr>
          <w:rFonts w:ascii="Arial" w:cs="Arial" w:eastAsia="Arial" w:hAnsi="Arial"/>
          <w:sz w:val="17"/>
          <w:szCs w:val="17"/>
          <w:color w:val="auto"/>
        </w:rPr>
        <w:t>. None of Borrower, nor any other Loan Party, nor any of their respective ERISA Affiliates has established or maintains or contributes</w:t>
      </w:r>
      <w:r>
        <w:rPr>
          <w:rFonts w:ascii="Arial" w:cs="Arial" w:eastAsia="Arial" w:hAnsi="Arial"/>
          <w:sz w:val="17"/>
          <w:szCs w:val="17"/>
          <w:b w:val="1"/>
          <w:bCs w:val="1"/>
          <w:color w:val="auto"/>
        </w:rPr>
        <w:t xml:space="preserve"> </w:t>
      </w:r>
      <w:r>
        <w:rPr>
          <w:rFonts w:ascii="Arial" w:cs="Arial" w:eastAsia="Arial" w:hAnsi="Arial"/>
          <w:sz w:val="17"/>
          <w:szCs w:val="17"/>
          <w:color w:val="auto"/>
        </w:rPr>
        <w:t>(or has an obligation to contribute) to, or otherwise has any liability, contingent or otherwise with respect to (a) any “employee benefit plan” (within the meaning of Section 3(3) of ERISA, whether or not subject to ERISA) that is covered by Title IV of ERISA or Section 412 of the Code or (b) any “employee benefit plan” providing for post-employment medical or other welfare benefits, except as required by applicable Requirements of Law and at the sole expense of the plan participants. Each “employee benefit plan” that is or has been sponsored, contributed to or required to be contributed to by the Borrower, Parent or their respective ERISA Affiliates has been maintained in compliance with its terms, ERISA, the Code and all other applicable Requirements of Law in all material respects. None of the Loan Parties nor any of their Affiliates is a Plan and none of the assets of the Loan Parties not any of their Affiliates constitutes “plan assets” (within the meaning of 29 CFR § 2510.3-101, as modified by Section 3(42) of ERISA). The entering into this Agreement, the transactions contemplated hereby, the performance by the Loan Parties of its obligations hereunder or under any other Loan Document, do not and will not violate any provisions of ERISA.</w:t>
      </w:r>
    </w:p>
    <w:p>
      <w:pPr>
        <w:spacing w:after="0" w:line="177"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b w:val="1"/>
          <w:bCs w:val="1"/>
          <w:color w:val="auto"/>
        </w:rPr>
        <w:t>3.11 Investment Company Act</w:t>
      </w:r>
      <w:r>
        <w:rPr>
          <w:rFonts w:ascii="Arial" w:cs="Arial" w:eastAsia="Arial" w:hAnsi="Arial"/>
          <w:sz w:val="18"/>
          <w:szCs w:val="18"/>
          <w:color w:val="auto"/>
        </w:rPr>
        <w:t>. No Loan Party nor any of its Subsidiaries is an “investment company,” or a company “controlled” by an</w:t>
      </w:r>
      <w:r>
        <w:rPr>
          <w:rFonts w:ascii="Arial" w:cs="Arial" w:eastAsia="Arial" w:hAnsi="Arial"/>
          <w:sz w:val="18"/>
          <w:szCs w:val="18"/>
          <w:b w:val="1"/>
          <w:bCs w:val="1"/>
          <w:color w:val="auto"/>
        </w:rPr>
        <w:t xml:space="preserve"> </w:t>
      </w:r>
      <w:r>
        <w:rPr>
          <w:rFonts w:ascii="Arial" w:cs="Arial" w:eastAsia="Arial" w:hAnsi="Arial"/>
          <w:sz w:val="18"/>
          <w:szCs w:val="18"/>
          <w:color w:val="auto"/>
        </w:rPr>
        <w:t>“investment company,” within the meaning of the Investment Company Act of 1940, as amended. No Loan Party is subject to regulation under the Federal Power Act or under any other federal or state statute or regulation which may limit its ability to incur Indebtedness or which may otherwise render all or any portion of the Obligations unenforceable.</w:t>
      </w:r>
    </w:p>
    <w:p>
      <w:pPr>
        <w:spacing w:after="0" w:line="400"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36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Presto Credit Agreement</w:t>
            </w:r>
          </w:p>
        </w:tc>
        <w:tc>
          <w:tcPr>
            <w:tcW w:w="7580" w:type="dxa"/>
            <w:vAlign w:val="bottom"/>
            <w:tcBorders>
              <w:bottom w:val="single" w:sz="8" w:color="auto"/>
            </w:tcBorders>
          </w:tcPr>
          <w:p>
            <w:pPr>
              <w:jc w:val="right"/>
              <w:ind w:right="5430"/>
              <w:spacing w:after="0"/>
              <w:rPr>
                <w:sz w:val="20"/>
                <w:szCs w:val="20"/>
                <w:color w:val="auto"/>
              </w:rPr>
            </w:pPr>
            <w:r>
              <w:rPr>
                <w:rFonts w:ascii="Arial" w:cs="Arial" w:eastAsia="Arial" w:hAnsi="Arial"/>
                <w:sz w:val="18"/>
                <w:szCs w:val="18"/>
                <w:color w:val="auto"/>
              </w:rPr>
              <w:t>29</w:t>
            </w:r>
          </w:p>
        </w:tc>
      </w:tr>
    </w:tbl>
    <w:p>
      <w:pPr>
        <w:sectPr>
          <w:pgSz w:w="11900" w:h="16838" w:orient="portrait"/>
          <w:cols w:equalWidth="0" w:num="1">
            <w:col w:w="11240"/>
          </w:cols>
          <w:pgMar w:left="320" w:top="904" w:right="339" w:bottom="1440" w:gutter="0" w:footer="0" w:header="0"/>
        </w:sectPr>
      </w:pPr>
    </w:p>
    <w:bookmarkStart w:id="116" w:name="page117"/>
    <w:bookmarkEnd w:id="116"/>
    <w:p>
      <w:pPr>
        <w:jc w:val="both"/>
        <w:ind w:firstLine="648"/>
        <w:spacing w:after="0" w:line="266" w:lineRule="auto"/>
        <w:rPr>
          <w:sz w:val="20"/>
          <w:szCs w:val="20"/>
          <w:color w:val="auto"/>
        </w:rPr>
      </w:pPr>
      <w:r>
        <w:rPr>
          <w:rFonts w:ascii="Arial" w:cs="Arial" w:eastAsia="Arial" w:hAnsi="Arial"/>
          <w:sz w:val="18"/>
          <w:szCs w:val="18"/>
          <w:b w:val="1"/>
          <w:bCs w:val="1"/>
          <w:color w:val="auto"/>
        </w:rPr>
        <w:t>3.12 Use of Proceeds</w:t>
      </w:r>
      <w:r>
        <w:rPr>
          <w:rFonts w:ascii="Arial" w:cs="Arial" w:eastAsia="Arial" w:hAnsi="Arial"/>
          <w:sz w:val="18"/>
          <w:szCs w:val="18"/>
          <w:color w:val="auto"/>
        </w:rPr>
        <w:t>. The proceeds of each Term Loan shall be used by Borrower solely (i) refinance the Prior Debt, (ii) to pay fees, costs and</w:t>
      </w:r>
      <w:r>
        <w:rPr>
          <w:rFonts w:ascii="Arial" w:cs="Arial" w:eastAsia="Arial" w:hAnsi="Arial"/>
          <w:sz w:val="18"/>
          <w:szCs w:val="18"/>
          <w:b w:val="1"/>
          <w:bCs w:val="1"/>
          <w:color w:val="auto"/>
        </w:rPr>
        <w:t xml:space="preserve"> </w:t>
      </w:r>
      <w:r>
        <w:rPr>
          <w:rFonts w:ascii="Arial" w:cs="Arial" w:eastAsia="Arial" w:hAnsi="Arial"/>
          <w:sz w:val="18"/>
          <w:szCs w:val="18"/>
          <w:color w:val="auto"/>
        </w:rPr>
        <w:t>expenses incurred by Agent, Lenders and the Loan Parties in connection with the transactions contemplated hereby or in connection herewith, and (iii) otherwise for working capital and general corporate purposes.</w:t>
      </w:r>
    </w:p>
    <w:p>
      <w:pPr>
        <w:spacing w:after="0" w:line="176"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b w:val="1"/>
          <w:bCs w:val="1"/>
          <w:color w:val="auto"/>
        </w:rPr>
        <w:t>3.13 Environmental Matters</w:t>
      </w:r>
      <w:r>
        <w:rPr>
          <w:rFonts w:ascii="Arial" w:cs="Arial" w:eastAsia="Arial" w:hAnsi="Arial"/>
          <w:sz w:val="18"/>
          <w:szCs w:val="18"/>
          <w:color w:val="auto"/>
        </w:rPr>
        <w:t>. None of the Loan Parties’ properties or assets has been used by a Loan Party or, to the best of such Loan Party’s</w:t>
      </w:r>
      <w:r>
        <w:rPr>
          <w:rFonts w:ascii="Arial" w:cs="Arial" w:eastAsia="Arial" w:hAnsi="Arial"/>
          <w:sz w:val="18"/>
          <w:szCs w:val="18"/>
          <w:b w:val="1"/>
          <w:bCs w:val="1"/>
          <w:color w:val="auto"/>
        </w:rPr>
        <w:t xml:space="preserve"> </w:t>
      </w:r>
      <w:r>
        <w:rPr>
          <w:rFonts w:ascii="Arial" w:cs="Arial" w:eastAsia="Arial" w:hAnsi="Arial"/>
          <w:sz w:val="18"/>
          <w:szCs w:val="18"/>
          <w:color w:val="auto"/>
        </w:rPr>
        <w:t>knowledge after reasonable inquiry, by previous Persons, in disposing, producing, storing, treating, or transporting any hazardous substance other than in compliance with any applicable Environmental Law.</w:t>
      </w:r>
    </w:p>
    <w:p>
      <w:pPr>
        <w:spacing w:after="0" w:line="176"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b w:val="1"/>
          <w:bCs w:val="1"/>
          <w:color w:val="auto"/>
        </w:rPr>
        <w:t xml:space="preserve">3.14 Accuracy of Information, etc. </w:t>
      </w:r>
      <w:r>
        <w:rPr>
          <w:rFonts w:ascii="Arial" w:cs="Arial" w:eastAsia="Arial" w:hAnsi="Arial"/>
          <w:sz w:val="16"/>
          <w:szCs w:val="16"/>
          <w:color w:val="auto"/>
        </w:rPr>
        <w:t>No statement or information contained in this Agreement, any other Loan Document or any other document,</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certificate or statement furnished by or on behalf of any Loan Party to Agent or any Lender for use in connection with the transactions contemplated by this Agreement or the other Loan Documents, contained as of the date such statement, information, document or certificate was so furnished, any untrue statement of a material fact or omitted to state a material fact necessary to make the statements contained herein or therein not misleading; it being understood that any projections and </w:t>
      </w:r>
      <w:r>
        <w:rPr>
          <w:rFonts w:ascii="Arial" w:cs="Arial" w:eastAsia="Arial" w:hAnsi="Arial"/>
          <w:sz w:val="16"/>
          <w:szCs w:val="16"/>
          <w:i w:val="1"/>
          <w:iCs w:val="1"/>
          <w:color w:val="auto"/>
        </w:rPr>
        <w:t>pro forma</w:t>
      </w:r>
      <w:r>
        <w:rPr>
          <w:rFonts w:ascii="Arial" w:cs="Arial" w:eastAsia="Arial" w:hAnsi="Arial"/>
          <w:sz w:val="16"/>
          <w:szCs w:val="16"/>
          <w:color w:val="auto"/>
        </w:rPr>
        <w:t xml:space="preserve"> financial information provided is based upon good faith estimates and assumptions believed by management of the Loan Parties to be reasonable at the time made, it being recognized by the Agent and the Lenders that such financial information as it relates to future events is not to be viewed as fact and that actual results during the period or periods covered by such financial information may differ from the projected results set forth therein by a material amount. There is no fact known to any Loan Party that could reasonably be expected to have a Material Adverse Effect that has not been expressly disclosed herein, in the other Loan Documents or in any other documents, certificates and statements furnished to Agent and Lenders for use in connection with the transactions contemplated hereby and by the other Loan Documents.</w:t>
      </w:r>
    </w:p>
    <w:p>
      <w:pPr>
        <w:spacing w:after="0" w:line="161"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7"/>
          <w:szCs w:val="17"/>
          <w:b w:val="1"/>
          <w:bCs w:val="1"/>
          <w:color w:val="auto"/>
        </w:rPr>
        <w:t>3.15 Security Documents</w:t>
      </w:r>
      <w:r>
        <w:rPr>
          <w:rFonts w:ascii="Arial" w:cs="Arial" w:eastAsia="Arial" w:hAnsi="Arial"/>
          <w:sz w:val="17"/>
          <w:szCs w:val="17"/>
          <w:color w:val="auto"/>
        </w:rPr>
        <w:t>. The Security Documents are effective to create in favor of the Agent, for the benefit of itself and the Lenders, a legal,</w:t>
      </w:r>
      <w:r>
        <w:rPr>
          <w:rFonts w:ascii="Arial" w:cs="Arial" w:eastAsia="Arial" w:hAnsi="Arial"/>
          <w:sz w:val="17"/>
          <w:szCs w:val="17"/>
          <w:b w:val="1"/>
          <w:bCs w:val="1"/>
          <w:color w:val="auto"/>
        </w:rPr>
        <w:t xml:space="preserve"> </w:t>
      </w:r>
      <w:r>
        <w:rPr>
          <w:rFonts w:ascii="Arial" w:cs="Arial" w:eastAsia="Arial" w:hAnsi="Arial"/>
          <w:sz w:val="17"/>
          <w:szCs w:val="17"/>
          <w:color w:val="auto"/>
        </w:rPr>
        <w:t>valid and enforceable first-priority security interest (subject to Permitted Liens) in the Collateral described therein and proceeds thereof.</w:t>
      </w:r>
    </w:p>
    <w:p>
      <w:pPr>
        <w:spacing w:after="0" w:line="140"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color w:val="auto"/>
        </w:rPr>
        <w:t>3.16 Solvency</w:t>
      </w:r>
      <w:r>
        <w:rPr>
          <w:rFonts w:ascii="Arial" w:cs="Arial" w:eastAsia="Arial" w:hAnsi="Arial"/>
          <w:sz w:val="18"/>
          <w:szCs w:val="18"/>
          <w:color w:val="auto"/>
        </w:rPr>
        <w:t>. The Loan Parties taken as a whole are, and after giving effect to the incurrence of all Indebtedness and obligations being incurred</w:t>
      </w:r>
      <w:r>
        <w:rPr>
          <w:rFonts w:ascii="Arial" w:cs="Arial" w:eastAsia="Arial" w:hAnsi="Arial"/>
          <w:sz w:val="18"/>
          <w:szCs w:val="18"/>
          <w:b w:val="1"/>
          <w:bCs w:val="1"/>
          <w:color w:val="auto"/>
        </w:rPr>
        <w:t xml:space="preserve"> </w:t>
      </w:r>
      <w:r>
        <w:rPr>
          <w:rFonts w:ascii="Arial" w:cs="Arial" w:eastAsia="Arial" w:hAnsi="Arial"/>
          <w:sz w:val="18"/>
          <w:szCs w:val="18"/>
          <w:color w:val="auto"/>
        </w:rPr>
        <w:t>in connection herewith, will be, Solvent.</w:t>
      </w:r>
    </w:p>
    <w:p>
      <w:pPr>
        <w:spacing w:after="0" w:line="162"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b w:val="1"/>
          <w:bCs w:val="1"/>
          <w:color w:val="auto"/>
        </w:rPr>
        <w:t>3.17 Insurance</w:t>
      </w:r>
      <w:r>
        <w:rPr>
          <w:rFonts w:ascii="Arial" w:cs="Arial" w:eastAsia="Arial" w:hAnsi="Arial"/>
          <w:sz w:val="18"/>
          <w:szCs w:val="18"/>
          <w:color w:val="auto"/>
        </w:rPr>
        <w:t>. All insurance maintained by the Loan Parties is in full force and effect, all premiums have been duly paid, no Loan Party has</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received notice of violation or cancellation thereof, and there exists no default under any requirement of such insurance. Each Loan Party maintains insurance with financially sound and reputable insurance companies, on all its property and against at least such risks and, in any case, in at least such amounts as reasonably required by the Agent and as otherwise may be required pursuant to </w:t>
      </w:r>
      <w:r>
        <w:rPr>
          <w:rFonts w:ascii="Arial" w:cs="Arial" w:eastAsia="Arial" w:hAnsi="Arial"/>
          <w:sz w:val="18"/>
          <w:szCs w:val="18"/>
          <w:u w:val="single" w:color="auto"/>
          <w:color w:val="auto"/>
        </w:rPr>
        <w:t>Section 5.5</w:t>
      </w:r>
      <w:r>
        <w:rPr>
          <w:rFonts w:ascii="Arial" w:cs="Arial" w:eastAsia="Arial" w:hAnsi="Arial"/>
          <w:sz w:val="18"/>
          <w:szCs w:val="18"/>
          <w:color w:val="auto"/>
        </w:rPr>
        <w:t>.</w:t>
      </w:r>
    </w:p>
    <w:p>
      <w:pPr>
        <w:spacing w:after="0" w:line="180"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b w:val="1"/>
          <w:bCs w:val="1"/>
          <w:color w:val="auto"/>
        </w:rPr>
        <w:t>3.18 Title</w:t>
      </w:r>
      <w:r>
        <w:rPr>
          <w:rFonts w:ascii="Arial" w:cs="Arial" w:eastAsia="Arial" w:hAnsi="Arial"/>
          <w:sz w:val="18"/>
          <w:szCs w:val="18"/>
          <w:color w:val="auto"/>
        </w:rPr>
        <w:t>. Each Loan Party is the lawful owner of, and has good title to, all of the Collateral pledged hereunder or any other Loan Document, in</w:t>
      </w:r>
      <w:r>
        <w:rPr>
          <w:rFonts w:ascii="Arial" w:cs="Arial" w:eastAsia="Arial" w:hAnsi="Arial"/>
          <w:sz w:val="18"/>
          <w:szCs w:val="18"/>
          <w:b w:val="1"/>
          <w:bCs w:val="1"/>
          <w:color w:val="auto"/>
        </w:rPr>
        <w:t xml:space="preserve"> </w:t>
      </w:r>
      <w:r>
        <w:rPr>
          <w:rFonts w:ascii="Arial" w:cs="Arial" w:eastAsia="Arial" w:hAnsi="Arial"/>
          <w:sz w:val="18"/>
          <w:szCs w:val="18"/>
          <w:color w:val="auto"/>
        </w:rPr>
        <w:t>each case, free and clear of any Liens (other than the Lien of the Agent and any Permitted Liens). The Collateral represents all assets that are necessary for the conduct of Loan Parties’ business as currently conducted.</w:t>
      </w:r>
    </w:p>
    <w:p>
      <w:pPr>
        <w:spacing w:after="0" w:line="176"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b w:val="1"/>
          <w:bCs w:val="1"/>
          <w:color w:val="auto"/>
        </w:rPr>
        <w:t>3.19 Subsidiaries</w:t>
      </w:r>
      <w:r>
        <w:rPr>
          <w:rFonts w:ascii="Arial" w:cs="Arial" w:eastAsia="Arial" w:hAnsi="Arial"/>
          <w:sz w:val="18"/>
          <w:szCs w:val="18"/>
          <w:color w:val="auto"/>
        </w:rPr>
        <w:t>. As of the First Amendment Effective Date, each Subsidiary of a Loan Party is set forth on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Schedule 3.19</w:t>
      </w:r>
      <w:r>
        <w:rPr>
          <w:rFonts w:ascii="Arial" w:cs="Arial" w:eastAsia="Arial" w:hAnsi="Arial"/>
          <w:sz w:val="18"/>
          <w:szCs w:val="18"/>
          <w:b w:val="1"/>
          <w:bCs w:val="1"/>
          <w:color w:val="auto"/>
        </w:rPr>
        <w:t xml:space="preserve"> </w:t>
      </w:r>
      <w:r>
        <w:rPr>
          <w:rFonts w:ascii="Arial" w:cs="Arial" w:eastAsia="Arial" w:hAnsi="Arial"/>
          <w:sz w:val="18"/>
          <w:szCs w:val="18"/>
          <w:color w:val="auto"/>
        </w:rPr>
        <w:t>hereof. As of any date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following the Closing Date, the Loan Parties have no Subsidiaries other than those set forth on </w:t>
      </w:r>
      <w:r>
        <w:rPr>
          <w:rFonts w:ascii="Arial" w:cs="Arial" w:eastAsia="Arial" w:hAnsi="Arial"/>
          <w:sz w:val="18"/>
          <w:szCs w:val="18"/>
          <w:u w:val="single" w:color="auto"/>
          <w:color w:val="auto"/>
        </w:rPr>
        <w:t>Schedule 3.19</w:t>
      </w:r>
      <w:r>
        <w:rPr>
          <w:rFonts w:ascii="Arial" w:cs="Arial" w:eastAsia="Arial" w:hAnsi="Arial"/>
          <w:sz w:val="18"/>
          <w:szCs w:val="18"/>
          <w:color w:val="auto"/>
        </w:rPr>
        <w:t xml:space="preserve"> hereof and those permitted pursuant to </w:t>
      </w:r>
      <w:r>
        <w:rPr>
          <w:rFonts w:ascii="Arial" w:cs="Arial" w:eastAsia="Arial" w:hAnsi="Arial"/>
          <w:sz w:val="18"/>
          <w:szCs w:val="18"/>
          <w:u w:val="single" w:color="auto"/>
          <w:color w:val="auto"/>
        </w:rPr>
        <w:t>Section 6.11</w:t>
      </w:r>
      <w:r>
        <w:rPr>
          <w:rFonts w:ascii="Arial" w:cs="Arial" w:eastAsia="Arial" w:hAnsi="Arial"/>
          <w:sz w:val="18"/>
          <w:szCs w:val="18"/>
          <w:color w:val="auto"/>
        </w:rPr>
        <w:t xml:space="preserve"> hereof.</w:t>
      </w:r>
    </w:p>
    <w:p>
      <w:pPr>
        <w:spacing w:after="0" w:line="396"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36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Presto Credit Agreement</w:t>
            </w:r>
          </w:p>
        </w:tc>
        <w:tc>
          <w:tcPr>
            <w:tcW w:w="7580" w:type="dxa"/>
            <w:vAlign w:val="bottom"/>
            <w:tcBorders>
              <w:bottom w:val="single" w:sz="8" w:color="auto"/>
            </w:tcBorders>
          </w:tcPr>
          <w:p>
            <w:pPr>
              <w:jc w:val="right"/>
              <w:ind w:right="5430"/>
              <w:spacing w:after="0"/>
              <w:rPr>
                <w:sz w:val="20"/>
                <w:szCs w:val="20"/>
                <w:color w:val="auto"/>
              </w:rPr>
            </w:pPr>
            <w:r>
              <w:rPr>
                <w:rFonts w:ascii="Arial" w:cs="Arial" w:eastAsia="Arial" w:hAnsi="Arial"/>
                <w:sz w:val="18"/>
                <w:szCs w:val="18"/>
                <w:color w:val="auto"/>
              </w:rPr>
              <w:t>30</w:t>
            </w:r>
          </w:p>
        </w:tc>
      </w:tr>
    </w:tbl>
    <w:p>
      <w:pPr>
        <w:sectPr>
          <w:pgSz w:w="11900" w:h="16838" w:orient="portrait"/>
          <w:cols w:equalWidth="0" w:num="1">
            <w:col w:w="11240"/>
          </w:cols>
          <w:pgMar w:left="320" w:top="904" w:right="339" w:bottom="1440" w:gutter="0" w:footer="0" w:header="0"/>
        </w:sectPr>
      </w:pPr>
    </w:p>
    <w:bookmarkStart w:id="117" w:name="page118"/>
    <w:bookmarkEnd w:id="117"/>
    <w:p>
      <w:pPr>
        <w:jc w:val="both"/>
        <w:ind w:firstLine="648"/>
        <w:spacing w:after="0" w:line="254" w:lineRule="auto"/>
        <w:rPr>
          <w:sz w:val="20"/>
          <w:szCs w:val="20"/>
          <w:color w:val="auto"/>
        </w:rPr>
      </w:pPr>
      <w:r>
        <w:rPr>
          <w:rFonts w:ascii="Arial" w:cs="Arial" w:eastAsia="Arial" w:hAnsi="Arial"/>
          <w:sz w:val="18"/>
          <w:szCs w:val="18"/>
          <w:b w:val="1"/>
          <w:bCs w:val="1"/>
          <w:color w:val="auto"/>
        </w:rPr>
        <w:t>3.20 Employees</w:t>
      </w:r>
      <w:r>
        <w:rPr>
          <w:rFonts w:ascii="Arial" w:cs="Arial" w:eastAsia="Arial" w:hAnsi="Arial"/>
          <w:sz w:val="18"/>
          <w:szCs w:val="18"/>
          <w:color w:val="auto"/>
        </w:rPr>
        <w:t>. No Loan Party is party to or bound by any collective bargaining agreement or similar labor agreement and there is, and during</w:t>
      </w:r>
      <w:r>
        <w:rPr>
          <w:rFonts w:ascii="Arial" w:cs="Arial" w:eastAsia="Arial" w:hAnsi="Arial"/>
          <w:sz w:val="18"/>
          <w:szCs w:val="18"/>
          <w:b w:val="1"/>
          <w:bCs w:val="1"/>
          <w:color w:val="auto"/>
        </w:rPr>
        <w:t xml:space="preserve"> </w:t>
      </w:r>
      <w:r>
        <w:rPr>
          <w:rFonts w:ascii="Arial" w:cs="Arial" w:eastAsia="Arial" w:hAnsi="Arial"/>
          <w:sz w:val="18"/>
          <w:szCs w:val="18"/>
          <w:color w:val="auto"/>
        </w:rPr>
        <w:t>the five (5) year period immediately preceding the First Amendment Effective Date, has been, no labor organizing activity involving employees of any Loan Party. There are no strikes, lockouts, work stoppages, slowdowns or other labor disputes against any Loan Party pending or, to the Knowledge of any Loan Party, threatened and the Loan Parties have complied in all material respects with the Fair Labor Standards Act of 1938, as amended, and all other applicable federal, state, local or foreign labor and employment Laws. None of the Loan Parties has incurred any material liability or obligation under the Worker Adjustment and Retraining Notification Act or similar state law that remains unpaid or unsatisfied. All material payments due from any of the Loan Parties on account of wages and employee health and welfare insurance and other benefits have been paid or accrued as a liability on the books of the Loan Parties.</w:t>
      </w:r>
    </w:p>
    <w:p>
      <w:pPr>
        <w:spacing w:after="0" w:line="192"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b w:val="1"/>
          <w:bCs w:val="1"/>
          <w:color w:val="auto"/>
        </w:rPr>
        <w:t>3.21 Collateral</w:t>
      </w:r>
      <w:r>
        <w:rPr>
          <w:rFonts w:ascii="Arial" w:cs="Arial" w:eastAsia="Arial" w:hAnsi="Arial"/>
          <w:sz w:val="17"/>
          <w:szCs w:val="17"/>
          <w:color w:val="auto"/>
        </w:rPr>
        <w:t>. All statements made and all information appearing in all invoices, instruments and other documents evidencing the account</w:t>
      </w:r>
      <w:r>
        <w:rPr>
          <w:rFonts w:ascii="Arial" w:cs="Arial" w:eastAsia="Arial" w:hAnsi="Arial"/>
          <w:sz w:val="17"/>
          <w:szCs w:val="17"/>
          <w:b w:val="1"/>
          <w:bCs w:val="1"/>
          <w:color w:val="auto"/>
        </w:rPr>
        <w:t xml:space="preserve"> </w:t>
      </w:r>
      <w:r>
        <w:rPr>
          <w:rFonts w:ascii="Arial" w:cs="Arial" w:eastAsia="Arial" w:hAnsi="Arial"/>
          <w:sz w:val="17"/>
          <w:szCs w:val="17"/>
          <w:color w:val="auto"/>
        </w:rPr>
        <w:t>receivables of any Loan Party, and the operations of such Loan Party with respect to such account receivables are and shall be true and correct in all material respects and all such invoices, instruments and other documents, and all of such Loan Party’s books and records are genuine and in all respects what they purport to be. All account receivables of the Loan Parties and all operations of the Loan Parties with respect to such account receivables comply in all material respects with all applicable Requirements of Law. To such Loan Party’s knowledge after reasonable inquiry, all signatures and endorsements on all documents, instruments, and agreements relating to the account receivables of such Loan Party are genuine, and all such documents, instruments and agreements are legally enforceable in accordance with their terms. Each account receivables of a Loan Party is, and will remain at all times, free and clear of Liens other than the Lien of Agent and Permitted Liens. The Loan Parties have not, and will not, transfer or assign any partial interest in any account receivables other than in the ordinary course of business.</w:t>
      </w:r>
    </w:p>
    <w:p>
      <w:pPr>
        <w:spacing w:after="0" w:line="174"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b w:val="1"/>
          <w:bCs w:val="1"/>
          <w:color w:val="auto"/>
        </w:rPr>
        <w:t>3.22 Intellectual Property</w:t>
      </w:r>
      <w:r>
        <w:rPr>
          <w:rFonts w:ascii="Arial" w:cs="Arial" w:eastAsia="Arial" w:hAnsi="Arial"/>
          <w:sz w:val="18"/>
          <w:szCs w:val="18"/>
          <w:color w:val="auto"/>
        </w:rPr>
        <w:t>. The Borrower owns, or is licensed to use, all Intellectual Property necessary for the conduct of its business as</w:t>
      </w:r>
      <w:r>
        <w:rPr>
          <w:rFonts w:ascii="Arial" w:cs="Arial" w:eastAsia="Arial" w:hAnsi="Arial"/>
          <w:sz w:val="18"/>
          <w:szCs w:val="18"/>
          <w:b w:val="1"/>
          <w:bCs w:val="1"/>
          <w:color w:val="auto"/>
        </w:rPr>
        <w:t xml:space="preserve"> </w:t>
      </w:r>
      <w:r>
        <w:rPr>
          <w:rFonts w:ascii="Arial" w:cs="Arial" w:eastAsia="Arial" w:hAnsi="Arial"/>
          <w:sz w:val="18"/>
          <w:szCs w:val="18"/>
          <w:color w:val="auto"/>
        </w:rPr>
        <w:t>currently conducted. No claim has been asserted and is pending by any Person challenging or questioning the use of any Intellectual Property or the validity or effectiveness of any Intellectual Property, in each case so as to result in a Material Adverse Effect. The use of Intellectual Property by each Loan Party does not infringe on the rights of any Person in any material respect.</w:t>
      </w:r>
    </w:p>
    <w:p>
      <w:pPr>
        <w:spacing w:after="0" w:line="180"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b w:val="1"/>
          <w:bCs w:val="1"/>
          <w:color w:val="auto"/>
        </w:rPr>
        <w:t>3.23 Capitalization</w:t>
      </w:r>
      <w:r>
        <w:rPr>
          <w:rFonts w:ascii="Arial" w:cs="Arial" w:eastAsia="Arial" w:hAnsi="Arial"/>
          <w:sz w:val="17"/>
          <w:szCs w:val="17"/>
          <w:color w:val="auto"/>
        </w:rPr>
        <w:t>. The Equity Interests of each Loan Party has been duly authorized and validly issued and are fully paid and non-assessable.</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Except as set forth on </w:t>
      </w:r>
      <w:r>
        <w:rPr>
          <w:rFonts w:ascii="Arial" w:cs="Arial" w:eastAsia="Arial" w:hAnsi="Arial"/>
          <w:sz w:val="17"/>
          <w:szCs w:val="17"/>
          <w:u w:val="single" w:color="auto"/>
          <w:color w:val="auto"/>
        </w:rPr>
        <w:t>Schedule 3.23</w:t>
      </w:r>
      <w:r>
        <w:rPr>
          <w:rFonts w:ascii="Arial" w:cs="Arial" w:eastAsia="Arial" w:hAnsi="Arial"/>
          <w:sz w:val="17"/>
          <w:szCs w:val="17"/>
          <w:color w:val="auto"/>
        </w:rPr>
        <w:t xml:space="preserve">, as of the date hereof, there is no existing option, warrant, call, right, commitment or other agreement to which a Loan Party is a party requiring, and there is no membership interest or other Equity Interest of a Loan Party outstanding and undisclosed to Agent and Lenders which upon conversion or exchange would require, the issuance by such Loan Party of any additional membership interests or other Equity Interests or other securities convertible into, exchangeable for or evidencing the right to subscribe for or purchase, a membership interest or other Equity Interests of such Loan Party. </w:t>
      </w:r>
      <w:r>
        <w:rPr>
          <w:rFonts w:ascii="Arial" w:cs="Arial" w:eastAsia="Arial" w:hAnsi="Arial"/>
          <w:sz w:val="17"/>
          <w:szCs w:val="17"/>
          <w:u w:val="single" w:color="auto"/>
          <w:color w:val="auto"/>
        </w:rPr>
        <w:t>Schedule 3.23</w:t>
      </w:r>
      <w:r>
        <w:rPr>
          <w:rFonts w:ascii="Arial" w:cs="Arial" w:eastAsia="Arial" w:hAnsi="Arial"/>
          <w:sz w:val="17"/>
          <w:szCs w:val="17"/>
          <w:color w:val="auto"/>
        </w:rPr>
        <w:t xml:space="preserve"> correctly sets forth the ownership interest of each Loan Party in its respective Subsidiaries as of the Closing Date both before and after giving effect to the transactions contemplated hereby.</w:t>
      </w:r>
    </w:p>
    <w:p>
      <w:pPr>
        <w:spacing w:after="0" w:line="172"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17"/>
          <w:szCs w:val="17"/>
          <w:b w:val="1"/>
          <w:bCs w:val="1"/>
          <w:color w:val="auto"/>
        </w:rPr>
        <w:t>3.24 Transactions with Affiliates</w:t>
      </w:r>
      <w:r>
        <w:rPr>
          <w:rFonts w:ascii="Arial" w:cs="Arial" w:eastAsia="Arial" w:hAnsi="Arial"/>
          <w:sz w:val="17"/>
          <w:szCs w:val="17"/>
          <w:color w:val="auto"/>
        </w:rPr>
        <w:t>. Except as set forth on</w:t>
      </w:r>
      <w:r>
        <w:rPr>
          <w:rFonts w:ascii="Arial" w:cs="Arial" w:eastAsia="Arial" w:hAnsi="Arial"/>
          <w:sz w:val="17"/>
          <w:szCs w:val="17"/>
          <w:b w:val="1"/>
          <w:bCs w:val="1"/>
          <w:color w:val="auto"/>
        </w:rPr>
        <w:t xml:space="preserve"> </w:t>
      </w:r>
      <w:r>
        <w:rPr>
          <w:rFonts w:ascii="Arial" w:cs="Arial" w:eastAsia="Arial" w:hAnsi="Arial"/>
          <w:sz w:val="17"/>
          <w:szCs w:val="17"/>
          <w:u w:val="single" w:color="auto"/>
          <w:color w:val="auto"/>
        </w:rPr>
        <w:t>Schedule 3.24</w:t>
      </w:r>
      <w:r>
        <w:rPr>
          <w:rFonts w:ascii="Arial" w:cs="Arial" w:eastAsia="Arial" w:hAnsi="Arial"/>
          <w:sz w:val="17"/>
          <w:szCs w:val="17"/>
          <w:color w:val="auto"/>
        </w:rPr>
        <w:t>, no Loan Party is party to any transaction, including any purchase, sale,</w:t>
      </w:r>
      <w:r>
        <w:rPr>
          <w:rFonts w:ascii="Arial" w:cs="Arial" w:eastAsia="Arial" w:hAnsi="Arial"/>
          <w:sz w:val="17"/>
          <w:szCs w:val="17"/>
          <w:b w:val="1"/>
          <w:bCs w:val="1"/>
          <w:color w:val="auto"/>
        </w:rPr>
        <w:t xml:space="preserve"> </w:t>
      </w:r>
      <w:r>
        <w:rPr>
          <w:rFonts w:ascii="Arial" w:cs="Arial" w:eastAsia="Arial" w:hAnsi="Arial"/>
          <w:sz w:val="17"/>
          <w:szCs w:val="17"/>
          <w:color w:val="auto"/>
        </w:rPr>
        <w:t>lease or exchange of property, the rendering of any service or the payment of any management, advisory or similar fees, with any Affiliate unless such transaction is (a) otherwise permitted under this Agreement, (b) in the ordinary course of business of such Loan Party and is upon fair and reasonable terms no less favorable to such Loan Party, as determined by Agent in Agent’s Permitted Discretion, than it would obtain in a comparable arm’s length transaction with a Person that is not an Affiliate, (c) employment arrangements and employee benefit plans entered into in the ordinary course of business or (d) transactions solely among the Loan Parties, not involving other Affiliates.</w:t>
      </w:r>
    </w:p>
    <w:p>
      <w:pPr>
        <w:spacing w:after="0" w:line="173" w:lineRule="exact"/>
        <w:rPr>
          <w:sz w:val="20"/>
          <w:szCs w:val="20"/>
          <w:color w:val="auto"/>
        </w:rPr>
      </w:pPr>
    </w:p>
    <w:p>
      <w:pPr>
        <w:jc w:val="both"/>
        <w:ind w:firstLine="648"/>
        <w:spacing w:after="0" w:line="303" w:lineRule="auto"/>
        <w:rPr>
          <w:sz w:val="20"/>
          <w:szCs w:val="20"/>
          <w:color w:val="auto"/>
        </w:rPr>
      </w:pPr>
      <w:r>
        <w:rPr>
          <w:rFonts w:ascii="Arial" w:cs="Arial" w:eastAsia="Arial" w:hAnsi="Arial"/>
          <w:sz w:val="16"/>
          <w:szCs w:val="16"/>
          <w:b w:val="1"/>
          <w:bCs w:val="1"/>
          <w:color w:val="auto"/>
        </w:rPr>
        <w:t>3.25 No Burdensome Restrictions</w:t>
      </w:r>
      <w:r>
        <w:rPr>
          <w:rFonts w:ascii="Arial" w:cs="Arial" w:eastAsia="Arial" w:hAnsi="Arial"/>
          <w:sz w:val="16"/>
          <w:szCs w:val="16"/>
          <w:color w:val="auto"/>
        </w:rPr>
        <w:t>. No encumbrance or restriction of any kind exists which materially and adversely affects the ability of (a) any</w:t>
      </w:r>
      <w:r>
        <w:rPr>
          <w:rFonts w:ascii="Arial" w:cs="Arial" w:eastAsia="Arial" w:hAnsi="Arial"/>
          <w:sz w:val="16"/>
          <w:szCs w:val="16"/>
          <w:b w:val="1"/>
          <w:bCs w:val="1"/>
          <w:color w:val="auto"/>
        </w:rPr>
        <w:t xml:space="preserve"> </w:t>
      </w:r>
      <w:r>
        <w:rPr>
          <w:rFonts w:ascii="Arial" w:cs="Arial" w:eastAsia="Arial" w:hAnsi="Arial"/>
          <w:sz w:val="16"/>
          <w:szCs w:val="16"/>
          <w:color w:val="auto"/>
        </w:rPr>
        <w:t>Subsidiary of any Loan Party (i) to pay dividends or to make any other distribution on its Equity Interests owned by its parent, (ii) to pay or prepay any Indebtedness owed to any Loan Party, (iii) to make loans or advances to any Loan Party, or (iv) to transfer any of its property or assets to any Loan Party, or (b) any Loan Party to grant Liens on the Collateral to Agent, in each case except for restrictions and conditions imposed by applicable law.</w:t>
      </w:r>
    </w:p>
    <w:p>
      <w:pPr>
        <w:spacing w:after="0" w:line="371"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36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Presto Credit Agreement</w:t>
            </w:r>
          </w:p>
        </w:tc>
        <w:tc>
          <w:tcPr>
            <w:tcW w:w="7580" w:type="dxa"/>
            <w:vAlign w:val="bottom"/>
            <w:tcBorders>
              <w:bottom w:val="single" w:sz="8" w:color="auto"/>
            </w:tcBorders>
          </w:tcPr>
          <w:p>
            <w:pPr>
              <w:jc w:val="right"/>
              <w:ind w:right="5430"/>
              <w:spacing w:after="0"/>
              <w:rPr>
                <w:sz w:val="20"/>
                <w:szCs w:val="20"/>
                <w:color w:val="auto"/>
              </w:rPr>
            </w:pPr>
            <w:r>
              <w:rPr>
                <w:rFonts w:ascii="Arial" w:cs="Arial" w:eastAsia="Arial" w:hAnsi="Arial"/>
                <w:sz w:val="18"/>
                <w:szCs w:val="18"/>
                <w:color w:val="auto"/>
              </w:rPr>
              <w:t>31</w:t>
            </w:r>
          </w:p>
        </w:tc>
      </w:tr>
    </w:tbl>
    <w:p>
      <w:pPr>
        <w:sectPr>
          <w:pgSz w:w="11900" w:h="16838" w:orient="portrait"/>
          <w:cols w:equalWidth="0" w:num="1">
            <w:col w:w="11240"/>
          </w:cols>
          <w:pgMar w:left="320" w:top="904" w:right="339" w:bottom="1440" w:gutter="0" w:footer="0" w:header="0"/>
        </w:sectPr>
      </w:pPr>
    </w:p>
    <w:bookmarkStart w:id="118" w:name="page119"/>
    <w:bookmarkEnd w:id="118"/>
    <w:p>
      <w:pPr>
        <w:jc w:val="both"/>
        <w:ind w:firstLine="648"/>
        <w:spacing w:after="0" w:line="266" w:lineRule="auto"/>
        <w:rPr>
          <w:sz w:val="20"/>
          <w:szCs w:val="20"/>
          <w:color w:val="auto"/>
        </w:rPr>
      </w:pPr>
      <w:r>
        <w:rPr>
          <w:rFonts w:ascii="Arial" w:cs="Arial" w:eastAsia="Arial" w:hAnsi="Arial"/>
          <w:sz w:val="18"/>
          <w:szCs w:val="18"/>
          <w:b w:val="1"/>
          <w:bCs w:val="1"/>
          <w:color w:val="auto"/>
        </w:rPr>
        <w:t>3.26 Patriot Act</w:t>
      </w:r>
      <w:r>
        <w:rPr>
          <w:rFonts w:ascii="Arial" w:cs="Arial" w:eastAsia="Arial" w:hAnsi="Arial"/>
          <w:sz w:val="18"/>
          <w:szCs w:val="18"/>
          <w:color w:val="auto"/>
        </w:rPr>
        <w:t>. To the extent applicable, each Loan Party is in compliance, in all material respects, with the (a) Trading with the Enemy Act, as</w:t>
      </w:r>
      <w:r>
        <w:rPr>
          <w:rFonts w:ascii="Arial" w:cs="Arial" w:eastAsia="Arial" w:hAnsi="Arial"/>
          <w:sz w:val="18"/>
          <w:szCs w:val="18"/>
          <w:b w:val="1"/>
          <w:bCs w:val="1"/>
          <w:color w:val="auto"/>
        </w:rPr>
        <w:t xml:space="preserve"> </w:t>
      </w:r>
      <w:r>
        <w:rPr>
          <w:rFonts w:ascii="Arial" w:cs="Arial" w:eastAsia="Arial" w:hAnsi="Arial"/>
          <w:sz w:val="18"/>
          <w:szCs w:val="18"/>
          <w:color w:val="auto"/>
        </w:rPr>
        <w:t>amended, and each of the foreign assets control regulations of the United States Treasury Department (31 C.F.R., Subtitle B, Chapter V, as amended) and any other enabling legislation or executive order relating thereto and (b) Patriot Act.</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3.27 Foreign Assets Control Regulations and Anti-Money Laundering</w:t>
      </w:r>
      <w:r>
        <w:rPr>
          <w:rFonts w:ascii="Arial" w:cs="Arial" w:eastAsia="Arial" w:hAnsi="Arial"/>
          <w:sz w:val="18"/>
          <w:szCs w:val="18"/>
          <w:color w:val="auto"/>
        </w:rPr>
        <w:t>.</w:t>
      </w:r>
    </w:p>
    <w:p>
      <w:pPr>
        <w:spacing w:after="0" w:line="229" w:lineRule="exact"/>
        <w:rPr>
          <w:sz w:val="20"/>
          <w:szCs w:val="20"/>
          <w:color w:val="auto"/>
        </w:rPr>
      </w:pPr>
    </w:p>
    <w:p>
      <w:pPr>
        <w:jc w:val="both"/>
        <w:ind w:firstLine="656"/>
        <w:spacing w:after="0" w:line="272" w:lineRule="auto"/>
        <w:tabs>
          <w:tab w:leader="none" w:pos="919" w:val="left"/>
        </w:tabs>
        <w:numPr>
          <w:ilvl w:val="0"/>
          <w:numId w:val="104"/>
        </w:numPr>
        <w:rPr>
          <w:rFonts w:ascii="Arial" w:cs="Arial" w:eastAsia="Arial" w:hAnsi="Arial"/>
          <w:sz w:val="17"/>
          <w:szCs w:val="17"/>
          <w:color w:val="auto"/>
        </w:rPr>
      </w:pPr>
      <w:r>
        <w:rPr>
          <w:rFonts w:ascii="Arial" w:cs="Arial" w:eastAsia="Arial" w:hAnsi="Arial"/>
          <w:sz w:val="17"/>
          <w:szCs w:val="17"/>
          <w:color w:val="auto"/>
        </w:rPr>
        <w:t>No Loan Party, and no director, officer, employee, agent or Affiliate of any Loan Party is a Person that is, or is owned or controlled by (including by virtue of such Person being a director or owning voting shares or interests), or acts, directly or indirectly, for or on behalf of, any Person that is (i) designated by the U.S. government on the list of the Specially Designated Nationals or Blocked Persons or with which a U.S. Person cannot deal with or otherwise engage in business transactions, (ii) the subject and/or target of any sanctions administered or enforced by the U.S. Department of the Treasury’s Office of Foreign Assets Control, the U.S. Department of State, the United Nations Security Council, the European Union, Her Majesty’s Treasury, or other relevant sanctions authority (collectively, “</w:t>
      </w:r>
      <w:r>
        <w:rPr>
          <w:rFonts w:ascii="Arial" w:cs="Arial" w:eastAsia="Arial" w:hAnsi="Arial"/>
          <w:sz w:val="17"/>
          <w:szCs w:val="17"/>
          <w:b w:val="1"/>
          <w:bCs w:val="1"/>
          <w:i w:val="1"/>
          <w:iCs w:val="1"/>
          <w:color w:val="auto"/>
        </w:rPr>
        <w:t>Sanctions</w:t>
      </w:r>
      <w:r>
        <w:rPr>
          <w:rFonts w:ascii="Arial" w:cs="Arial" w:eastAsia="Arial" w:hAnsi="Arial"/>
          <w:sz w:val="17"/>
          <w:szCs w:val="17"/>
          <w:color w:val="auto"/>
        </w:rPr>
        <w:t xml:space="preserve">”) or (iii) located, organized or resident in a country or territory that is, or whose government is, the subject of Sanctions (any Person described in clauses (i), (ii) or (iii), each a </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Blocked Person</w:t>
      </w:r>
      <w:r>
        <w:rPr>
          <w:rFonts w:ascii="Arial" w:cs="Arial" w:eastAsia="Arial" w:hAnsi="Arial"/>
          <w:sz w:val="17"/>
          <w:szCs w:val="17"/>
          <w:b w:val="1"/>
          <w:bCs w:val="1"/>
          <w:color w:val="auto"/>
        </w:rPr>
        <w:t>”</w:t>
      </w:r>
      <w:r>
        <w:rPr>
          <w:rFonts w:ascii="Arial" w:cs="Arial" w:eastAsia="Arial" w:hAnsi="Arial"/>
          <w:sz w:val="17"/>
          <w:szCs w:val="17"/>
          <w:color w:val="auto"/>
        </w:rPr>
        <w:t>).</w:t>
      </w:r>
    </w:p>
    <w:p>
      <w:pPr>
        <w:spacing w:after="0" w:line="177" w:lineRule="exact"/>
        <w:rPr>
          <w:rFonts w:ascii="Arial" w:cs="Arial" w:eastAsia="Arial" w:hAnsi="Arial"/>
          <w:sz w:val="17"/>
          <w:szCs w:val="17"/>
          <w:color w:val="auto"/>
        </w:rPr>
      </w:pPr>
    </w:p>
    <w:p>
      <w:pPr>
        <w:jc w:val="both"/>
        <w:ind w:firstLine="656"/>
        <w:spacing w:after="0" w:line="257" w:lineRule="auto"/>
        <w:tabs>
          <w:tab w:leader="none" w:pos="922" w:val="left"/>
        </w:tabs>
        <w:numPr>
          <w:ilvl w:val="0"/>
          <w:numId w:val="104"/>
        </w:numPr>
        <w:rPr>
          <w:rFonts w:ascii="Arial" w:cs="Arial" w:eastAsia="Arial" w:hAnsi="Arial"/>
          <w:sz w:val="18"/>
          <w:szCs w:val="18"/>
          <w:color w:val="auto"/>
        </w:rPr>
      </w:pPr>
      <w:r>
        <w:rPr>
          <w:rFonts w:ascii="Arial" w:cs="Arial" w:eastAsia="Arial" w:hAnsi="Arial"/>
          <w:sz w:val="18"/>
          <w:szCs w:val="18"/>
          <w:color w:val="auto"/>
        </w:rPr>
        <w:t>The Loan Parties, their Subsidiaries and their respective directors, officers, and employees, and to the knowledge of the Loan Parties after reasonable inquiry, their agents or any other person acting on behalf of any Loan Party or any of their Subsidiaries, are and will remain in compliance with all applicable Sanctions, the Foreign Corrupt Practices Act of 1977, as amended, and the rules and regulations thereunder (collectively, the “</w:t>
      </w:r>
      <w:r>
        <w:rPr>
          <w:rFonts w:ascii="Arial" w:cs="Arial" w:eastAsia="Arial" w:hAnsi="Arial"/>
          <w:sz w:val="18"/>
          <w:szCs w:val="18"/>
          <w:b w:val="1"/>
          <w:bCs w:val="1"/>
          <w:i w:val="1"/>
          <w:iCs w:val="1"/>
          <w:color w:val="auto"/>
        </w:rPr>
        <w:t>FCPA</w:t>
      </w:r>
      <w:r>
        <w:rPr>
          <w:rFonts w:ascii="Arial" w:cs="Arial" w:eastAsia="Arial" w:hAnsi="Arial"/>
          <w:sz w:val="18"/>
          <w:szCs w:val="18"/>
          <w:color w:val="auto"/>
        </w:rPr>
        <w:t>”), all applicable anti-money laundering and counter-terrorism financing provisions of the Bank Secrecy Act (31 U.S.C. Sections 5301 et seq.) and all regulations issued pursuant to it, or any other applicable anti-corruption law.</w:t>
      </w:r>
    </w:p>
    <w:p>
      <w:pPr>
        <w:spacing w:after="0" w:line="187" w:lineRule="exact"/>
        <w:rPr>
          <w:rFonts w:ascii="Arial" w:cs="Arial" w:eastAsia="Arial" w:hAnsi="Arial"/>
          <w:sz w:val="18"/>
          <w:szCs w:val="18"/>
          <w:color w:val="auto"/>
        </w:rPr>
      </w:pPr>
    </w:p>
    <w:p>
      <w:pPr>
        <w:ind w:firstLine="656"/>
        <w:spacing w:after="0" w:line="277" w:lineRule="auto"/>
        <w:tabs>
          <w:tab w:leader="none" w:pos="909" w:val="left"/>
        </w:tabs>
        <w:numPr>
          <w:ilvl w:val="0"/>
          <w:numId w:val="104"/>
        </w:numPr>
        <w:rPr>
          <w:rFonts w:ascii="Arial" w:cs="Arial" w:eastAsia="Arial" w:hAnsi="Arial"/>
          <w:sz w:val="18"/>
          <w:szCs w:val="18"/>
          <w:color w:val="auto"/>
        </w:rPr>
      </w:pPr>
      <w:r>
        <w:rPr>
          <w:rFonts w:ascii="Arial" w:cs="Arial" w:eastAsia="Arial" w:hAnsi="Arial"/>
          <w:sz w:val="18"/>
          <w:szCs w:val="18"/>
          <w:color w:val="auto"/>
        </w:rPr>
        <w:t>The Loan Parties and their Subsidiaries have instituted and maintain policies and procedures designed to ensure continued compliance with applicable Sanctions, the FCPA and any other applicable anti-corruption Laws.</w:t>
      </w:r>
    </w:p>
    <w:p>
      <w:pPr>
        <w:spacing w:after="0" w:line="170" w:lineRule="exact"/>
        <w:rPr>
          <w:rFonts w:ascii="Arial" w:cs="Arial" w:eastAsia="Arial" w:hAnsi="Arial"/>
          <w:sz w:val="18"/>
          <w:szCs w:val="18"/>
          <w:color w:val="auto"/>
        </w:rPr>
      </w:pPr>
    </w:p>
    <w:p>
      <w:pPr>
        <w:jc w:val="both"/>
        <w:ind w:firstLine="656"/>
        <w:spacing w:after="0" w:line="263" w:lineRule="auto"/>
        <w:tabs>
          <w:tab w:leader="none" w:pos="922" w:val="left"/>
        </w:tabs>
        <w:numPr>
          <w:ilvl w:val="0"/>
          <w:numId w:val="104"/>
        </w:numPr>
        <w:rPr>
          <w:rFonts w:ascii="Arial" w:cs="Arial" w:eastAsia="Arial" w:hAnsi="Arial"/>
          <w:sz w:val="18"/>
          <w:szCs w:val="18"/>
          <w:color w:val="auto"/>
        </w:rPr>
      </w:pPr>
      <w:r>
        <w:rPr>
          <w:rFonts w:ascii="Arial" w:cs="Arial" w:eastAsia="Arial" w:hAnsi="Arial"/>
          <w:sz w:val="18"/>
          <w:szCs w:val="18"/>
          <w:color w:val="auto"/>
        </w:rPr>
        <w:t>No part of the proceeds of the Term Loan will be used, directly or indirectly, for any payments to any governmental official or employee, political party, official of a political party, candidate for political office, or anyone else acting in an official capacity, in order to obtain, retain or direct business or obtain any improper advantage, in violation of the FCPA.</w:t>
      </w:r>
    </w:p>
    <w:p>
      <w:pPr>
        <w:spacing w:after="0" w:line="180"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3.28 Parent</w:t>
      </w:r>
      <w:r>
        <w:rPr>
          <w:rFonts w:ascii="Arial" w:cs="Arial" w:eastAsia="Arial" w:hAnsi="Arial"/>
          <w:sz w:val="18"/>
          <w:szCs w:val="18"/>
          <w:color w:val="auto"/>
        </w:rPr>
        <w:t>. Parent does not engage in any material business activity other than the activities permitted under</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6.11</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b w:val="1"/>
          <w:bCs w:val="1"/>
          <w:color w:val="auto"/>
        </w:rPr>
        <w:t>3.29 PPP Loans</w:t>
      </w:r>
      <w:r>
        <w:rPr>
          <w:rFonts w:ascii="Arial" w:cs="Arial" w:eastAsia="Arial" w:hAnsi="Arial"/>
          <w:sz w:val="18"/>
          <w:szCs w:val="18"/>
          <w:color w:val="auto"/>
        </w:rPr>
        <w:t>. Each of the PPP Loans has been forgiven in its entirety, and neither Borrower nor any other Loan Party has any knowledge of</w:t>
      </w:r>
      <w:r>
        <w:rPr>
          <w:rFonts w:ascii="Arial" w:cs="Arial" w:eastAsia="Arial" w:hAnsi="Arial"/>
          <w:sz w:val="18"/>
          <w:szCs w:val="18"/>
          <w:b w:val="1"/>
          <w:bCs w:val="1"/>
          <w:color w:val="auto"/>
        </w:rPr>
        <w:t xml:space="preserve"> </w:t>
      </w:r>
      <w:r>
        <w:rPr>
          <w:rFonts w:ascii="Arial" w:cs="Arial" w:eastAsia="Arial" w:hAnsi="Arial"/>
          <w:sz w:val="18"/>
          <w:szCs w:val="18"/>
          <w:color w:val="auto"/>
        </w:rPr>
        <w:t>any pending or threatened investigation by the applicable lender under any PPP Loan, the U.S. Small Business Administration or any other Official Body into the incurrence, use or forgiveness of any PPP Loan or any other matter relating thereto.</w:t>
      </w:r>
    </w:p>
    <w:p>
      <w:pPr>
        <w:spacing w:after="0" w:line="176"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b w:val="1"/>
          <w:bCs w:val="1"/>
          <w:color w:val="auto"/>
        </w:rPr>
        <w:t>3.30 SPAC Transaction</w:t>
      </w:r>
      <w:r>
        <w:rPr>
          <w:rFonts w:ascii="Arial" w:cs="Arial" w:eastAsia="Arial" w:hAnsi="Arial"/>
          <w:sz w:val="16"/>
          <w:szCs w:val="16"/>
          <w:color w:val="auto"/>
        </w:rPr>
        <w:t>. With respect to the SPAC Merger Agreement, each SPAC Subscription Agreement, the Sponsor Support Agreement and</w:t>
      </w:r>
      <w:r>
        <w:rPr>
          <w:rFonts w:ascii="Arial" w:cs="Arial" w:eastAsia="Arial" w:hAnsi="Arial"/>
          <w:sz w:val="16"/>
          <w:szCs w:val="16"/>
          <w:b w:val="1"/>
          <w:bCs w:val="1"/>
          <w:color w:val="auto"/>
        </w:rPr>
        <w:t xml:space="preserve"> </w:t>
      </w:r>
      <w:r>
        <w:rPr>
          <w:rFonts w:ascii="Arial" w:cs="Arial" w:eastAsia="Arial" w:hAnsi="Arial"/>
          <w:sz w:val="16"/>
          <w:szCs w:val="16"/>
          <w:color w:val="auto"/>
        </w:rPr>
        <w:t>the Stockholder Support Agreement: (a) such agreement is in full force and effect, (b) no breach or default exists or has been asserted thereunder, and Borrower is not aware of any fact or circumstance that would give rise to any breach or default thereunder, (c) no party has terminated or threatened to terminate the SPAC Merger Agreement, any SPAC Subscription Agreement, the Sponsor Support Agreement or the Stockholder Support Agreement, (d) there have been no amendments, restatements, supplements or other modifications thereto that have not been disclosed to the Agent and (e) such agreements constitute the entire agreement and understanding among the Borrower, the Parent, each counterparty thereto and their respective Affiliates concerning the SPAC Transaction. The Borrower has not received, and to the Borrower’s knowledge, the Parent has not received any notice of an adverse determination by the SEC or any other Official Body regarding the SPAC Transaction.</w:t>
      </w:r>
    </w:p>
    <w:p>
      <w:pPr>
        <w:spacing w:after="0" w:line="379"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36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Presto Credit Agreement</w:t>
            </w:r>
          </w:p>
        </w:tc>
        <w:tc>
          <w:tcPr>
            <w:tcW w:w="7580" w:type="dxa"/>
            <w:vAlign w:val="bottom"/>
            <w:tcBorders>
              <w:bottom w:val="single" w:sz="8" w:color="auto"/>
            </w:tcBorders>
          </w:tcPr>
          <w:p>
            <w:pPr>
              <w:jc w:val="right"/>
              <w:ind w:right="5430"/>
              <w:spacing w:after="0"/>
              <w:rPr>
                <w:sz w:val="20"/>
                <w:szCs w:val="20"/>
                <w:color w:val="auto"/>
              </w:rPr>
            </w:pPr>
            <w:r>
              <w:rPr>
                <w:rFonts w:ascii="Arial" w:cs="Arial" w:eastAsia="Arial" w:hAnsi="Arial"/>
                <w:sz w:val="18"/>
                <w:szCs w:val="18"/>
                <w:color w:val="auto"/>
              </w:rPr>
              <w:t>32</w:t>
            </w:r>
          </w:p>
        </w:tc>
      </w:tr>
    </w:tbl>
    <w:p>
      <w:pPr>
        <w:sectPr>
          <w:pgSz w:w="11900" w:h="16838" w:orient="portrait"/>
          <w:cols w:equalWidth="0" w:num="1">
            <w:col w:w="11240"/>
          </w:cols>
          <w:pgMar w:left="320" w:top="904" w:right="339" w:bottom="1440" w:gutter="0" w:footer="0" w:header="0"/>
        </w:sectPr>
      </w:pPr>
    </w:p>
    <w:bookmarkStart w:id="119" w:name="page120"/>
    <w:bookmarkEnd w:id="119"/>
    <w:p>
      <w:pPr>
        <w:jc w:val="center"/>
        <w:spacing w:after="0"/>
        <w:rPr>
          <w:sz w:val="20"/>
          <w:szCs w:val="20"/>
          <w:color w:val="auto"/>
        </w:rPr>
      </w:pPr>
      <w:r>
        <w:rPr>
          <w:rFonts w:ascii="Arial" w:cs="Arial" w:eastAsia="Arial" w:hAnsi="Arial"/>
          <w:sz w:val="18"/>
          <w:szCs w:val="18"/>
          <w:color w:val="auto"/>
        </w:rPr>
        <w:t>SECTION 4</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CONDITIONS PRECEDENT</w:t>
      </w:r>
    </w:p>
    <w:p>
      <w:pPr>
        <w:spacing w:after="0" w:line="207" w:lineRule="exact"/>
        <w:rPr>
          <w:sz w:val="20"/>
          <w:szCs w:val="20"/>
          <w:color w:val="auto"/>
        </w:rPr>
      </w:pPr>
    </w:p>
    <w:p>
      <w:pPr>
        <w:ind w:firstLine="648"/>
        <w:spacing w:after="0" w:line="282" w:lineRule="auto"/>
        <w:rPr>
          <w:sz w:val="20"/>
          <w:szCs w:val="20"/>
          <w:color w:val="auto"/>
        </w:rPr>
      </w:pPr>
      <w:r>
        <w:rPr>
          <w:rFonts w:ascii="Arial" w:cs="Arial" w:eastAsia="Arial" w:hAnsi="Arial"/>
          <w:sz w:val="18"/>
          <w:szCs w:val="18"/>
          <w:b w:val="1"/>
          <w:bCs w:val="1"/>
          <w:color w:val="auto"/>
        </w:rPr>
        <w:t>4.1 Conditions to Closing</w:t>
      </w:r>
      <w:r>
        <w:rPr>
          <w:rFonts w:ascii="Arial" w:cs="Arial" w:eastAsia="Arial" w:hAnsi="Arial"/>
          <w:sz w:val="18"/>
          <w:szCs w:val="18"/>
          <w:color w:val="auto"/>
        </w:rPr>
        <w:t>. The effectiveness of this Agreement shall be subject to the satisfaction (or waiver, in the sole discretion of the Agent),</w:t>
      </w:r>
      <w:r>
        <w:rPr>
          <w:rFonts w:ascii="Arial" w:cs="Arial" w:eastAsia="Arial" w:hAnsi="Arial"/>
          <w:sz w:val="18"/>
          <w:szCs w:val="18"/>
          <w:b w:val="1"/>
          <w:bCs w:val="1"/>
          <w:color w:val="auto"/>
        </w:rPr>
        <w:t xml:space="preserve"> </w:t>
      </w:r>
      <w:r>
        <w:rPr>
          <w:rFonts w:ascii="Arial" w:cs="Arial" w:eastAsia="Arial" w:hAnsi="Arial"/>
          <w:sz w:val="18"/>
          <w:szCs w:val="18"/>
          <w:color w:val="auto"/>
        </w:rPr>
        <w:t>prior to or on the Closing Date, of the following conditions precedent:</w:t>
      </w:r>
    </w:p>
    <w:p>
      <w:pPr>
        <w:spacing w:after="0" w:line="162" w:lineRule="exact"/>
        <w:rPr>
          <w:sz w:val="20"/>
          <w:szCs w:val="20"/>
          <w:color w:val="auto"/>
        </w:rPr>
      </w:pPr>
    </w:p>
    <w:p>
      <w:pPr>
        <w:ind w:left="900" w:hanging="244"/>
        <w:spacing w:after="0"/>
        <w:tabs>
          <w:tab w:leader="none" w:pos="900" w:val="left"/>
        </w:tabs>
        <w:numPr>
          <w:ilvl w:val="0"/>
          <w:numId w:val="105"/>
        </w:numPr>
        <w:rPr>
          <w:rFonts w:ascii="Arial" w:cs="Arial" w:eastAsia="Arial" w:hAnsi="Arial"/>
          <w:sz w:val="17"/>
          <w:szCs w:val="17"/>
          <w:color w:val="auto"/>
        </w:rPr>
      </w:pPr>
      <w:r>
        <w:rPr>
          <w:rFonts w:ascii="Arial" w:cs="Arial" w:eastAsia="Arial" w:hAnsi="Arial"/>
          <w:sz w:val="17"/>
          <w:szCs w:val="17"/>
          <w:b w:val="1"/>
          <w:bCs w:val="1"/>
          <w:color w:val="auto"/>
        </w:rPr>
        <w:t>Loan Documents</w:t>
      </w:r>
      <w:r>
        <w:rPr>
          <w:rFonts w:ascii="Arial" w:cs="Arial" w:eastAsia="Arial" w:hAnsi="Arial"/>
          <w:sz w:val="17"/>
          <w:szCs w:val="17"/>
          <w:color w:val="auto"/>
        </w:rPr>
        <w:t>. Agent shall have received each of the following, each of which shall be in form and substance satisfactory to Agent:</w:t>
      </w:r>
    </w:p>
    <w:p>
      <w:pPr>
        <w:spacing w:after="0" w:line="240" w:lineRule="exact"/>
        <w:rPr>
          <w:rFonts w:ascii="Arial" w:cs="Arial" w:eastAsia="Arial" w:hAnsi="Arial"/>
          <w:sz w:val="17"/>
          <w:szCs w:val="17"/>
          <w:color w:val="auto"/>
        </w:rPr>
      </w:pPr>
    </w:p>
    <w:p>
      <w:pPr>
        <w:ind w:left="1520" w:hanging="216"/>
        <w:spacing w:after="0"/>
        <w:tabs>
          <w:tab w:leader="none" w:pos="1520" w:val="left"/>
        </w:tabs>
        <w:numPr>
          <w:ilvl w:val="1"/>
          <w:numId w:val="105"/>
        </w:numPr>
        <w:rPr>
          <w:rFonts w:ascii="Arial" w:cs="Arial" w:eastAsia="Arial" w:hAnsi="Arial"/>
          <w:sz w:val="18"/>
          <w:szCs w:val="18"/>
          <w:color w:val="auto"/>
        </w:rPr>
      </w:pPr>
      <w:r>
        <w:rPr>
          <w:rFonts w:ascii="Arial" w:cs="Arial" w:eastAsia="Arial" w:hAnsi="Arial"/>
          <w:sz w:val="18"/>
          <w:szCs w:val="18"/>
          <w:color w:val="auto"/>
        </w:rPr>
        <w:t>this Agreement, executed and delivered by Agent, each Lender and Borrower;</w:t>
      </w:r>
    </w:p>
    <w:p>
      <w:pPr>
        <w:spacing w:after="0" w:line="225" w:lineRule="exact"/>
        <w:rPr>
          <w:rFonts w:ascii="Arial" w:cs="Arial" w:eastAsia="Arial" w:hAnsi="Arial"/>
          <w:sz w:val="18"/>
          <w:szCs w:val="18"/>
          <w:color w:val="auto"/>
        </w:rPr>
      </w:pPr>
    </w:p>
    <w:p>
      <w:pPr>
        <w:ind w:left="1560" w:hanging="256"/>
        <w:spacing w:after="0"/>
        <w:tabs>
          <w:tab w:leader="none" w:pos="1560" w:val="left"/>
        </w:tabs>
        <w:numPr>
          <w:ilvl w:val="1"/>
          <w:numId w:val="105"/>
        </w:numPr>
        <w:rPr>
          <w:rFonts w:ascii="Arial" w:cs="Arial" w:eastAsia="Arial" w:hAnsi="Arial"/>
          <w:sz w:val="18"/>
          <w:szCs w:val="18"/>
          <w:color w:val="auto"/>
        </w:rPr>
      </w:pPr>
      <w:r>
        <w:rPr>
          <w:rFonts w:ascii="Arial" w:cs="Arial" w:eastAsia="Arial" w:hAnsi="Arial"/>
          <w:sz w:val="18"/>
          <w:szCs w:val="18"/>
          <w:color w:val="auto"/>
        </w:rPr>
        <w:t>if requested by any Lender, the applicable Note for such Lender, executed and delivered by Borrower;</w:t>
      </w:r>
    </w:p>
    <w:p>
      <w:pPr>
        <w:spacing w:after="0" w:line="225" w:lineRule="exact"/>
        <w:rPr>
          <w:rFonts w:ascii="Arial" w:cs="Arial" w:eastAsia="Arial" w:hAnsi="Arial"/>
          <w:sz w:val="18"/>
          <w:szCs w:val="18"/>
          <w:color w:val="auto"/>
        </w:rPr>
      </w:pPr>
    </w:p>
    <w:p>
      <w:pPr>
        <w:ind w:left="1620" w:hanging="316"/>
        <w:spacing w:after="0"/>
        <w:tabs>
          <w:tab w:leader="none" w:pos="1620" w:val="left"/>
        </w:tabs>
        <w:numPr>
          <w:ilvl w:val="1"/>
          <w:numId w:val="105"/>
        </w:numPr>
        <w:rPr>
          <w:rFonts w:ascii="Arial" w:cs="Arial" w:eastAsia="Arial" w:hAnsi="Arial"/>
          <w:sz w:val="18"/>
          <w:szCs w:val="18"/>
          <w:color w:val="auto"/>
        </w:rPr>
      </w:pPr>
      <w:r>
        <w:rPr>
          <w:rFonts w:ascii="Arial" w:cs="Arial" w:eastAsia="Arial" w:hAnsi="Arial"/>
          <w:sz w:val="18"/>
          <w:szCs w:val="18"/>
          <w:color w:val="auto"/>
        </w:rPr>
        <w:t>the Security Agreement, executed and delivered by the Loan Parties;</w:t>
      </w:r>
    </w:p>
    <w:p>
      <w:pPr>
        <w:spacing w:after="0" w:line="225" w:lineRule="exact"/>
        <w:rPr>
          <w:rFonts w:ascii="Arial" w:cs="Arial" w:eastAsia="Arial" w:hAnsi="Arial"/>
          <w:sz w:val="18"/>
          <w:szCs w:val="18"/>
          <w:color w:val="auto"/>
        </w:rPr>
      </w:pPr>
    </w:p>
    <w:p>
      <w:pPr>
        <w:ind w:left="1600" w:hanging="296"/>
        <w:spacing w:after="0"/>
        <w:tabs>
          <w:tab w:leader="none" w:pos="1600" w:val="left"/>
        </w:tabs>
        <w:numPr>
          <w:ilvl w:val="1"/>
          <w:numId w:val="105"/>
        </w:numPr>
        <w:rPr>
          <w:rFonts w:ascii="Arial" w:cs="Arial" w:eastAsia="Arial" w:hAnsi="Arial"/>
          <w:sz w:val="18"/>
          <w:szCs w:val="18"/>
          <w:color w:val="auto"/>
        </w:rPr>
      </w:pPr>
      <w:r>
        <w:rPr>
          <w:rFonts w:ascii="Arial" w:cs="Arial" w:eastAsia="Arial" w:hAnsi="Arial"/>
          <w:sz w:val="18"/>
          <w:szCs w:val="18"/>
          <w:color w:val="auto"/>
        </w:rPr>
        <w:t>the Warrant Subscription Agreement, executed and delivered by Parent;</w:t>
      </w:r>
    </w:p>
    <w:p>
      <w:pPr>
        <w:spacing w:after="0" w:line="225" w:lineRule="exact"/>
        <w:rPr>
          <w:rFonts w:ascii="Arial" w:cs="Arial" w:eastAsia="Arial" w:hAnsi="Arial"/>
          <w:sz w:val="18"/>
          <w:szCs w:val="18"/>
          <w:color w:val="auto"/>
        </w:rPr>
      </w:pPr>
    </w:p>
    <w:p>
      <w:pPr>
        <w:ind w:left="1560" w:hanging="256"/>
        <w:spacing w:after="0"/>
        <w:tabs>
          <w:tab w:leader="none" w:pos="1560" w:val="left"/>
        </w:tabs>
        <w:numPr>
          <w:ilvl w:val="1"/>
          <w:numId w:val="105"/>
        </w:numPr>
        <w:rPr>
          <w:rFonts w:ascii="Arial" w:cs="Arial" w:eastAsia="Arial" w:hAnsi="Arial"/>
          <w:sz w:val="18"/>
          <w:szCs w:val="18"/>
          <w:color w:val="auto"/>
        </w:rPr>
      </w:pPr>
      <w:r>
        <w:rPr>
          <w:rFonts w:ascii="Arial" w:cs="Arial" w:eastAsia="Arial" w:hAnsi="Arial"/>
          <w:sz w:val="18"/>
          <w:szCs w:val="18"/>
          <w:color w:val="auto"/>
        </w:rPr>
        <w:t>the Founder Shares Transfer Agreement, executed and delivered by the Sponsor;</w:t>
      </w:r>
    </w:p>
    <w:p>
      <w:pPr>
        <w:spacing w:after="0" w:line="225" w:lineRule="exact"/>
        <w:rPr>
          <w:rFonts w:ascii="Arial" w:cs="Arial" w:eastAsia="Arial" w:hAnsi="Arial"/>
          <w:sz w:val="18"/>
          <w:szCs w:val="18"/>
          <w:color w:val="auto"/>
        </w:rPr>
      </w:pPr>
    </w:p>
    <w:p>
      <w:pPr>
        <w:ind w:left="1600" w:hanging="296"/>
        <w:spacing w:after="0"/>
        <w:tabs>
          <w:tab w:leader="none" w:pos="1600" w:val="left"/>
        </w:tabs>
        <w:numPr>
          <w:ilvl w:val="1"/>
          <w:numId w:val="105"/>
        </w:numPr>
        <w:rPr>
          <w:rFonts w:ascii="Arial" w:cs="Arial" w:eastAsia="Arial" w:hAnsi="Arial"/>
          <w:sz w:val="18"/>
          <w:szCs w:val="18"/>
          <w:color w:val="auto"/>
        </w:rPr>
      </w:pPr>
      <w:r>
        <w:rPr>
          <w:rFonts w:ascii="Arial" w:cs="Arial" w:eastAsia="Arial" w:hAnsi="Arial"/>
          <w:sz w:val="18"/>
          <w:szCs w:val="18"/>
          <w:color w:val="auto"/>
        </w:rPr>
        <w:t>the Closing Date Registration Rights Agreement, executed and delivered by Parent, the Sponsors and the other</w:t>
      </w:r>
    </w:p>
    <w:p>
      <w:pPr>
        <w:spacing w:after="0" w:line="2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Parent stockholders party thereto (other than Lenders);</w:t>
      </w:r>
    </w:p>
    <w:p>
      <w:pPr>
        <w:spacing w:after="0" w:line="211" w:lineRule="exact"/>
        <w:rPr>
          <w:sz w:val="20"/>
          <w:szCs w:val="20"/>
          <w:color w:val="auto"/>
        </w:rPr>
      </w:pPr>
    </w:p>
    <w:p>
      <w:pPr>
        <w:ind w:left="1660" w:hanging="356"/>
        <w:spacing w:after="0"/>
        <w:tabs>
          <w:tab w:leader="none" w:pos="1660" w:val="left"/>
        </w:tabs>
        <w:numPr>
          <w:ilvl w:val="1"/>
          <w:numId w:val="106"/>
        </w:numPr>
        <w:rPr>
          <w:rFonts w:ascii="Arial" w:cs="Arial" w:eastAsia="Arial" w:hAnsi="Arial"/>
          <w:sz w:val="18"/>
          <w:szCs w:val="18"/>
          <w:color w:val="auto"/>
        </w:rPr>
      </w:pPr>
      <w:r>
        <w:rPr>
          <w:rFonts w:ascii="Arial" w:cs="Arial" w:eastAsia="Arial" w:hAnsi="Arial"/>
          <w:sz w:val="18"/>
          <w:szCs w:val="18"/>
          <w:color w:val="auto"/>
        </w:rPr>
        <w:t>the Fee Letter, executed and delivered by the Loan Parties;</w:t>
      </w:r>
    </w:p>
    <w:p>
      <w:pPr>
        <w:spacing w:after="0" w:line="225" w:lineRule="exact"/>
        <w:rPr>
          <w:rFonts w:ascii="Arial" w:cs="Arial" w:eastAsia="Arial" w:hAnsi="Arial"/>
          <w:sz w:val="18"/>
          <w:szCs w:val="18"/>
          <w:color w:val="auto"/>
        </w:rPr>
      </w:pPr>
    </w:p>
    <w:p>
      <w:pPr>
        <w:ind w:left="1700" w:hanging="396"/>
        <w:spacing w:after="0"/>
        <w:tabs>
          <w:tab w:leader="none" w:pos="1700" w:val="left"/>
        </w:tabs>
        <w:numPr>
          <w:ilvl w:val="1"/>
          <w:numId w:val="106"/>
        </w:numPr>
        <w:rPr>
          <w:rFonts w:ascii="Arial" w:cs="Arial" w:eastAsia="Arial" w:hAnsi="Arial"/>
          <w:sz w:val="18"/>
          <w:szCs w:val="18"/>
          <w:color w:val="auto"/>
        </w:rPr>
      </w:pPr>
      <w:r>
        <w:rPr>
          <w:rFonts w:ascii="Arial" w:cs="Arial" w:eastAsia="Arial" w:hAnsi="Arial"/>
          <w:sz w:val="18"/>
          <w:szCs w:val="18"/>
          <w:color w:val="auto"/>
        </w:rPr>
        <w:t>a Perfection Certificate, executed and delivered by the Loan Parties; and</w:t>
      </w:r>
    </w:p>
    <w:p>
      <w:pPr>
        <w:spacing w:after="0" w:line="225" w:lineRule="exact"/>
        <w:rPr>
          <w:rFonts w:ascii="Arial" w:cs="Arial" w:eastAsia="Arial" w:hAnsi="Arial"/>
          <w:sz w:val="18"/>
          <w:szCs w:val="18"/>
          <w:color w:val="auto"/>
        </w:rPr>
      </w:pPr>
    </w:p>
    <w:p>
      <w:pPr>
        <w:ind w:left="1600" w:hanging="296"/>
        <w:spacing w:after="0"/>
        <w:tabs>
          <w:tab w:leader="none" w:pos="1600" w:val="left"/>
        </w:tabs>
        <w:numPr>
          <w:ilvl w:val="1"/>
          <w:numId w:val="106"/>
        </w:numPr>
        <w:rPr>
          <w:rFonts w:ascii="Arial" w:cs="Arial" w:eastAsia="Arial" w:hAnsi="Arial"/>
          <w:sz w:val="18"/>
          <w:szCs w:val="18"/>
          <w:color w:val="auto"/>
        </w:rPr>
      </w:pPr>
      <w:r>
        <w:rPr>
          <w:rFonts w:ascii="Arial" w:cs="Arial" w:eastAsia="Arial" w:hAnsi="Arial"/>
          <w:sz w:val="18"/>
          <w:szCs w:val="18"/>
          <w:color w:val="auto"/>
        </w:rPr>
        <w:t>each other Loan Document, executed and delivered by the applicable Loan Party thereto.</w:t>
      </w:r>
    </w:p>
    <w:p>
      <w:pPr>
        <w:spacing w:after="0" w:line="221" w:lineRule="exact"/>
        <w:rPr>
          <w:rFonts w:ascii="Arial" w:cs="Arial" w:eastAsia="Arial" w:hAnsi="Arial"/>
          <w:sz w:val="18"/>
          <w:szCs w:val="18"/>
          <w:color w:val="auto"/>
        </w:rPr>
      </w:pPr>
    </w:p>
    <w:p>
      <w:pPr>
        <w:jc w:val="both"/>
        <w:ind w:firstLine="656"/>
        <w:spacing w:after="0" w:line="266" w:lineRule="auto"/>
        <w:tabs>
          <w:tab w:leader="none" w:pos="914" w:val="left"/>
        </w:tabs>
        <w:numPr>
          <w:ilvl w:val="0"/>
          <w:numId w:val="107"/>
        </w:numPr>
        <w:rPr>
          <w:rFonts w:ascii="Arial" w:cs="Arial" w:eastAsia="Arial" w:hAnsi="Arial"/>
          <w:sz w:val="18"/>
          <w:szCs w:val="18"/>
          <w:color w:val="auto"/>
        </w:rPr>
      </w:pPr>
      <w:r>
        <w:rPr>
          <w:rFonts w:ascii="Arial" w:cs="Arial" w:eastAsia="Arial" w:hAnsi="Arial"/>
          <w:sz w:val="18"/>
          <w:szCs w:val="18"/>
          <w:b w:val="1"/>
          <w:bCs w:val="1"/>
          <w:color w:val="auto"/>
        </w:rPr>
        <w:t>Approvals</w:t>
      </w:r>
      <w:r>
        <w:rPr>
          <w:rFonts w:ascii="Arial" w:cs="Arial" w:eastAsia="Arial" w:hAnsi="Arial"/>
          <w:sz w:val="18"/>
          <w:szCs w:val="18"/>
          <w:color w:val="auto"/>
        </w:rPr>
        <w:t>. All Governmental Approvals and consents and approvals of, or notices to, any other Person (including the holders of any Equity</w:t>
      </w:r>
      <w:r>
        <w:rPr>
          <w:rFonts w:ascii="Arial" w:cs="Arial" w:eastAsia="Arial" w:hAnsi="Arial"/>
          <w:sz w:val="18"/>
          <w:szCs w:val="18"/>
          <w:b w:val="1"/>
          <w:bCs w:val="1"/>
          <w:color w:val="auto"/>
        </w:rPr>
        <w:t xml:space="preserve"> </w:t>
      </w:r>
      <w:r>
        <w:rPr>
          <w:rFonts w:ascii="Arial" w:cs="Arial" w:eastAsia="Arial" w:hAnsi="Arial"/>
          <w:sz w:val="18"/>
          <w:szCs w:val="18"/>
          <w:color w:val="auto"/>
        </w:rPr>
        <w:t>Interests issued by any Loan Party) required in connection with the execution and performance of the Loan Documents and the consummation of the transactions contemplated hereby and thereby, shall have been obtained and be in full force and effect.</w:t>
      </w:r>
    </w:p>
    <w:p>
      <w:pPr>
        <w:spacing w:after="0" w:line="175" w:lineRule="exact"/>
        <w:rPr>
          <w:rFonts w:ascii="Arial" w:cs="Arial" w:eastAsia="Arial" w:hAnsi="Arial"/>
          <w:sz w:val="18"/>
          <w:szCs w:val="18"/>
          <w:color w:val="auto"/>
        </w:rPr>
      </w:pPr>
    </w:p>
    <w:p>
      <w:pPr>
        <w:jc w:val="both"/>
        <w:ind w:firstLine="656"/>
        <w:spacing w:after="0" w:line="292" w:lineRule="auto"/>
        <w:tabs>
          <w:tab w:leader="none" w:pos="929" w:val="left"/>
        </w:tabs>
        <w:numPr>
          <w:ilvl w:val="0"/>
          <w:numId w:val="107"/>
        </w:numPr>
        <w:rPr>
          <w:rFonts w:ascii="Arial" w:cs="Arial" w:eastAsia="Arial" w:hAnsi="Arial"/>
          <w:sz w:val="16"/>
          <w:szCs w:val="16"/>
          <w:color w:val="auto"/>
        </w:rPr>
      </w:pPr>
      <w:r>
        <w:rPr>
          <w:rFonts w:ascii="Arial" w:cs="Arial" w:eastAsia="Arial" w:hAnsi="Arial"/>
          <w:sz w:val="16"/>
          <w:szCs w:val="16"/>
          <w:b w:val="1"/>
          <w:bCs w:val="1"/>
          <w:color w:val="auto"/>
        </w:rPr>
        <w:t>Organizational Documents</w:t>
      </w:r>
      <w:r>
        <w:rPr>
          <w:rFonts w:ascii="Arial" w:cs="Arial" w:eastAsia="Arial" w:hAnsi="Arial"/>
          <w:sz w:val="16"/>
          <w:szCs w:val="16"/>
          <w:color w:val="auto"/>
        </w:rPr>
        <w:t>. Agent shall have received (i) a certificate of each Loan Party, dated the Closing Date and executed by a</w:t>
      </w:r>
      <w:r>
        <w:rPr>
          <w:rFonts w:ascii="Arial" w:cs="Arial" w:eastAsia="Arial" w:hAnsi="Arial"/>
          <w:sz w:val="16"/>
          <w:szCs w:val="16"/>
          <w:b w:val="1"/>
          <w:bCs w:val="1"/>
          <w:color w:val="auto"/>
        </w:rPr>
        <w:t xml:space="preserve"> </w:t>
      </w:r>
      <w:r>
        <w:rPr>
          <w:rFonts w:ascii="Arial" w:cs="Arial" w:eastAsia="Arial" w:hAnsi="Arial"/>
          <w:sz w:val="16"/>
          <w:szCs w:val="16"/>
          <w:color w:val="auto"/>
        </w:rPr>
        <w:t>Responsible Officer of such Loan Party, certifying as to and including (A) the Operating Documents of such Loan Party, (B) the relevant board or other applicable resolutions or written consents of such Loan Party adopted by such Loan Party for the purposes of authorizing such Loan Party to enter into and perform the Loan Documents to which such Loan Party is party and (C) the names, titles, and signature specimens of those representatives of such Loan Party who have been authorized by such resolutions and/or written consents to execute Loan Documents on behalf of such Loan Party, and (ii) good standing certificates for each Loan Party from its respective jurisdiction of organization and any other jurisdictions where such Loan Party is qualified to do business where the failure to be so qualified would reasonably be expected to result in a Material Adverse Effect.</w:t>
      </w:r>
    </w:p>
    <w:p>
      <w:pPr>
        <w:spacing w:after="0" w:line="381"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36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Presto Credit Agreement</w:t>
            </w:r>
          </w:p>
        </w:tc>
        <w:tc>
          <w:tcPr>
            <w:tcW w:w="7580" w:type="dxa"/>
            <w:vAlign w:val="bottom"/>
            <w:tcBorders>
              <w:bottom w:val="single" w:sz="8" w:color="auto"/>
            </w:tcBorders>
          </w:tcPr>
          <w:p>
            <w:pPr>
              <w:jc w:val="right"/>
              <w:ind w:right="5430"/>
              <w:spacing w:after="0"/>
              <w:rPr>
                <w:sz w:val="20"/>
                <w:szCs w:val="20"/>
                <w:color w:val="auto"/>
              </w:rPr>
            </w:pPr>
            <w:r>
              <w:rPr>
                <w:rFonts w:ascii="Arial" w:cs="Arial" w:eastAsia="Arial" w:hAnsi="Arial"/>
                <w:sz w:val="18"/>
                <w:szCs w:val="18"/>
                <w:color w:val="auto"/>
              </w:rPr>
              <w:t>33</w:t>
            </w:r>
          </w:p>
        </w:tc>
      </w:tr>
    </w:tbl>
    <w:p>
      <w:pPr>
        <w:sectPr>
          <w:pgSz w:w="11900" w:h="16838" w:orient="portrait"/>
          <w:cols w:equalWidth="0" w:num="1">
            <w:col w:w="11240"/>
          </w:cols>
          <w:pgMar w:left="320" w:top="908" w:right="339" w:bottom="1440" w:gutter="0" w:footer="0" w:header="0"/>
        </w:sectPr>
      </w:pPr>
    </w:p>
    <w:bookmarkStart w:id="120" w:name="page121"/>
    <w:bookmarkEnd w:id="120"/>
    <w:p>
      <w:pPr>
        <w:jc w:val="both"/>
        <w:ind w:firstLine="656"/>
        <w:spacing w:after="0" w:line="293" w:lineRule="auto"/>
        <w:tabs>
          <w:tab w:leader="none" w:pos="911" w:val="left"/>
        </w:tabs>
        <w:numPr>
          <w:ilvl w:val="1"/>
          <w:numId w:val="108"/>
        </w:numPr>
        <w:rPr>
          <w:rFonts w:ascii="Arial" w:cs="Arial" w:eastAsia="Arial" w:hAnsi="Arial"/>
          <w:sz w:val="16"/>
          <w:szCs w:val="16"/>
          <w:color w:val="auto"/>
        </w:rPr>
      </w:pPr>
      <w:r>
        <w:rPr>
          <w:rFonts w:ascii="Arial" w:cs="Arial" w:eastAsia="Arial" w:hAnsi="Arial"/>
          <w:sz w:val="16"/>
          <w:szCs w:val="16"/>
          <w:b w:val="1"/>
          <w:bCs w:val="1"/>
          <w:color w:val="auto"/>
        </w:rPr>
        <w:t xml:space="preserve">Responsible Officer’s Certificates. </w:t>
      </w:r>
      <w:r>
        <w:rPr>
          <w:rFonts w:ascii="Arial" w:cs="Arial" w:eastAsia="Arial" w:hAnsi="Arial"/>
          <w:sz w:val="16"/>
          <w:szCs w:val="16"/>
          <w:color w:val="auto"/>
        </w:rPr>
        <w:t>Agent shall have received a certificate signed by a Responsible Officer of Borrower, dated as of the date</w:t>
      </w:r>
      <w:r>
        <w:rPr>
          <w:rFonts w:ascii="Arial" w:cs="Arial" w:eastAsia="Arial" w:hAnsi="Arial"/>
          <w:sz w:val="16"/>
          <w:szCs w:val="16"/>
          <w:b w:val="1"/>
          <w:bCs w:val="1"/>
          <w:color w:val="auto"/>
        </w:rPr>
        <w:t xml:space="preserve"> </w:t>
      </w:r>
      <w:r>
        <w:rPr>
          <w:rFonts w:ascii="Arial" w:cs="Arial" w:eastAsia="Arial" w:hAnsi="Arial"/>
          <w:sz w:val="16"/>
          <w:szCs w:val="16"/>
          <w:color w:val="auto"/>
        </w:rPr>
        <w:t>hereof, and in form and substance reasonably satisfactory to it, certifying that the conditions specified in clauses (g), (h), (i), (j), (k), (o), (p), (q), (s), (t) and</w:t>
      </w:r>
    </w:p>
    <w:p>
      <w:pPr>
        <w:spacing w:after="0" w:line="1" w:lineRule="exact"/>
        <w:rPr>
          <w:rFonts w:ascii="Arial" w:cs="Arial" w:eastAsia="Arial" w:hAnsi="Arial"/>
          <w:sz w:val="16"/>
          <w:szCs w:val="16"/>
          <w:color w:val="auto"/>
        </w:rPr>
      </w:pPr>
    </w:p>
    <w:p>
      <w:pPr>
        <w:ind w:left="260" w:hanging="252"/>
        <w:spacing w:after="0"/>
        <w:tabs>
          <w:tab w:leader="none" w:pos="26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 xml:space="preserve">of this </w:t>
      </w:r>
      <w:r>
        <w:rPr>
          <w:rFonts w:ascii="Arial" w:cs="Arial" w:eastAsia="Arial" w:hAnsi="Arial"/>
          <w:sz w:val="18"/>
          <w:szCs w:val="18"/>
          <w:u w:val="single" w:color="auto"/>
          <w:color w:val="auto"/>
        </w:rPr>
        <w:t>Section 4.1</w:t>
      </w:r>
      <w:r>
        <w:rPr>
          <w:rFonts w:ascii="Arial" w:cs="Arial" w:eastAsia="Arial" w:hAnsi="Arial"/>
          <w:sz w:val="18"/>
          <w:szCs w:val="18"/>
          <w:color w:val="auto"/>
        </w:rPr>
        <w:t xml:space="preserve"> have been satisfied.</w:t>
      </w:r>
    </w:p>
    <w:p>
      <w:pPr>
        <w:spacing w:after="0" w:line="206" w:lineRule="exact"/>
        <w:rPr>
          <w:rFonts w:ascii="Arial" w:cs="Arial" w:eastAsia="Arial" w:hAnsi="Arial"/>
          <w:sz w:val="18"/>
          <w:szCs w:val="18"/>
          <w:color w:val="auto"/>
        </w:rPr>
      </w:pPr>
    </w:p>
    <w:p>
      <w:pPr>
        <w:jc w:val="both"/>
        <w:ind w:firstLine="656"/>
        <w:spacing w:after="0" w:line="261" w:lineRule="auto"/>
        <w:tabs>
          <w:tab w:leader="none" w:pos="895" w:val="left"/>
        </w:tabs>
        <w:numPr>
          <w:ilvl w:val="1"/>
          <w:numId w:val="109"/>
        </w:numPr>
        <w:rPr>
          <w:rFonts w:ascii="Arial" w:cs="Arial" w:eastAsia="Arial" w:hAnsi="Arial"/>
          <w:sz w:val="18"/>
          <w:szCs w:val="18"/>
          <w:color w:val="auto"/>
        </w:rPr>
      </w:pPr>
      <w:r>
        <w:rPr>
          <w:rFonts w:ascii="Arial" w:cs="Arial" w:eastAsia="Arial" w:hAnsi="Arial"/>
          <w:sz w:val="18"/>
          <w:szCs w:val="18"/>
          <w:b w:val="1"/>
          <w:bCs w:val="1"/>
          <w:color w:val="auto"/>
        </w:rPr>
        <w:t>Patriot Act</w:t>
      </w:r>
      <w:r>
        <w:rPr>
          <w:rFonts w:ascii="Arial" w:cs="Arial" w:eastAsia="Arial" w:hAnsi="Arial"/>
          <w:sz w:val="18"/>
          <w:szCs w:val="18"/>
          <w:color w:val="auto"/>
        </w:rPr>
        <w:t>. Agent shall have received all documentation and other information required by Governmental Authorities under applicable “know</w:t>
      </w:r>
      <w:r>
        <w:rPr>
          <w:rFonts w:ascii="Arial" w:cs="Arial" w:eastAsia="Arial" w:hAnsi="Arial"/>
          <w:sz w:val="18"/>
          <w:szCs w:val="18"/>
          <w:b w:val="1"/>
          <w:bCs w:val="1"/>
          <w:color w:val="auto"/>
        </w:rPr>
        <w:t xml:space="preserve"> </w:t>
      </w:r>
      <w:r>
        <w:rPr>
          <w:rFonts w:ascii="Arial" w:cs="Arial" w:eastAsia="Arial" w:hAnsi="Arial"/>
          <w:sz w:val="18"/>
          <w:szCs w:val="18"/>
          <w:color w:val="auto"/>
        </w:rPr>
        <w:t>your customer” and anti-money- laundering rules and regulations, including the Patriot Act, and if any Borrower qualifies as a “legal entity customer” under the Beneficial Ownership Regulation, a Beneficial Ownership Certification, in each case to the extent reasonably requested in writing at least ten (10) Business Days prior to the Closing Date by Agent.</w:t>
      </w:r>
    </w:p>
    <w:p>
      <w:pPr>
        <w:spacing w:after="0" w:line="179" w:lineRule="exact"/>
        <w:rPr>
          <w:rFonts w:ascii="Arial" w:cs="Arial" w:eastAsia="Arial" w:hAnsi="Arial"/>
          <w:sz w:val="18"/>
          <w:szCs w:val="18"/>
          <w:color w:val="auto"/>
        </w:rPr>
      </w:pPr>
    </w:p>
    <w:p>
      <w:pPr>
        <w:ind w:firstLine="656"/>
        <w:spacing w:after="0" w:line="282" w:lineRule="auto"/>
        <w:tabs>
          <w:tab w:leader="none" w:pos="877" w:val="left"/>
        </w:tabs>
        <w:numPr>
          <w:ilvl w:val="1"/>
          <w:numId w:val="109"/>
        </w:numPr>
        <w:rPr>
          <w:rFonts w:ascii="Arial" w:cs="Arial" w:eastAsia="Arial" w:hAnsi="Arial"/>
          <w:sz w:val="18"/>
          <w:szCs w:val="18"/>
          <w:color w:val="auto"/>
        </w:rPr>
      </w:pPr>
      <w:r>
        <w:rPr>
          <w:rFonts w:ascii="Arial" w:cs="Arial" w:eastAsia="Arial" w:hAnsi="Arial"/>
          <w:sz w:val="18"/>
          <w:szCs w:val="18"/>
          <w:b w:val="1"/>
          <w:bCs w:val="1"/>
          <w:color w:val="auto"/>
        </w:rPr>
        <w:t>Financial Statements and Budget</w:t>
      </w:r>
      <w:r>
        <w:rPr>
          <w:rFonts w:ascii="Arial" w:cs="Arial" w:eastAsia="Arial" w:hAnsi="Arial"/>
          <w:sz w:val="18"/>
          <w:szCs w:val="18"/>
          <w:color w:val="auto"/>
        </w:rPr>
        <w:t>. Agent shall have received a proposed annual budget for the Closing Date through the end of calendar year</w:t>
      </w:r>
      <w:r>
        <w:rPr>
          <w:rFonts w:ascii="Arial" w:cs="Arial" w:eastAsia="Arial" w:hAnsi="Arial"/>
          <w:sz w:val="18"/>
          <w:szCs w:val="18"/>
          <w:b w:val="1"/>
          <w:bCs w:val="1"/>
          <w:color w:val="auto"/>
        </w:rPr>
        <w:t xml:space="preserve"> </w:t>
      </w:r>
      <w:r>
        <w:rPr>
          <w:rFonts w:ascii="Arial" w:cs="Arial" w:eastAsia="Arial" w:hAnsi="Arial"/>
          <w:sz w:val="18"/>
          <w:szCs w:val="18"/>
          <w:color w:val="auto"/>
        </w:rPr>
        <w:t>2023, which shall be in form and substance satisfactory to Agent.</w:t>
      </w:r>
    </w:p>
    <w:p>
      <w:pPr>
        <w:spacing w:after="0" w:line="161" w:lineRule="exact"/>
        <w:rPr>
          <w:rFonts w:ascii="Arial" w:cs="Arial" w:eastAsia="Arial" w:hAnsi="Arial"/>
          <w:sz w:val="18"/>
          <w:szCs w:val="18"/>
          <w:color w:val="auto"/>
        </w:rPr>
      </w:pPr>
    </w:p>
    <w:p>
      <w:pPr>
        <w:ind w:left="920" w:hanging="264"/>
        <w:spacing w:after="0"/>
        <w:tabs>
          <w:tab w:leader="none" w:pos="920" w:val="left"/>
        </w:tabs>
        <w:numPr>
          <w:ilvl w:val="1"/>
          <w:numId w:val="109"/>
        </w:numPr>
        <w:rPr>
          <w:rFonts w:ascii="Arial" w:cs="Arial" w:eastAsia="Arial" w:hAnsi="Arial"/>
          <w:sz w:val="18"/>
          <w:szCs w:val="18"/>
          <w:color w:val="auto"/>
        </w:rPr>
      </w:pPr>
      <w:r>
        <w:rPr>
          <w:rFonts w:ascii="Arial" w:cs="Arial" w:eastAsia="Arial" w:hAnsi="Arial"/>
          <w:sz w:val="18"/>
          <w:szCs w:val="18"/>
          <w:b w:val="1"/>
          <w:bCs w:val="1"/>
          <w:color w:val="auto"/>
        </w:rPr>
        <w:t>SPAC Related Documentation</w:t>
      </w:r>
      <w:r>
        <w:rPr>
          <w:rFonts w:ascii="Arial" w:cs="Arial" w:eastAsia="Arial" w:hAnsi="Arial"/>
          <w:sz w:val="18"/>
          <w:szCs w:val="18"/>
          <w:color w:val="auto"/>
        </w:rPr>
        <w:t>.</w:t>
      </w:r>
    </w:p>
    <w:p>
      <w:pPr>
        <w:spacing w:after="0" w:line="229" w:lineRule="exact"/>
        <w:rPr>
          <w:rFonts w:ascii="Arial" w:cs="Arial" w:eastAsia="Arial" w:hAnsi="Arial"/>
          <w:sz w:val="18"/>
          <w:szCs w:val="18"/>
          <w:color w:val="auto"/>
        </w:rPr>
      </w:pPr>
    </w:p>
    <w:p>
      <w:pPr>
        <w:jc w:val="both"/>
        <w:ind w:left="660" w:firstLine="644"/>
        <w:spacing w:after="0" w:line="263" w:lineRule="auto"/>
        <w:tabs>
          <w:tab w:leader="none" w:pos="1520" w:val="left"/>
        </w:tabs>
        <w:numPr>
          <w:ilvl w:val="2"/>
          <w:numId w:val="109"/>
        </w:numPr>
        <w:rPr>
          <w:rFonts w:ascii="Arial" w:cs="Arial" w:eastAsia="Arial" w:hAnsi="Arial"/>
          <w:sz w:val="18"/>
          <w:szCs w:val="18"/>
          <w:color w:val="auto"/>
        </w:rPr>
      </w:pPr>
      <w:r>
        <w:rPr>
          <w:rFonts w:ascii="Arial" w:cs="Arial" w:eastAsia="Arial" w:hAnsi="Arial"/>
          <w:sz w:val="18"/>
          <w:szCs w:val="18"/>
          <w:color w:val="auto"/>
        </w:rPr>
        <w:t>Agent shall have received true, correct and complete copies of the SPAC Merger Agreement, the SPAC Subscription Agreements, the Sponsor Support Agreement, the Stockholder Support Agreements and any other documents executed in connection with, and all other agreements with any party concerning the SPAC Transaction.</w:t>
      </w:r>
    </w:p>
    <w:p>
      <w:pPr>
        <w:spacing w:after="0" w:line="183" w:lineRule="exact"/>
        <w:rPr>
          <w:rFonts w:ascii="Arial" w:cs="Arial" w:eastAsia="Arial" w:hAnsi="Arial"/>
          <w:sz w:val="18"/>
          <w:szCs w:val="18"/>
          <w:color w:val="auto"/>
        </w:rPr>
      </w:pPr>
    </w:p>
    <w:p>
      <w:pPr>
        <w:ind w:left="660" w:firstLine="644"/>
        <w:spacing w:after="0" w:line="277" w:lineRule="auto"/>
        <w:tabs>
          <w:tab w:leader="none" w:pos="1597" w:val="left"/>
        </w:tabs>
        <w:numPr>
          <w:ilvl w:val="2"/>
          <w:numId w:val="109"/>
        </w:numPr>
        <w:rPr>
          <w:rFonts w:ascii="Arial" w:cs="Arial" w:eastAsia="Arial" w:hAnsi="Arial"/>
          <w:sz w:val="18"/>
          <w:szCs w:val="18"/>
          <w:color w:val="auto"/>
        </w:rPr>
      </w:pPr>
      <w:r>
        <w:rPr>
          <w:rFonts w:ascii="Arial" w:cs="Arial" w:eastAsia="Arial" w:hAnsi="Arial"/>
          <w:sz w:val="18"/>
          <w:szCs w:val="18"/>
          <w:color w:val="auto"/>
        </w:rPr>
        <w:t>Agent shall have received a true, correct and complete copy of the Warrant Agreement, executed and delivered by Parent and Continental Stock Transfer &amp; Trust Company, as Warrant Agent;</w:t>
      </w:r>
    </w:p>
    <w:p>
      <w:pPr>
        <w:spacing w:after="0" w:line="170" w:lineRule="exact"/>
        <w:rPr>
          <w:rFonts w:ascii="Arial" w:cs="Arial" w:eastAsia="Arial" w:hAnsi="Arial"/>
          <w:sz w:val="18"/>
          <w:szCs w:val="18"/>
          <w:color w:val="auto"/>
        </w:rPr>
      </w:pPr>
    </w:p>
    <w:p>
      <w:pPr>
        <w:jc w:val="both"/>
        <w:ind w:left="660" w:firstLine="644"/>
        <w:spacing w:after="0" w:line="263" w:lineRule="auto"/>
        <w:tabs>
          <w:tab w:leader="none" w:pos="1649" w:val="left"/>
        </w:tabs>
        <w:numPr>
          <w:ilvl w:val="2"/>
          <w:numId w:val="109"/>
        </w:numPr>
        <w:rPr>
          <w:rFonts w:ascii="Arial" w:cs="Arial" w:eastAsia="Arial" w:hAnsi="Arial"/>
          <w:sz w:val="18"/>
          <w:szCs w:val="18"/>
          <w:color w:val="auto"/>
        </w:rPr>
      </w:pPr>
      <w:r>
        <w:rPr>
          <w:rFonts w:ascii="Arial" w:cs="Arial" w:eastAsia="Arial" w:hAnsi="Arial"/>
          <w:sz w:val="18"/>
          <w:szCs w:val="18"/>
          <w:color w:val="auto"/>
        </w:rPr>
        <w:t>Agent shall have received true, correct and complete copies of any amendments to (or amended forms of) the SPAC Merger Agreement, the SPAC Subscription Agreements, the Warrant Agreement, the Closing Date Registration Rights Agreement, and any other documents that have been or are to be executed in connection with the SPAC Transaction prior to the Closing Date</w:t>
      </w:r>
    </w:p>
    <w:p>
      <w:pPr>
        <w:spacing w:after="0" w:line="183" w:lineRule="exact"/>
        <w:rPr>
          <w:rFonts w:ascii="Arial" w:cs="Arial" w:eastAsia="Arial" w:hAnsi="Arial"/>
          <w:sz w:val="18"/>
          <w:szCs w:val="18"/>
          <w:color w:val="auto"/>
        </w:rPr>
      </w:pPr>
    </w:p>
    <w:p>
      <w:pPr>
        <w:jc w:val="both"/>
        <w:ind w:left="660" w:firstLine="644"/>
        <w:spacing w:after="0" w:line="259" w:lineRule="auto"/>
        <w:tabs>
          <w:tab w:leader="none" w:pos="1606" w:val="left"/>
        </w:tabs>
        <w:numPr>
          <w:ilvl w:val="2"/>
          <w:numId w:val="109"/>
        </w:numPr>
        <w:rPr>
          <w:rFonts w:ascii="Arial" w:cs="Arial" w:eastAsia="Arial" w:hAnsi="Arial"/>
          <w:sz w:val="18"/>
          <w:szCs w:val="18"/>
          <w:color w:val="auto"/>
        </w:rPr>
      </w:pPr>
      <w:r>
        <w:rPr>
          <w:rFonts w:ascii="Arial" w:cs="Arial" w:eastAsia="Arial" w:hAnsi="Arial"/>
          <w:sz w:val="18"/>
          <w:szCs w:val="18"/>
          <w:color w:val="auto"/>
        </w:rPr>
        <w:t>Agent shall have received any required consents of Parent any other party to any SPAC Subscription Agreement or the SPAC Merger Agreement, and any other participant in the SPAC Transaction, in each case evidencing and consenting to the consummation of the transactions contemplated in this Agreement and the other Loan Documents and which shall each be in form and substance acceptable to Agent in its sole discretion.</w:t>
      </w:r>
    </w:p>
    <w:p>
      <w:pPr>
        <w:spacing w:after="0" w:line="186" w:lineRule="exact"/>
        <w:rPr>
          <w:rFonts w:ascii="Arial" w:cs="Arial" w:eastAsia="Arial" w:hAnsi="Arial"/>
          <w:sz w:val="18"/>
          <w:szCs w:val="18"/>
          <w:color w:val="auto"/>
        </w:rPr>
      </w:pPr>
    </w:p>
    <w:p>
      <w:pPr>
        <w:ind w:left="660" w:firstLine="644"/>
        <w:spacing w:after="0" w:line="342" w:lineRule="auto"/>
        <w:tabs>
          <w:tab w:leader="none" w:pos="1589" w:val="left"/>
        </w:tabs>
        <w:numPr>
          <w:ilvl w:val="2"/>
          <w:numId w:val="109"/>
        </w:numPr>
        <w:rPr>
          <w:rFonts w:ascii="Arial" w:cs="Arial" w:eastAsia="Arial" w:hAnsi="Arial"/>
          <w:sz w:val="16"/>
          <w:szCs w:val="16"/>
          <w:color w:val="auto"/>
        </w:rPr>
      </w:pPr>
      <w:r>
        <w:rPr>
          <w:rFonts w:ascii="Arial" w:cs="Arial" w:eastAsia="Arial" w:hAnsi="Arial"/>
          <w:sz w:val="16"/>
          <w:szCs w:val="16"/>
          <w:color w:val="auto"/>
        </w:rPr>
        <w:t>Each of the SPAC Merger Agreement, the SPAC Subscription Agreements, the Sponsor Support Agreement and the Stockholder Support Agreement shall be in full force and effect, and there shall not be any default or breach by any party thereto then existing.</w:t>
      </w:r>
    </w:p>
    <w:p>
      <w:pPr>
        <w:spacing w:after="0" w:line="340"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36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Presto Credit Agreement</w:t>
            </w:r>
          </w:p>
        </w:tc>
        <w:tc>
          <w:tcPr>
            <w:tcW w:w="7580" w:type="dxa"/>
            <w:vAlign w:val="bottom"/>
            <w:tcBorders>
              <w:bottom w:val="single" w:sz="8" w:color="auto"/>
            </w:tcBorders>
          </w:tcPr>
          <w:p>
            <w:pPr>
              <w:jc w:val="right"/>
              <w:ind w:right="5430"/>
              <w:spacing w:after="0"/>
              <w:rPr>
                <w:sz w:val="20"/>
                <w:szCs w:val="20"/>
                <w:color w:val="auto"/>
              </w:rPr>
            </w:pPr>
            <w:r>
              <w:rPr>
                <w:rFonts w:ascii="Arial" w:cs="Arial" w:eastAsia="Arial" w:hAnsi="Arial"/>
                <w:sz w:val="18"/>
                <w:szCs w:val="18"/>
                <w:color w:val="auto"/>
              </w:rPr>
              <w:t>34</w:t>
            </w:r>
          </w:p>
        </w:tc>
      </w:tr>
    </w:tbl>
    <w:p>
      <w:pPr>
        <w:sectPr>
          <w:pgSz w:w="11900" w:h="16838" w:orient="portrait"/>
          <w:cols w:equalWidth="0" w:num="1">
            <w:col w:w="11240"/>
          </w:cols>
          <w:pgMar w:left="320" w:top="904" w:right="339" w:bottom="1440" w:gutter="0" w:footer="0" w:header="0"/>
        </w:sectPr>
      </w:pPr>
    </w:p>
    <w:bookmarkStart w:id="121" w:name="page122"/>
    <w:bookmarkEnd w:id="121"/>
    <w:p>
      <w:pPr>
        <w:jc w:val="both"/>
        <w:ind w:firstLine="656"/>
        <w:spacing w:after="0" w:line="303" w:lineRule="auto"/>
        <w:tabs>
          <w:tab w:leader="none" w:pos="905" w:val="left"/>
        </w:tabs>
        <w:numPr>
          <w:ilvl w:val="0"/>
          <w:numId w:val="110"/>
        </w:numPr>
        <w:rPr>
          <w:rFonts w:ascii="Arial" w:cs="Arial" w:eastAsia="Arial" w:hAnsi="Arial"/>
          <w:sz w:val="16"/>
          <w:szCs w:val="16"/>
          <w:color w:val="auto"/>
        </w:rPr>
      </w:pPr>
      <w:r>
        <w:rPr>
          <w:rFonts w:ascii="Arial" w:cs="Arial" w:eastAsia="Arial" w:hAnsi="Arial"/>
          <w:sz w:val="16"/>
          <w:szCs w:val="16"/>
          <w:b w:val="1"/>
          <w:bCs w:val="1"/>
          <w:color w:val="auto"/>
        </w:rPr>
        <w:t>SPAC Transaction Closing</w:t>
      </w:r>
      <w:r>
        <w:rPr>
          <w:rFonts w:ascii="Arial" w:cs="Arial" w:eastAsia="Arial" w:hAnsi="Arial"/>
          <w:sz w:val="16"/>
          <w:szCs w:val="16"/>
          <w:color w:val="auto"/>
        </w:rPr>
        <w:t>. The SPAC Transaction set forth in the SPAC Merger Agreement and all conditions precedent to the closing of the</w:t>
      </w:r>
      <w:r>
        <w:rPr>
          <w:rFonts w:ascii="Arial" w:cs="Arial" w:eastAsia="Arial" w:hAnsi="Arial"/>
          <w:sz w:val="16"/>
          <w:szCs w:val="16"/>
          <w:b w:val="1"/>
          <w:bCs w:val="1"/>
          <w:color w:val="auto"/>
        </w:rPr>
        <w:t xml:space="preserve"> </w:t>
      </w:r>
      <w:r>
        <w:rPr>
          <w:rFonts w:ascii="Arial" w:cs="Arial" w:eastAsia="Arial" w:hAnsi="Arial"/>
          <w:sz w:val="16"/>
          <w:szCs w:val="16"/>
          <w:color w:val="auto"/>
        </w:rPr>
        <w:t>PIPE Transactions set forth in the SPAC Subscription Agreements have been satisfied (without any waiver by any party), and the closing of the Term Loan, the transfer of the Founder Shares pursuant to the Founder Shares Transfer Agreement and issuance of the Warrants pursuant to the Warrant Subscription Agreement shall occur concurrently with or immediately following the closing of the SPAC Transaction and the PIPE Transactions.</w:t>
      </w:r>
    </w:p>
    <w:p>
      <w:pPr>
        <w:spacing w:after="0" w:line="150" w:lineRule="exact"/>
        <w:rPr>
          <w:rFonts w:ascii="Arial" w:cs="Arial" w:eastAsia="Arial" w:hAnsi="Arial"/>
          <w:sz w:val="16"/>
          <w:szCs w:val="16"/>
          <w:color w:val="auto"/>
        </w:rPr>
      </w:pPr>
    </w:p>
    <w:p>
      <w:pPr>
        <w:ind w:firstLine="656"/>
        <w:spacing w:after="0" w:line="282" w:lineRule="auto"/>
        <w:tabs>
          <w:tab w:leader="none" w:pos="866" w:val="left"/>
        </w:tabs>
        <w:numPr>
          <w:ilvl w:val="0"/>
          <w:numId w:val="110"/>
        </w:numPr>
        <w:rPr>
          <w:rFonts w:ascii="Arial" w:cs="Arial" w:eastAsia="Arial" w:hAnsi="Arial"/>
          <w:sz w:val="18"/>
          <w:szCs w:val="18"/>
          <w:color w:val="auto"/>
        </w:rPr>
      </w:pPr>
      <w:r>
        <w:rPr>
          <w:rFonts w:ascii="Arial" w:cs="Arial" w:eastAsia="Arial" w:hAnsi="Arial"/>
          <w:sz w:val="18"/>
          <w:szCs w:val="18"/>
          <w:b w:val="1"/>
          <w:bCs w:val="1"/>
          <w:color w:val="auto"/>
        </w:rPr>
        <w:t>PIPE Investment</w:t>
      </w:r>
      <w:r>
        <w:rPr>
          <w:rFonts w:ascii="Arial" w:cs="Arial" w:eastAsia="Arial" w:hAnsi="Arial"/>
          <w:sz w:val="18"/>
          <w:szCs w:val="18"/>
          <w:color w:val="auto"/>
        </w:rPr>
        <w:t>. The closing of a PIPE Transaction by an Affiliate of Cleveland Avenue, LLC in an amount equal to at least $50,000,000, on</w:t>
      </w:r>
      <w:r>
        <w:rPr>
          <w:rFonts w:ascii="Arial" w:cs="Arial" w:eastAsia="Arial" w:hAnsi="Arial"/>
          <w:sz w:val="18"/>
          <w:szCs w:val="18"/>
          <w:b w:val="1"/>
          <w:bCs w:val="1"/>
          <w:color w:val="auto"/>
        </w:rPr>
        <w:t xml:space="preserve"> </w:t>
      </w:r>
      <w:r>
        <w:rPr>
          <w:rFonts w:ascii="Arial" w:cs="Arial" w:eastAsia="Arial" w:hAnsi="Arial"/>
          <w:sz w:val="18"/>
          <w:szCs w:val="18"/>
          <w:color w:val="auto"/>
        </w:rPr>
        <w:t>terms and conditions satisfactory to Agent in its sole discretion.</w:t>
      </w:r>
    </w:p>
    <w:p>
      <w:pPr>
        <w:spacing w:after="0" w:line="161" w:lineRule="exact"/>
        <w:rPr>
          <w:rFonts w:ascii="Arial" w:cs="Arial" w:eastAsia="Arial" w:hAnsi="Arial"/>
          <w:sz w:val="18"/>
          <w:szCs w:val="18"/>
          <w:color w:val="auto"/>
        </w:rPr>
      </w:pPr>
    </w:p>
    <w:p>
      <w:pPr>
        <w:ind w:firstLine="656"/>
        <w:spacing w:after="0" w:line="282" w:lineRule="auto"/>
        <w:tabs>
          <w:tab w:leader="none" w:pos="903" w:val="left"/>
        </w:tabs>
        <w:numPr>
          <w:ilvl w:val="0"/>
          <w:numId w:val="110"/>
        </w:numPr>
        <w:rPr>
          <w:rFonts w:ascii="Arial" w:cs="Arial" w:eastAsia="Arial" w:hAnsi="Arial"/>
          <w:sz w:val="18"/>
          <w:szCs w:val="18"/>
          <w:color w:val="auto"/>
        </w:rPr>
      </w:pPr>
      <w:r>
        <w:rPr>
          <w:rFonts w:ascii="Arial" w:cs="Arial" w:eastAsia="Arial" w:hAnsi="Arial"/>
          <w:sz w:val="18"/>
          <w:szCs w:val="18"/>
          <w:b w:val="1"/>
          <w:bCs w:val="1"/>
          <w:color w:val="auto"/>
        </w:rPr>
        <w:t>Minimum Liquidity</w:t>
      </w:r>
      <w:r>
        <w:rPr>
          <w:rFonts w:ascii="Arial" w:cs="Arial" w:eastAsia="Arial" w:hAnsi="Arial"/>
          <w:sz w:val="18"/>
          <w:szCs w:val="18"/>
          <w:color w:val="auto"/>
        </w:rPr>
        <w:t>. Parent and Borrower shall have at least $50,000,000 of Unrestricted Cash after giving effect to the transactions</w:t>
      </w:r>
      <w:r>
        <w:rPr>
          <w:rFonts w:ascii="Arial" w:cs="Arial" w:eastAsia="Arial" w:hAnsi="Arial"/>
          <w:sz w:val="18"/>
          <w:szCs w:val="18"/>
          <w:b w:val="1"/>
          <w:bCs w:val="1"/>
          <w:color w:val="auto"/>
        </w:rPr>
        <w:t xml:space="preserve"> </w:t>
      </w:r>
      <w:r>
        <w:rPr>
          <w:rFonts w:ascii="Arial" w:cs="Arial" w:eastAsia="Arial" w:hAnsi="Arial"/>
          <w:sz w:val="18"/>
          <w:szCs w:val="18"/>
          <w:color w:val="auto"/>
        </w:rPr>
        <w:t>contemplated by this Agreement.</w:t>
      </w:r>
    </w:p>
    <w:p>
      <w:pPr>
        <w:spacing w:after="0" w:line="161" w:lineRule="exact"/>
        <w:rPr>
          <w:rFonts w:ascii="Arial" w:cs="Arial" w:eastAsia="Arial" w:hAnsi="Arial"/>
          <w:sz w:val="18"/>
          <w:szCs w:val="18"/>
          <w:color w:val="auto"/>
        </w:rPr>
      </w:pPr>
    </w:p>
    <w:p>
      <w:pPr>
        <w:jc w:val="both"/>
        <w:ind w:firstLine="656"/>
        <w:spacing w:after="0" w:line="261" w:lineRule="auto"/>
        <w:tabs>
          <w:tab w:leader="none" w:pos="912" w:val="left"/>
        </w:tabs>
        <w:numPr>
          <w:ilvl w:val="0"/>
          <w:numId w:val="110"/>
        </w:numPr>
        <w:rPr>
          <w:rFonts w:ascii="Arial" w:cs="Arial" w:eastAsia="Arial" w:hAnsi="Arial"/>
          <w:sz w:val="18"/>
          <w:szCs w:val="18"/>
          <w:color w:val="auto"/>
        </w:rPr>
      </w:pPr>
      <w:r>
        <w:rPr>
          <w:rFonts w:ascii="Arial" w:cs="Arial" w:eastAsia="Arial" w:hAnsi="Arial"/>
          <w:sz w:val="18"/>
          <w:szCs w:val="18"/>
          <w:b w:val="1"/>
          <w:bCs w:val="1"/>
          <w:color w:val="auto"/>
        </w:rPr>
        <w:t>Termination of Silver Rock Subscription Agreement</w:t>
      </w:r>
      <w:r>
        <w:rPr>
          <w:rFonts w:ascii="Arial" w:cs="Arial" w:eastAsia="Arial" w:hAnsi="Arial"/>
          <w:sz w:val="18"/>
          <w:szCs w:val="18"/>
          <w:color w:val="auto"/>
        </w:rPr>
        <w:t>. The Agent shall have received written evidence, in form and substance acceptable to</w:t>
      </w:r>
      <w:r>
        <w:rPr>
          <w:rFonts w:ascii="Arial" w:cs="Arial" w:eastAsia="Arial" w:hAnsi="Arial"/>
          <w:sz w:val="18"/>
          <w:szCs w:val="18"/>
          <w:b w:val="1"/>
          <w:bCs w:val="1"/>
          <w:color w:val="auto"/>
        </w:rPr>
        <w:t xml:space="preserve"> </w:t>
      </w:r>
      <w:r>
        <w:rPr>
          <w:rFonts w:ascii="Arial" w:cs="Arial" w:eastAsia="Arial" w:hAnsi="Arial"/>
          <w:sz w:val="18"/>
          <w:szCs w:val="18"/>
          <w:color w:val="auto"/>
        </w:rPr>
        <w:t>Agent, that all obligations of Parent to both Lake Vineyard Fund LP and Silver Rock Empire Fund LP – Series 2022 under that certain Amended and Restated Subscription Agreement, dated as of July 25, 2022 (as amended, restated, supplemented or modified) by and among Holdings, Lake Vineyard Fund LP, Silver Rock Empire Fund LP – Series 2022, and Borrower, have been terminated.</w:t>
      </w:r>
    </w:p>
    <w:p>
      <w:pPr>
        <w:spacing w:after="0" w:line="179" w:lineRule="exact"/>
        <w:rPr>
          <w:rFonts w:ascii="Arial" w:cs="Arial" w:eastAsia="Arial" w:hAnsi="Arial"/>
          <w:sz w:val="18"/>
          <w:szCs w:val="18"/>
          <w:color w:val="auto"/>
        </w:rPr>
      </w:pPr>
    </w:p>
    <w:p>
      <w:pPr>
        <w:ind w:left="880" w:hanging="224"/>
        <w:spacing w:after="0"/>
        <w:tabs>
          <w:tab w:leader="none" w:pos="880" w:val="left"/>
        </w:tabs>
        <w:numPr>
          <w:ilvl w:val="0"/>
          <w:numId w:val="110"/>
        </w:numPr>
        <w:rPr>
          <w:rFonts w:ascii="Arial" w:cs="Arial" w:eastAsia="Arial" w:hAnsi="Arial"/>
          <w:sz w:val="18"/>
          <w:szCs w:val="18"/>
          <w:color w:val="auto"/>
        </w:rPr>
      </w:pPr>
      <w:r>
        <w:rPr>
          <w:rFonts w:ascii="Arial" w:cs="Arial" w:eastAsia="Arial" w:hAnsi="Arial"/>
          <w:sz w:val="18"/>
          <w:szCs w:val="18"/>
          <w:b w:val="1"/>
          <w:bCs w:val="1"/>
          <w:color w:val="auto"/>
        </w:rPr>
        <w:t>Collateral Matters</w:t>
      </w:r>
      <w:r>
        <w:rPr>
          <w:rFonts w:ascii="Arial" w:cs="Arial" w:eastAsia="Arial" w:hAnsi="Arial"/>
          <w:sz w:val="18"/>
          <w:szCs w:val="18"/>
          <w:color w:val="auto"/>
        </w:rPr>
        <w:t>.</w:t>
      </w:r>
    </w:p>
    <w:p>
      <w:pPr>
        <w:spacing w:after="0" w:line="229" w:lineRule="exact"/>
        <w:rPr>
          <w:rFonts w:ascii="Arial" w:cs="Arial" w:eastAsia="Arial" w:hAnsi="Arial"/>
          <w:sz w:val="18"/>
          <w:szCs w:val="18"/>
          <w:color w:val="auto"/>
        </w:rPr>
      </w:pPr>
    </w:p>
    <w:p>
      <w:pPr>
        <w:ind w:left="660" w:firstLine="644"/>
        <w:spacing w:after="0" w:line="342" w:lineRule="auto"/>
        <w:tabs>
          <w:tab w:leader="none" w:pos="1524" w:val="left"/>
        </w:tabs>
        <w:numPr>
          <w:ilvl w:val="1"/>
          <w:numId w:val="110"/>
        </w:numPr>
        <w:rPr>
          <w:rFonts w:ascii="Arial" w:cs="Arial" w:eastAsia="Arial" w:hAnsi="Arial"/>
          <w:sz w:val="16"/>
          <w:szCs w:val="16"/>
          <w:color w:val="auto"/>
        </w:rPr>
      </w:pPr>
      <w:r>
        <w:rPr>
          <w:rFonts w:ascii="Arial" w:cs="Arial" w:eastAsia="Arial" w:hAnsi="Arial"/>
          <w:sz w:val="16"/>
          <w:szCs w:val="16"/>
          <w:u w:val="single" w:color="auto"/>
          <w:color w:val="auto"/>
        </w:rPr>
        <w:t>Lien Searches</w:t>
      </w:r>
      <w:r>
        <w:rPr>
          <w:rFonts w:ascii="Arial" w:cs="Arial" w:eastAsia="Arial" w:hAnsi="Arial"/>
          <w:sz w:val="16"/>
          <w:szCs w:val="16"/>
          <w:color w:val="auto"/>
        </w:rPr>
        <w:t>. Agent shall have received the results of recent lien searches in each of the jurisdictions where any of the Loan Parties is formed or organized or resides, and such searches shall reveal no Liens on any of the assets of the Loan Parties other than Permitted Liens.</w:t>
      </w:r>
    </w:p>
    <w:p>
      <w:pPr>
        <w:spacing w:after="0" w:line="123" w:lineRule="exact"/>
        <w:rPr>
          <w:rFonts w:ascii="Arial" w:cs="Arial" w:eastAsia="Arial" w:hAnsi="Arial"/>
          <w:sz w:val="16"/>
          <w:szCs w:val="16"/>
          <w:color w:val="auto"/>
        </w:rPr>
      </w:pPr>
    </w:p>
    <w:p>
      <w:pPr>
        <w:jc w:val="both"/>
        <w:ind w:left="660" w:firstLine="644"/>
        <w:spacing w:after="0" w:line="279" w:lineRule="auto"/>
        <w:tabs>
          <w:tab w:leader="none" w:pos="1577" w:val="left"/>
        </w:tabs>
        <w:numPr>
          <w:ilvl w:val="1"/>
          <w:numId w:val="110"/>
        </w:numPr>
        <w:rPr>
          <w:rFonts w:ascii="Arial" w:cs="Arial" w:eastAsia="Arial" w:hAnsi="Arial"/>
          <w:sz w:val="17"/>
          <w:szCs w:val="17"/>
          <w:color w:val="auto"/>
        </w:rPr>
      </w:pPr>
      <w:r>
        <w:rPr>
          <w:rFonts w:ascii="Arial" w:cs="Arial" w:eastAsia="Arial" w:hAnsi="Arial"/>
          <w:sz w:val="17"/>
          <w:szCs w:val="17"/>
          <w:u w:val="single" w:color="auto"/>
          <w:color w:val="auto"/>
        </w:rPr>
        <w:t>Filings, Registrations, Recordings, Agreements, Etc</w:t>
      </w:r>
      <w:r>
        <w:rPr>
          <w:rFonts w:ascii="Arial" w:cs="Arial" w:eastAsia="Arial" w:hAnsi="Arial"/>
          <w:sz w:val="17"/>
          <w:szCs w:val="17"/>
          <w:color w:val="auto"/>
        </w:rPr>
        <w:t>. Each document required by the Security Documents or under Law or reasonably requested by Agent to be filed, registered or recorded to create in favor of Agent, a perfected first-priority Lien on the Collateral described therein, prior and superior in right and priority to any Lien in the Collateral held by any other Person (other than with respect to Permitted Liens), shall have been executed and delivered to Agent or, as applicable, be in proper form for filing, registration or recordation.</w:t>
      </w:r>
    </w:p>
    <w:p>
      <w:pPr>
        <w:spacing w:after="0" w:line="167" w:lineRule="exact"/>
        <w:rPr>
          <w:rFonts w:ascii="Arial" w:cs="Arial" w:eastAsia="Arial" w:hAnsi="Arial"/>
          <w:sz w:val="17"/>
          <w:szCs w:val="17"/>
          <w:color w:val="auto"/>
        </w:rPr>
      </w:pPr>
    </w:p>
    <w:p>
      <w:pPr>
        <w:ind w:firstLine="656"/>
        <w:spacing w:after="0" w:line="312" w:lineRule="auto"/>
        <w:tabs>
          <w:tab w:leader="none" w:pos="975" w:val="left"/>
        </w:tabs>
        <w:numPr>
          <w:ilvl w:val="0"/>
          <w:numId w:val="110"/>
        </w:numPr>
        <w:rPr>
          <w:rFonts w:ascii="Arial" w:cs="Arial" w:eastAsia="Arial" w:hAnsi="Arial"/>
          <w:sz w:val="17"/>
          <w:szCs w:val="17"/>
          <w:color w:val="auto"/>
        </w:rPr>
      </w:pPr>
      <w:r>
        <w:rPr>
          <w:rFonts w:ascii="Arial" w:cs="Arial" w:eastAsia="Arial" w:hAnsi="Arial"/>
          <w:sz w:val="17"/>
          <w:szCs w:val="17"/>
          <w:b w:val="1"/>
          <w:bCs w:val="1"/>
          <w:color w:val="auto"/>
        </w:rPr>
        <w:t>Fees</w:t>
      </w:r>
      <w:r>
        <w:rPr>
          <w:rFonts w:ascii="Arial" w:cs="Arial" w:eastAsia="Arial" w:hAnsi="Arial"/>
          <w:sz w:val="17"/>
          <w:szCs w:val="17"/>
          <w:color w:val="auto"/>
        </w:rPr>
        <w:t>. Agent, on behalf of itself and the Lenders, shall have received all fees required to be paid on or prior to the Closing Date, and all</w:t>
      </w:r>
      <w:r>
        <w:rPr>
          <w:rFonts w:ascii="Arial" w:cs="Arial" w:eastAsia="Arial" w:hAnsi="Arial"/>
          <w:sz w:val="17"/>
          <w:szCs w:val="17"/>
          <w:b w:val="1"/>
          <w:bCs w:val="1"/>
          <w:color w:val="auto"/>
        </w:rPr>
        <w:t xml:space="preserve"> </w:t>
      </w:r>
      <w:r>
        <w:rPr>
          <w:rFonts w:ascii="Arial" w:cs="Arial" w:eastAsia="Arial" w:hAnsi="Arial"/>
          <w:sz w:val="17"/>
          <w:szCs w:val="17"/>
          <w:color w:val="auto"/>
        </w:rPr>
        <w:t>reasonable and documented diligence fees and expenses for which invoices have been presented for payment on or before the Closing Date.</w:t>
      </w:r>
    </w:p>
    <w:p>
      <w:pPr>
        <w:spacing w:after="0" w:line="139" w:lineRule="exact"/>
        <w:rPr>
          <w:rFonts w:ascii="Arial" w:cs="Arial" w:eastAsia="Arial" w:hAnsi="Arial"/>
          <w:sz w:val="17"/>
          <w:szCs w:val="17"/>
          <w:color w:val="auto"/>
        </w:rPr>
      </w:pPr>
    </w:p>
    <w:p>
      <w:pPr>
        <w:ind w:firstLine="656"/>
        <w:spacing w:after="0" w:line="282" w:lineRule="auto"/>
        <w:tabs>
          <w:tab w:leader="none" w:pos="925" w:val="left"/>
        </w:tabs>
        <w:numPr>
          <w:ilvl w:val="0"/>
          <w:numId w:val="110"/>
        </w:numPr>
        <w:rPr>
          <w:rFonts w:ascii="Arial" w:cs="Arial" w:eastAsia="Arial" w:hAnsi="Arial"/>
          <w:sz w:val="18"/>
          <w:szCs w:val="18"/>
          <w:color w:val="auto"/>
        </w:rPr>
      </w:pPr>
      <w:r>
        <w:rPr>
          <w:rFonts w:ascii="Arial" w:cs="Arial" w:eastAsia="Arial" w:hAnsi="Arial"/>
          <w:sz w:val="18"/>
          <w:szCs w:val="18"/>
          <w:b w:val="1"/>
          <w:bCs w:val="1"/>
          <w:color w:val="auto"/>
        </w:rPr>
        <w:t>Legal Opinions</w:t>
      </w:r>
      <w:r>
        <w:rPr>
          <w:rFonts w:ascii="Arial" w:cs="Arial" w:eastAsia="Arial" w:hAnsi="Arial"/>
          <w:sz w:val="18"/>
          <w:szCs w:val="18"/>
          <w:color w:val="auto"/>
        </w:rPr>
        <w:t>. Agent shall have received the executed legal opinion of Fenwick &amp; West LLP, counsel to the Loan Parties, in form and</w:t>
      </w:r>
      <w:r>
        <w:rPr>
          <w:rFonts w:ascii="Arial" w:cs="Arial" w:eastAsia="Arial" w:hAnsi="Arial"/>
          <w:sz w:val="18"/>
          <w:szCs w:val="18"/>
          <w:b w:val="1"/>
          <w:bCs w:val="1"/>
          <w:color w:val="auto"/>
        </w:rPr>
        <w:t xml:space="preserve"> </w:t>
      </w:r>
      <w:r>
        <w:rPr>
          <w:rFonts w:ascii="Arial" w:cs="Arial" w:eastAsia="Arial" w:hAnsi="Arial"/>
          <w:sz w:val="18"/>
          <w:szCs w:val="18"/>
          <w:color w:val="auto"/>
        </w:rPr>
        <w:t>substance satisfactory to Agent.</w:t>
      </w:r>
    </w:p>
    <w:p>
      <w:pPr>
        <w:spacing w:after="0" w:line="161" w:lineRule="exact"/>
        <w:rPr>
          <w:rFonts w:ascii="Arial" w:cs="Arial" w:eastAsia="Arial" w:hAnsi="Arial"/>
          <w:sz w:val="18"/>
          <w:szCs w:val="18"/>
          <w:color w:val="auto"/>
        </w:rPr>
      </w:pPr>
    </w:p>
    <w:p>
      <w:pPr>
        <w:ind w:firstLine="656"/>
        <w:spacing w:after="0" w:line="282" w:lineRule="auto"/>
        <w:tabs>
          <w:tab w:leader="none" w:pos="904" w:val="left"/>
        </w:tabs>
        <w:numPr>
          <w:ilvl w:val="0"/>
          <w:numId w:val="110"/>
        </w:numPr>
        <w:rPr>
          <w:rFonts w:ascii="Arial" w:cs="Arial" w:eastAsia="Arial" w:hAnsi="Arial"/>
          <w:sz w:val="18"/>
          <w:szCs w:val="18"/>
          <w:color w:val="auto"/>
        </w:rPr>
      </w:pPr>
      <w:r>
        <w:rPr>
          <w:rFonts w:ascii="Arial" w:cs="Arial" w:eastAsia="Arial" w:hAnsi="Arial"/>
          <w:sz w:val="18"/>
          <w:szCs w:val="18"/>
          <w:b w:val="1"/>
          <w:bCs w:val="1"/>
          <w:color w:val="auto"/>
        </w:rPr>
        <w:t>No Material Adverse Effect</w:t>
      </w:r>
      <w:r>
        <w:rPr>
          <w:rFonts w:ascii="Arial" w:cs="Arial" w:eastAsia="Arial" w:hAnsi="Arial"/>
          <w:sz w:val="18"/>
          <w:szCs w:val="18"/>
          <w:color w:val="auto"/>
        </w:rPr>
        <w:t>. There shall not have occurred since June 30, 2022 any event or circumstance that has had or could be reasonably</w:t>
      </w:r>
      <w:r>
        <w:rPr>
          <w:rFonts w:ascii="Arial" w:cs="Arial" w:eastAsia="Arial" w:hAnsi="Arial"/>
          <w:sz w:val="18"/>
          <w:szCs w:val="18"/>
          <w:b w:val="1"/>
          <w:bCs w:val="1"/>
          <w:color w:val="auto"/>
        </w:rPr>
        <w:t xml:space="preserve"> </w:t>
      </w:r>
      <w:r>
        <w:rPr>
          <w:rFonts w:ascii="Arial" w:cs="Arial" w:eastAsia="Arial" w:hAnsi="Arial"/>
          <w:sz w:val="18"/>
          <w:szCs w:val="18"/>
          <w:color w:val="auto"/>
        </w:rPr>
        <w:t>expected to have, individually or in the aggregate, a Material Adverse Effect.</w:t>
      </w:r>
    </w:p>
    <w:p>
      <w:pPr>
        <w:spacing w:after="0" w:line="382"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36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Presto Credit Agreement</w:t>
            </w:r>
          </w:p>
        </w:tc>
        <w:tc>
          <w:tcPr>
            <w:tcW w:w="7580" w:type="dxa"/>
            <w:vAlign w:val="bottom"/>
            <w:tcBorders>
              <w:bottom w:val="single" w:sz="8" w:color="auto"/>
            </w:tcBorders>
          </w:tcPr>
          <w:p>
            <w:pPr>
              <w:jc w:val="right"/>
              <w:ind w:right="5430"/>
              <w:spacing w:after="0"/>
              <w:rPr>
                <w:sz w:val="20"/>
                <w:szCs w:val="20"/>
                <w:color w:val="auto"/>
              </w:rPr>
            </w:pPr>
            <w:r>
              <w:rPr>
                <w:rFonts w:ascii="Arial" w:cs="Arial" w:eastAsia="Arial" w:hAnsi="Arial"/>
                <w:sz w:val="18"/>
                <w:szCs w:val="18"/>
                <w:color w:val="auto"/>
              </w:rPr>
              <w:t>35</w:t>
            </w:r>
          </w:p>
        </w:tc>
      </w:tr>
    </w:tbl>
    <w:p>
      <w:pPr>
        <w:sectPr>
          <w:pgSz w:w="11900" w:h="16838" w:orient="portrait"/>
          <w:cols w:equalWidth="0" w:num="1">
            <w:col w:w="11240"/>
          </w:cols>
          <w:pgMar w:left="320" w:top="904" w:right="339" w:bottom="1440" w:gutter="0" w:footer="0" w:header="0"/>
        </w:sectPr>
      </w:pPr>
    </w:p>
    <w:bookmarkStart w:id="122" w:name="page123"/>
    <w:bookmarkEnd w:id="122"/>
    <w:p>
      <w:pPr>
        <w:ind w:firstLine="656"/>
        <w:spacing w:after="0" w:line="312" w:lineRule="auto"/>
        <w:tabs>
          <w:tab w:leader="none" w:pos="917" w:val="left"/>
        </w:tabs>
        <w:numPr>
          <w:ilvl w:val="0"/>
          <w:numId w:val="111"/>
        </w:numPr>
        <w:rPr>
          <w:rFonts w:ascii="Arial" w:cs="Arial" w:eastAsia="Arial" w:hAnsi="Arial"/>
          <w:sz w:val="17"/>
          <w:szCs w:val="17"/>
          <w:color w:val="auto"/>
        </w:rPr>
      </w:pPr>
      <w:r>
        <w:rPr>
          <w:rFonts w:ascii="Arial" w:cs="Arial" w:eastAsia="Arial" w:hAnsi="Arial"/>
          <w:sz w:val="17"/>
          <w:szCs w:val="17"/>
          <w:b w:val="1"/>
          <w:bCs w:val="1"/>
          <w:color w:val="auto"/>
        </w:rPr>
        <w:t>No Default</w:t>
      </w:r>
      <w:r>
        <w:rPr>
          <w:rFonts w:ascii="Arial" w:cs="Arial" w:eastAsia="Arial" w:hAnsi="Arial"/>
          <w:sz w:val="17"/>
          <w:szCs w:val="17"/>
          <w:color w:val="auto"/>
        </w:rPr>
        <w:t>. No Default or Event of Default shall have occurred and is continuing or would occur both before and after giving effect to the</w:t>
      </w:r>
      <w:r>
        <w:rPr>
          <w:rFonts w:ascii="Arial" w:cs="Arial" w:eastAsia="Arial" w:hAnsi="Arial"/>
          <w:sz w:val="17"/>
          <w:szCs w:val="17"/>
          <w:b w:val="1"/>
          <w:bCs w:val="1"/>
          <w:color w:val="auto"/>
        </w:rPr>
        <w:t xml:space="preserve"> </w:t>
      </w:r>
      <w:r>
        <w:rPr>
          <w:rFonts w:ascii="Arial" w:cs="Arial" w:eastAsia="Arial" w:hAnsi="Arial"/>
          <w:sz w:val="17"/>
          <w:szCs w:val="17"/>
          <w:color w:val="auto"/>
        </w:rPr>
        <w:t>execution, delivery and performance of the Loan Documents, including without limitation the borrowing of the Term Loan on the Closing Date.</w:t>
      </w:r>
    </w:p>
    <w:p>
      <w:pPr>
        <w:spacing w:after="0" w:line="139" w:lineRule="exact"/>
        <w:rPr>
          <w:rFonts w:ascii="Arial" w:cs="Arial" w:eastAsia="Arial" w:hAnsi="Arial"/>
          <w:sz w:val="17"/>
          <w:szCs w:val="17"/>
          <w:color w:val="auto"/>
        </w:rPr>
      </w:pPr>
    </w:p>
    <w:p>
      <w:pPr>
        <w:jc w:val="both"/>
        <w:ind w:firstLine="656"/>
        <w:spacing w:after="0" w:line="266" w:lineRule="auto"/>
        <w:tabs>
          <w:tab w:leader="none" w:pos="914" w:val="left"/>
        </w:tabs>
        <w:numPr>
          <w:ilvl w:val="0"/>
          <w:numId w:val="111"/>
        </w:numPr>
        <w:rPr>
          <w:rFonts w:ascii="Arial" w:cs="Arial" w:eastAsia="Arial" w:hAnsi="Arial"/>
          <w:sz w:val="18"/>
          <w:szCs w:val="18"/>
          <w:color w:val="auto"/>
        </w:rPr>
      </w:pPr>
      <w:r>
        <w:rPr>
          <w:rFonts w:ascii="Arial" w:cs="Arial" w:eastAsia="Arial" w:hAnsi="Arial"/>
          <w:sz w:val="18"/>
          <w:szCs w:val="18"/>
          <w:b w:val="1"/>
          <w:bCs w:val="1"/>
          <w:color w:val="auto"/>
        </w:rPr>
        <w:t>Representations and Warranties</w:t>
      </w:r>
      <w:r>
        <w:rPr>
          <w:rFonts w:ascii="Arial" w:cs="Arial" w:eastAsia="Arial" w:hAnsi="Arial"/>
          <w:sz w:val="18"/>
          <w:szCs w:val="18"/>
          <w:color w:val="auto"/>
        </w:rPr>
        <w:t>. After giving effect to the execution, delivery and performance of the Loan Documents, including without</w:t>
      </w:r>
      <w:r>
        <w:rPr>
          <w:rFonts w:ascii="Arial" w:cs="Arial" w:eastAsia="Arial" w:hAnsi="Arial"/>
          <w:sz w:val="18"/>
          <w:szCs w:val="18"/>
          <w:b w:val="1"/>
          <w:bCs w:val="1"/>
          <w:color w:val="auto"/>
        </w:rPr>
        <w:t xml:space="preserve"> </w:t>
      </w:r>
      <w:r>
        <w:rPr>
          <w:rFonts w:ascii="Arial" w:cs="Arial" w:eastAsia="Arial" w:hAnsi="Arial"/>
          <w:sz w:val="18"/>
          <w:szCs w:val="18"/>
          <w:color w:val="auto"/>
        </w:rPr>
        <w:t>limitation the borrowing of the Term Loan, each of the representations and warranties made by each Loan Party in or pursuant to any Loan Document shall be true and correct in all respects.</w:t>
      </w:r>
    </w:p>
    <w:p>
      <w:pPr>
        <w:spacing w:after="0" w:line="175" w:lineRule="exact"/>
        <w:rPr>
          <w:rFonts w:ascii="Arial" w:cs="Arial" w:eastAsia="Arial" w:hAnsi="Arial"/>
          <w:sz w:val="18"/>
          <w:szCs w:val="18"/>
          <w:color w:val="auto"/>
        </w:rPr>
      </w:pPr>
    </w:p>
    <w:p>
      <w:pPr>
        <w:jc w:val="both"/>
        <w:ind w:firstLine="656"/>
        <w:spacing w:after="0" w:line="266" w:lineRule="auto"/>
        <w:tabs>
          <w:tab w:leader="none" w:pos="874" w:val="left"/>
        </w:tabs>
        <w:numPr>
          <w:ilvl w:val="0"/>
          <w:numId w:val="111"/>
        </w:numPr>
        <w:rPr>
          <w:rFonts w:ascii="Arial" w:cs="Arial" w:eastAsia="Arial" w:hAnsi="Arial"/>
          <w:sz w:val="18"/>
          <w:szCs w:val="18"/>
          <w:color w:val="auto"/>
        </w:rPr>
      </w:pPr>
      <w:r>
        <w:rPr>
          <w:rFonts w:ascii="Arial" w:cs="Arial" w:eastAsia="Arial" w:hAnsi="Arial"/>
          <w:sz w:val="18"/>
          <w:szCs w:val="18"/>
          <w:b w:val="1"/>
          <w:bCs w:val="1"/>
          <w:color w:val="auto"/>
        </w:rPr>
        <w:t>Solvency</w:t>
      </w:r>
      <w:r>
        <w:rPr>
          <w:rFonts w:ascii="Arial" w:cs="Arial" w:eastAsia="Arial" w:hAnsi="Arial"/>
          <w:sz w:val="18"/>
          <w:szCs w:val="18"/>
          <w:color w:val="auto"/>
        </w:rPr>
        <w:t>. After giving effect to the execution, delivery and performance of the Loan Documents, including without limitation the borrowing of</w:t>
      </w:r>
      <w:r>
        <w:rPr>
          <w:rFonts w:ascii="Arial" w:cs="Arial" w:eastAsia="Arial" w:hAnsi="Arial"/>
          <w:sz w:val="18"/>
          <w:szCs w:val="18"/>
          <w:b w:val="1"/>
          <w:bCs w:val="1"/>
          <w:color w:val="auto"/>
        </w:rPr>
        <w:t xml:space="preserve"> </w:t>
      </w:r>
      <w:r>
        <w:rPr>
          <w:rFonts w:ascii="Arial" w:cs="Arial" w:eastAsia="Arial" w:hAnsi="Arial"/>
          <w:sz w:val="18"/>
          <w:szCs w:val="18"/>
          <w:color w:val="auto"/>
        </w:rPr>
        <w:t>the Term Loan on the Closing Date, the Borrower, individually, and the Loan Parties, taken as a whole, shall be Solvent and Agent shall have received a certificate evidencing the same in form and substance acceptable to Agent in its sole discretion.</w:t>
      </w:r>
    </w:p>
    <w:p>
      <w:pPr>
        <w:spacing w:after="0" w:line="175" w:lineRule="exact"/>
        <w:rPr>
          <w:rFonts w:ascii="Arial" w:cs="Arial" w:eastAsia="Arial" w:hAnsi="Arial"/>
          <w:sz w:val="18"/>
          <w:szCs w:val="18"/>
          <w:color w:val="auto"/>
        </w:rPr>
      </w:pPr>
    </w:p>
    <w:p>
      <w:pPr>
        <w:jc w:val="both"/>
        <w:ind w:firstLine="656"/>
        <w:spacing w:after="0" w:line="266" w:lineRule="auto"/>
        <w:tabs>
          <w:tab w:leader="none" w:pos="903" w:val="left"/>
        </w:tabs>
        <w:numPr>
          <w:ilvl w:val="0"/>
          <w:numId w:val="111"/>
        </w:numPr>
        <w:rPr>
          <w:rFonts w:ascii="Arial" w:cs="Arial" w:eastAsia="Arial" w:hAnsi="Arial"/>
          <w:sz w:val="18"/>
          <w:szCs w:val="18"/>
          <w:color w:val="auto"/>
        </w:rPr>
      </w:pPr>
      <w:r>
        <w:rPr>
          <w:rFonts w:ascii="Arial" w:cs="Arial" w:eastAsia="Arial" w:hAnsi="Arial"/>
          <w:sz w:val="18"/>
          <w:szCs w:val="18"/>
          <w:b w:val="1"/>
          <w:bCs w:val="1"/>
          <w:color w:val="auto"/>
        </w:rPr>
        <w:t>Material Contracts and Consents</w:t>
      </w:r>
      <w:r>
        <w:rPr>
          <w:rFonts w:ascii="Arial" w:cs="Arial" w:eastAsia="Arial" w:hAnsi="Arial"/>
          <w:sz w:val="18"/>
          <w:szCs w:val="18"/>
          <w:color w:val="auto"/>
        </w:rPr>
        <w:t>. Agent shall have received (i) true, correct and complete copies of each Material Contract of Borrower</w:t>
      </w:r>
      <w:r>
        <w:rPr>
          <w:rFonts w:ascii="Arial" w:cs="Arial" w:eastAsia="Arial" w:hAnsi="Arial"/>
          <w:sz w:val="18"/>
          <w:szCs w:val="18"/>
          <w:b w:val="1"/>
          <w:bCs w:val="1"/>
          <w:color w:val="auto"/>
        </w:rPr>
        <w:t xml:space="preserve"> </w:t>
      </w:r>
      <w:r>
        <w:rPr>
          <w:rFonts w:ascii="Arial" w:cs="Arial" w:eastAsia="Arial" w:hAnsi="Arial"/>
          <w:sz w:val="18"/>
          <w:szCs w:val="18"/>
          <w:color w:val="auto"/>
        </w:rPr>
        <w:t>requested by Agent, and any amendments or other modifications thereto, and (ii) all consents required by the Agent to be obtained, or notices required to be delivered, under each Material Contract shall have been delivered or obtained, as applicable.</w:t>
      </w:r>
    </w:p>
    <w:p>
      <w:pPr>
        <w:spacing w:after="0" w:line="175" w:lineRule="exact"/>
        <w:rPr>
          <w:rFonts w:ascii="Arial" w:cs="Arial" w:eastAsia="Arial" w:hAnsi="Arial"/>
          <w:sz w:val="18"/>
          <w:szCs w:val="18"/>
          <w:color w:val="auto"/>
        </w:rPr>
      </w:pPr>
    </w:p>
    <w:p>
      <w:pPr>
        <w:jc w:val="both"/>
        <w:ind w:firstLine="656"/>
        <w:spacing w:after="0" w:line="298" w:lineRule="auto"/>
        <w:tabs>
          <w:tab w:leader="none" w:pos="865" w:val="left"/>
        </w:tabs>
        <w:numPr>
          <w:ilvl w:val="0"/>
          <w:numId w:val="111"/>
        </w:numPr>
        <w:rPr>
          <w:rFonts w:ascii="Arial" w:cs="Arial" w:eastAsia="Arial" w:hAnsi="Arial"/>
          <w:sz w:val="16"/>
          <w:szCs w:val="16"/>
          <w:color w:val="auto"/>
        </w:rPr>
      </w:pPr>
      <w:r>
        <w:rPr>
          <w:rFonts w:ascii="Arial" w:cs="Arial" w:eastAsia="Arial" w:hAnsi="Arial"/>
          <w:sz w:val="16"/>
          <w:szCs w:val="16"/>
          <w:b w:val="1"/>
          <w:bCs w:val="1"/>
          <w:color w:val="auto"/>
        </w:rPr>
        <w:t>No Litigation</w:t>
      </w:r>
      <w:r>
        <w:rPr>
          <w:rFonts w:ascii="Arial" w:cs="Arial" w:eastAsia="Arial" w:hAnsi="Arial"/>
          <w:sz w:val="16"/>
          <w:szCs w:val="16"/>
          <w:color w:val="auto"/>
        </w:rPr>
        <w:t>. No action, suit or proceeding before any Official Body shall have been commenced or threatened in writing, no investigation by</w:t>
      </w:r>
      <w:r>
        <w:rPr>
          <w:rFonts w:ascii="Arial" w:cs="Arial" w:eastAsia="Arial" w:hAnsi="Arial"/>
          <w:sz w:val="16"/>
          <w:szCs w:val="16"/>
          <w:b w:val="1"/>
          <w:bCs w:val="1"/>
          <w:color w:val="auto"/>
        </w:rPr>
        <w:t xml:space="preserve"> </w:t>
      </w:r>
      <w:r>
        <w:rPr>
          <w:rFonts w:ascii="Arial" w:cs="Arial" w:eastAsia="Arial" w:hAnsi="Arial"/>
          <w:sz w:val="16"/>
          <w:szCs w:val="16"/>
          <w:color w:val="auto"/>
        </w:rPr>
        <w:t>any Official Body (including, without limitation, the SEC) shall have been commenced and no action, suit or proceeding by any Official Body shall have been threatened in writing against (i) any Loan Party, the Agent or any Lender seeking to restrain, prevent or change the transactions contemplated hereby or questioning the validity or legality of such transactions or (ii) any Loan Party, Parent or their respective affiliates seeking to restrain, prevent or change the SPAC Transaction (including the SPAC Business Combination or any PIPE Transaction) or questioning the validity or legality of such transaction.</w:t>
      </w:r>
    </w:p>
    <w:p>
      <w:pPr>
        <w:spacing w:after="0" w:line="153" w:lineRule="exact"/>
        <w:rPr>
          <w:rFonts w:ascii="Arial" w:cs="Arial" w:eastAsia="Arial" w:hAnsi="Arial"/>
          <w:sz w:val="16"/>
          <w:szCs w:val="16"/>
          <w:color w:val="auto"/>
        </w:rPr>
      </w:pPr>
    </w:p>
    <w:p>
      <w:pPr>
        <w:ind w:firstLine="656"/>
        <w:spacing w:after="0" w:line="282" w:lineRule="auto"/>
        <w:tabs>
          <w:tab w:leader="none" w:pos="918" w:val="left"/>
        </w:tabs>
        <w:numPr>
          <w:ilvl w:val="0"/>
          <w:numId w:val="111"/>
        </w:numPr>
        <w:rPr>
          <w:rFonts w:ascii="Arial" w:cs="Arial" w:eastAsia="Arial" w:hAnsi="Arial"/>
          <w:sz w:val="18"/>
          <w:szCs w:val="18"/>
          <w:color w:val="auto"/>
        </w:rPr>
      </w:pPr>
      <w:r>
        <w:rPr>
          <w:rFonts w:ascii="Arial" w:cs="Arial" w:eastAsia="Arial" w:hAnsi="Arial"/>
          <w:sz w:val="18"/>
          <w:szCs w:val="18"/>
          <w:b w:val="1"/>
          <w:bCs w:val="1"/>
          <w:color w:val="auto"/>
        </w:rPr>
        <w:t>Prior Debt</w:t>
      </w:r>
      <w:r>
        <w:rPr>
          <w:rFonts w:ascii="Arial" w:cs="Arial" w:eastAsia="Arial" w:hAnsi="Arial"/>
          <w:sz w:val="18"/>
          <w:szCs w:val="18"/>
          <w:color w:val="auto"/>
        </w:rPr>
        <w:t>. Agent shall have received payoff letters, financing statement terminations and other applicable lien release documentation with</w:t>
      </w:r>
      <w:r>
        <w:rPr>
          <w:rFonts w:ascii="Arial" w:cs="Arial" w:eastAsia="Arial" w:hAnsi="Arial"/>
          <w:sz w:val="18"/>
          <w:szCs w:val="18"/>
          <w:b w:val="1"/>
          <w:bCs w:val="1"/>
          <w:color w:val="auto"/>
        </w:rPr>
        <w:t xml:space="preserve"> </w:t>
      </w:r>
      <w:r>
        <w:rPr>
          <w:rFonts w:ascii="Arial" w:cs="Arial" w:eastAsia="Arial" w:hAnsi="Arial"/>
          <w:sz w:val="18"/>
          <w:szCs w:val="18"/>
          <w:color w:val="auto"/>
        </w:rPr>
        <w:t>respect to all Prior Debt of the Loan Parties, in form and substance acceptable to Agent.</w:t>
      </w:r>
    </w:p>
    <w:p>
      <w:pPr>
        <w:spacing w:after="0" w:line="161" w:lineRule="exact"/>
        <w:rPr>
          <w:rFonts w:ascii="Arial" w:cs="Arial" w:eastAsia="Arial" w:hAnsi="Arial"/>
          <w:sz w:val="18"/>
          <w:szCs w:val="18"/>
          <w:color w:val="auto"/>
        </w:rPr>
      </w:pPr>
    </w:p>
    <w:p>
      <w:pPr>
        <w:ind w:firstLine="656"/>
        <w:spacing w:after="0" w:line="282" w:lineRule="auto"/>
        <w:tabs>
          <w:tab w:leader="none" w:pos="907" w:val="left"/>
        </w:tabs>
        <w:numPr>
          <w:ilvl w:val="0"/>
          <w:numId w:val="111"/>
        </w:numPr>
        <w:rPr>
          <w:rFonts w:ascii="Arial" w:cs="Arial" w:eastAsia="Arial" w:hAnsi="Arial"/>
          <w:sz w:val="18"/>
          <w:szCs w:val="18"/>
          <w:color w:val="auto"/>
        </w:rPr>
      </w:pPr>
      <w:r>
        <w:rPr>
          <w:rFonts w:ascii="Arial" w:cs="Arial" w:eastAsia="Arial" w:hAnsi="Arial"/>
          <w:sz w:val="18"/>
          <w:szCs w:val="18"/>
          <w:b w:val="1"/>
          <w:bCs w:val="1"/>
          <w:color w:val="auto"/>
        </w:rPr>
        <w:t>Capitalization</w:t>
      </w:r>
      <w:r>
        <w:rPr>
          <w:rFonts w:ascii="Arial" w:cs="Arial" w:eastAsia="Arial" w:hAnsi="Arial"/>
          <w:sz w:val="18"/>
          <w:szCs w:val="18"/>
          <w:color w:val="auto"/>
        </w:rPr>
        <w:t>. The ownership, capital, corporate, tax, organizational and legal structure and ownership of the Loan Parties upon closing shall</w:t>
      </w:r>
      <w:r>
        <w:rPr>
          <w:rFonts w:ascii="Arial" w:cs="Arial" w:eastAsia="Arial" w:hAnsi="Arial"/>
          <w:sz w:val="18"/>
          <w:szCs w:val="18"/>
          <w:b w:val="1"/>
          <w:bCs w:val="1"/>
          <w:color w:val="auto"/>
        </w:rPr>
        <w:t xml:space="preserve"> </w:t>
      </w:r>
      <w:r>
        <w:rPr>
          <w:rFonts w:ascii="Arial" w:cs="Arial" w:eastAsia="Arial" w:hAnsi="Arial"/>
          <w:sz w:val="18"/>
          <w:szCs w:val="18"/>
          <w:color w:val="auto"/>
        </w:rPr>
        <w:t>be satisfactory to Agent.</w:t>
      </w:r>
    </w:p>
    <w:p>
      <w:pPr>
        <w:spacing w:after="0" w:line="161" w:lineRule="exact"/>
        <w:rPr>
          <w:rFonts w:ascii="Arial" w:cs="Arial" w:eastAsia="Arial" w:hAnsi="Arial"/>
          <w:sz w:val="18"/>
          <w:szCs w:val="18"/>
          <w:color w:val="auto"/>
        </w:rPr>
      </w:pPr>
    </w:p>
    <w:p>
      <w:pPr>
        <w:ind w:left="960" w:hanging="304"/>
        <w:spacing w:after="0"/>
        <w:tabs>
          <w:tab w:leader="none" w:pos="960" w:val="left"/>
        </w:tabs>
        <w:numPr>
          <w:ilvl w:val="0"/>
          <w:numId w:val="111"/>
        </w:numPr>
        <w:rPr>
          <w:rFonts w:ascii="Arial" w:cs="Arial" w:eastAsia="Arial" w:hAnsi="Arial"/>
          <w:sz w:val="18"/>
          <w:szCs w:val="18"/>
          <w:color w:val="auto"/>
        </w:rPr>
      </w:pPr>
      <w:r>
        <w:rPr>
          <w:rFonts w:ascii="Arial" w:cs="Arial" w:eastAsia="Arial" w:hAnsi="Arial"/>
          <w:sz w:val="18"/>
          <w:szCs w:val="18"/>
          <w:b w:val="1"/>
          <w:bCs w:val="1"/>
          <w:color w:val="auto"/>
        </w:rPr>
        <w:t>Notice of Borrowing</w:t>
      </w:r>
      <w:r>
        <w:rPr>
          <w:rFonts w:ascii="Arial" w:cs="Arial" w:eastAsia="Arial" w:hAnsi="Arial"/>
          <w:sz w:val="18"/>
          <w:szCs w:val="18"/>
          <w:color w:val="auto"/>
        </w:rPr>
        <w:t>. Agent shall have received a Notice of Borrowing which complies with the requirements of this Agreement.</w:t>
      </w:r>
    </w:p>
    <w:p>
      <w:pPr>
        <w:spacing w:after="0" w:line="225" w:lineRule="exact"/>
        <w:rPr>
          <w:rFonts w:ascii="Arial" w:cs="Arial" w:eastAsia="Arial" w:hAnsi="Arial"/>
          <w:sz w:val="18"/>
          <w:szCs w:val="18"/>
          <w:color w:val="auto"/>
        </w:rPr>
      </w:pPr>
    </w:p>
    <w:p>
      <w:pPr>
        <w:ind w:firstLine="656"/>
        <w:spacing w:after="0" w:line="282" w:lineRule="auto"/>
        <w:tabs>
          <w:tab w:leader="none" w:pos="928" w:val="left"/>
        </w:tabs>
        <w:numPr>
          <w:ilvl w:val="0"/>
          <w:numId w:val="111"/>
        </w:numPr>
        <w:rPr>
          <w:rFonts w:ascii="Arial" w:cs="Arial" w:eastAsia="Arial" w:hAnsi="Arial"/>
          <w:sz w:val="18"/>
          <w:szCs w:val="18"/>
          <w:color w:val="auto"/>
        </w:rPr>
      </w:pPr>
      <w:r>
        <w:rPr>
          <w:rFonts w:ascii="Arial" w:cs="Arial" w:eastAsia="Arial" w:hAnsi="Arial"/>
          <w:sz w:val="18"/>
          <w:szCs w:val="18"/>
          <w:b w:val="1"/>
          <w:bCs w:val="1"/>
          <w:color w:val="auto"/>
        </w:rPr>
        <w:t>Founder Shares</w:t>
      </w:r>
      <w:r>
        <w:rPr>
          <w:rFonts w:ascii="Arial" w:cs="Arial" w:eastAsia="Arial" w:hAnsi="Arial"/>
          <w:sz w:val="18"/>
          <w:szCs w:val="18"/>
          <w:color w:val="auto"/>
        </w:rPr>
        <w:t>. The Lenders shall have received 600,000 Founder Shares in accordance with the terms of the Founder Shares Transfer</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 with evidence of transfer in form and substance acceptable to Agent.</w:t>
      </w:r>
    </w:p>
    <w:p>
      <w:pPr>
        <w:spacing w:after="0" w:line="161" w:lineRule="exact"/>
        <w:rPr>
          <w:rFonts w:ascii="Arial" w:cs="Arial" w:eastAsia="Arial" w:hAnsi="Arial"/>
          <w:sz w:val="18"/>
          <w:szCs w:val="18"/>
          <w:color w:val="auto"/>
        </w:rPr>
      </w:pPr>
    </w:p>
    <w:p>
      <w:pPr>
        <w:ind w:firstLine="656"/>
        <w:spacing w:after="0" w:line="282" w:lineRule="auto"/>
        <w:tabs>
          <w:tab w:leader="none" w:pos="906" w:val="left"/>
        </w:tabs>
        <w:numPr>
          <w:ilvl w:val="0"/>
          <w:numId w:val="111"/>
        </w:numPr>
        <w:rPr>
          <w:rFonts w:ascii="Arial" w:cs="Arial" w:eastAsia="Arial" w:hAnsi="Arial"/>
          <w:sz w:val="18"/>
          <w:szCs w:val="18"/>
          <w:color w:val="auto"/>
        </w:rPr>
      </w:pPr>
      <w:r>
        <w:rPr>
          <w:rFonts w:ascii="Arial" w:cs="Arial" w:eastAsia="Arial" w:hAnsi="Arial"/>
          <w:sz w:val="18"/>
          <w:szCs w:val="18"/>
          <w:b w:val="1"/>
          <w:bCs w:val="1"/>
          <w:color w:val="auto"/>
        </w:rPr>
        <w:t>Warrants</w:t>
      </w:r>
      <w:r>
        <w:rPr>
          <w:rFonts w:ascii="Arial" w:cs="Arial" w:eastAsia="Arial" w:hAnsi="Arial"/>
          <w:sz w:val="18"/>
          <w:szCs w:val="18"/>
          <w:color w:val="auto"/>
        </w:rPr>
        <w:t>. The Lenders shall have received the 1,500,000 Warrants in accordance with the terms of the Warrant Subscription Agreement, with</w:t>
      </w:r>
      <w:r>
        <w:rPr>
          <w:rFonts w:ascii="Arial" w:cs="Arial" w:eastAsia="Arial" w:hAnsi="Arial"/>
          <w:sz w:val="18"/>
          <w:szCs w:val="18"/>
          <w:b w:val="1"/>
          <w:bCs w:val="1"/>
          <w:color w:val="auto"/>
        </w:rPr>
        <w:t xml:space="preserve"> </w:t>
      </w:r>
      <w:r>
        <w:rPr>
          <w:rFonts w:ascii="Arial" w:cs="Arial" w:eastAsia="Arial" w:hAnsi="Arial"/>
          <w:sz w:val="18"/>
          <w:szCs w:val="18"/>
          <w:color w:val="auto"/>
        </w:rPr>
        <w:t>evidence of issuance in form and substance acceptable to Agent.</w:t>
      </w:r>
    </w:p>
    <w:p>
      <w:pPr>
        <w:spacing w:after="0" w:line="161" w:lineRule="exact"/>
        <w:rPr>
          <w:rFonts w:ascii="Arial" w:cs="Arial" w:eastAsia="Arial" w:hAnsi="Arial"/>
          <w:sz w:val="18"/>
          <w:szCs w:val="18"/>
          <w:color w:val="auto"/>
        </w:rPr>
      </w:pPr>
    </w:p>
    <w:p>
      <w:pPr>
        <w:ind w:firstLine="656"/>
        <w:spacing w:after="0" w:line="282" w:lineRule="auto"/>
        <w:tabs>
          <w:tab w:leader="none" w:pos="911" w:val="left"/>
        </w:tabs>
        <w:numPr>
          <w:ilvl w:val="0"/>
          <w:numId w:val="111"/>
        </w:numPr>
        <w:rPr>
          <w:rFonts w:ascii="Arial" w:cs="Arial" w:eastAsia="Arial" w:hAnsi="Arial"/>
          <w:sz w:val="18"/>
          <w:szCs w:val="18"/>
          <w:color w:val="auto"/>
        </w:rPr>
      </w:pPr>
      <w:r>
        <w:rPr>
          <w:rFonts w:ascii="Arial" w:cs="Arial" w:eastAsia="Arial" w:hAnsi="Arial"/>
          <w:sz w:val="18"/>
          <w:szCs w:val="18"/>
          <w:b w:val="1"/>
          <w:bCs w:val="1"/>
          <w:color w:val="auto"/>
        </w:rPr>
        <w:t>Conversion of Convertible Notes</w:t>
      </w:r>
      <w:r>
        <w:rPr>
          <w:rFonts w:ascii="Arial" w:cs="Arial" w:eastAsia="Arial" w:hAnsi="Arial"/>
          <w:sz w:val="18"/>
          <w:szCs w:val="18"/>
          <w:color w:val="auto"/>
        </w:rPr>
        <w:t>. Agent shall have received evidence that all previously outstanding convertible note Indebtedness of the</w:t>
      </w:r>
      <w:r>
        <w:rPr>
          <w:rFonts w:ascii="Arial" w:cs="Arial" w:eastAsia="Arial" w:hAnsi="Arial"/>
          <w:sz w:val="18"/>
          <w:szCs w:val="18"/>
          <w:b w:val="1"/>
          <w:bCs w:val="1"/>
          <w:color w:val="auto"/>
        </w:rPr>
        <w:t xml:space="preserve"> </w:t>
      </w:r>
      <w:r>
        <w:rPr>
          <w:rFonts w:ascii="Arial" w:cs="Arial" w:eastAsia="Arial" w:hAnsi="Arial"/>
          <w:sz w:val="18"/>
          <w:szCs w:val="18"/>
          <w:color w:val="auto"/>
        </w:rPr>
        <w:t>Loan Parties has been converted to Equity Interests.</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 xml:space="preserve">(aa) </w:t>
      </w:r>
      <w:r>
        <w:rPr>
          <w:rFonts w:ascii="Arial" w:cs="Arial" w:eastAsia="Arial" w:hAnsi="Arial"/>
          <w:sz w:val="16"/>
          <w:szCs w:val="16"/>
          <w:b w:val="1"/>
          <w:bCs w:val="1"/>
          <w:color w:val="auto"/>
        </w:rPr>
        <w:t>Additional Documents</w:t>
      </w:r>
      <w:r>
        <w:rPr>
          <w:rFonts w:ascii="Arial" w:cs="Arial" w:eastAsia="Arial" w:hAnsi="Arial"/>
          <w:sz w:val="16"/>
          <w:szCs w:val="16"/>
          <w:color w:val="auto"/>
        </w:rPr>
        <w:t>. Agent shall have received such other documents, instruments and agreements as Agent deems reasonably necessary.</w:t>
      </w:r>
    </w:p>
    <w:p>
      <w:pPr>
        <w:spacing w:after="0" w:line="25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 xml:space="preserve">The borrowing by the Borrower of the Term Loan on the Closing Date shall constitute a representation and warranty by the Borrower as of the Closing Date, that the conditions contained in this </w:t>
      </w:r>
      <w:r>
        <w:rPr>
          <w:rFonts w:ascii="Arial" w:cs="Arial" w:eastAsia="Arial" w:hAnsi="Arial"/>
          <w:sz w:val="18"/>
          <w:szCs w:val="18"/>
          <w:u w:val="single" w:color="auto"/>
          <w:color w:val="auto"/>
        </w:rPr>
        <w:t>Section 4.1</w:t>
      </w:r>
      <w:r>
        <w:rPr>
          <w:rFonts w:ascii="Arial" w:cs="Arial" w:eastAsia="Arial" w:hAnsi="Arial"/>
          <w:sz w:val="18"/>
          <w:szCs w:val="18"/>
          <w:color w:val="auto"/>
        </w:rPr>
        <w:t xml:space="preserve"> have been satisfied.</w:t>
      </w:r>
    </w:p>
    <w:p>
      <w:pPr>
        <w:spacing w:after="0" w:line="386"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36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Presto Credit Agreement</w:t>
            </w:r>
          </w:p>
        </w:tc>
        <w:tc>
          <w:tcPr>
            <w:tcW w:w="7580" w:type="dxa"/>
            <w:vAlign w:val="bottom"/>
            <w:tcBorders>
              <w:bottom w:val="single" w:sz="8" w:color="auto"/>
            </w:tcBorders>
          </w:tcPr>
          <w:p>
            <w:pPr>
              <w:jc w:val="right"/>
              <w:ind w:right="5430"/>
              <w:spacing w:after="0"/>
              <w:rPr>
                <w:sz w:val="20"/>
                <w:szCs w:val="20"/>
                <w:color w:val="auto"/>
              </w:rPr>
            </w:pPr>
            <w:r>
              <w:rPr>
                <w:rFonts w:ascii="Arial" w:cs="Arial" w:eastAsia="Arial" w:hAnsi="Arial"/>
                <w:sz w:val="18"/>
                <w:szCs w:val="18"/>
                <w:color w:val="auto"/>
              </w:rPr>
              <w:t>36</w:t>
            </w:r>
          </w:p>
        </w:tc>
      </w:tr>
    </w:tbl>
    <w:p>
      <w:pPr>
        <w:sectPr>
          <w:pgSz w:w="11900" w:h="16838" w:orient="portrait"/>
          <w:cols w:equalWidth="0" w:num="1">
            <w:col w:w="11240"/>
          </w:cols>
          <w:pgMar w:left="320" w:top="904" w:right="339" w:bottom="1440" w:gutter="0" w:footer="0" w:header="0"/>
        </w:sectPr>
      </w:pPr>
    </w:p>
    <w:bookmarkStart w:id="123" w:name="page124"/>
    <w:bookmarkEnd w:id="123"/>
    <w:p>
      <w:pPr>
        <w:jc w:val="center"/>
        <w:spacing w:after="0"/>
        <w:rPr>
          <w:sz w:val="20"/>
          <w:szCs w:val="20"/>
          <w:color w:val="auto"/>
        </w:rPr>
      </w:pPr>
      <w:r>
        <w:rPr>
          <w:rFonts w:ascii="Arial" w:cs="Arial" w:eastAsia="Arial" w:hAnsi="Arial"/>
          <w:sz w:val="18"/>
          <w:szCs w:val="18"/>
          <w:color w:val="auto"/>
        </w:rPr>
        <w:t>SECTION 5</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AFFIRMATIVE COVENANTS</w:t>
      </w:r>
    </w:p>
    <w:p>
      <w:pPr>
        <w:spacing w:after="0" w:line="211"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Each Loan Party, on its own behalf and on behalf of its Subsidiaries hereby agrees that, until the Term Loan Commitment has been terminated and the Obligations have been paid in full in cash (other than inchoate indemnification obligations for which no claim has been asserted) and unless otherwise specified:</w:t>
      </w:r>
    </w:p>
    <w:p>
      <w:pPr>
        <w:spacing w:after="0" w:line="180"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5.1 Financial Statements. </w:t>
      </w:r>
      <w:r>
        <w:rPr>
          <w:rFonts w:ascii="Arial" w:cs="Arial" w:eastAsia="Arial" w:hAnsi="Arial"/>
          <w:sz w:val="18"/>
          <w:szCs w:val="18"/>
          <w:color w:val="auto"/>
        </w:rPr>
        <w:t>The Borrower shall:</w:t>
      </w:r>
    </w:p>
    <w:p>
      <w:pPr>
        <w:spacing w:after="0" w:line="229" w:lineRule="exact"/>
        <w:rPr>
          <w:sz w:val="20"/>
          <w:szCs w:val="20"/>
          <w:color w:val="auto"/>
        </w:rPr>
      </w:pPr>
    </w:p>
    <w:p>
      <w:pPr>
        <w:jc w:val="both"/>
        <w:ind w:firstLine="656"/>
        <w:spacing w:after="0" w:line="269" w:lineRule="auto"/>
        <w:tabs>
          <w:tab w:leader="none" w:pos="933" w:val="left"/>
        </w:tabs>
        <w:numPr>
          <w:ilvl w:val="0"/>
          <w:numId w:val="112"/>
        </w:numPr>
        <w:rPr>
          <w:rFonts w:ascii="Arial" w:cs="Arial" w:eastAsia="Arial" w:hAnsi="Arial"/>
          <w:sz w:val="17"/>
          <w:szCs w:val="17"/>
          <w:color w:val="auto"/>
        </w:rPr>
      </w:pPr>
      <w:r>
        <w:rPr>
          <w:rFonts w:ascii="Arial" w:cs="Arial" w:eastAsia="Arial" w:hAnsi="Arial"/>
          <w:sz w:val="17"/>
          <w:szCs w:val="17"/>
          <w:color w:val="auto"/>
        </w:rPr>
        <w:t>deliver to Agent (solely to the extent the Agent has delivered written notice to Borrower that it elects to receive material non-public information, and such notice has not been rescinded by Agent by written notice to the Borrower) and to each Lender (solely to the extent such Lender has delivered written notice to Borrower that such Lender elects to receive material non-public information, which notice has not been rescinded by such Lender in writing), as soon as available, but in any event, within ninety (90) days after the end of each Fiscal Year of the Loan Parties, beginning with the Fiscal Year ending June 30, 2023, a copy of the audited consolidated and consolidating balance sheet of the Loan Parties as at the end of such Fiscal Year and the related audited consolidated and consolidating statements of income and of cash flows for such Fiscal Year, setting forth in each case in comparative form the figures for the previous year, reported on without a qualification arising out of the scope of the audit, and which shall state that such financial statements fairly present the financial condition of the Loan Parties as of the dates indicated and the results of their operations and cash flow for the periods indicated in conformity with GAAP, by Moss Adams or such other independent certified public accountants of nationally recognized standing approved by the Agent in its Permitted Discretion;</w:t>
      </w:r>
    </w:p>
    <w:p>
      <w:pPr>
        <w:spacing w:after="0" w:line="185" w:lineRule="exact"/>
        <w:rPr>
          <w:rFonts w:ascii="Arial" w:cs="Arial" w:eastAsia="Arial" w:hAnsi="Arial"/>
          <w:sz w:val="17"/>
          <w:szCs w:val="17"/>
          <w:color w:val="auto"/>
        </w:rPr>
      </w:pPr>
    </w:p>
    <w:p>
      <w:pPr>
        <w:jc w:val="both"/>
        <w:ind w:firstLine="656"/>
        <w:spacing w:after="0" w:line="273" w:lineRule="auto"/>
        <w:tabs>
          <w:tab w:leader="none" w:pos="943" w:val="left"/>
        </w:tabs>
        <w:numPr>
          <w:ilvl w:val="0"/>
          <w:numId w:val="112"/>
        </w:numPr>
        <w:rPr>
          <w:rFonts w:ascii="Arial" w:cs="Arial" w:eastAsia="Arial" w:hAnsi="Arial"/>
          <w:sz w:val="17"/>
          <w:szCs w:val="17"/>
          <w:color w:val="auto"/>
        </w:rPr>
      </w:pPr>
      <w:r>
        <w:rPr>
          <w:rFonts w:ascii="Arial" w:cs="Arial" w:eastAsia="Arial" w:hAnsi="Arial"/>
          <w:sz w:val="17"/>
          <w:szCs w:val="17"/>
          <w:color w:val="auto"/>
        </w:rPr>
        <w:t>deliver to Agent (solely to the extent the Agent has delivered written notice to Borrower that it elects to receive material non-public information, and such notice has not been rescinded by Agent by written notice to the Borrower) and to each Lender (solely to the extent such Lender has delivered written notice to Borrower that such Lender elects to receive material non-public information, which notice has not been rescinded by such Lender in writing) as soon as available, but in any event not later than seventy-five (75) days after the start of each Fiscal Year, forecasts and a pro forma budget on a quarterly basis for such Fiscal Year, containing an income statement, balance sheet, statement of cash flow, and detail (satisfactory to Agent) of the assumptions driving the budget, in each case in form satisfactory to Agent;</w:t>
      </w:r>
    </w:p>
    <w:p>
      <w:pPr>
        <w:spacing w:after="0" w:line="177" w:lineRule="exact"/>
        <w:rPr>
          <w:rFonts w:ascii="Arial" w:cs="Arial" w:eastAsia="Arial" w:hAnsi="Arial"/>
          <w:sz w:val="17"/>
          <w:szCs w:val="17"/>
          <w:color w:val="auto"/>
        </w:rPr>
      </w:pPr>
    </w:p>
    <w:p>
      <w:pPr>
        <w:jc w:val="both"/>
        <w:ind w:firstLine="656"/>
        <w:spacing w:after="0" w:line="255" w:lineRule="auto"/>
        <w:tabs>
          <w:tab w:leader="none" w:pos="914" w:val="left"/>
        </w:tabs>
        <w:numPr>
          <w:ilvl w:val="0"/>
          <w:numId w:val="112"/>
        </w:numPr>
        <w:rPr>
          <w:rFonts w:ascii="Arial" w:cs="Arial" w:eastAsia="Arial" w:hAnsi="Arial"/>
          <w:sz w:val="18"/>
          <w:szCs w:val="18"/>
          <w:color w:val="auto"/>
        </w:rPr>
      </w:pPr>
      <w:r>
        <w:rPr>
          <w:rFonts w:ascii="Arial" w:cs="Arial" w:eastAsia="Arial" w:hAnsi="Arial"/>
          <w:sz w:val="18"/>
          <w:szCs w:val="18"/>
          <w:color w:val="auto"/>
        </w:rPr>
        <w:t>deliver to Agent and to each Lender (solely to the extent such Lender has delivered written notice to Borrower that such Lender elects to receive material non-public information, which notice has not been rescinded by such Lender in writing), as soon as available, but in any event not later than thirty (30) days after the end of each calendar month beginning with the calendar month ending September 30, 2022 the general ledger for the Borrower’s balance sheet, income statement and cash flow statement, and beginning with the month ending April 30, 2023 a detailed income statement, balance sheet, and cash flow statement and a detailed accounts receivable and accounts payable aging statement as of the last day of the applicable period, in form and detail acceptable to the Agent;</w:t>
      </w:r>
    </w:p>
    <w:p>
      <w:pPr>
        <w:spacing w:after="0" w:line="192" w:lineRule="exact"/>
        <w:rPr>
          <w:rFonts w:ascii="Arial" w:cs="Arial" w:eastAsia="Arial" w:hAnsi="Arial"/>
          <w:sz w:val="18"/>
          <w:szCs w:val="18"/>
          <w:color w:val="auto"/>
        </w:rPr>
      </w:pPr>
    </w:p>
    <w:p>
      <w:pPr>
        <w:jc w:val="both"/>
        <w:ind w:firstLine="656"/>
        <w:spacing w:after="0" w:line="269" w:lineRule="auto"/>
        <w:tabs>
          <w:tab w:leader="none" w:pos="914" w:val="left"/>
        </w:tabs>
        <w:numPr>
          <w:ilvl w:val="0"/>
          <w:numId w:val="112"/>
        </w:numPr>
        <w:rPr>
          <w:rFonts w:ascii="Arial" w:cs="Arial" w:eastAsia="Arial" w:hAnsi="Arial"/>
          <w:sz w:val="17"/>
          <w:szCs w:val="17"/>
          <w:color w:val="auto"/>
        </w:rPr>
      </w:pPr>
      <w:r>
        <w:rPr>
          <w:rFonts w:ascii="Arial" w:cs="Arial" w:eastAsia="Arial" w:hAnsi="Arial"/>
          <w:sz w:val="17"/>
          <w:szCs w:val="17"/>
          <w:color w:val="auto"/>
        </w:rPr>
        <w:t xml:space="preserve">deliver to Agent and the Lenders, at any time that any Loan Party shall be required to file reports with the SEC pursuant to Section 13(a) or 15(d) of the Exchange Act, promptly upon its becoming available, one copy of each financial statement, report, notice or proxy statement sent by any such Person to stockholders generally, and, a copy of each annual, periodic or current report filed by any such Person with the SEC pursuant to such Sections, and any registration statement, or prospectus in respect thereof, filed by any such Person with any securities exchange or with federal or state securities and exchange commissions or any successor agency;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however, that nothing in this </w:t>
      </w:r>
      <w:r>
        <w:rPr>
          <w:rFonts w:ascii="Arial" w:cs="Arial" w:eastAsia="Arial" w:hAnsi="Arial"/>
          <w:sz w:val="17"/>
          <w:szCs w:val="17"/>
          <w:u w:val="single" w:color="auto"/>
          <w:color w:val="auto"/>
        </w:rPr>
        <w:t>Section 5.1(d)</w:t>
      </w:r>
      <w:r>
        <w:rPr>
          <w:rFonts w:ascii="Arial" w:cs="Arial" w:eastAsia="Arial" w:hAnsi="Arial"/>
          <w:sz w:val="17"/>
          <w:szCs w:val="17"/>
          <w:color w:val="auto"/>
        </w:rPr>
        <w:t xml:space="preserve"> shall require the Borrower or any of its Subsidiaries to make any filing under the Securities Act or the Exchange Act which the Borrower or its Subsidiaries are not otherwise obligated to make; provided further that any financial statements required to be delivered pursuant to this </w:t>
      </w:r>
      <w:r>
        <w:rPr>
          <w:rFonts w:ascii="Arial" w:cs="Arial" w:eastAsia="Arial" w:hAnsi="Arial"/>
          <w:sz w:val="17"/>
          <w:szCs w:val="17"/>
          <w:u w:val="single" w:color="auto"/>
          <w:color w:val="auto"/>
        </w:rPr>
        <w:t>Section 5.1(d)</w:t>
      </w:r>
      <w:r>
        <w:rPr>
          <w:rFonts w:ascii="Arial" w:cs="Arial" w:eastAsia="Arial" w:hAnsi="Arial"/>
          <w:sz w:val="17"/>
          <w:szCs w:val="17"/>
          <w:color w:val="auto"/>
        </w:rPr>
        <w:t xml:space="preserve"> or (to the extent any such documents are included in materials otherwise filed with the SEC) may be delivered electronically and if so delivered, shall be deemed to have been delivered on the date (x) on which the Borrower posts such documents, or provides a link thereto on the Borrower’s website; or (y) on which such documents are posted on the Borrower’s behalf on an Internet or intranet website, if any, to which each Lender has access (whether a commercial, third-party website or whether sponsored by the Agent); and</w:t>
      </w:r>
    </w:p>
    <w:p>
      <w:pPr>
        <w:spacing w:after="0" w:line="398"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36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Presto Credit Agreement</w:t>
            </w:r>
          </w:p>
        </w:tc>
        <w:tc>
          <w:tcPr>
            <w:tcW w:w="7580" w:type="dxa"/>
            <w:vAlign w:val="bottom"/>
            <w:tcBorders>
              <w:bottom w:val="single" w:sz="8" w:color="auto"/>
            </w:tcBorders>
          </w:tcPr>
          <w:p>
            <w:pPr>
              <w:jc w:val="right"/>
              <w:ind w:right="5430"/>
              <w:spacing w:after="0"/>
              <w:rPr>
                <w:sz w:val="20"/>
                <w:szCs w:val="20"/>
                <w:color w:val="auto"/>
              </w:rPr>
            </w:pPr>
            <w:r>
              <w:rPr>
                <w:rFonts w:ascii="Arial" w:cs="Arial" w:eastAsia="Arial" w:hAnsi="Arial"/>
                <w:sz w:val="18"/>
                <w:szCs w:val="18"/>
                <w:color w:val="auto"/>
              </w:rPr>
              <w:t>37</w:t>
            </w:r>
          </w:p>
        </w:tc>
      </w:tr>
    </w:tbl>
    <w:p>
      <w:pPr>
        <w:sectPr>
          <w:pgSz w:w="11900" w:h="16838" w:orient="portrait"/>
          <w:cols w:equalWidth="0" w:num="1">
            <w:col w:w="11240"/>
          </w:cols>
          <w:pgMar w:left="320" w:top="908" w:right="339" w:bottom="1440" w:gutter="0" w:footer="0" w:header="0"/>
        </w:sectPr>
      </w:pPr>
    </w:p>
    <w:bookmarkStart w:id="124" w:name="page125"/>
    <w:bookmarkEnd w:id="124"/>
    <w:p>
      <w:pPr>
        <w:jc w:val="both"/>
        <w:ind w:firstLine="656"/>
        <w:spacing w:after="0" w:line="263" w:lineRule="auto"/>
        <w:tabs>
          <w:tab w:leader="none" w:pos="914" w:val="left"/>
        </w:tabs>
        <w:numPr>
          <w:ilvl w:val="0"/>
          <w:numId w:val="113"/>
        </w:numPr>
        <w:rPr>
          <w:rFonts w:ascii="Arial" w:cs="Arial" w:eastAsia="Arial" w:hAnsi="Arial"/>
          <w:sz w:val="18"/>
          <w:szCs w:val="18"/>
          <w:color w:val="auto"/>
        </w:rPr>
      </w:pPr>
      <w:r>
        <w:rPr>
          <w:rFonts w:ascii="Arial" w:cs="Arial" w:eastAsia="Arial" w:hAnsi="Arial"/>
          <w:sz w:val="18"/>
          <w:szCs w:val="18"/>
          <w:color w:val="auto"/>
        </w:rPr>
        <w:t>deliver to Agent and to each Lender (solely to the extent such Lender has delivered written notice to Borrower that such Lender elects to receive material non-public information, which notice has not been rescinded by such Lender in writing), promptly, such additional information concerning Borrower, its business or its operations as Agent may from time to time reasonably request.</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 xml:space="preserve">All financial statements delivered pursuant to this </w:t>
      </w:r>
      <w:r>
        <w:rPr>
          <w:rFonts w:ascii="Arial" w:cs="Arial" w:eastAsia="Arial" w:hAnsi="Arial"/>
          <w:sz w:val="18"/>
          <w:szCs w:val="18"/>
          <w:u w:val="single" w:color="auto"/>
          <w:color w:val="auto"/>
        </w:rPr>
        <w:t>Section 5.1</w:t>
      </w:r>
      <w:r>
        <w:rPr>
          <w:rFonts w:ascii="Arial" w:cs="Arial" w:eastAsia="Arial" w:hAnsi="Arial"/>
          <w:sz w:val="18"/>
          <w:szCs w:val="18"/>
          <w:color w:val="auto"/>
        </w:rPr>
        <w:t xml:space="preserve"> shall be complete and correct in all material respects and shall be prepared in reasonable detail and in accordance with GAAP applied (except as approved by such accountants or officer, as the case may be, and disclosed in reasonable detail therein) consistently throughout the periods reflected therein and with prior periods.</w:t>
      </w:r>
    </w:p>
    <w:p>
      <w:pPr>
        <w:spacing w:after="0" w:line="180"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5.2 Certificates; Reports; Other Information</w:t>
      </w:r>
      <w:r>
        <w:rPr>
          <w:rFonts w:ascii="Arial" w:cs="Arial" w:eastAsia="Arial" w:hAnsi="Arial"/>
          <w:sz w:val="18"/>
          <w:szCs w:val="18"/>
          <w:color w:val="auto"/>
        </w:rPr>
        <w:t>.</w:t>
      </w:r>
    </w:p>
    <w:p>
      <w:pPr>
        <w:spacing w:after="0" w:line="229" w:lineRule="exact"/>
        <w:rPr>
          <w:sz w:val="20"/>
          <w:szCs w:val="20"/>
          <w:color w:val="auto"/>
        </w:rPr>
      </w:pPr>
    </w:p>
    <w:p>
      <w:pPr>
        <w:jc w:val="both"/>
        <w:ind w:firstLine="656"/>
        <w:spacing w:after="0" w:line="259" w:lineRule="auto"/>
        <w:tabs>
          <w:tab w:leader="none" w:pos="894" w:val="left"/>
        </w:tabs>
        <w:numPr>
          <w:ilvl w:val="0"/>
          <w:numId w:val="114"/>
        </w:numPr>
        <w:rPr>
          <w:rFonts w:ascii="Arial" w:cs="Arial" w:eastAsia="Arial" w:hAnsi="Arial"/>
          <w:sz w:val="18"/>
          <w:szCs w:val="18"/>
          <w:color w:val="auto"/>
        </w:rPr>
      </w:pPr>
      <w:r>
        <w:rPr>
          <w:rFonts w:ascii="Arial" w:cs="Arial" w:eastAsia="Arial" w:hAnsi="Arial"/>
          <w:sz w:val="18"/>
          <w:szCs w:val="18"/>
          <w:color w:val="auto"/>
        </w:rPr>
        <w:t xml:space="preserve">Borrower shall deliver to Agent and to each Lender (solely to the extent such Lender has delivered written notice to Borrower that such Lender elects to receive material non-public information, which notice has not been rescinded by such Lender in writing), concurrently with the delivery of any financial statements pursuant to </w:t>
      </w:r>
      <w:r>
        <w:rPr>
          <w:rFonts w:ascii="Arial" w:cs="Arial" w:eastAsia="Arial" w:hAnsi="Arial"/>
          <w:sz w:val="18"/>
          <w:szCs w:val="18"/>
          <w:u w:val="single" w:color="auto"/>
          <w:color w:val="auto"/>
        </w:rPr>
        <w:t>Section</w:t>
      </w:r>
      <w:r>
        <w:rPr>
          <w:rFonts w:ascii="Arial" w:cs="Arial" w:eastAsia="Arial" w:hAnsi="Arial"/>
          <w:sz w:val="18"/>
          <w:szCs w:val="18"/>
          <w:color w:val="auto"/>
        </w:rPr>
        <w:t xml:space="preserve"> 5.1, a Compliance Certificate executed by a Responsible Officer of each Loan Party for the period ending as of the last day of the calendar month or Fiscal Year of the Loan Parties, as the case may be;</w:t>
      </w:r>
    </w:p>
    <w:p>
      <w:pPr>
        <w:spacing w:after="0" w:line="186" w:lineRule="exact"/>
        <w:rPr>
          <w:rFonts w:ascii="Arial" w:cs="Arial" w:eastAsia="Arial" w:hAnsi="Arial"/>
          <w:sz w:val="18"/>
          <w:szCs w:val="18"/>
          <w:color w:val="auto"/>
        </w:rPr>
      </w:pPr>
    </w:p>
    <w:p>
      <w:pPr>
        <w:jc w:val="both"/>
        <w:ind w:firstLine="656"/>
        <w:spacing w:after="0" w:line="263" w:lineRule="auto"/>
        <w:tabs>
          <w:tab w:leader="none" w:pos="928" w:val="left"/>
        </w:tabs>
        <w:numPr>
          <w:ilvl w:val="0"/>
          <w:numId w:val="114"/>
        </w:numPr>
        <w:rPr>
          <w:rFonts w:ascii="Arial" w:cs="Arial" w:eastAsia="Arial" w:hAnsi="Arial"/>
          <w:sz w:val="18"/>
          <w:szCs w:val="18"/>
          <w:color w:val="auto"/>
        </w:rPr>
      </w:pPr>
      <w:r>
        <w:rPr>
          <w:rFonts w:ascii="Arial" w:cs="Arial" w:eastAsia="Arial" w:hAnsi="Arial"/>
          <w:sz w:val="18"/>
          <w:szCs w:val="18"/>
          <w:color w:val="auto"/>
        </w:rPr>
        <w:t>The Agent shall be provided, so long as the Agent has delivered written notice to Borrower that it elects to receive material non-public information, and such notice has not been rescinded by Agent by written notice to the Borrower, access and monitoring rights with respect to each Deposit Account (including, without limitation, for the avoidance of doubt, each Excluded Deposit Account) of a Loan Party;</w:t>
      </w:r>
    </w:p>
    <w:p>
      <w:pPr>
        <w:spacing w:after="0" w:line="183" w:lineRule="exact"/>
        <w:rPr>
          <w:rFonts w:ascii="Arial" w:cs="Arial" w:eastAsia="Arial" w:hAnsi="Arial"/>
          <w:sz w:val="18"/>
          <w:szCs w:val="18"/>
          <w:color w:val="auto"/>
        </w:rPr>
      </w:pPr>
    </w:p>
    <w:p>
      <w:pPr>
        <w:jc w:val="both"/>
        <w:ind w:firstLine="656"/>
        <w:spacing w:after="0" w:line="275" w:lineRule="auto"/>
        <w:tabs>
          <w:tab w:leader="none" w:pos="899" w:val="left"/>
        </w:tabs>
        <w:numPr>
          <w:ilvl w:val="0"/>
          <w:numId w:val="114"/>
        </w:numPr>
        <w:rPr>
          <w:rFonts w:ascii="Arial" w:cs="Arial" w:eastAsia="Arial" w:hAnsi="Arial"/>
          <w:sz w:val="17"/>
          <w:szCs w:val="17"/>
          <w:color w:val="auto"/>
        </w:rPr>
      </w:pPr>
      <w:r>
        <w:rPr>
          <w:rFonts w:ascii="Arial" w:cs="Arial" w:eastAsia="Arial" w:hAnsi="Arial"/>
          <w:sz w:val="17"/>
          <w:szCs w:val="17"/>
          <w:color w:val="auto"/>
        </w:rPr>
        <w:t>The Loan Parties shall promptly (and in any event within three (3) Business Days following receipt thereof), deliver to Agent (so long as the Agent has delivered written notice to Borrower that it elects to receive material non-public information, and such notice has not been rescinded by Agent by written notice to the Borrower) and to each Lender (solely to the extent such Lender has delivered written notice to Borrower that such Lender elects to receive material non-public information, which notice has not been rescinded by such Lender in writing), copies of all notices and other material communications from or with the SEC or any other Official Body with respect to the SPAC Transaction;</w:t>
      </w:r>
    </w:p>
    <w:p>
      <w:pPr>
        <w:spacing w:after="0" w:line="176" w:lineRule="exact"/>
        <w:rPr>
          <w:rFonts w:ascii="Arial" w:cs="Arial" w:eastAsia="Arial" w:hAnsi="Arial"/>
          <w:sz w:val="17"/>
          <w:szCs w:val="17"/>
          <w:color w:val="auto"/>
        </w:rPr>
      </w:pPr>
    </w:p>
    <w:p>
      <w:pPr>
        <w:jc w:val="both"/>
        <w:ind w:firstLine="656"/>
        <w:spacing w:after="0" w:line="254" w:lineRule="auto"/>
        <w:tabs>
          <w:tab w:leader="none" w:pos="93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The Loan Parties shall promptly upon receipt or delivery thereof deliver to Agent (so long as the Agent has delivered written notice to Borrower that it elects to receive material non-public information, and such notice has not been rescinded by Agent by written notice to the Borrower) and to each Lender (solely to the extent such Lender has delivered written notice to Borrower that such Lender elects to receive material non-public information, which notice has not been rescinded by such Lender in writing), copies of any correspondence with the lender of any PPP Loan, the U.S. Small Business Administration or any other applicable Official Body with respect to such PPP Loan (including any notices of defaults thereunder, any requirement of Loan Party or any affiliate or any shareholder, member or partner of any of the foregoing to make any payment on such PPP Loan and the forgiveness of all or any portion of such PPP Loan, any notice of investigation, request for information or similar communication regarding such PPP Loan, including the incurrence, use, forgiveness thereof);</w:t>
      </w:r>
    </w:p>
    <w:p>
      <w:pPr>
        <w:spacing w:after="0" w:line="191" w:lineRule="exact"/>
        <w:rPr>
          <w:rFonts w:ascii="Arial" w:cs="Arial" w:eastAsia="Arial" w:hAnsi="Arial"/>
          <w:sz w:val="18"/>
          <w:szCs w:val="18"/>
          <w:color w:val="auto"/>
        </w:rPr>
      </w:pPr>
    </w:p>
    <w:p>
      <w:pPr>
        <w:jc w:val="both"/>
        <w:ind w:firstLine="656"/>
        <w:spacing w:after="0" w:line="296" w:lineRule="auto"/>
        <w:tabs>
          <w:tab w:leader="none" w:pos="916" w:val="left"/>
        </w:tabs>
        <w:numPr>
          <w:ilvl w:val="0"/>
          <w:numId w:val="114"/>
        </w:numPr>
        <w:rPr>
          <w:rFonts w:ascii="Arial" w:cs="Arial" w:eastAsia="Arial" w:hAnsi="Arial"/>
          <w:sz w:val="16"/>
          <w:szCs w:val="16"/>
          <w:color w:val="auto"/>
        </w:rPr>
      </w:pPr>
      <w:r>
        <w:rPr>
          <w:rFonts w:ascii="Arial" w:cs="Arial" w:eastAsia="Arial" w:hAnsi="Arial"/>
          <w:sz w:val="16"/>
          <w:szCs w:val="16"/>
          <w:color w:val="auto"/>
        </w:rPr>
        <w:t>Borrower shall deliver on a monthly basis, as soon as available, but in any event not later than forty-five (45) days after the end of each calendar month, beginning with the calendar month ending September 30, 2022, to Agent (so long as the Agent has delivered written notice to Borrower that it elects to receive material non-public information, and such notice has not been rescinded by Agent by written notice to the Borrower) and to each Lender (solely to the extent such Lender has delivered written notice to Borrower that such Lender elects to receive material non-public information, which notice has not been rescinded by such Lender in writing), key performance indicators, including details on paid pilots and the status of conversions;</w:t>
      </w:r>
    </w:p>
    <w:p>
      <w:pPr>
        <w:spacing w:after="0" w:line="161" w:lineRule="exact"/>
        <w:rPr>
          <w:rFonts w:ascii="Arial" w:cs="Arial" w:eastAsia="Arial" w:hAnsi="Arial"/>
          <w:sz w:val="16"/>
          <w:szCs w:val="16"/>
          <w:color w:val="auto"/>
        </w:rPr>
      </w:pPr>
    </w:p>
    <w:p>
      <w:pPr>
        <w:ind w:firstLine="656"/>
        <w:spacing w:after="0" w:line="277" w:lineRule="auto"/>
        <w:tabs>
          <w:tab w:leader="none" w:pos="889" w:val="left"/>
        </w:tabs>
        <w:numPr>
          <w:ilvl w:val="0"/>
          <w:numId w:val="114"/>
        </w:numPr>
        <w:rPr>
          <w:rFonts w:ascii="Arial" w:cs="Arial" w:eastAsia="Arial" w:hAnsi="Arial"/>
          <w:sz w:val="18"/>
          <w:szCs w:val="18"/>
          <w:color w:val="auto"/>
        </w:rPr>
      </w:pPr>
      <w:r>
        <w:rPr>
          <w:rFonts w:ascii="Arial" w:cs="Arial" w:eastAsia="Arial" w:hAnsi="Arial"/>
          <w:sz w:val="18"/>
          <w:szCs w:val="18"/>
          <w:color w:val="auto"/>
        </w:rPr>
        <w:t>Borrower shall make key members of management available to Agent upon Agent’s reasonable written request (which, for the avoidance of doubt, may be by electronic mail) to discuss the financial status and performance of Borrower’s business; and</w:t>
      </w:r>
    </w:p>
    <w:p>
      <w:pPr>
        <w:spacing w:after="0" w:line="170" w:lineRule="exact"/>
        <w:rPr>
          <w:rFonts w:ascii="Arial" w:cs="Arial" w:eastAsia="Arial" w:hAnsi="Arial"/>
          <w:sz w:val="18"/>
          <w:szCs w:val="18"/>
          <w:color w:val="auto"/>
        </w:rPr>
      </w:pPr>
    </w:p>
    <w:p>
      <w:pPr>
        <w:jc w:val="both"/>
        <w:ind w:firstLine="656"/>
        <w:spacing w:after="0" w:line="286" w:lineRule="auto"/>
        <w:tabs>
          <w:tab w:leader="none" w:pos="901" w:val="left"/>
        </w:tabs>
        <w:numPr>
          <w:ilvl w:val="0"/>
          <w:numId w:val="114"/>
        </w:numPr>
        <w:rPr>
          <w:rFonts w:ascii="Arial" w:cs="Arial" w:eastAsia="Arial" w:hAnsi="Arial"/>
          <w:sz w:val="17"/>
          <w:szCs w:val="17"/>
          <w:color w:val="auto"/>
        </w:rPr>
      </w:pPr>
      <w:r>
        <w:rPr>
          <w:rFonts w:ascii="Arial" w:cs="Arial" w:eastAsia="Arial" w:hAnsi="Arial"/>
          <w:sz w:val="17"/>
          <w:szCs w:val="17"/>
          <w:color w:val="auto"/>
        </w:rPr>
        <w:t>The Loan Parties shall promptly deliver to Agent and to each Lender (solely to the extent such Lender has delivered written notice to Borrower that such Lender elects to receive material non-public information, which notice has not been rescinded by such Lender in writing), such additional information concerning any Loan Party, its business or its operations as Agent may from time to time reasonably request.</w:t>
      </w:r>
    </w:p>
    <w:p>
      <w:pPr>
        <w:spacing w:after="0" w:line="381"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36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Presto Credit Agreement</w:t>
            </w:r>
          </w:p>
        </w:tc>
        <w:tc>
          <w:tcPr>
            <w:tcW w:w="7580" w:type="dxa"/>
            <w:vAlign w:val="bottom"/>
            <w:tcBorders>
              <w:bottom w:val="single" w:sz="8" w:color="auto"/>
            </w:tcBorders>
          </w:tcPr>
          <w:p>
            <w:pPr>
              <w:jc w:val="right"/>
              <w:ind w:right="5430"/>
              <w:spacing w:after="0"/>
              <w:rPr>
                <w:sz w:val="20"/>
                <w:szCs w:val="20"/>
                <w:color w:val="auto"/>
              </w:rPr>
            </w:pPr>
            <w:r>
              <w:rPr>
                <w:rFonts w:ascii="Arial" w:cs="Arial" w:eastAsia="Arial" w:hAnsi="Arial"/>
                <w:sz w:val="18"/>
                <w:szCs w:val="18"/>
                <w:color w:val="auto"/>
              </w:rPr>
              <w:t>38</w:t>
            </w:r>
          </w:p>
        </w:tc>
      </w:tr>
    </w:tbl>
    <w:p>
      <w:pPr>
        <w:sectPr>
          <w:pgSz w:w="11900" w:h="16838" w:orient="portrait"/>
          <w:cols w:equalWidth="0" w:num="1">
            <w:col w:w="11240"/>
          </w:cols>
          <w:pgMar w:left="320" w:top="908" w:right="339" w:bottom="1440" w:gutter="0" w:footer="0" w:header="0"/>
        </w:sectPr>
      </w:pPr>
    </w:p>
    <w:bookmarkStart w:id="125" w:name="page126"/>
    <w:bookmarkEnd w:id="125"/>
    <w:p>
      <w:pPr>
        <w:jc w:val="both"/>
        <w:ind w:firstLine="648"/>
        <w:spacing w:after="0" w:line="314" w:lineRule="auto"/>
        <w:rPr>
          <w:sz w:val="20"/>
          <w:szCs w:val="20"/>
          <w:color w:val="auto"/>
        </w:rPr>
      </w:pPr>
      <w:r>
        <w:rPr>
          <w:rFonts w:ascii="Arial" w:cs="Arial" w:eastAsia="Arial" w:hAnsi="Arial"/>
          <w:sz w:val="16"/>
          <w:szCs w:val="16"/>
          <w:b w:val="1"/>
          <w:bCs w:val="1"/>
          <w:color w:val="auto"/>
        </w:rPr>
        <w:t>5.3 Payment of Obligations</w:t>
      </w:r>
      <w:r>
        <w:rPr>
          <w:rFonts w:ascii="Arial" w:cs="Arial" w:eastAsia="Arial" w:hAnsi="Arial"/>
          <w:sz w:val="16"/>
          <w:szCs w:val="16"/>
          <w:color w:val="auto"/>
        </w:rPr>
        <w:t>. Each Loan Party shall pay, discharge or otherwise satisfy at or before maturity or before they become delinquent, as</w:t>
      </w:r>
      <w:r>
        <w:rPr>
          <w:rFonts w:ascii="Arial" w:cs="Arial" w:eastAsia="Arial" w:hAnsi="Arial"/>
          <w:sz w:val="16"/>
          <w:szCs w:val="16"/>
          <w:b w:val="1"/>
          <w:bCs w:val="1"/>
          <w:color w:val="auto"/>
        </w:rPr>
        <w:t xml:space="preserve"> </w:t>
      </w:r>
      <w:r>
        <w:rPr>
          <w:rFonts w:ascii="Arial" w:cs="Arial" w:eastAsia="Arial" w:hAnsi="Arial"/>
          <w:sz w:val="16"/>
          <w:szCs w:val="16"/>
          <w:color w:val="auto"/>
        </w:rPr>
        <w:t>the case may be, all its material obligations of whatever nature, except where the amount or validity thereof is currently being contested in good faith by appropriate proceedings and reserves in conformity with GAAP with respect thereto have been provided on the books of Borrower.</w:t>
      </w:r>
    </w:p>
    <w:p>
      <w:pPr>
        <w:spacing w:after="0" w:line="142"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5.4 Maintenance of Existence; Compliance with Requirements of Law</w:t>
      </w:r>
      <w:r>
        <w:rPr>
          <w:rFonts w:ascii="Arial" w:cs="Arial" w:eastAsia="Arial" w:hAnsi="Arial"/>
          <w:sz w:val="18"/>
          <w:szCs w:val="18"/>
          <w:color w:val="auto"/>
        </w:rPr>
        <w:t>. Each Loan Party shall:</w:t>
      </w:r>
    </w:p>
    <w:p>
      <w:pPr>
        <w:spacing w:after="0" w:line="229" w:lineRule="exact"/>
        <w:rPr>
          <w:sz w:val="20"/>
          <w:szCs w:val="20"/>
          <w:color w:val="auto"/>
        </w:rPr>
      </w:pPr>
    </w:p>
    <w:p>
      <w:pPr>
        <w:jc w:val="both"/>
        <w:ind w:firstLine="656"/>
        <w:spacing w:after="0" w:line="263" w:lineRule="auto"/>
        <w:tabs>
          <w:tab w:leader="none" w:pos="91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(i) Preserve, renew and keep in full force and effect its organizational existence and (ii) take all reasonable action to maintain or obtain all Governmental Approvals and all other rights, privileges and franchises necessary or desirable in the normal conduct of its business, except, in the case of clause (ii) above, to the extent that failure to do so could not reasonably be expected to have a Material Adverse Effect.</w:t>
      </w:r>
    </w:p>
    <w:p>
      <w:pPr>
        <w:spacing w:after="0" w:line="183" w:lineRule="exact"/>
        <w:rPr>
          <w:rFonts w:ascii="Arial" w:cs="Arial" w:eastAsia="Arial" w:hAnsi="Arial"/>
          <w:sz w:val="18"/>
          <w:szCs w:val="18"/>
          <w:color w:val="auto"/>
        </w:rPr>
      </w:pPr>
    </w:p>
    <w:p>
      <w:pPr>
        <w:ind w:firstLine="656"/>
        <w:spacing w:after="0" w:line="277" w:lineRule="auto"/>
        <w:tabs>
          <w:tab w:leader="none" w:pos="914" w:val="left"/>
        </w:tabs>
        <w:numPr>
          <w:ilvl w:val="0"/>
          <w:numId w:val="115"/>
        </w:numPr>
        <w:rPr>
          <w:rFonts w:ascii="Arial" w:cs="Arial" w:eastAsia="Arial" w:hAnsi="Arial"/>
          <w:sz w:val="18"/>
          <w:szCs w:val="18"/>
          <w:color w:val="auto"/>
        </w:rPr>
      </w:pPr>
      <w:r>
        <w:rPr>
          <w:rFonts w:ascii="Arial" w:cs="Arial" w:eastAsia="Arial" w:hAnsi="Arial"/>
          <w:sz w:val="18"/>
          <w:szCs w:val="18"/>
          <w:color w:val="auto"/>
        </w:rPr>
        <w:t>Comply with all Requirements of Law in all material respects and all Contractual Obligations except as would not be expected to result in a Material Adverse Effect.</w:t>
      </w:r>
    </w:p>
    <w:p>
      <w:pPr>
        <w:spacing w:after="0" w:line="170" w:lineRule="exact"/>
        <w:rPr>
          <w:rFonts w:ascii="Arial" w:cs="Arial" w:eastAsia="Arial" w:hAnsi="Arial"/>
          <w:sz w:val="18"/>
          <w:szCs w:val="18"/>
          <w:color w:val="auto"/>
        </w:rPr>
      </w:pPr>
    </w:p>
    <w:p>
      <w:pPr>
        <w:jc w:val="both"/>
        <w:ind w:firstLine="656"/>
        <w:spacing w:after="0" w:line="259" w:lineRule="auto"/>
        <w:tabs>
          <w:tab w:leader="none" w:pos="916" w:val="left"/>
        </w:tabs>
        <w:numPr>
          <w:ilvl w:val="0"/>
          <w:numId w:val="115"/>
        </w:numPr>
        <w:rPr>
          <w:rFonts w:ascii="Arial" w:cs="Arial" w:eastAsia="Arial" w:hAnsi="Arial"/>
          <w:sz w:val="18"/>
          <w:szCs w:val="18"/>
          <w:color w:val="auto"/>
        </w:rPr>
      </w:pPr>
      <w:r>
        <w:rPr>
          <w:rFonts w:ascii="Arial" w:cs="Arial" w:eastAsia="Arial" w:hAnsi="Arial"/>
          <w:sz w:val="18"/>
          <w:szCs w:val="18"/>
          <w:color w:val="auto"/>
        </w:rPr>
        <w:t>Pay all amounts necessary to fund all present pension, profit sharing and deferred compensation plans in accordance with their terms and maintain each “employee benefit plan” (within the meaning of Section 3(3) of ERISA, whether or not subject to ERISA) that is sponsored, contributed to or required to be contributed to by the Borrower, Parent or their respective ERISA Affiliates in compliance in all material respects with the applicable provisions of ERISA, the Code or other Federal or state law.</w:t>
      </w:r>
    </w:p>
    <w:p>
      <w:pPr>
        <w:spacing w:after="0" w:line="183"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5.5 Maintenance of Property; Insurance</w:t>
      </w:r>
      <w:r>
        <w:rPr>
          <w:rFonts w:ascii="Arial" w:cs="Arial" w:eastAsia="Arial" w:hAnsi="Arial"/>
          <w:sz w:val="18"/>
          <w:szCs w:val="18"/>
          <w:color w:val="auto"/>
        </w:rPr>
        <w:t>.</w:t>
      </w:r>
    </w:p>
    <w:p>
      <w:pPr>
        <w:spacing w:after="0" w:line="229" w:lineRule="exact"/>
        <w:rPr>
          <w:sz w:val="20"/>
          <w:szCs w:val="20"/>
          <w:color w:val="auto"/>
        </w:rPr>
      </w:pPr>
    </w:p>
    <w:p>
      <w:pPr>
        <w:ind w:left="920" w:hanging="264"/>
        <w:spacing w:after="0"/>
        <w:tabs>
          <w:tab w:leader="none" w:pos="920" w:val="left"/>
        </w:tabs>
        <w:numPr>
          <w:ilvl w:val="0"/>
          <w:numId w:val="116"/>
        </w:numPr>
        <w:rPr>
          <w:rFonts w:ascii="Arial" w:cs="Arial" w:eastAsia="Arial" w:hAnsi="Arial"/>
          <w:sz w:val="17"/>
          <w:szCs w:val="17"/>
          <w:color w:val="auto"/>
        </w:rPr>
      </w:pPr>
      <w:r>
        <w:rPr>
          <w:rFonts w:ascii="Arial" w:cs="Arial" w:eastAsia="Arial" w:hAnsi="Arial"/>
          <w:sz w:val="17"/>
          <w:szCs w:val="17"/>
          <w:color w:val="auto"/>
        </w:rPr>
        <w:t>Each Loan Party shall keep all property useful and necessary in its business in good working order and condition, ordinary wear and tear</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excepted,</w:t>
      </w:r>
    </w:p>
    <w:p>
      <w:pPr>
        <w:spacing w:after="0" w:line="210" w:lineRule="exact"/>
        <w:rPr>
          <w:rFonts w:ascii="Arial" w:cs="Arial" w:eastAsia="Arial" w:hAnsi="Arial"/>
          <w:sz w:val="17"/>
          <w:szCs w:val="17"/>
          <w:color w:val="auto"/>
        </w:rPr>
      </w:pPr>
    </w:p>
    <w:p>
      <w:pPr>
        <w:jc w:val="both"/>
        <w:ind w:firstLine="656"/>
        <w:spacing w:after="0" w:line="286" w:lineRule="auto"/>
        <w:tabs>
          <w:tab w:leader="none" w:pos="911" w:val="left"/>
        </w:tabs>
        <w:numPr>
          <w:ilvl w:val="0"/>
          <w:numId w:val="116"/>
        </w:numPr>
        <w:rPr>
          <w:rFonts w:ascii="Arial" w:cs="Arial" w:eastAsia="Arial" w:hAnsi="Arial"/>
          <w:sz w:val="16"/>
          <w:szCs w:val="16"/>
          <w:color w:val="auto"/>
        </w:rPr>
      </w:pPr>
      <w:r>
        <w:rPr>
          <w:rFonts w:ascii="Arial" w:cs="Arial" w:eastAsia="Arial" w:hAnsi="Arial"/>
          <w:sz w:val="16"/>
          <w:szCs w:val="16"/>
          <w:color w:val="auto"/>
        </w:rPr>
        <w:t xml:space="preserve">Each Loan Party shall (i) maintain with financially sound and reputable insurance companies insurance on all its property and against at least such risks and, in any case, in at least such amounts as are usually insured against by companies engaged in the same or a similar business as determined by Agent from time to time in its Permitted Discretion, and (ii) subject to </w:t>
      </w:r>
      <w:r>
        <w:rPr>
          <w:rFonts w:ascii="Arial" w:cs="Arial" w:eastAsia="Arial" w:hAnsi="Arial"/>
          <w:sz w:val="16"/>
          <w:szCs w:val="16"/>
          <w:u w:val="single" w:color="auto"/>
          <w:color w:val="auto"/>
        </w:rPr>
        <w:t>Section 5.13</w:t>
      </w:r>
      <w:r>
        <w:rPr>
          <w:rFonts w:ascii="Arial" w:cs="Arial" w:eastAsia="Arial" w:hAnsi="Arial"/>
          <w:sz w:val="16"/>
          <w:szCs w:val="16"/>
          <w:color w:val="auto"/>
        </w:rPr>
        <w:t xml:space="preserve">, cause each issuer of any insurance policy to list each Loan Party and its Subsidiaries as primary insured and provide Agent with an endorsement (x) showing Agent as “lender loss payee” or “Lender loss payable” with respect to each policy of property or casualty insurance and naming Agent as “additional insured” with respect to each policy of liability insurance, as applicable, as its interests may appear, and (y) containing (A) a clause requiring the insurer to give not less than ten (10) days’ prior written notice to Agent, as applicable, in the event of cancellation of the policy for nonpayment of premium and not less than thirty (30) days’ prior written notice to Agent in the event of cancellation of the policy for any other reason whatsoever and (B) a clause specifying that the interest of Agent, as applicable, shall not be impaired or invalidated by any act or neglect of any Loan Party, any of their Subsidiaries or the owner of any property or by the occupation of the premises for purposes more hazardous than are permitted by such policy and (z) reasonably acceptable in all other respects to Agent. All proceeds of business interruption insurance (if any) of the Loan Parties shall be remitted to Agent for application to the outstanding balance of the Term Loan, subject to </w:t>
      </w:r>
      <w:r>
        <w:rPr>
          <w:rFonts w:ascii="Arial" w:cs="Arial" w:eastAsia="Arial" w:hAnsi="Arial"/>
          <w:sz w:val="16"/>
          <w:szCs w:val="16"/>
          <w:u w:val="single" w:color="auto"/>
          <w:color w:val="auto"/>
        </w:rPr>
        <w:t>Section 2.1(c)</w:t>
      </w:r>
      <w:r>
        <w:rPr>
          <w:rFonts w:ascii="Arial" w:cs="Arial" w:eastAsia="Arial" w:hAnsi="Arial"/>
          <w:sz w:val="16"/>
          <w:szCs w:val="16"/>
          <w:color w:val="auto"/>
        </w:rPr>
        <w:t>. If any improvements located upon any property are located in an area identified by the Federal Emergency Management Agency as an area having special flood hazards and in which flood insurance has been made available under the National Flood Insurance Act of 1968 (or any amendment or successor act thereto), then the applicable Loan Party shall maintain, or cause to be maintained, with a financially sound and reputable insurer, flood insurance in an amount sufficient to comply with all applicable rules and regulations promulgated pursuant to such Act.</w:t>
      </w:r>
    </w:p>
    <w:p>
      <w:pPr>
        <w:spacing w:after="0" w:line="167" w:lineRule="exact"/>
        <w:rPr>
          <w:rFonts w:ascii="Arial" w:cs="Arial" w:eastAsia="Arial" w:hAnsi="Arial"/>
          <w:sz w:val="16"/>
          <w:szCs w:val="16"/>
          <w:color w:val="auto"/>
        </w:rPr>
      </w:pPr>
    </w:p>
    <w:p>
      <w:pPr>
        <w:ind w:firstLine="656"/>
        <w:spacing w:after="0" w:line="277" w:lineRule="auto"/>
        <w:tabs>
          <w:tab w:leader="none" w:pos="904" w:val="left"/>
        </w:tabs>
        <w:numPr>
          <w:ilvl w:val="0"/>
          <w:numId w:val="116"/>
        </w:numPr>
        <w:rPr>
          <w:rFonts w:ascii="Arial" w:cs="Arial" w:eastAsia="Arial" w:hAnsi="Arial"/>
          <w:sz w:val="18"/>
          <w:szCs w:val="18"/>
          <w:color w:val="auto"/>
        </w:rPr>
      </w:pPr>
      <w:r>
        <w:rPr>
          <w:rFonts w:ascii="Arial" w:cs="Arial" w:eastAsia="Arial" w:hAnsi="Arial"/>
          <w:sz w:val="18"/>
          <w:szCs w:val="18"/>
          <w:color w:val="auto"/>
        </w:rPr>
        <w:t xml:space="preserve">In addition to the foregoing clause (b), Borrower shall satisfy any other insurance requirements as Agent may reasonably require pursuant to any insurance diligence report delivered pursuant to </w:t>
      </w:r>
      <w:r>
        <w:rPr>
          <w:rFonts w:ascii="Arial" w:cs="Arial" w:eastAsia="Arial" w:hAnsi="Arial"/>
          <w:sz w:val="18"/>
          <w:szCs w:val="18"/>
          <w:u w:val="single" w:color="auto"/>
          <w:color w:val="auto"/>
        </w:rPr>
        <w:t>Section 5.5(d)</w:t>
      </w:r>
      <w:r>
        <w:rPr>
          <w:rFonts w:ascii="Arial" w:cs="Arial" w:eastAsia="Arial" w:hAnsi="Arial"/>
          <w:sz w:val="18"/>
          <w:szCs w:val="18"/>
          <w:color w:val="auto"/>
        </w:rPr>
        <w:t>.</w:t>
      </w:r>
    </w:p>
    <w:p>
      <w:pPr>
        <w:spacing w:after="0" w:line="386"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36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Presto Credit Agreement</w:t>
            </w:r>
          </w:p>
        </w:tc>
        <w:tc>
          <w:tcPr>
            <w:tcW w:w="7580" w:type="dxa"/>
            <w:vAlign w:val="bottom"/>
            <w:tcBorders>
              <w:bottom w:val="single" w:sz="8" w:color="auto"/>
            </w:tcBorders>
          </w:tcPr>
          <w:p>
            <w:pPr>
              <w:jc w:val="right"/>
              <w:ind w:right="5430"/>
              <w:spacing w:after="0"/>
              <w:rPr>
                <w:sz w:val="20"/>
                <w:szCs w:val="20"/>
                <w:color w:val="auto"/>
              </w:rPr>
            </w:pPr>
            <w:r>
              <w:rPr>
                <w:rFonts w:ascii="Arial" w:cs="Arial" w:eastAsia="Arial" w:hAnsi="Arial"/>
                <w:sz w:val="18"/>
                <w:szCs w:val="18"/>
                <w:color w:val="auto"/>
              </w:rPr>
              <w:t>39</w:t>
            </w:r>
          </w:p>
        </w:tc>
      </w:tr>
    </w:tbl>
    <w:p>
      <w:pPr>
        <w:sectPr>
          <w:pgSz w:w="11900" w:h="16838" w:orient="portrait"/>
          <w:cols w:equalWidth="0" w:num="1">
            <w:col w:w="11240"/>
          </w:cols>
          <w:pgMar w:left="320" w:top="904" w:right="339" w:bottom="1440" w:gutter="0" w:footer="0" w:header="0"/>
        </w:sectPr>
      </w:pPr>
    </w:p>
    <w:bookmarkStart w:id="126" w:name="page127"/>
    <w:bookmarkEnd w:id="126"/>
    <w:p>
      <w:pPr>
        <w:jc w:val="both"/>
        <w:ind w:firstLine="656"/>
        <w:spacing w:after="0" w:line="259" w:lineRule="auto"/>
        <w:tabs>
          <w:tab w:leader="none" w:pos="909" w:val="left"/>
        </w:tabs>
        <w:numPr>
          <w:ilvl w:val="0"/>
          <w:numId w:val="117"/>
        </w:numPr>
        <w:rPr>
          <w:rFonts w:ascii="Arial" w:cs="Arial" w:eastAsia="Arial" w:hAnsi="Arial"/>
          <w:sz w:val="18"/>
          <w:szCs w:val="18"/>
          <w:color w:val="auto"/>
        </w:rPr>
      </w:pPr>
      <w:r>
        <w:rPr>
          <w:rFonts w:ascii="Arial" w:cs="Arial" w:eastAsia="Arial" w:hAnsi="Arial"/>
          <w:sz w:val="18"/>
          <w:szCs w:val="18"/>
          <w:color w:val="auto"/>
        </w:rPr>
        <w:t>At reasonable times and upon reasonable notice (provided that no notice is required if an Event of Default has occurred and is continuing), Agent or its agents, shall have the right to conduct a review of the Borrowers’ insurance coverage at the Loan Parties’ expense; provided that, so long as an Event of Default has not occurred and is continuing, in any Fiscal Year, the Loan Parties only shall be responsible for the costs and expenses of one (1) review.</w:t>
      </w:r>
    </w:p>
    <w:p>
      <w:pPr>
        <w:spacing w:after="0" w:line="186" w:lineRule="exact"/>
        <w:rPr>
          <w:rFonts w:ascii="Arial" w:cs="Arial" w:eastAsia="Arial" w:hAnsi="Arial"/>
          <w:sz w:val="18"/>
          <w:szCs w:val="18"/>
          <w:color w:val="auto"/>
        </w:rPr>
      </w:pPr>
    </w:p>
    <w:p>
      <w:pPr>
        <w:jc w:val="both"/>
        <w:ind w:firstLine="656"/>
        <w:spacing w:after="0" w:line="255" w:lineRule="auto"/>
        <w:tabs>
          <w:tab w:leader="none" w:pos="918" w:val="left"/>
        </w:tabs>
        <w:numPr>
          <w:ilvl w:val="0"/>
          <w:numId w:val="117"/>
        </w:numPr>
        <w:rPr>
          <w:rFonts w:ascii="Arial" w:cs="Arial" w:eastAsia="Arial" w:hAnsi="Arial"/>
          <w:sz w:val="18"/>
          <w:szCs w:val="18"/>
          <w:color w:val="auto"/>
        </w:rPr>
      </w:pPr>
      <w:r>
        <w:rPr>
          <w:rFonts w:ascii="Arial" w:cs="Arial" w:eastAsia="Arial" w:hAnsi="Arial"/>
          <w:sz w:val="18"/>
          <w:szCs w:val="18"/>
          <w:color w:val="auto"/>
        </w:rPr>
        <w:t xml:space="preserve">Notwithstanding anything in this Agreement to the contrary, if at any time Agent is not in receipt of written evidence that all policies of insurance required under this </w:t>
      </w:r>
      <w:r>
        <w:rPr>
          <w:rFonts w:ascii="Arial" w:cs="Arial" w:eastAsia="Arial" w:hAnsi="Arial"/>
          <w:sz w:val="18"/>
          <w:szCs w:val="18"/>
          <w:u w:val="single" w:color="auto"/>
          <w:color w:val="auto"/>
        </w:rPr>
        <w:t>Section 5.5</w:t>
      </w:r>
      <w:r>
        <w:rPr>
          <w:rFonts w:ascii="Arial" w:cs="Arial" w:eastAsia="Arial" w:hAnsi="Arial"/>
          <w:sz w:val="18"/>
          <w:szCs w:val="18"/>
          <w:color w:val="auto"/>
        </w:rPr>
        <w:t xml:space="preserve"> are in full force and effect, Agent shall have the right, without written notice to Borrower, to take such action as Agent deems necessary to protect its interest in the Collateral, including the obtaining of such insurance coverage as Agent in its reasonable discretion deems appropriate; all premiums incurred by Agent in connection with such action or in obtaining such insurance and keeping it in effect shall be paid by Borrower to Agent upon demand and, until paid, shall constitute “Obligations” hereunder, shall be secured by the Security Documents and shall bear interest at the Interest Rate plus the Default Rate.</w:t>
      </w:r>
    </w:p>
    <w:p>
      <w:pPr>
        <w:spacing w:after="0" w:line="188"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b w:val="1"/>
          <w:bCs w:val="1"/>
          <w:color w:val="auto"/>
        </w:rPr>
        <w:t>5.6 Inspection of Property; Books and Records; Discussions</w:t>
      </w:r>
      <w:r>
        <w:rPr>
          <w:rFonts w:ascii="Arial" w:cs="Arial" w:eastAsia="Arial" w:hAnsi="Arial"/>
          <w:sz w:val="17"/>
          <w:szCs w:val="17"/>
          <w:color w:val="auto"/>
        </w:rPr>
        <w:t>. Each Loan Party shall (a) keep proper books of records and account in which full,</w:t>
      </w:r>
      <w:r>
        <w:rPr>
          <w:rFonts w:ascii="Arial" w:cs="Arial" w:eastAsia="Arial" w:hAnsi="Arial"/>
          <w:sz w:val="17"/>
          <w:szCs w:val="17"/>
          <w:b w:val="1"/>
          <w:bCs w:val="1"/>
          <w:color w:val="auto"/>
        </w:rPr>
        <w:t xml:space="preserve"> </w:t>
      </w:r>
      <w:r>
        <w:rPr>
          <w:rFonts w:ascii="Arial" w:cs="Arial" w:eastAsia="Arial" w:hAnsi="Arial"/>
          <w:sz w:val="17"/>
          <w:szCs w:val="17"/>
          <w:color w:val="auto"/>
        </w:rPr>
        <w:t>true and correct entries in conformity with GAAP and all Requirements of Law shall be made of all dealings and transactions in relation to its business and activities and (b) permit representatives and independent contractors of Agent and any Lender to visit, inspect and audit any of its properties and examine and make abstracts from any of its books and records at any reasonable time and as often as may reasonably be desired and to discuss the business, operations, properties and financial and other condition of the Loan Parties with officers, directors and employees of Loan Parties and with its independent certified public accountants; provided, so long as an Event of Default has not occurred and is continuing, the Loan Parties shall not be responsible for the costs and expenses of more than two (2) inspections or audits in any Fiscal Year.</w:t>
      </w:r>
    </w:p>
    <w:p>
      <w:pPr>
        <w:spacing w:after="0" w:line="172"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b w:val="1"/>
          <w:bCs w:val="1"/>
          <w:color w:val="auto"/>
        </w:rPr>
        <w:t>5.7 Notices</w:t>
      </w:r>
      <w:r>
        <w:rPr>
          <w:rFonts w:ascii="Arial" w:cs="Arial" w:eastAsia="Arial" w:hAnsi="Arial"/>
          <w:sz w:val="18"/>
          <w:szCs w:val="18"/>
          <w:color w:val="auto"/>
        </w:rPr>
        <w:t>. Each Loan Party shall give prompt written notice (and in no event later than five (5) Business Days (or with respect to</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Sections 5.7(a)</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and </w:t>
      </w:r>
      <w:r>
        <w:rPr>
          <w:rFonts w:ascii="Arial" w:cs="Arial" w:eastAsia="Arial" w:hAnsi="Arial"/>
          <w:sz w:val="18"/>
          <w:szCs w:val="18"/>
          <w:u w:val="single" w:color="auto"/>
          <w:color w:val="auto"/>
        </w:rPr>
        <w:t>(h)</w:t>
      </w:r>
      <w:r>
        <w:rPr>
          <w:rFonts w:ascii="Arial" w:cs="Arial" w:eastAsia="Arial" w:hAnsi="Arial"/>
          <w:sz w:val="18"/>
          <w:szCs w:val="18"/>
          <w:color w:val="auto"/>
        </w:rPr>
        <w:t xml:space="preserve"> below, two (2) Business Days) after such Loan Party knows or should have known of such events) to Agent and to each Lender (solely to the extent such Lender has delivered written notice to Borrower that such Lender elects to receive material non-public information, which notice has not been rescinded by such Lender in writing) of:</w:t>
      </w:r>
    </w:p>
    <w:p>
      <w:pPr>
        <w:spacing w:after="0" w:line="184" w:lineRule="exact"/>
        <w:rPr>
          <w:sz w:val="20"/>
          <w:szCs w:val="20"/>
          <w:color w:val="auto"/>
        </w:rPr>
      </w:pPr>
    </w:p>
    <w:p>
      <w:pPr>
        <w:ind w:firstLine="656"/>
        <w:spacing w:after="0" w:line="277" w:lineRule="auto"/>
        <w:tabs>
          <w:tab w:leader="none" w:pos="902" w:val="left"/>
        </w:tabs>
        <w:numPr>
          <w:ilvl w:val="0"/>
          <w:numId w:val="118"/>
        </w:numPr>
        <w:rPr>
          <w:rFonts w:ascii="Arial" w:cs="Arial" w:eastAsia="Arial" w:hAnsi="Arial"/>
          <w:sz w:val="18"/>
          <w:szCs w:val="18"/>
          <w:color w:val="auto"/>
        </w:rPr>
      </w:pPr>
      <w:r>
        <w:rPr>
          <w:rFonts w:ascii="Arial" w:cs="Arial" w:eastAsia="Arial" w:hAnsi="Arial"/>
          <w:sz w:val="18"/>
          <w:szCs w:val="18"/>
          <w:color w:val="auto"/>
        </w:rPr>
        <w:t>the occurrence of any Default or Event of Default together with a written statement of a Responsible Officer of such Loan Party setting forth the details of such event and the action the Loan Parties propose to take with respect thereto;</w:t>
      </w:r>
    </w:p>
    <w:p>
      <w:pPr>
        <w:spacing w:after="0" w:line="170" w:lineRule="exact"/>
        <w:rPr>
          <w:rFonts w:ascii="Arial" w:cs="Arial" w:eastAsia="Arial" w:hAnsi="Arial"/>
          <w:sz w:val="18"/>
          <w:szCs w:val="18"/>
          <w:color w:val="auto"/>
        </w:rPr>
      </w:pPr>
    </w:p>
    <w:p>
      <w:pPr>
        <w:jc w:val="both"/>
        <w:ind w:firstLine="656"/>
        <w:spacing w:after="0" w:line="263" w:lineRule="auto"/>
        <w:tabs>
          <w:tab w:leader="none" w:pos="917" w:val="left"/>
        </w:tabs>
        <w:numPr>
          <w:ilvl w:val="0"/>
          <w:numId w:val="118"/>
        </w:numPr>
        <w:rPr>
          <w:rFonts w:ascii="Arial" w:cs="Arial" w:eastAsia="Arial" w:hAnsi="Arial"/>
          <w:sz w:val="18"/>
          <w:szCs w:val="18"/>
          <w:color w:val="auto"/>
        </w:rPr>
      </w:pPr>
      <w:r>
        <w:rPr>
          <w:rFonts w:ascii="Arial" w:cs="Arial" w:eastAsia="Arial" w:hAnsi="Arial"/>
          <w:sz w:val="18"/>
          <w:szCs w:val="18"/>
          <w:color w:val="auto"/>
        </w:rPr>
        <w:t>any (i) default or event of default under any Material Contract, the Nirvana Debt, or any Subordinated Indebtedness, (ii) any notice of non-renewal under any Material Contract, (iii) any material change to the terms of any Material Contract that are reasonably expected to result in a decrease of ten percent (10%) or more in revenue to the Loan Parties from such Material Contract;</w:t>
      </w:r>
    </w:p>
    <w:p>
      <w:pPr>
        <w:spacing w:after="0" w:line="183" w:lineRule="exact"/>
        <w:rPr>
          <w:rFonts w:ascii="Arial" w:cs="Arial" w:eastAsia="Arial" w:hAnsi="Arial"/>
          <w:sz w:val="18"/>
          <w:szCs w:val="18"/>
          <w:color w:val="auto"/>
        </w:rPr>
      </w:pPr>
    </w:p>
    <w:p>
      <w:pPr>
        <w:jc w:val="both"/>
        <w:ind w:firstLine="656"/>
        <w:spacing w:after="0" w:line="259" w:lineRule="auto"/>
        <w:tabs>
          <w:tab w:leader="none" w:pos="934" w:val="left"/>
        </w:tabs>
        <w:numPr>
          <w:ilvl w:val="0"/>
          <w:numId w:val="118"/>
        </w:numPr>
        <w:rPr>
          <w:rFonts w:ascii="Arial" w:cs="Arial" w:eastAsia="Arial" w:hAnsi="Arial"/>
          <w:sz w:val="18"/>
          <w:szCs w:val="18"/>
          <w:color w:val="auto"/>
        </w:rPr>
      </w:pPr>
      <w:r>
        <w:rPr>
          <w:rFonts w:ascii="Arial" w:cs="Arial" w:eastAsia="Arial" w:hAnsi="Arial"/>
          <w:sz w:val="18"/>
          <w:szCs w:val="18"/>
          <w:color w:val="auto"/>
        </w:rPr>
        <w:t>any (i) pending or threatened legal action, litigation, suit, investigation, arbitration, dispute resolution proceeding, or administrative or regulatory proceeding that may exist at any time between any Loan Party and any Governmental Authority, or (ii) litigation or proceeding affecting any Loan Party (including any such litigation in which a Loan Party is the plaintiff) in which the amount involved is $1,000,000 or more or which relates to any Loan Document;</w:t>
      </w:r>
    </w:p>
    <w:p>
      <w:pPr>
        <w:spacing w:after="0" w:line="186" w:lineRule="exact"/>
        <w:rPr>
          <w:rFonts w:ascii="Arial" w:cs="Arial" w:eastAsia="Arial" w:hAnsi="Arial"/>
          <w:sz w:val="18"/>
          <w:szCs w:val="18"/>
          <w:color w:val="auto"/>
        </w:rPr>
      </w:pPr>
    </w:p>
    <w:p>
      <w:pPr>
        <w:ind w:left="920" w:hanging="264"/>
        <w:spacing w:after="0"/>
        <w:tabs>
          <w:tab w:leader="none" w:pos="920" w:val="left"/>
        </w:tabs>
        <w:numPr>
          <w:ilvl w:val="0"/>
          <w:numId w:val="118"/>
        </w:numPr>
        <w:rPr>
          <w:rFonts w:ascii="Arial" w:cs="Arial" w:eastAsia="Arial" w:hAnsi="Arial"/>
          <w:sz w:val="17"/>
          <w:szCs w:val="17"/>
          <w:color w:val="auto"/>
        </w:rPr>
      </w:pPr>
      <w:r>
        <w:rPr>
          <w:rFonts w:ascii="Arial" w:cs="Arial" w:eastAsia="Arial" w:hAnsi="Arial"/>
          <w:sz w:val="17"/>
          <w:szCs w:val="17"/>
          <w:color w:val="auto"/>
        </w:rPr>
        <w:t xml:space="preserve">any material change in accounting policies or financial reporting practices by any Loan Party (other than as permitted by </w:t>
      </w:r>
      <w:r>
        <w:rPr>
          <w:rFonts w:ascii="Arial" w:cs="Arial" w:eastAsia="Arial" w:hAnsi="Arial"/>
          <w:sz w:val="17"/>
          <w:szCs w:val="17"/>
          <w:u w:val="single" w:color="auto"/>
          <w:color w:val="auto"/>
        </w:rPr>
        <w:t>Section 1.2(e)</w:t>
      </w:r>
      <w:r>
        <w:rPr>
          <w:rFonts w:ascii="Arial" w:cs="Arial" w:eastAsia="Arial" w:hAnsi="Arial"/>
          <w:sz w:val="17"/>
          <w:szCs w:val="17"/>
          <w:color w:val="auto"/>
        </w:rPr>
        <w:t>);</w:t>
      </w:r>
    </w:p>
    <w:p>
      <w:pPr>
        <w:spacing w:after="0" w:line="236" w:lineRule="exact"/>
        <w:rPr>
          <w:rFonts w:ascii="Arial" w:cs="Arial" w:eastAsia="Arial" w:hAnsi="Arial"/>
          <w:sz w:val="17"/>
          <w:szCs w:val="17"/>
          <w:color w:val="auto"/>
        </w:rPr>
      </w:pPr>
    </w:p>
    <w:p>
      <w:pPr>
        <w:ind w:firstLine="656"/>
        <w:spacing w:after="0" w:line="277" w:lineRule="auto"/>
        <w:tabs>
          <w:tab w:leader="none" w:pos="923" w:val="left"/>
        </w:tabs>
        <w:numPr>
          <w:ilvl w:val="0"/>
          <w:numId w:val="118"/>
        </w:numPr>
        <w:rPr>
          <w:rFonts w:ascii="Arial" w:cs="Arial" w:eastAsia="Arial" w:hAnsi="Arial"/>
          <w:sz w:val="18"/>
          <w:szCs w:val="18"/>
          <w:color w:val="auto"/>
        </w:rPr>
      </w:pPr>
      <w:r>
        <w:rPr>
          <w:rFonts w:ascii="Arial" w:cs="Arial" w:eastAsia="Arial" w:hAnsi="Arial"/>
          <w:sz w:val="18"/>
          <w:szCs w:val="18"/>
          <w:color w:val="auto"/>
        </w:rPr>
        <w:t>upon the occurrence of any ERISA Event that, alone or together with any other ERISA Events that have occurred, could reasonably be expected to result in liability of the Loan Parties in an aggregate amount in excess of $500,000;</w:t>
      </w:r>
    </w:p>
    <w:p>
      <w:pPr>
        <w:spacing w:after="0" w:line="170" w:lineRule="exact"/>
        <w:rPr>
          <w:rFonts w:ascii="Arial" w:cs="Arial" w:eastAsia="Arial" w:hAnsi="Arial"/>
          <w:sz w:val="18"/>
          <w:szCs w:val="18"/>
          <w:color w:val="auto"/>
        </w:rPr>
      </w:pPr>
    </w:p>
    <w:p>
      <w:pPr>
        <w:ind w:firstLine="656"/>
        <w:spacing w:after="0" w:line="277" w:lineRule="auto"/>
        <w:tabs>
          <w:tab w:leader="none" w:pos="887" w:val="left"/>
        </w:tabs>
        <w:numPr>
          <w:ilvl w:val="0"/>
          <w:numId w:val="118"/>
        </w:numPr>
        <w:rPr>
          <w:rFonts w:ascii="Arial" w:cs="Arial" w:eastAsia="Arial" w:hAnsi="Arial"/>
          <w:sz w:val="18"/>
          <w:szCs w:val="18"/>
          <w:color w:val="auto"/>
        </w:rPr>
      </w:pPr>
      <w:r>
        <w:rPr>
          <w:rFonts w:ascii="Arial" w:cs="Arial" w:eastAsia="Arial" w:hAnsi="Arial"/>
          <w:sz w:val="18"/>
          <w:szCs w:val="18"/>
          <w:color w:val="auto"/>
        </w:rPr>
        <w:t>any amendment to the organizational documents of any Loan Party, provided that Loan Parties shall provide at least twenty (20) day’s prior written notice of any change to its name, identity, structure, or state of formation, incorporation or organization;</w:t>
      </w:r>
    </w:p>
    <w:p>
      <w:pPr>
        <w:spacing w:after="0" w:line="170" w:lineRule="exact"/>
        <w:rPr>
          <w:rFonts w:ascii="Arial" w:cs="Arial" w:eastAsia="Arial" w:hAnsi="Arial"/>
          <w:sz w:val="18"/>
          <w:szCs w:val="18"/>
          <w:color w:val="auto"/>
        </w:rPr>
      </w:pPr>
    </w:p>
    <w:p>
      <w:pPr>
        <w:jc w:val="both"/>
        <w:ind w:firstLine="656"/>
        <w:spacing w:after="0" w:line="263" w:lineRule="auto"/>
        <w:tabs>
          <w:tab w:leader="none" w:pos="91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in the event that any Loan Party or their accountants conclude or advise that any previously issued financial statement, audit report or interim review should no longer be relied upon in any material respect or that disclosure should be made or action should be taken to prevent future reliance thereon;</w:t>
      </w:r>
    </w:p>
    <w:p>
      <w:pPr>
        <w:spacing w:after="0" w:line="400"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36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Presto Credit Agreement</w:t>
            </w:r>
          </w:p>
        </w:tc>
        <w:tc>
          <w:tcPr>
            <w:tcW w:w="7580" w:type="dxa"/>
            <w:vAlign w:val="bottom"/>
            <w:tcBorders>
              <w:bottom w:val="single" w:sz="8" w:color="auto"/>
            </w:tcBorders>
          </w:tcPr>
          <w:p>
            <w:pPr>
              <w:jc w:val="right"/>
              <w:ind w:right="5430"/>
              <w:spacing w:after="0"/>
              <w:rPr>
                <w:sz w:val="20"/>
                <w:szCs w:val="20"/>
                <w:color w:val="auto"/>
              </w:rPr>
            </w:pPr>
            <w:r>
              <w:rPr>
                <w:rFonts w:ascii="Arial" w:cs="Arial" w:eastAsia="Arial" w:hAnsi="Arial"/>
                <w:sz w:val="18"/>
                <w:szCs w:val="18"/>
                <w:color w:val="auto"/>
              </w:rPr>
              <w:t>40</w:t>
            </w:r>
          </w:p>
        </w:tc>
      </w:tr>
    </w:tbl>
    <w:p>
      <w:pPr>
        <w:sectPr>
          <w:pgSz w:w="11900" w:h="16838" w:orient="portrait"/>
          <w:cols w:equalWidth="0" w:num="1">
            <w:col w:w="11240"/>
          </w:cols>
          <w:pgMar w:left="320" w:top="908" w:right="339" w:bottom="1440" w:gutter="0" w:footer="0" w:header="0"/>
        </w:sectPr>
      </w:pPr>
    </w:p>
    <w:bookmarkStart w:id="127" w:name="page128"/>
    <w:bookmarkEnd w:id="127"/>
    <w:p>
      <w:pPr>
        <w:jc w:val="both"/>
        <w:ind w:firstLine="656"/>
        <w:spacing w:after="0" w:line="263" w:lineRule="auto"/>
        <w:tabs>
          <w:tab w:leader="none" w:pos="915" w:val="left"/>
        </w:tabs>
        <w:numPr>
          <w:ilvl w:val="0"/>
          <w:numId w:val="119"/>
        </w:numPr>
        <w:rPr>
          <w:rFonts w:ascii="Arial" w:cs="Arial" w:eastAsia="Arial" w:hAnsi="Arial"/>
          <w:sz w:val="18"/>
          <w:szCs w:val="18"/>
          <w:color w:val="auto"/>
        </w:rPr>
      </w:pPr>
      <w:r>
        <w:rPr>
          <w:rFonts w:ascii="Arial" w:cs="Arial" w:eastAsia="Arial" w:hAnsi="Arial"/>
          <w:sz w:val="18"/>
          <w:szCs w:val="18"/>
          <w:color w:val="auto"/>
        </w:rPr>
        <w:t>any (i) amendment or proposed amendment to, (ii) any breach or default under, (iii) any termination or threatened termination of or (iv) any litigation or proceeding commenced or threated by any Person, in each case, with respect to the SPAC Merger Agreement, any SPAC Subscription Agreement or any other instrument, document or agreement executed in connection with the SPAC Transaction; and</w:t>
      </w:r>
    </w:p>
    <w:p>
      <w:pPr>
        <w:spacing w:after="0" w:line="183" w:lineRule="exact"/>
        <w:rPr>
          <w:rFonts w:ascii="Arial" w:cs="Arial" w:eastAsia="Arial" w:hAnsi="Arial"/>
          <w:sz w:val="18"/>
          <w:szCs w:val="18"/>
          <w:color w:val="auto"/>
        </w:rPr>
      </w:pPr>
    </w:p>
    <w:p>
      <w:pPr>
        <w:ind w:left="880" w:hanging="224"/>
        <w:spacing w:after="0"/>
        <w:tabs>
          <w:tab w:leader="none" w:pos="88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any development or event that has had or could reasonably be expected to have a Material Adverse Effect.</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 xml:space="preserve">Each notice pursuant to this </w:t>
      </w:r>
      <w:r>
        <w:rPr>
          <w:rFonts w:ascii="Arial" w:cs="Arial" w:eastAsia="Arial" w:hAnsi="Arial"/>
          <w:sz w:val="18"/>
          <w:szCs w:val="18"/>
          <w:u w:val="single" w:color="auto"/>
          <w:color w:val="auto"/>
        </w:rPr>
        <w:t>Section 5.7</w:t>
      </w:r>
      <w:r>
        <w:rPr>
          <w:rFonts w:ascii="Arial" w:cs="Arial" w:eastAsia="Arial" w:hAnsi="Arial"/>
          <w:sz w:val="18"/>
          <w:szCs w:val="18"/>
          <w:color w:val="auto"/>
        </w:rPr>
        <w:t xml:space="preserve"> shall be accompanied by a statement of a Responsible Officer setting forth details of the occurrence referred to therein and stating what action such Loan Party proposes to take with respect thereto.</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5.8 Compliance with Laws</w:t>
      </w:r>
      <w:r>
        <w:rPr>
          <w:rFonts w:ascii="Arial" w:cs="Arial" w:eastAsia="Arial" w:hAnsi="Arial"/>
          <w:sz w:val="18"/>
          <w:szCs w:val="18"/>
          <w:color w:val="auto"/>
        </w:rPr>
        <w:t>.</w:t>
      </w:r>
    </w:p>
    <w:p>
      <w:pPr>
        <w:spacing w:after="0" w:line="229" w:lineRule="exact"/>
        <w:rPr>
          <w:sz w:val="20"/>
          <w:szCs w:val="20"/>
          <w:color w:val="auto"/>
        </w:rPr>
      </w:pPr>
    </w:p>
    <w:p>
      <w:pPr>
        <w:ind w:firstLine="656"/>
        <w:spacing w:after="0" w:line="277" w:lineRule="auto"/>
        <w:tabs>
          <w:tab w:leader="none" w:pos="893" w:val="left"/>
        </w:tabs>
        <w:numPr>
          <w:ilvl w:val="0"/>
          <w:numId w:val="120"/>
        </w:numPr>
        <w:rPr>
          <w:rFonts w:ascii="Arial" w:cs="Arial" w:eastAsia="Arial" w:hAnsi="Arial"/>
          <w:sz w:val="18"/>
          <w:szCs w:val="18"/>
          <w:color w:val="auto"/>
        </w:rPr>
      </w:pPr>
      <w:r>
        <w:rPr>
          <w:rFonts w:ascii="Arial" w:cs="Arial" w:eastAsia="Arial" w:hAnsi="Arial"/>
          <w:sz w:val="18"/>
          <w:szCs w:val="18"/>
          <w:u w:val="single" w:color="auto"/>
          <w:color w:val="auto"/>
        </w:rPr>
        <w:t>Generally</w:t>
      </w:r>
      <w:r>
        <w:rPr>
          <w:rFonts w:ascii="Arial" w:cs="Arial" w:eastAsia="Arial" w:hAnsi="Arial"/>
          <w:sz w:val="18"/>
          <w:szCs w:val="18"/>
          <w:color w:val="auto"/>
        </w:rPr>
        <w:t>. Each Loan Party shall comply in all material respects with the Requirements of Law applicable to it and all orders, writs, injunctions and decrees applicable to it or to its business or property.</w:t>
      </w:r>
    </w:p>
    <w:p>
      <w:pPr>
        <w:spacing w:after="0" w:line="170" w:lineRule="exact"/>
        <w:rPr>
          <w:rFonts w:ascii="Arial" w:cs="Arial" w:eastAsia="Arial" w:hAnsi="Arial"/>
          <w:sz w:val="18"/>
          <w:szCs w:val="18"/>
          <w:color w:val="auto"/>
        </w:rPr>
      </w:pPr>
    </w:p>
    <w:p>
      <w:pPr>
        <w:ind w:left="920" w:hanging="264"/>
        <w:spacing w:after="0"/>
        <w:tabs>
          <w:tab w:leader="none" w:pos="920" w:val="left"/>
        </w:tabs>
        <w:numPr>
          <w:ilvl w:val="0"/>
          <w:numId w:val="120"/>
        </w:numPr>
        <w:rPr>
          <w:rFonts w:ascii="Arial" w:cs="Arial" w:eastAsia="Arial" w:hAnsi="Arial"/>
          <w:sz w:val="18"/>
          <w:szCs w:val="18"/>
          <w:color w:val="auto"/>
        </w:rPr>
      </w:pPr>
      <w:r>
        <w:rPr>
          <w:rFonts w:ascii="Arial" w:cs="Arial" w:eastAsia="Arial" w:hAnsi="Arial"/>
          <w:sz w:val="18"/>
          <w:szCs w:val="18"/>
          <w:u w:val="single" w:color="auto"/>
          <w:color w:val="auto"/>
        </w:rPr>
        <w:t>Environmental Laws</w:t>
      </w:r>
      <w:r>
        <w:rPr>
          <w:rFonts w:ascii="Arial" w:cs="Arial" w:eastAsia="Arial" w:hAnsi="Arial"/>
          <w:sz w:val="18"/>
          <w:szCs w:val="18"/>
          <w:color w:val="auto"/>
        </w:rPr>
        <w:t>. Each Loan Party shall:</w:t>
      </w:r>
    </w:p>
    <w:p>
      <w:pPr>
        <w:spacing w:after="0" w:line="225" w:lineRule="exact"/>
        <w:rPr>
          <w:rFonts w:ascii="Arial" w:cs="Arial" w:eastAsia="Arial" w:hAnsi="Arial"/>
          <w:sz w:val="18"/>
          <w:szCs w:val="18"/>
          <w:color w:val="auto"/>
        </w:rPr>
      </w:pPr>
    </w:p>
    <w:p>
      <w:pPr>
        <w:jc w:val="both"/>
        <w:ind w:left="1300" w:firstLine="652"/>
        <w:spacing w:after="0" w:line="259" w:lineRule="auto"/>
        <w:tabs>
          <w:tab w:leader="none" w:pos="2183" w:val="left"/>
        </w:tabs>
        <w:numPr>
          <w:ilvl w:val="1"/>
          <w:numId w:val="120"/>
        </w:numPr>
        <w:rPr>
          <w:rFonts w:ascii="Arial" w:cs="Arial" w:eastAsia="Arial" w:hAnsi="Arial"/>
          <w:sz w:val="18"/>
          <w:szCs w:val="18"/>
          <w:color w:val="auto"/>
        </w:rPr>
      </w:pPr>
      <w:r>
        <w:rPr>
          <w:rFonts w:ascii="Arial" w:cs="Arial" w:eastAsia="Arial" w:hAnsi="Arial"/>
          <w:sz w:val="18"/>
          <w:szCs w:val="18"/>
          <w:color w:val="auto"/>
        </w:rPr>
        <w:t>Comply in all material respects with, and ensure compliance in all material respects by all tenants and subtenants, if any, with, all applicable Environmental Laws, and obtain and comply in all material respects with and maintain, and ensure that all tenants and subtenants obtain and comply in all material respects with and maintain, any and all licenses, approvals, notifications, registrations or permits required by applicable Environmental Laws.</w:t>
      </w:r>
    </w:p>
    <w:p>
      <w:pPr>
        <w:spacing w:after="0" w:line="186" w:lineRule="exact"/>
        <w:rPr>
          <w:rFonts w:ascii="Arial" w:cs="Arial" w:eastAsia="Arial" w:hAnsi="Arial"/>
          <w:sz w:val="18"/>
          <w:szCs w:val="18"/>
          <w:color w:val="auto"/>
        </w:rPr>
      </w:pPr>
    </w:p>
    <w:p>
      <w:pPr>
        <w:jc w:val="both"/>
        <w:ind w:left="1300" w:firstLine="652"/>
        <w:spacing w:after="0" w:line="263" w:lineRule="auto"/>
        <w:tabs>
          <w:tab w:leader="none" w:pos="2220" w:val="left"/>
        </w:tabs>
        <w:numPr>
          <w:ilvl w:val="1"/>
          <w:numId w:val="120"/>
        </w:numPr>
        <w:rPr>
          <w:rFonts w:ascii="Arial" w:cs="Arial" w:eastAsia="Arial" w:hAnsi="Arial"/>
          <w:sz w:val="18"/>
          <w:szCs w:val="18"/>
          <w:color w:val="auto"/>
        </w:rPr>
      </w:pPr>
      <w:r>
        <w:rPr>
          <w:rFonts w:ascii="Arial" w:cs="Arial" w:eastAsia="Arial" w:hAnsi="Arial"/>
          <w:sz w:val="18"/>
          <w:szCs w:val="18"/>
          <w:color w:val="auto"/>
        </w:rPr>
        <w:t>Conduct and complete all investigations, studies, sampling and testing, and all remedial, removal and other actions required under Environmental Laws and promptly comply in all material respects with all lawful orders and directives of all Governmental Authorities regarding Environmental Laws; and</w:t>
      </w:r>
    </w:p>
    <w:p>
      <w:pPr>
        <w:spacing w:after="0" w:line="183" w:lineRule="exact"/>
        <w:rPr>
          <w:rFonts w:ascii="Arial" w:cs="Arial" w:eastAsia="Arial" w:hAnsi="Arial"/>
          <w:sz w:val="18"/>
          <w:szCs w:val="18"/>
          <w:color w:val="auto"/>
        </w:rPr>
      </w:pPr>
    </w:p>
    <w:p>
      <w:pPr>
        <w:ind w:left="2260" w:hanging="308"/>
        <w:spacing w:after="0"/>
        <w:tabs>
          <w:tab w:leader="none" w:pos="2260" w:val="left"/>
        </w:tabs>
        <w:numPr>
          <w:ilvl w:val="1"/>
          <w:numId w:val="120"/>
        </w:numPr>
        <w:rPr>
          <w:rFonts w:ascii="Arial" w:cs="Arial" w:eastAsia="Arial" w:hAnsi="Arial"/>
          <w:sz w:val="17"/>
          <w:szCs w:val="17"/>
          <w:color w:val="auto"/>
        </w:rPr>
      </w:pPr>
      <w:r>
        <w:rPr>
          <w:rFonts w:ascii="Arial" w:cs="Arial" w:eastAsia="Arial" w:hAnsi="Arial"/>
          <w:sz w:val="17"/>
          <w:szCs w:val="17"/>
          <w:color w:val="auto"/>
        </w:rPr>
        <w:t>Remediate any notices of non-compliance from any Governmental Authority with respect to any Environmental Law.</w:t>
      </w:r>
    </w:p>
    <w:p>
      <w:pPr>
        <w:spacing w:after="0" w:line="233" w:lineRule="exact"/>
        <w:rPr>
          <w:sz w:val="20"/>
          <w:szCs w:val="20"/>
          <w:color w:val="auto"/>
        </w:rPr>
      </w:pPr>
    </w:p>
    <w:p>
      <w:pPr>
        <w:jc w:val="both"/>
        <w:ind w:firstLine="648"/>
        <w:spacing w:after="0" w:line="294" w:lineRule="auto"/>
        <w:rPr>
          <w:sz w:val="20"/>
          <w:szCs w:val="20"/>
          <w:color w:val="auto"/>
        </w:rPr>
      </w:pPr>
      <w:r>
        <w:rPr>
          <w:rFonts w:ascii="Arial" w:cs="Arial" w:eastAsia="Arial" w:hAnsi="Arial"/>
          <w:sz w:val="16"/>
          <w:szCs w:val="16"/>
          <w:b w:val="1"/>
          <w:bCs w:val="1"/>
          <w:color w:val="auto"/>
        </w:rPr>
        <w:t>5.9 Audits</w:t>
      </w:r>
      <w:r>
        <w:rPr>
          <w:rFonts w:ascii="Arial" w:cs="Arial" w:eastAsia="Arial" w:hAnsi="Arial"/>
          <w:sz w:val="16"/>
          <w:szCs w:val="16"/>
          <w:color w:val="auto"/>
        </w:rPr>
        <w:t>. At reasonable times and upon reasonable notice (</w:t>
      </w:r>
      <w:r>
        <w:rPr>
          <w:rFonts w:ascii="Arial" w:cs="Arial" w:eastAsia="Arial" w:hAnsi="Arial"/>
          <w:sz w:val="16"/>
          <w:szCs w:val="16"/>
          <w:u w:val="single" w:color="auto"/>
          <w:color w:val="auto"/>
        </w:rPr>
        <w:t>provided</w:t>
      </w:r>
      <w:r>
        <w:rPr>
          <w:rFonts w:ascii="Arial" w:cs="Arial" w:eastAsia="Arial" w:hAnsi="Arial"/>
          <w:sz w:val="16"/>
          <w:szCs w:val="16"/>
          <w:b w:val="1"/>
          <w:bCs w:val="1"/>
          <w:color w:val="auto"/>
        </w:rPr>
        <w:t xml:space="preserve"> </w:t>
      </w:r>
      <w:r>
        <w:rPr>
          <w:rFonts w:ascii="Arial" w:cs="Arial" w:eastAsia="Arial" w:hAnsi="Arial"/>
          <w:sz w:val="16"/>
          <w:szCs w:val="16"/>
          <w:color w:val="auto"/>
        </w:rPr>
        <w:t>that no notice is required if an Event of Default has occurred and is</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continuing), Lender or its agents, shall have the right, during normal business hours, to inspect the Collateral and the right to audit and copy (subject to applicable data security and privacy Laws) any and all of any Loan Party’s books and records including ledgers, federal and state Tax returns, records regarding assets or liabilities, the Collateral, business operations or financial condition, and all computer programs or storage or any equipment containing such information. The foregoing inspections and audits shall be at the Borrower’s expense; </w:t>
      </w:r>
      <w:r>
        <w:rPr>
          <w:rFonts w:ascii="Arial" w:cs="Arial" w:eastAsia="Arial" w:hAnsi="Arial"/>
          <w:sz w:val="16"/>
          <w:szCs w:val="16"/>
          <w:u w:val="single" w:color="auto"/>
          <w:color w:val="auto"/>
        </w:rPr>
        <w:t>provided</w:t>
      </w:r>
      <w:r>
        <w:rPr>
          <w:rFonts w:ascii="Arial" w:cs="Arial" w:eastAsia="Arial" w:hAnsi="Arial"/>
          <w:sz w:val="16"/>
          <w:szCs w:val="16"/>
          <w:color w:val="auto"/>
        </w:rPr>
        <w:t>, so long as an Event of Default has not occurred and is continuing, the Loan Parties shall not be responsible for the costs and expenses of more than two (2) inspections or audits in any Fiscal Year.</w:t>
      </w:r>
    </w:p>
    <w:p>
      <w:pPr>
        <w:spacing w:after="0" w:line="16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7"/>
          <w:szCs w:val="17"/>
          <w:b w:val="1"/>
          <w:bCs w:val="1"/>
          <w:color w:val="auto"/>
        </w:rPr>
        <w:t>5.10 Further Assurances</w:t>
      </w:r>
      <w:r>
        <w:rPr>
          <w:rFonts w:ascii="Arial" w:cs="Arial" w:eastAsia="Arial" w:hAnsi="Arial"/>
          <w:sz w:val="17"/>
          <w:szCs w:val="17"/>
          <w:color w:val="auto"/>
        </w:rPr>
        <w:t>. Each Loan Party shall execute and deliver to Agent and Lenders such amendments to the Loan Documents, Security</w:t>
      </w:r>
      <w:r>
        <w:rPr>
          <w:rFonts w:ascii="Arial" w:cs="Arial" w:eastAsia="Arial" w:hAnsi="Arial"/>
          <w:sz w:val="17"/>
          <w:szCs w:val="17"/>
          <w:b w:val="1"/>
          <w:bCs w:val="1"/>
          <w:color w:val="auto"/>
        </w:rPr>
        <w:t xml:space="preserve"> </w:t>
      </w:r>
      <w:r>
        <w:rPr>
          <w:rFonts w:ascii="Arial" w:cs="Arial" w:eastAsia="Arial" w:hAnsi="Arial"/>
          <w:sz w:val="17"/>
          <w:szCs w:val="17"/>
          <w:color w:val="auto"/>
        </w:rPr>
        <w:t>Documents or such other documents as Agent deems necessary and take all actions necessary or advisable in the opinion of Agent (in its Permitted Discretion) to effectuate the terms of the Loan Documents and protect Agent’s and Lenders’ interests in the Collateral, and shall do such other acts and things as Agent in its Permitted Discretion may deem necessary or advisable from time to time in order to preserve, perfect and protect the Liens granted under the Loan Documents and to exercise and enforce its rights and remedies thereunder with respect to the Collateral.</w:t>
      </w:r>
    </w:p>
    <w:p>
      <w:pPr>
        <w:spacing w:after="0" w:line="388"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36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Presto Credit Agreement</w:t>
            </w:r>
          </w:p>
        </w:tc>
        <w:tc>
          <w:tcPr>
            <w:tcW w:w="7580" w:type="dxa"/>
            <w:vAlign w:val="bottom"/>
            <w:tcBorders>
              <w:bottom w:val="single" w:sz="8" w:color="auto"/>
            </w:tcBorders>
          </w:tcPr>
          <w:p>
            <w:pPr>
              <w:jc w:val="right"/>
              <w:ind w:right="5430"/>
              <w:spacing w:after="0"/>
              <w:rPr>
                <w:sz w:val="20"/>
                <w:szCs w:val="20"/>
                <w:color w:val="auto"/>
              </w:rPr>
            </w:pPr>
            <w:r>
              <w:rPr>
                <w:rFonts w:ascii="Arial" w:cs="Arial" w:eastAsia="Arial" w:hAnsi="Arial"/>
                <w:sz w:val="18"/>
                <w:szCs w:val="18"/>
                <w:color w:val="auto"/>
              </w:rPr>
              <w:t>41</w:t>
            </w:r>
          </w:p>
        </w:tc>
      </w:tr>
    </w:tbl>
    <w:p>
      <w:pPr>
        <w:sectPr>
          <w:pgSz w:w="11900" w:h="16838" w:orient="portrait"/>
          <w:cols w:equalWidth="0" w:num="1">
            <w:col w:w="11240"/>
          </w:cols>
          <w:pgMar w:left="320" w:top="908" w:right="339" w:bottom="1440" w:gutter="0" w:footer="0" w:header="0"/>
        </w:sectPr>
      </w:pPr>
    </w:p>
    <w:bookmarkStart w:id="128" w:name="page129"/>
    <w:bookmarkEnd w:id="128"/>
    <w:p>
      <w:pPr>
        <w:ind w:left="660"/>
        <w:spacing w:after="0"/>
        <w:rPr>
          <w:sz w:val="20"/>
          <w:szCs w:val="20"/>
          <w:color w:val="auto"/>
        </w:rPr>
      </w:pPr>
      <w:r>
        <w:rPr>
          <w:rFonts w:ascii="Arial" w:cs="Arial" w:eastAsia="Arial" w:hAnsi="Arial"/>
          <w:sz w:val="18"/>
          <w:szCs w:val="18"/>
          <w:b w:val="1"/>
          <w:bCs w:val="1"/>
          <w:color w:val="auto"/>
        </w:rPr>
        <w:t>5.11 Use of Proceeds</w:t>
      </w:r>
      <w:r>
        <w:rPr>
          <w:rFonts w:ascii="Arial" w:cs="Arial" w:eastAsia="Arial" w:hAnsi="Arial"/>
          <w:sz w:val="18"/>
          <w:szCs w:val="18"/>
          <w:color w:val="auto"/>
        </w:rPr>
        <w:t>. Borrower shall use the proceeds of each Term Loan only for the purposes specified in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3.12</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b w:val="1"/>
          <w:bCs w:val="1"/>
          <w:color w:val="auto"/>
        </w:rPr>
        <w:t>5.12 Taxes</w:t>
      </w:r>
      <w:r>
        <w:rPr>
          <w:rFonts w:ascii="Arial" w:cs="Arial" w:eastAsia="Arial" w:hAnsi="Arial"/>
          <w:sz w:val="18"/>
          <w:szCs w:val="18"/>
          <w:color w:val="auto"/>
        </w:rPr>
        <w:t>. Each Loan Party shall file or cause to be filed (and shall cause its Subsidiaries to file or cause to be filed) all federal, state and other</w:t>
      </w:r>
      <w:r>
        <w:rPr>
          <w:rFonts w:ascii="Arial" w:cs="Arial" w:eastAsia="Arial" w:hAnsi="Arial"/>
          <w:sz w:val="18"/>
          <w:szCs w:val="18"/>
          <w:b w:val="1"/>
          <w:bCs w:val="1"/>
          <w:color w:val="auto"/>
        </w:rPr>
        <w:t xml:space="preserve"> </w:t>
      </w:r>
      <w:r>
        <w:rPr>
          <w:rFonts w:ascii="Arial" w:cs="Arial" w:eastAsia="Arial" w:hAnsi="Arial"/>
          <w:sz w:val="18"/>
          <w:szCs w:val="18"/>
          <w:color w:val="auto"/>
        </w:rPr>
        <w:t>material Tax returns and reports that are required to be filed by such Loan Party or any of its Subsidiaries and pay all federal, state and other material Taxes due and payable by it (whether or not shown to be due and payable on any Tax returns and reports) or on any assessments made against such Loan Party or any of its Subsidiaries or any of their assets (other than Taxes that are currently being contested in good faith by appropriate proceedings which stay the enforcement of any Lien resulting from the non-payment thereof and with respect to which adequate reserves have been set aside by the Loan Parties for the payment thereof in conformity with GAAP).</w:t>
      </w:r>
    </w:p>
    <w:p>
      <w:pPr>
        <w:spacing w:after="0" w:line="187"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color w:val="auto"/>
        </w:rPr>
        <w:t>5.13 Post-Closing Obligations</w:t>
      </w:r>
      <w:r>
        <w:rPr>
          <w:rFonts w:ascii="Arial" w:cs="Arial" w:eastAsia="Arial" w:hAnsi="Arial"/>
          <w:sz w:val="18"/>
          <w:szCs w:val="18"/>
          <w:color w:val="auto"/>
        </w:rPr>
        <w:t>. On or before the date set forth below for each covenant (or such longer period as approved by Agent in its sole</w:t>
      </w:r>
      <w:r>
        <w:rPr>
          <w:rFonts w:ascii="Arial" w:cs="Arial" w:eastAsia="Arial" w:hAnsi="Arial"/>
          <w:sz w:val="18"/>
          <w:szCs w:val="18"/>
          <w:b w:val="1"/>
          <w:bCs w:val="1"/>
          <w:color w:val="auto"/>
        </w:rPr>
        <w:t xml:space="preserve"> </w:t>
      </w:r>
      <w:r>
        <w:rPr>
          <w:rFonts w:ascii="Arial" w:cs="Arial" w:eastAsia="Arial" w:hAnsi="Arial"/>
          <w:sz w:val="18"/>
          <w:szCs w:val="18"/>
          <w:color w:val="auto"/>
        </w:rPr>
        <w:t>discretion), the Borrower shall cause the following to occur:</w:t>
      </w:r>
    </w:p>
    <w:p>
      <w:pPr>
        <w:spacing w:after="0" w:line="166" w:lineRule="exact"/>
        <w:rPr>
          <w:sz w:val="20"/>
          <w:szCs w:val="20"/>
          <w:color w:val="auto"/>
        </w:rPr>
      </w:pPr>
    </w:p>
    <w:p>
      <w:pPr>
        <w:jc w:val="both"/>
        <w:ind w:firstLine="656"/>
        <w:spacing w:after="0" w:line="263" w:lineRule="auto"/>
        <w:tabs>
          <w:tab w:leader="none" w:pos="895" w:val="left"/>
        </w:tabs>
        <w:numPr>
          <w:ilvl w:val="0"/>
          <w:numId w:val="121"/>
        </w:numPr>
        <w:rPr>
          <w:rFonts w:ascii="Arial" w:cs="Arial" w:eastAsia="Arial" w:hAnsi="Arial"/>
          <w:sz w:val="18"/>
          <w:szCs w:val="18"/>
          <w:color w:val="auto"/>
        </w:rPr>
      </w:pPr>
      <w:r>
        <w:rPr>
          <w:rFonts w:ascii="Arial" w:cs="Arial" w:eastAsia="Arial" w:hAnsi="Arial"/>
          <w:sz w:val="18"/>
          <w:szCs w:val="18"/>
          <w:color w:val="auto"/>
        </w:rPr>
        <w:t>Within forty-five (45) days after the Closing Date, the Loan Parties shall have delivered insurance endorsements to Agent with respect to each general liability insurance policy and each property insurance policy, including, in each case, sub-policies thereunder, of each Loan Party, endorsing Agent, as additional insured and lender loss payee, respectively, under such policies as its interests appear;</w:t>
      </w:r>
    </w:p>
    <w:p>
      <w:pPr>
        <w:spacing w:after="0" w:line="183" w:lineRule="exact"/>
        <w:rPr>
          <w:rFonts w:ascii="Arial" w:cs="Arial" w:eastAsia="Arial" w:hAnsi="Arial"/>
          <w:sz w:val="18"/>
          <w:szCs w:val="18"/>
          <w:color w:val="auto"/>
        </w:rPr>
      </w:pPr>
    </w:p>
    <w:p>
      <w:pPr>
        <w:ind w:firstLine="656"/>
        <w:spacing w:after="0" w:line="277" w:lineRule="auto"/>
        <w:tabs>
          <w:tab w:leader="none" w:pos="904" w:val="left"/>
        </w:tabs>
        <w:numPr>
          <w:ilvl w:val="0"/>
          <w:numId w:val="121"/>
        </w:numPr>
        <w:rPr>
          <w:rFonts w:ascii="Arial" w:cs="Arial" w:eastAsia="Arial" w:hAnsi="Arial"/>
          <w:sz w:val="18"/>
          <w:szCs w:val="18"/>
          <w:color w:val="auto"/>
        </w:rPr>
      </w:pPr>
      <w:r>
        <w:rPr>
          <w:rFonts w:ascii="Arial" w:cs="Arial" w:eastAsia="Arial" w:hAnsi="Arial"/>
          <w:sz w:val="18"/>
          <w:szCs w:val="18"/>
          <w:color w:val="auto"/>
        </w:rPr>
        <w:t xml:space="preserve">Within forty-five (45) days of the Closing Date, deliver Control Agreements, executed and delivered by the applicable Loan Party, Lender and the applicable depository institution with respect to each Deposit Account set forth on </w:t>
      </w:r>
      <w:r>
        <w:rPr>
          <w:rFonts w:ascii="Arial" w:cs="Arial" w:eastAsia="Arial" w:hAnsi="Arial"/>
          <w:sz w:val="18"/>
          <w:szCs w:val="18"/>
          <w:u w:val="single" w:color="auto"/>
          <w:color w:val="auto"/>
        </w:rPr>
        <w:t>Schedule 1.1(b)</w:t>
      </w:r>
      <w:r>
        <w:rPr>
          <w:rFonts w:ascii="Arial" w:cs="Arial" w:eastAsia="Arial" w:hAnsi="Arial"/>
          <w:sz w:val="18"/>
          <w:szCs w:val="18"/>
          <w:color w:val="auto"/>
        </w:rPr>
        <w:t xml:space="preserve"> hereto;</w:t>
      </w:r>
    </w:p>
    <w:p>
      <w:pPr>
        <w:spacing w:after="0" w:line="170" w:lineRule="exact"/>
        <w:rPr>
          <w:rFonts w:ascii="Arial" w:cs="Arial" w:eastAsia="Arial" w:hAnsi="Arial"/>
          <w:sz w:val="18"/>
          <w:szCs w:val="18"/>
          <w:color w:val="auto"/>
        </w:rPr>
      </w:pPr>
    </w:p>
    <w:p>
      <w:pPr>
        <w:jc w:val="both"/>
        <w:ind w:firstLine="656"/>
        <w:spacing w:after="0" w:line="263" w:lineRule="auto"/>
        <w:tabs>
          <w:tab w:leader="none" w:pos="893" w:val="left"/>
        </w:tabs>
        <w:numPr>
          <w:ilvl w:val="0"/>
          <w:numId w:val="121"/>
        </w:numPr>
        <w:rPr>
          <w:rFonts w:ascii="Arial" w:cs="Arial" w:eastAsia="Arial" w:hAnsi="Arial"/>
          <w:sz w:val="18"/>
          <w:szCs w:val="18"/>
          <w:color w:val="auto"/>
        </w:rPr>
      </w:pPr>
      <w:r>
        <w:rPr>
          <w:rFonts w:ascii="Arial" w:cs="Arial" w:eastAsia="Arial" w:hAnsi="Arial"/>
          <w:sz w:val="18"/>
          <w:szCs w:val="18"/>
          <w:color w:val="auto"/>
        </w:rPr>
        <w:t>Within thirty (30) days of the Closing Date, Agent shall receive all certificates evidencing the outstanding Equity Interests and other Collateral evidenced by certificates owned by Borrower, together with duly executed stock powers or other transfer powers in form and substance reasonably satisfactory to Agent;</w:t>
      </w:r>
    </w:p>
    <w:p>
      <w:pPr>
        <w:spacing w:after="0" w:line="183" w:lineRule="exact"/>
        <w:rPr>
          <w:rFonts w:ascii="Arial" w:cs="Arial" w:eastAsia="Arial" w:hAnsi="Arial"/>
          <w:sz w:val="18"/>
          <w:szCs w:val="18"/>
          <w:color w:val="auto"/>
        </w:rPr>
      </w:pPr>
    </w:p>
    <w:p>
      <w:pPr>
        <w:ind w:firstLine="656"/>
        <w:spacing w:after="0" w:line="277" w:lineRule="auto"/>
        <w:tabs>
          <w:tab w:leader="none" w:pos="901" w:val="left"/>
        </w:tabs>
        <w:numPr>
          <w:ilvl w:val="0"/>
          <w:numId w:val="121"/>
        </w:numPr>
        <w:rPr>
          <w:rFonts w:ascii="Arial" w:cs="Arial" w:eastAsia="Arial" w:hAnsi="Arial"/>
          <w:sz w:val="18"/>
          <w:szCs w:val="18"/>
          <w:color w:val="auto"/>
        </w:rPr>
      </w:pPr>
      <w:r>
        <w:rPr>
          <w:rFonts w:ascii="Arial" w:cs="Arial" w:eastAsia="Arial" w:hAnsi="Arial"/>
          <w:sz w:val="18"/>
          <w:szCs w:val="18"/>
          <w:color w:val="auto"/>
        </w:rPr>
        <w:t>The Borrower shall use commercially reasonable efforts to cause UCC-3 termination statements to be authorized and filed in respect of each of the following existing UCC filings within sixty (60) days of the Closing Date:</w:t>
      </w:r>
    </w:p>
    <w:p>
      <w:pPr>
        <w:spacing w:after="0" w:line="170" w:lineRule="exact"/>
        <w:rPr>
          <w:rFonts w:ascii="Arial" w:cs="Arial" w:eastAsia="Arial" w:hAnsi="Arial"/>
          <w:sz w:val="18"/>
          <w:szCs w:val="18"/>
          <w:color w:val="auto"/>
        </w:rPr>
      </w:pPr>
    </w:p>
    <w:p>
      <w:pPr>
        <w:ind w:left="660" w:firstLine="1292"/>
        <w:spacing w:after="0" w:line="277" w:lineRule="auto"/>
        <w:tabs>
          <w:tab w:leader="none" w:pos="2188" w:val="left"/>
        </w:tabs>
        <w:numPr>
          <w:ilvl w:val="1"/>
          <w:numId w:val="121"/>
        </w:numPr>
        <w:rPr>
          <w:rFonts w:ascii="Arial" w:cs="Arial" w:eastAsia="Arial" w:hAnsi="Arial"/>
          <w:sz w:val="18"/>
          <w:szCs w:val="18"/>
          <w:color w:val="auto"/>
        </w:rPr>
      </w:pPr>
      <w:r>
        <w:rPr>
          <w:rFonts w:ascii="Arial" w:cs="Arial" w:eastAsia="Arial" w:hAnsi="Arial"/>
          <w:sz w:val="18"/>
          <w:szCs w:val="18"/>
          <w:color w:val="auto"/>
        </w:rPr>
        <w:t>that certain UCC Financing Statement # 20170704249 filed with the Delaware Secretary of State on or about October 25, 2017 by Innovative Energy Solutions;</w:t>
      </w:r>
    </w:p>
    <w:p>
      <w:pPr>
        <w:spacing w:after="0" w:line="170" w:lineRule="exact"/>
        <w:rPr>
          <w:rFonts w:ascii="Arial" w:cs="Arial" w:eastAsia="Arial" w:hAnsi="Arial"/>
          <w:sz w:val="18"/>
          <w:szCs w:val="18"/>
          <w:color w:val="auto"/>
        </w:rPr>
      </w:pPr>
    </w:p>
    <w:p>
      <w:pPr>
        <w:ind w:left="660" w:firstLine="1292"/>
        <w:spacing w:after="0" w:line="277" w:lineRule="auto"/>
        <w:tabs>
          <w:tab w:leader="none" w:pos="2223" w:val="left"/>
        </w:tabs>
        <w:numPr>
          <w:ilvl w:val="1"/>
          <w:numId w:val="121"/>
        </w:numPr>
        <w:rPr>
          <w:rFonts w:ascii="Arial" w:cs="Arial" w:eastAsia="Arial" w:hAnsi="Arial"/>
          <w:sz w:val="18"/>
          <w:szCs w:val="18"/>
          <w:color w:val="auto"/>
        </w:rPr>
      </w:pPr>
      <w:r>
        <w:rPr>
          <w:rFonts w:ascii="Arial" w:cs="Arial" w:eastAsia="Arial" w:hAnsi="Arial"/>
          <w:sz w:val="18"/>
          <w:szCs w:val="18"/>
          <w:color w:val="auto"/>
        </w:rPr>
        <w:t>that certain UCC Financing Statement # 20185345810 filed with the Delaware Secretary of State on or about August 3, 2018 by Corporation Service Company, as Representative and identified as relating to Secured Party CIT Bank N.A.;</w:t>
      </w:r>
    </w:p>
    <w:p>
      <w:pPr>
        <w:spacing w:after="0" w:line="170" w:lineRule="exact"/>
        <w:rPr>
          <w:rFonts w:ascii="Arial" w:cs="Arial" w:eastAsia="Arial" w:hAnsi="Arial"/>
          <w:sz w:val="18"/>
          <w:szCs w:val="18"/>
          <w:color w:val="auto"/>
        </w:rPr>
      </w:pPr>
    </w:p>
    <w:p>
      <w:pPr>
        <w:ind w:left="660" w:firstLine="1292"/>
        <w:spacing w:after="0" w:line="277" w:lineRule="auto"/>
        <w:tabs>
          <w:tab w:leader="none" w:pos="2279" w:val="left"/>
        </w:tabs>
        <w:numPr>
          <w:ilvl w:val="1"/>
          <w:numId w:val="121"/>
        </w:numPr>
        <w:rPr>
          <w:rFonts w:ascii="Arial" w:cs="Arial" w:eastAsia="Arial" w:hAnsi="Arial"/>
          <w:sz w:val="18"/>
          <w:szCs w:val="18"/>
          <w:color w:val="auto"/>
        </w:rPr>
      </w:pPr>
      <w:r>
        <w:rPr>
          <w:rFonts w:ascii="Arial" w:cs="Arial" w:eastAsia="Arial" w:hAnsi="Arial"/>
          <w:sz w:val="18"/>
          <w:szCs w:val="18"/>
          <w:color w:val="auto"/>
        </w:rPr>
        <w:t>that certain county tax lien # 2021-157199 filed on or about 11/10/2021 in the Records of the San Mateo County Assessor, Clerk, Recorder by the Yolo County Department of Financial Services in the amount of $146.48; and</w:t>
      </w:r>
    </w:p>
    <w:p>
      <w:pPr>
        <w:spacing w:after="0" w:line="170" w:lineRule="exact"/>
        <w:rPr>
          <w:rFonts w:ascii="Arial" w:cs="Arial" w:eastAsia="Arial" w:hAnsi="Arial"/>
          <w:sz w:val="18"/>
          <w:szCs w:val="18"/>
          <w:color w:val="auto"/>
        </w:rPr>
      </w:pPr>
    </w:p>
    <w:p>
      <w:pPr>
        <w:ind w:left="660" w:firstLine="1292"/>
        <w:spacing w:after="0" w:line="277" w:lineRule="auto"/>
        <w:tabs>
          <w:tab w:leader="none" w:pos="2278" w:val="left"/>
        </w:tabs>
        <w:numPr>
          <w:ilvl w:val="1"/>
          <w:numId w:val="121"/>
        </w:numPr>
        <w:rPr>
          <w:rFonts w:ascii="Arial" w:cs="Arial" w:eastAsia="Arial" w:hAnsi="Arial"/>
          <w:sz w:val="18"/>
          <w:szCs w:val="18"/>
          <w:color w:val="auto"/>
        </w:rPr>
      </w:pPr>
      <w:r>
        <w:rPr>
          <w:rFonts w:ascii="Arial" w:cs="Arial" w:eastAsia="Arial" w:hAnsi="Arial"/>
          <w:sz w:val="18"/>
          <w:szCs w:val="18"/>
          <w:color w:val="auto"/>
        </w:rPr>
        <w:t>that certain judgment lien # 2021-173224 filed on or about December 17, 2021 in the Records of the San Mateo County Assessor, Clerk, Recorder by Banc of America Leasing &amp; Capital, LLC in the amount of $321,509.09.</w:t>
      </w:r>
    </w:p>
    <w:p>
      <w:pPr>
        <w:spacing w:after="0" w:line="386"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36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Presto Credit Agreement</w:t>
            </w:r>
          </w:p>
        </w:tc>
        <w:tc>
          <w:tcPr>
            <w:tcW w:w="7580" w:type="dxa"/>
            <w:vAlign w:val="bottom"/>
            <w:tcBorders>
              <w:bottom w:val="single" w:sz="8" w:color="auto"/>
            </w:tcBorders>
          </w:tcPr>
          <w:p>
            <w:pPr>
              <w:jc w:val="right"/>
              <w:ind w:right="5430"/>
              <w:spacing w:after="0"/>
              <w:rPr>
                <w:sz w:val="20"/>
                <w:szCs w:val="20"/>
                <w:color w:val="auto"/>
              </w:rPr>
            </w:pPr>
            <w:r>
              <w:rPr>
                <w:rFonts w:ascii="Arial" w:cs="Arial" w:eastAsia="Arial" w:hAnsi="Arial"/>
                <w:sz w:val="18"/>
                <w:szCs w:val="18"/>
                <w:color w:val="auto"/>
              </w:rPr>
              <w:t>42</w:t>
            </w:r>
          </w:p>
        </w:tc>
      </w:tr>
    </w:tbl>
    <w:p>
      <w:pPr>
        <w:sectPr>
          <w:pgSz w:w="11900" w:h="16838" w:orient="portrait"/>
          <w:cols w:equalWidth="0" w:num="1">
            <w:col w:w="11240"/>
          </w:cols>
          <w:pgMar w:left="320" w:top="904" w:right="339" w:bottom="1440" w:gutter="0" w:footer="0" w:header="0"/>
        </w:sectPr>
      </w:pPr>
    </w:p>
    <w:bookmarkStart w:id="129" w:name="page130"/>
    <w:bookmarkEnd w:id="129"/>
    <w:p>
      <w:pPr>
        <w:ind w:firstLine="656"/>
        <w:spacing w:after="0" w:line="277" w:lineRule="auto"/>
        <w:tabs>
          <w:tab w:leader="none" w:pos="897" w:val="left"/>
        </w:tabs>
        <w:numPr>
          <w:ilvl w:val="0"/>
          <w:numId w:val="122"/>
        </w:numPr>
        <w:rPr>
          <w:rFonts w:ascii="Arial" w:cs="Arial" w:eastAsia="Arial" w:hAnsi="Arial"/>
          <w:sz w:val="18"/>
          <w:szCs w:val="18"/>
          <w:color w:val="auto"/>
        </w:rPr>
      </w:pPr>
      <w:r>
        <w:rPr>
          <w:rFonts w:ascii="Arial" w:cs="Arial" w:eastAsia="Arial" w:hAnsi="Arial"/>
          <w:sz w:val="18"/>
          <w:szCs w:val="18"/>
          <w:color w:val="auto"/>
        </w:rPr>
        <w:t>The Borrower shall use commercially reasonable efforts to cause each landlord that is party to a lease with Borrower to execute and deliver a landlord consent, in form and substance reasonably satisfactory to Agent, within thirty (30) days of the Closing Date;</w:t>
      </w:r>
    </w:p>
    <w:p>
      <w:pPr>
        <w:spacing w:after="0" w:line="170" w:lineRule="exact"/>
        <w:rPr>
          <w:rFonts w:ascii="Arial" w:cs="Arial" w:eastAsia="Arial" w:hAnsi="Arial"/>
          <w:sz w:val="18"/>
          <w:szCs w:val="18"/>
          <w:color w:val="auto"/>
        </w:rPr>
      </w:pPr>
    </w:p>
    <w:p>
      <w:pPr>
        <w:ind w:firstLine="656"/>
        <w:spacing w:after="0" w:line="277" w:lineRule="auto"/>
        <w:tabs>
          <w:tab w:leader="none" w:pos="873" w:val="left"/>
        </w:tabs>
        <w:numPr>
          <w:ilvl w:val="0"/>
          <w:numId w:val="122"/>
        </w:numPr>
        <w:rPr>
          <w:rFonts w:ascii="Arial" w:cs="Arial" w:eastAsia="Arial" w:hAnsi="Arial"/>
          <w:sz w:val="18"/>
          <w:szCs w:val="18"/>
          <w:color w:val="auto"/>
        </w:rPr>
      </w:pPr>
      <w:r>
        <w:rPr>
          <w:rFonts w:ascii="Arial" w:cs="Arial" w:eastAsia="Arial" w:hAnsi="Arial"/>
          <w:sz w:val="18"/>
          <w:szCs w:val="18"/>
          <w:color w:val="auto"/>
        </w:rPr>
        <w:t>The Parent shall cause the Founder Shares to be registered on the same registration statement as the PIPE Transactions pursuant to the terms of the Closing Date Registration Rights Agreement; and</w:t>
      </w:r>
    </w:p>
    <w:p>
      <w:pPr>
        <w:spacing w:after="0" w:line="170" w:lineRule="exact"/>
        <w:rPr>
          <w:rFonts w:ascii="Arial" w:cs="Arial" w:eastAsia="Arial" w:hAnsi="Arial"/>
          <w:sz w:val="18"/>
          <w:szCs w:val="18"/>
          <w:color w:val="auto"/>
        </w:rPr>
      </w:pPr>
    </w:p>
    <w:p>
      <w:pPr>
        <w:jc w:val="both"/>
        <w:ind w:firstLine="656"/>
        <w:spacing w:after="0" w:line="263" w:lineRule="auto"/>
        <w:tabs>
          <w:tab w:leader="none" w:pos="928" w:val="left"/>
        </w:tabs>
        <w:numPr>
          <w:ilvl w:val="0"/>
          <w:numId w:val="122"/>
        </w:numPr>
        <w:rPr>
          <w:rFonts w:ascii="Arial" w:cs="Arial" w:eastAsia="Arial" w:hAnsi="Arial"/>
          <w:sz w:val="18"/>
          <w:szCs w:val="18"/>
          <w:color w:val="auto"/>
        </w:rPr>
      </w:pPr>
      <w:r>
        <w:rPr>
          <w:rFonts w:ascii="Arial" w:cs="Arial" w:eastAsia="Arial" w:hAnsi="Arial"/>
          <w:sz w:val="18"/>
          <w:szCs w:val="18"/>
          <w:color w:val="auto"/>
        </w:rPr>
        <w:t>Within forty-five (45) days of the First Amendment Effective Date Agent shall receive all certificates evidencing the outstanding Equity Interests and other Collateral evidenced by certificates owned by Loan Parties, including any such Collateral obtained after the Closing Date, together with duly executed stock powers or other transfer powers in form and substance reasonably satisfactory to Agent;</w:t>
      </w:r>
    </w:p>
    <w:p>
      <w:pPr>
        <w:spacing w:after="0" w:line="183" w:lineRule="exact"/>
        <w:rPr>
          <w:rFonts w:ascii="Arial" w:cs="Arial" w:eastAsia="Arial" w:hAnsi="Arial"/>
          <w:sz w:val="18"/>
          <w:szCs w:val="18"/>
          <w:color w:val="auto"/>
        </w:rPr>
      </w:pPr>
    </w:p>
    <w:p>
      <w:pPr>
        <w:jc w:val="both"/>
        <w:ind w:firstLine="656"/>
        <w:spacing w:after="0" w:line="286" w:lineRule="auto"/>
        <w:tabs>
          <w:tab w:leader="none" w:pos="916" w:val="left"/>
        </w:tabs>
        <w:numPr>
          <w:ilvl w:val="0"/>
          <w:numId w:val="122"/>
        </w:numPr>
        <w:rPr>
          <w:rFonts w:ascii="Arial" w:cs="Arial" w:eastAsia="Arial" w:hAnsi="Arial"/>
          <w:sz w:val="17"/>
          <w:szCs w:val="17"/>
          <w:color w:val="auto"/>
        </w:rPr>
      </w:pPr>
      <w:r>
        <w:rPr>
          <w:rFonts w:ascii="Arial" w:cs="Arial" w:eastAsia="Arial" w:hAnsi="Arial"/>
          <w:sz w:val="17"/>
          <w:szCs w:val="17"/>
          <w:color w:val="auto"/>
        </w:rPr>
        <w:t>Within thirty (30) days of the Second Amendment Effective Date, the Loan Parties shall have delivered updated insurance endorsements to Agent with respect to each general liability insurance policy and each property insurance policy, including, in each case, sub-policies thereunder, of each Loan Party, endorsing Agent, as additional insured and lender loss payee, respectively, under such policies as its interests appear;</w:t>
      </w:r>
    </w:p>
    <w:p>
      <w:pPr>
        <w:spacing w:after="0" w:line="165" w:lineRule="exact"/>
        <w:rPr>
          <w:rFonts w:ascii="Arial" w:cs="Arial" w:eastAsia="Arial" w:hAnsi="Arial"/>
          <w:sz w:val="17"/>
          <w:szCs w:val="17"/>
          <w:color w:val="auto"/>
        </w:rPr>
      </w:pPr>
    </w:p>
    <w:p>
      <w:pPr>
        <w:jc w:val="both"/>
        <w:ind w:firstLine="656"/>
        <w:spacing w:after="0" w:line="263" w:lineRule="auto"/>
        <w:tabs>
          <w:tab w:leader="none" w:pos="872" w:val="left"/>
        </w:tabs>
        <w:numPr>
          <w:ilvl w:val="0"/>
          <w:numId w:val="122"/>
        </w:numPr>
        <w:rPr>
          <w:rFonts w:ascii="Arial" w:cs="Arial" w:eastAsia="Arial" w:hAnsi="Arial"/>
          <w:sz w:val="18"/>
          <w:szCs w:val="18"/>
          <w:color w:val="auto"/>
        </w:rPr>
      </w:pPr>
      <w:r>
        <w:rPr>
          <w:rFonts w:ascii="Arial" w:cs="Arial" w:eastAsia="Arial" w:hAnsi="Arial"/>
          <w:sz w:val="18"/>
          <w:szCs w:val="18"/>
          <w:color w:val="auto"/>
        </w:rPr>
        <w:t xml:space="preserve">Within thirty (30) days of the Second Amendment Effective Date the Loan Parties shall have delivered Control Agreements, executed by the applicable Loan Party, Lender and the applicable depository institution with respect to any Deposit Account opened after the Closing Date, together with an updated </w:t>
      </w:r>
      <w:r>
        <w:rPr>
          <w:rFonts w:ascii="Arial" w:cs="Arial" w:eastAsia="Arial" w:hAnsi="Arial"/>
          <w:sz w:val="18"/>
          <w:szCs w:val="18"/>
          <w:u w:val="single" w:color="auto"/>
          <w:color w:val="auto"/>
        </w:rPr>
        <w:t>Schedule 1.1(b)</w:t>
      </w:r>
      <w:r>
        <w:rPr>
          <w:rFonts w:ascii="Arial" w:cs="Arial" w:eastAsia="Arial" w:hAnsi="Arial"/>
          <w:sz w:val="18"/>
          <w:szCs w:val="18"/>
          <w:color w:val="auto"/>
        </w:rPr>
        <w:t xml:space="preserve"> to this Agreement; and</w:t>
      </w:r>
    </w:p>
    <w:p>
      <w:pPr>
        <w:spacing w:after="0" w:line="183" w:lineRule="exact"/>
        <w:rPr>
          <w:rFonts w:ascii="Arial" w:cs="Arial" w:eastAsia="Arial" w:hAnsi="Arial"/>
          <w:sz w:val="18"/>
          <w:szCs w:val="18"/>
          <w:color w:val="auto"/>
        </w:rPr>
      </w:pPr>
    </w:p>
    <w:p>
      <w:pPr>
        <w:ind w:firstLine="656"/>
        <w:spacing w:after="0" w:line="277" w:lineRule="auto"/>
        <w:tabs>
          <w:tab w:leader="none" w:pos="878" w:val="left"/>
        </w:tabs>
        <w:numPr>
          <w:ilvl w:val="0"/>
          <w:numId w:val="122"/>
        </w:numPr>
        <w:rPr>
          <w:rFonts w:ascii="Arial" w:cs="Arial" w:eastAsia="Arial" w:hAnsi="Arial"/>
          <w:sz w:val="18"/>
          <w:szCs w:val="18"/>
          <w:color w:val="auto"/>
        </w:rPr>
      </w:pPr>
      <w:r>
        <w:rPr>
          <w:rFonts w:ascii="Arial" w:cs="Arial" w:eastAsia="Arial" w:hAnsi="Arial"/>
          <w:sz w:val="18"/>
          <w:szCs w:val="18"/>
          <w:color w:val="auto"/>
        </w:rPr>
        <w:t>Within thirty (30) days of the Second Amendment Effective Date Borrower shall have established a Cash Collateral Account and deposited $10,000,000 into such account.</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5.14 Location of Assets</w:t>
      </w:r>
      <w:r>
        <w:rPr>
          <w:rFonts w:ascii="Arial" w:cs="Arial" w:eastAsia="Arial" w:hAnsi="Arial"/>
          <w:sz w:val="18"/>
          <w:szCs w:val="18"/>
          <w:color w:val="auto"/>
        </w:rPr>
        <w:t>. The Loan Parties shall maintain all Collateral at the Specified Locations.</w:t>
      </w:r>
    </w:p>
    <w:p>
      <w:pPr>
        <w:spacing w:after="0" w:line="225"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b w:val="1"/>
          <w:bCs w:val="1"/>
          <w:color w:val="auto"/>
        </w:rPr>
        <w:t xml:space="preserve">5.15 Additional Subsidiaries. </w:t>
      </w:r>
      <w:r>
        <w:rPr>
          <w:rFonts w:ascii="Arial" w:cs="Arial" w:eastAsia="Arial" w:hAnsi="Arial"/>
          <w:sz w:val="16"/>
          <w:szCs w:val="16"/>
          <w:color w:val="auto"/>
        </w:rPr>
        <w:t>In the event that any Person becomes a Domestic Subsidiary of a Loan Party, such Loan Party shall concurrently</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with such Person becoming a Domestic Subsidiary, cause such Person to (i) become a Guarantor and a grantor under the Security Agreement by executing and delivering to Agent a joinder in form and substance acceptable to Agent, (ii) take all such other action as shall be necessary or reasonably appropriate to establish, create, preserve, protect and perfect a first priority Lien (subject only to Permitted Liens) in favor of Agent for the benefit of the Lenders on substantially all assets, both real and personal, in which such Domestic Subsidiary has or may thereafter acquire any interest, to the extent required by this Agreement, the Security Agreement, or any other Loan Document, including the execution and delivery of all such documents, instruments, agreements, and certificates as are similar to those delivered by the other Loan Parties as described in </w:t>
      </w:r>
      <w:r>
        <w:rPr>
          <w:rFonts w:ascii="Arial" w:cs="Arial" w:eastAsia="Arial" w:hAnsi="Arial"/>
          <w:sz w:val="16"/>
          <w:szCs w:val="16"/>
          <w:u w:val="single" w:color="auto"/>
          <w:color w:val="auto"/>
        </w:rPr>
        <w:t>Section 4.1</w:t>
      </w:r>
      <w:r>
        <w:rPr>
          <w:rFonts w:ascii="Arial" w:cs="Arial" w:eastAsia="Arial" w:hAnsi="Arial"/>
          <w:sz w:val="16"/>
          <w:szCs w:val="16"/>
          <w:color w:val="auto"/>
        </w:rPr>
        <w:t>, and (iii) promptly send to Agent written notice setting forth with respect to such Domestic Subsidiary, the date on which such Person became a Domestic Subsidiary of a Loan Party, updated Schedules to this Agreement and each other applicable Loan Document, and a Perfection Certificate, in each case with respect to such Person.</w:t>
      </w:r>
    </w:p>
    <w:p>
      <w:pPr>
        <w:spacing w:after="0" w:line="386"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36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Presto Credit Agreement</w:t>
            </w:r>
          </w:p>
        </w:tc>
        <w:tc>
          <w:tcPr>
            <w:tcW w:w="7580" w:type="dxa"/>
            <w:vAlign w:val="bottom"/>
            <w:tcBorders>
              <w:bottom w:val="single" w:sz="8" w:color="auto"/>
            </w:tcBorders>
          </w:tcPr>
          <w:p>
            <w:pPr>
              <w:jc w:val="right"/>
              <w:ind w:right="5430"/>
              <w:spacing w:after="0"/>
              <w:rPr>
                <w:sz w:val="20"/>
                <w:szCs w:val="20"/>
                <w:color w:val="auto"/>
              </w:rPr>
            </w:pPr>
            <w:r>
              <w:rPr>
                <w:rFonts w:ascii="Arial" w:cs="Arial" w:eastAsia="Arial" w:hAnsi="Arial"/>
                <w:sz w:val="18"/>
                <w:szCs w:val="18"/>
                <w:color w:val="auto"/>
              </w:rPr>
              <w:t>43</w:t>
            </w:r>
          </w:p>
        </w:tc>
      </w:tr>
    </w:tbl>
    <w:p>
      <w:pPr>
        <w:sectPr>
          <w:pgSz w:w="11900" w:h="16838" w:orient="portrait"/>
          <w:cols w:equalWidth="0" w:num="1">
            <w:col w:w="11240"/>
          </w:cols>
          <w:pgMar w:left="320" w:top="908" w:right="339" w:bottom="1440" w:gutter="0" w:footer="0" w:header="0"/>
        </w:sectPr>
      </w:pPr>
    </w:p>
    <w:bookmarkStart w:id="130" w:name="page131"/>
    <w:bookmarkEnd w:id="130"/>
    <w:p>
      <w:pPr>
        <w:jc w:val="both"/>
        <w:ind w:firstLine="648"/>
        <w:spacing w:after="0" w:line="283" w:lineRule="auto"/>
        <w:rPr>
          <w:sz w:val="20"/>
          <w:szCs w:val="20"/>
          <w:color w:val="auto"/>
        </w:rPr>
      </w:pPr>
      <w:r>
        <w:rPr>
          <w:rFonts w:ascii="Arial" w:cs="Arial" w:eastAsia="Arial" w:hAnsi="Arial"/>
          <w:sz w:val="16"/>
          <w:szCs w:val="16"/>
          <w:b w:val="1"/>
          <w:bCs w:val="1"/>
          <w:color w:val="auto"/>
        </w:rPr>
        <w:t>5.16 Board Observation Rights</w:t>
      </w:r>
      <w:r>
        <w:rPr>
          <w:rFonts w:ascii="Arial" w:cs="Arial" w:eastAsia="Arial" w:hAnsi="Arial"/>
          <w:sz w:val="16"/>
          <w:szCs w:val="16"/>
          <w:color w:val="auto"/>
        </w:rPr>
        <w:t>. For so long as the Obligations remain outstanding Agent shall have the right to designate one (1) representative</w:t>
      </w:r>
      <w:r>
        <w:rPr>
          <w:rFonts w:ascii="Arial" w:cs="Arial" w:eastAsia="Arial" w:hAnsi="Arial"/>
          <w:sz w:val="16"/>
          <w:szCs w:val="16"/>
          <w:b w:val="1"/>
          <w:bCs w:val="1"/>
          <w:color w:val="auto"/>
        </w:rPr>
        <w:t xml:space="preserve"> </w:t>
      </w:r>
      <w:r>
        <w:rPr>
          <w:rFonts w:ascii="Arial" w:cs="Arial" w:eastAsia="Arial" w:hAnsi="Arial"/>
          <w:sz w:val="16"/>
          <w:szCs w:val="16"/>
          <w:color w:val="auto"/>
        </w:rPr>
        <w:t>(“</w:t>
      </w:r>
      <w:r>
        <w:rPr>
          <w:rFonts w:ascii="Arial" w:cs="Arial" w:eastAsia="Arial" w:hAnsi="Arial"/>
          <w:sz w:val="16"/>
          <w:szCs w:val="16"/>
          <w:b w:val="1"/>
          <w:bCs w:val="1"/>
          <w:i w:val="1"/>
          <w:iCs w:val="1"/>
          <w:color w:val="auto"/>
        </w:rPr>
        <w:t>Representative</w:t>
      </w:r>
      <w:r>
        <w:rPr>
          <w:rFonts w:ascii="Arial" w:cs="Arial" w:eastAsia="Arial" w:hAnsi="Arial"/>
          <w:sz w:val="16"/>
          <w:szCs w:val="16"/>
          <w:color w:val="auto"/>
        </w:rPr>
        <w:t>”) which Representative shall either be (i) a person employed by Agent or one of its Affiliates or (ii) any other person designated by the Agent and reasonably acceptable to the Borrower, who shall: (a) solely to the extent the Agent has delivered written notice to Borrower that it elects to receive material non-public information, and such notice has not been rescinded by Agent by written notice to the Borrower, receive prior notice of all meetings (both regular and special) of the board of directors or similar governing body (the “</w:t>
      </w:r>
      <w:r>
        <w:rPr>
          <w:rFonts w:ascii="Arial" w:cs="Arial" w:eastAsia="Arial" w:hAnsi="Arial"/>
          <w:sz w:val="16"/>
          <w:szCs w:val="16"/>
          <w:b w:val="1"/>
          <w:bCs w:val="1"/>
          <w:i w:val="1"/>
          <w:iCs w:val="1"/>
          <w:color w:val="auto"/>
        </w:rPr>
        <w:t>Governing Body</w:t>
      </w:r>
      <w:r>
        <w:rPr>
          <w:rFonts w:ascii="Arial" w:cs="Arial" w:eastAsia="Arial" w:hAnsi="Arial"/>
          <w:sz w:val="16"/>
          <w:szCs w:val="16"/>
          <w:color w:val="auto"/>
        </w:rPr>
        <w:t xml:space="preserve">”) and/or the holders of the Equity Interests of and of each committee of any such Governing Body of (i) each Loan Party, (ii) each of any Loan Party’s Subsidiaries, and (iii) each direct or indirect parent of any Loan Party; (b) solely to the extent the Agent has delivered written notice to Borrower that it elects to receive material non-public information, and such notice has not been rescinded by Agent by written notice to the Borrower, be entitled to attend (or, at the option of such Representative, monitor by telephone) all such meetings; (c) solely to the extent the Agent has delivered written notice to Borrower that it elects to receive material non-public information, and such notice has not been rescinded by Agent by written notice to the Borrower, receive all notices, information, reports and minutes of meetings, which are furnished (or made available) to the members of any such Governing Body and/or committee and/or holders of Equity Interests at or around the same time and in the same (in all material respects) manner as the same is furnished (or made available) to such members; and (d) solely to the extent the Agent has delivered written notice to Borrower that it elects to receive material non-public information, and such notice has not been rescinded by Agent by written notice to the Borrower, be entitled to participate in all discussions conducted at such meetings. Solely to the extent the Agent has delivered written notice to Borrower that it elects to receive material non-public information, and such notice has not been rescinded by Agent by written notice to the Borrower, if any action is proposed to be taken by any such Governing Body and/or committee by written consent in lieu of a meeting, the Loan Parties shall give, or shall cause to be given, written notice thereof to each Representative, which notice shall describe in reasonable detail the nature and substance of such proposed action before any such action is taken and in any event not materially later than the date upon which any member of any such board of directors (or similar governing body) and/or committee receives the same. Solely to the extent the Agent has delivered written notice to Borrower that it elects to receive material non-public information, and such notice has not been rescinded by Agent by written notice to the Borrower, the Loan Parties shall furnish, or shall cause to be furnished, to each Representative with a copy of each such written consent at or around the same time, and in the same (in all material respects) manner as the same is furnished (or made available) to such members. The Loan Parties shall be required to reimburse Agent for its reasonable and documented out-of-pocket costs and expenses under this </w:t>
      </w:r>
      <w:r>
        <w:rPr>
          <w:rFonts w:ascii="Arial" w:cs="Arial" w:eastAsia="Arial" w:hAnsi="Arial"/>
          <w:sz w:val="16"/>
          <w:szCs w:val="16"/>
          <w:u w:val="single" w:color="auto"/>
          <w:color w:val="auto"/>
        </w:rPr>
        <w:t>Section 5.16</w:t>
      </w:r>
      <w:r>
        <w:rPr>
          <w:rFonts w:ascii="Arial" w:cs="Arial" w:eastAsia="Arial" w:hAnsi="Arial"/>
          <w:sz w:val="16"/>
          <w:szCs w:val="16"/>
          <w:color w:val="auto"/>
        </w:rPr>
        <w:t xml:space="preserve"> with respect to attending such board or committee meetings, which costs and expenses shall be reimbursed promptly upon submission of customary expense reports and documentation. For the avoidance of doubt, each Representative (x) shall not constitute a director and/or member of a board committee; (y) shall not be entitled to vote or consent on any matters presented by meetings of the Governing Body and/or committee or actions taken in lieu of a meeting; and (z) shall not be entitled to any rights other than those provided by this </w:t>
      </w:r>
      <w:r>
        <w:rPr>
          <w:rFonts w:ascii="Arial" w:cs="Arial" w:eastAsia="Arial" w:hAnsi="Arial"/>
          <w:sz w:val="16"/>
          <w:szCs w:val="16"/>
          <w:u w:val="single" w:color="auto"/>
          <w:color w:val="auto"/>
        </w:rPr>
        <w:t>Section 5.16</w:t>
      </w:r>
      <w:r>
        <w:rPr>
          <w:rFonts w:ascii="Arial" w:cs="Arial" w:eastAsia="Arial" w:hAnsi="Arial"/>
          <w:sz w:val="16"/>
          <w:szCs w:val="16"/>
          <w:color w:val="auto"/>
        </w:rPr>
        <w:t xml:space="preserve">. The parties hereto agree that the Representative does not have a fiduciary duty or any other duties or responsibilities to the Loan Parties or any of their respective Affiliates. Subject to the first sentence of this </w:t>
      </w:r>
      <w:r>
        <w:rPr>
          <w:rFonts w:ascii="Arial" w:cs="Arial" w:eastAsia="Arial" w:hAnsi="Arial"/>
          <w:sz w:val="16"/>
          <w:szCs w:val="16"/>
          <w:u w:val="single" w:color="auto"/>
          <w:color w:val="auto"/>
        </w:rPr>
        <w:t>Section 5.16</w:t>
      </w:r>
      <w:r>
        <w:rPr>
          <w:rFonts w:ascii="Arial" w:cs="Arial" w:eastAsia="Arial" w:hAnsi="Arial"/>
          <w:sz w:val="16"/>
          <w:szCs w:val="16"/>
          <w:color w:val="auto"/>
        </w:rPr>
        <w:t>, Agent may designate a new individual to serve as the Representative at any time and at its sole discretion. Notwithstanding the foregoing, the Representative shall not be entitled to receive materials relating to, or be in attendance for any discussions relating to, topics which, based upon the advice of counsel (i) the Representative’s access to such information or attendance for such discussion would reasonably be expected to terminate the attorney client privilege between any Loan Party or its Subsidiaries and its counsel, or (ii) concern the Loan Parties’ strategy or negotiations with respect to the Loan Documents or otherwise would present a conflict of interest for such Representative or the Agent or the Lenders.</w:t>
      </w:r>
    </w:p>
    <w:p>
      <w:pPr>
        <w:spacing w:after="0" w:line="200" w:lineRule="exact"/>
        <w:rPr>
          <w:sz w:val="20"/>
          <w:szCs w:val="20"/>
          <w:color w:val="auto"/>
        </w:rPr>
      </w:pPr>
    </w:p>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5.17 MNPI</w:t>
      </w:r>
      <w:r>
        <w:rPr>
          <w:rFonts w:ascii="Arial" w:cs="Arial" w:eastAsia="Arial" w:hAnsi="Arial"/>
          <w:sz w:val="18"/>
          <w:szCs w:val="18"/>
          <w:color w:val="auto"/>
        </w:rPr>
        <w:t>.</w:t>
      </w:r>
    </w:p>
    <w:p>
      <w:pPr>
        <w:spacing w:after="0" w:line="229" w:lineRule="exact"/>
        <w:rPr>
          <w:sz w:val="20"/>
          <w:szCs w:val="20"/>
          <w:color w:val="auto"/>
        </w:rPr>
      </w:pPr>
    </w:p>
    <w:p>
      <w:pPr>
        <w:jc w:val="both"/>
        <w:ind w:firstLine="656"/>
        <w:spacing w:after="0" w:line="271" w:lineRule="auto"/>
        <w:tabs>
          <w:tab w:leader="none" w:pos="908" w:val="left"/>
        </w:tabs>
        <w:numPr>
          <w:ilvl w:val="0"/>
          <w:numId w:val="123"/>
        </w:numPr>
        <w:rPr>
          <w:rFonts w:ascii="Arial" w:cs="Arial" w:eastAsia="Arial" w:hAnsi="Arial"/>
          <w:sz w:val="17"/>
          <w:szCs w:val="17"/>
          <w:color w:val="auto"/>
        </w:rPr>
      </w:pPr>
      <w:r>
        <w:rPr>
          <w:rFonts w:ascii="Arial" w:cs="Arial" w:eastAsia="Arial" w:hAnsi="Arial"/>
          <w:sz w:val="17"/>
          <w:szCs w:val="17"/>
          <w:color w:val="auto"/>
        </w:rPr>
        <w:t>The Loan Parties shall not, and each Loan Party shall cause each of its Subsidiaries and each of its and their respective officers, directors, employees and agents not to, provide the Agent or any Lender with any material, non-public information regarding the Loan Parties or any of their Subsidiaries from and after the date hereof unless the Agent or such Lender, as applicable has delivered written notice to the Borrower that it elects to receive material non-public information regarding the Loan Parties (which election may be made in each of the Agent’s or such Lender’s, as applicable, sole discretion) and in such case shall only deliver such material, non-public information to the Agent or such Lender, as applicable, that has made such election and only so long as the Agent or such Lender, as applicable has not rescinded such election by written notice to the Borrower (collectively, “</w:t>
      </w:r>
      <w:r>
        <w:rPr>
          <w:rFonts w:ascii="Arial" w:cs="Arial" w:eastAsia="Arial" w:hAnsi="Arial"/>
          <w:sz w:val="17"/>
          <w:szCs w:val="17"/>
          <w:b w:val="1"/>
          <w:bCs w:val="1"/>
          <w:i w:val="1"/>
          <w:iCs w:val="1"/>
          <w:color w:val="auto"/>
        </w:rPr>
        <w:t>Requested Information</w:t>
      </w:r>
      <w:r>
        <w:rPr>
          <w:rFonts w:ascii="Arial" w:cs="Arial" w:eastAsia="Arial" w:hAnsi="Arial"/>
          <w:sz w:val="17"/>
          <w:szCs w:val="17"/>
          <w:color w:val="auto"/>
        </w:rPr>
        <w:t xml:space="preserv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nothing herein shall restrict the Loan Parties from providing the information to the Agent as required pursuant to </w:t>
      </w:r>
      <w:r>
        <w:rPr>
          <w:rFonts w:ascii="Arial" w:cs="Arial" w:eastAsia="Arial" w:hAnsi="Arial"/>
          <w:sz w:val="17"/>
          <w:szCs w:val="17"/>
          <w:u w:val="single" w:color="auto"/>
          <w:color w:val="auto"/>
        </w:rPr>
        <w:t>Section 5.1(c)</w:t>
      </w:r>
      <w:r>
        <w:rPr>
          <w:rFonts w:ascii="Arial" w:cs="Arial" w:eastAsia="Arial" w:hAnsi="Arial"/>
          <w:sz w:val="17"/>
          <w:szCs w:val="17"/>
          <w:color w:val="auto"/>
        </w:rPr>
        <w:t xml:space="preserve">, </w:t>
      </w:r>
      <w:r>
        <w:rPr>
          <w:rFonts w:ascii="Arial" w:cs="Arial" w:eastAsia="Arial" w:hAnsi="Arial"/>
          <w:sz w:val="17"/>
          <w:szCs w:val="17"/>
          <w:u w:val="single" w:color="auto"/>
          <w:color w:val="auto"/>
        </w:rPr>
        <w:t>Section 5.2(a)</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Section 5.7</w:t>
      </w:r>
      <w:r>
        <w:rPr>
          <w:rFonts w:ascii="Arial" w:cs="Arial" w:eastAsia="Arial" w:hAnsi="Arial"/>
          <w:sz w:val="17"/>
          <w:szCs w:val="17"/>
          <w:color w:val="auto"/>
        </w:rPr>
        <w:t xml:space="preserve"> (together with the Requested Information, the “</w:t>
      </w:r>
      <w:r>
        <w:rPr>
          <w:rFonts w:ascii="Arial" w:cs="Arial" w:eastAsia="Arial" w:hAnsi="Arial"/>
          <w:sz w:val="17"/>
          <w:szCs w:val="17"/>
          <w:b w:val="1"/>
          <w:bCs w:val="1"/>
          <w:i w:val="1"/>
          <w:iCs w:val="1"/>
          <w:color w:val="auto"/>
        </w:rPr>
        <w:t>Permitted Information</w:t>
      </w:r>
      <w:r>
        <w:rPr>
          <w:rFonts w:ascii="Arial" w:cs="Arial" w:eastAsia="Arial" w:hAnsi="Arial"/>
          <w:sz w:val="17"/>
          <w:szCs w:val="17"/>
          <w:color w:val="auto"/>
        </w:rPr>
        <w:t>”).</w:t>
      </w:r>
    </w:p>
    <w:p>
      <w:pPr>
        <w:spacing w:after="0" w:line="394"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36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Presto Credit Agreement</w:t>
            </w:r>
          </w:p>
        </w:tc>
        <w:tc>
          <w:tcPr>
            <w:tcW w:w="7580" w:type="dxa"/>
            <w:vAlign w:val="bottom"/>
            <w:tcBorders>
              <w:bottom w:val="single" w:sz="8" w:color="auto"/>
            </w:tcBorders>
          </w:tcPr>
          <w:p>
            <w:pPr>
              <w:jc w:val="right"/>
              <w:ind w:right="5430"/>
              <w:spacing w:after="0"/>
              <w:rPr>
                <w:sz w:val="20"/>
                <w:szCs w:val="20"/>
                <w:color w:val="auto"/>
              </w:rPr>
            </w:pPr>
            <w:r>
              <w:rPr>
                <w:rFonts w:ascii="Arial" w:cs="Arial" w:eastAsia="Arial" w:hAnsi="Arial"/>
                <w:sz w:val="18"/>
                <w:szCs w:val="18"/>
                <w:color w:val="auto"/>
              </w:rPr>
              <w:t>44</w:t>
            </w:r>
          </w:p>
        </w:tc>
      </w:tr>
    </w:tbl>
    <w:p>
      <w:pPr>
        <w:sectPr>
          <w:pgSz w:w="11900" w:h="16838" w:orient="portrait"/>
          <w:cols w:equalWidth="0" w:num="1">
            <w:col w:w="11240"/>
          </w:cols>
          <w:pgMar w:left="320" w:top="904" w:right="339" w:bottom="1440" w:gutter="0" w:footer="0" w:header="0"/>
        </w:sectPr>
      </w:pPr>
    </w:p>
    <w:bookmarkStart w:id="131" w:name="page132"/>
    <w:bookmarkEnd w:id="131"/>
    <w:p>
      <w:pPr>
        <w:jc w:val="both"/>
        <w:ind w:firstLine="656"/>
        <w:spacing w:after="0" w:line="263" w:lineRule="auto"/>
        <w:tabs>
          <w:tab w:leader="none" w:pos="908" w:val="left"/>
        </w:tabs>
        <w:numPr>
          <w:ilvl w:val="0"/>
          <w:numId w:val="124"/>
        </w:numPr>
        <w:rPr>
          <w:rFonts w:ascii="Arial" w:cs="Arial" w:eastAsia="Arial" w:hAnsi="Arial"/>
          <w:sz w:val="18"/>
          <w:szCs w:val="18"/>
          <w:color w:val="auto"/>
        </w:rPr>
      </w:pPr>
      <w:r>
        <w:rPr>
          <w:rFonts w:ascii="Arial" w:cs="Arial" w:eastAsia="Arial" w:hAnsi="Arial"/>
          <w:sz w:val="18"/>
          <w:szCs w:val="18"/>
          <w:color w:val="auto"/>
        </w:rPr>
        <w:t>Agent and each Lender acknowledges that Permitted Information may include material, non-public information concerning the Loan Parties and their Affiliates or their respective securities, and confirms that it will handle such material, non-public information in accordance with applicable law, including Federal and state securities laws.</w:t>
      </w:r>
    </w:p>
    <w:p>
      <w:pPr>
        <w:spacing w:after="0" w:line="183" w:lineRule="exact"/>
        <w:rPr>
          <w:rFonts w:ascii="Arial" w:cs="Arial" w:eastAsia="Arial" w:hAnsi="Arial"/>
          <w:sz w:val="18"/>
          <w:szCs w:val="18"/>
          <w:color w:val="auto"/>
        </w:rPr>
      </w:pPr>
    </w:p>
    <w:p>
      <w:pPr>
        <w:jc w:val="both"/>
        <w:ind w:firstLine="656"/>
        <w:spacing w:after="0" w:line="259" w:lineRule="auto"/>
        <w:tabs>
          <w:tab w:leader="none" w:pos="898" w:val="left"/>
        </w:tabs>
        <w:numPr>
          <w:ilvl w:val="0"/>
          <w:numId w:val="124"/>
        </w:numPr>
        <w:rPr>
          <w:rFonts w:ascii="Arial" w:cs="Arial" w:eastAsia="Arial" w:hAnsi="Arial"/>
          <w:sz w:val="18"/>
          <w:szCs w:val="18"/>
          <w:color w:val="auto"/>
        </w:rPr>
      </w:pPr>
      <w:r>
        <w:rPr>
          <w:rFonts w:ascii="Arial" w:cs="Arial" w:eastAsia="Arial" w:hAnsi="Arial"/>
          <w:sz w:val="18"/>
          <w:szCs w:val="18"/>
          <w:color w:val="auto"/>
        </w:rPr>
        <w:t>To the extent that Borrower delivers material, non-public information (as determined by Agent or the applicable Lender, acting reasonably, in consultation with the Borrower) regarding any of the Loan Parties or any of their Subsidiaries to the Agent or the Lender, in each case, other than any Permitted Information, then promptly (but in any event within three Business Days) following written request from the Agent or the applicable Lender, the Parent shall make a public disclosure with respect to such material, non-public information.</w:t>
      </w:r>
    </w:p>
    <w:p>
      <w:pPr>
        <w:spacing w:after="0" w:line="186" w:lineRule="exact"/>
        <w:rPr>
          <w:rFonts w:ascii="Arial" w:cs="Arial" w:eastAsia="Arial" w:hAnsi="Arial"/>
          <w:sz w:val="18"/>
          <w:szCs w:val="18"/>
          <w:color w:val="auto"/>
        </w:rPr>
      </w:pPr>
    </w:p>
    <w:p>
      <w:pPr>
        <w:jc w:val="both"/>
        <w:ind w:firstLine="656"/>
        <w:spacing w:after="0" w:line="272" w:lineRule="auto"/>
        <w:tabs>
          <w:tab w:leader="none" w:pos="909" w:val="left"/>
        </w:tabs>
        <w:numPr>
          <w:ilvl w:val="0"/>
          <w:numId w:val="124"/>
        </w:numPr>
        <w:rPr>
          <w:rFonts w:ascii="Arial" w:cs="Arial" w:eastAsia="Arial" w:hAnsi="Arial"/>
          <w:sz w:val="17"/>
          <w:szCs w:val="17"/>
          <w:color w:val="auto"/>
        </w:rPr>
      </w:pPr>
      <w:r>
        <w:rPr>
          <w:rFonts w:ascii="Arial" w:cs="Arial" w:eastAsia="Arial" w:hAnsi="Arial"/>
          <w:sz w:val="17"/>
          <w:szCs w:val="17"/>
          <w:color w:val="auto"/>
        </w:rPr>
        <w:t xml:space="preserve">In the event of a breach of any of </w:t>
      </w:r>
      <w:r>
        <w:rPr>
          <w:rFonts w:ascii="Arial" w:cs="Arial" w:eastAsia="Arial" w:hAnsi="Arial"/>
          <w:sz w:val="17"/>
          <w:szCs w:val="17"/>
          <w:u w:val="single" w:color="auto"/>
          <w:color w:val="auto"/>
        </w:rPr>
        <w:t>Section 5.17(c)</w:t>
      </w:r>
      <w:r>
        <w:rPr>
          <w:rFonts w:ascii="Arial" w:cs="Arial" w:eastAsia="Arial" w:hAnsi="Arial"/>
          <w:sz w:val="17"/>
          <w:szCs w:val="17"/>
          <w:color w:val="auto"/>
        </w:rPr>
        <w:t>, in addition to any other remedy provided herein or in the Loan Documents, the Agent shall have the right to make a public disclosure, in the form of a press release or otherwise, of such material, non-public information (other than any Permitted Information), as applicable, without the prior approval by the Loan Party, any of its Subsidiaries, or any of its or their respective officers, directors, employees or agents. The Agent shall not have any liability to the Loan Parties, any of their Subsidiaries, or any of its or their respective officers, directors, employees, affiliates, stockholders or agents, for any such disclosure. To the extent that any Loan Party delivers any material, non-public information to the Agent or a Lender (other than Permitted Information), each Loan Party hereby covenants and agrees that the Agent or such Lender, as applicable, shall not have any duty of confidentiality with respect to, or such material, non-public information.</w:t>
      </w:r>
    </w:p>
    <w:p>
      <w:pPr>
        <w:spacing w:after="0" w:line="173"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color w:val="auto"/>
        </w:rPr>
        <w:t xml:space="preserve">5.18 Cash Collateral Account. </w:t>
      </w:r>
      <w:r>
        <w:rPr>
          <w:rFonts w:ascii="Arial" w:cs="Arial" w:eastAsia="Arial" w:hAnsi="Arial"/>
          <w:sz w:val="18"/>
          <w:szCs w:val="18"/>
          <w:color w:val="auto"/>
        </w:rPr>
        <w:t>Subject to the time periods set forth in Section 5.13(j), from and after the Second Amendment Effective Date, the</w:t>
      </w:r>
      <w:r>
        <w:rPr>
          <w:rFonts w:ascii="Arial" w:cs="Arial" w:eastAsia="Arial" w:hAnsi="Arial"/>
          <w:sz w:val="18"/>
          <w:szCs w:val="18"/>
          <w:b w:val="1"/>
          <w:bCs w:val="1"/>
          <w:color w:val="auto"/>
        </w:rPr>
        <w:t xml:space="preserve"> </w:t>
      </w:r>
      <w:r>
        <w:rPr>
          <w:rFonts w:ascii="Arial" w:cs="Arial" w:eastAsia="Arial" w:hAnsi="Arial"/>
          <w:sz w:val="18"/>
          <w:szCs w:val="18"/>
          <w:color w:val="auto"/>
        </w:rPr>
        <w:t>Borrower shall at all times maintain the Cash Collateral Account with a balance of no less than $10,000,000.</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6</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NEGATIVE COVENANTS</w:t>
      </w:r>
    </w:p>
    <w:p>
      <w:pPr>
        <w:spacing w:after="0" w:line="21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Each Loan Party, on its own behalf and on behalf of its Subsidiaries, hereby agrees that, until the Term Loan Commitment has been terminated and the Obligations have been paid in full (other than inchoate indemnification obligations):</w:t>
      </w:r>
    </w:p>
    <w:p>
      <w:pPr>
        <w:spacing w:after="0" w:line="166"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color w:val="auto"/>
        </w:rPr>
        <w:t>6.1 Indebtedness</w:t>
      </w:r>
      <w:r>
        <w:rPr>
          <w:rFonts w:ascii="Arial" w:cs="Arial" w:eastAsia="Arial" w:hAnsi="Arial"/>
          <w:sz w:val="18"/>
          <w:szCs w:val="18"/>
          <w:color w:val="auto"/>
        </w:rPr>
        <w:t>. No Loan Party shall, and shall not permit any Subsidiary to, create, issue, incur, assume, become liable in respect of or suffer to</w:t>
      </w:r>
      <w:r>
        <w:rPr>
          <w:rFonts w:ascii="Arial" w:cs="Arial" w:eastAsia="Arial" w:hAnsi="Arial"/>
          <w:sz w:val="18"/>
          <w:szCs w:val="18"/>
          <w:b w:val="1"/>
          <w:bCs w:val="1"/>
          <w:color w:val="auto"/>
        </w:rPr>
        <w:t xml:space="preserve"> </w:t>
      </w:r>
      <w:r>
        <w:rPr>
          <w:rFonts w:ascii="Arial" w:cs="Arial" w:eastAsia="Arial" w:hAnsi="Arial"/>
          <w:sz w:val="18"/>
          <w:szCs w:val="18"/>
          <w:color w:val="auto"/>
        </w:rPr>
        <w:t>exist any Indebtedness, except Indebtedness pursuant to the Loan Documents and Permitted Indebtedness.</w:t>
      </w:r>
    </w:p>
    <w:p>
      <w:pPr>
        <w:spacing w:after="0" w:line="162"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color w:val="auto"/>
        </w:rPr>
        <w:t>6.2 Liens</w:t>
      </w:r>
      <w:r>
        <w:rPr>
          <w:rFonts w:ascii="Arial" w:cs="Arial" w:eastAsia="Arial" w:hAnsi="Arial"/>
          <w:sz w:val="18"/>
          <w:szCs w:val="18"/>
          <w:color w:val="auto"/>
        </w:rPr>
        <w:t>. No Loan Party shall, and shall not permit any Subsidiary to, create, incur, assume or suffer to exist any Lien upon any of its property,</w:t>
      </w:r>
      <w:r>
        <w:rPr>
          <w:rFonts w:ascii="Arial" w:cs="Arial" w:eastAsia="Arial" w:hAnsi="Arial"/>
          <w:sz w:val="18"/>
          <w:szCs w:val="18"/>
          <w:b w:val="1"/>
          <w:bCs w:val="1"/>
          <w:color w:val="auto"/>
        </w:rPr>
        <w:t xml:space="preserve"> </w:t>
      </w:r>
      <w:r>
        <w:rPr>
          <w:rFonts w:ascii="Arial" w:cs="Arial" w:eastAsia="Arial" w:hAnsi="Arial"/>
          <w:sz w:val="18"/>
          <w:szCs w:val="18"/>
          <w:color w:val="auto"/>
        </w:rPr>
        <w:t>whether now owned or hereafter acquired, except Permitted Liens.</w:t>
      </w:r>
    </w:p>
    <w:p>
      <w:pPr>
        <w:spacing w:after="0" w:line="162"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b w:val="1"/>
          <w:bCs w:val="1"/>
          <w:color w:val="auto"/>
        </w:rPr>
        <w:t xml:space="preserve">6.3 Fundamental Changes. </w:t>
      </w:r>
      <w:r>
        <w:rPr>
          <w:rFonts w:ascii="Arial" w:cs="Arial" w:eastAsia="Arial" w:hAnsi="Arial"/>
          <w:sz w:val="17"/>
          <w:szCs w:val="17"/>
          <w:color w:val="auto"/>
        </w:rPr>
        <w:t>No Loan Party shall, and shall not permit any Subsidiary to, enter into any merger, consolidation or amalgamation</w:t>
      </w:r>
      <w:r>
        <w:rPr>
          <w:rFonts w:ascii="Arial" w:cs="Arial" w:eastAsia="Arial" w:hAnsi="Arial"/>
          <w:sz w:val="17"/>
          <w:szCs w:val="17"/>
          <w:b w:val="1"/>
          <w:bCs w:val="1"/>
          <w:color w:val="auto"/>
        </w:rPr>
        <w:t xml:space="preserve"> </w:t>
      </w:r>
      <w:r>
        <w:rPr>
          <w:rFonts w:ascii="Arial" w:cs="Arial" w:eastAsia="Arial" w:hAnsi="Arial"/>
          <w:sz w:val="17"/>
          <w:szCs w:val="17"/>
          <w:color w:val="auto"/>
        </w:rPr>
        <w:t>(other than the SPAC Transaction on the Closing Date or any Permitted Acquisition), or sale of substantially all of its assets, or liquidate, wind up or dissolve itself (or suffer any liquidation or dissolution) or permit any Division/Series Transaction; provided, that: (a) any Subsidiary of a Loan Party may merge, consolidate or otherwise combine with any Loan Party other than Parent; provided, that (i) such Loan Party is the surviving entity, and (ii) no Domestic Subsidiary may merge, consolidate or combine with or into a Foreign Subsidiary unless a Domestic Subsidiary is the surviving entity; and (b) any Subsidiary of a Loan Party that is not a Loan Party may merge, consolidate or otherwise combine with and into any other Subsidiary of a Loan Party that is not a Loan Party, in each case, so long as, (A) no Default or Event of Default exists or would be caused thereby, (B) Borrower provides Agent with at least ten (10) Business Days’ prior written notice thereof, and (C) the Loan Parties deliver all documents necessary or reasonably requested to preserve, protect and perfect Agent’s Lien on all Collateral that is the subject thereof.</w:t>
      </w:r>
    </w:p>
    <w:p>
      <w:pPr>
        <w:spacing w:after="0" w:line="394"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36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Presto Credit Agreement</w:t>
            </w:r>
          </w:p>
        </w:tc>
        <w:tc>
          <w:tcPr>
            <w:tcW w:w="7580" w:type="dxa"/>
            <w:vAlign w:val="bottom"/>
            <w:tcBorders>
              <w:bottom w:val="single" w:sz="8" w:color="auto"/>
            </w:tcBorders>
          </w:tcPr>
          <w:p>
            <w:pPr>
              <w:jc w:val="right"/>
              <w:ind w:right="5430"/>
              <w:spacing w:after="0"/>
              <w:rPr>
                <w:sz w:val="20"/>
                <w:szCs w:val="20"/>
                <w:color w:val="auto"/>
              </w:rPr>
            </w:pPr>
            <w:r>
              <w:rPr>
                <w:rFonts w:ascii="Arial" w:cs="Arial" w:eastAsia="Arial" w:hAnsi="Arial"/>
                <w:sz w:val="18"/>
                <w:szCs w:val="18"/>
                <w:color w:val="auto"/>
              </w:rPr>
              <w:t>45</w:t>
            </w:r>
          </w:p>
        </w:tc>
      </w:tr>
    </w:tbl>
    <w:p>
      <w:pPr>
        <w:sectPr>
          <w:pgSz w:w="11900" w:h="16838" w:orient="portrait"/>
          <w:cols w:equalWidth="0" w:num="1">
            <w:col w:w="11240"/>
          </w:cols>
          <w:pgMar w:left="320" w:top="908" w:right="339" w:bottom="1440" w:gutter="0" w:footer="0" w:header="0"/>
        </w:sectPr>
      </w:pPr>
    </w:p>
    <w:bookmarkStart w:id="132" w:name="page133"/>
    <w:bookmarkEnd w:id="132"/>
    <w:p>
      <w:pPr>
        <w:ind w:firstLine="648"/>
        <w:spacing w:after="0" w:line="282" w:lineRule="auto"/>
        <w:rPr>
          <w:sz w:val="20"/>
          <w:szCs w:val="20"/>
          <w:color w:val="auto"/>
        </w:rPr>
      </w:pPr>
      <w:r>
        <w:rPr>
          <w:rFonts w:ascii="Arial" w:cs="Arial" w:eastAsia="Arial" w:hAnsi="Arial"/>
          <w:sz w:val="18"/>
          <w:szCs w:val="18"/>
          <w:b w:val="1"/>
          <w:bCs w:val="1"/>
          <w:color w:val="auto"/>
        </w:rPr>
        <w:t>6.4 Disposition of Property</w:t>
      </w:r>
      <w:r>
        <w:rPr>
          <w:rFonts w:ascii="Arial" w:cs="Arial" w:eastAsia="Arial" w:hAnsi="Arial"/>
          <w:sz w:val="18"/>
          <w:szCs w:val="18"/>
          <w:color w:val="auto"/>
        </w:rPr>
        <w:t>. No Loan Party shall, and shall not permit any Subsidiary to, Dispose, assign or otherwise transfer any of its rights,</w:t>
      </w:r>
      <w:r>
        <w:rPr>
          <w:rFonts w:ascii="Arial" w:cs="Arial" w:eastAsia="Arial" w:hAnsi="Arial"/>
          <w:sz w:val="18"/>
          <w:szCs w:val="18"/>
          <w:b w:val="1"/>
          <w:bCs w:val="1"/>
          <w:color w:val="auto"/>
        </w:rPr>
        <w:t xml:space="preserve"> </w:t>
      </w:r>
      <w:r>
        <w:rPr>
          <w:rFonts w:ascii="Arial" w:cs="Arial" w:eastAsia="Arial" w:hAnsi="Arial"/>
          <w:sz w:val="18"/>
          <w:szCs w:val="18"/>
          <w:color w:val="auto"/>
        </w:rPr>
        <w:t>title and interest in and to any of the Collateral other than:</w:t>
      </w:r>
    </w:p>
    <w:p>
      <w:pPr>
        <w:spacing w:after="0" w:line="166" w:lineRule="exact"/>
        <w:rPr>
          <w:sz w:val="20"/>
          <w:szCs w:val="20"/>
          <w:color w:val="auto"/>
        </w:rPr>
      </w:pPr>
    </w:p>
    <w:p>
      <w:pPr>
        <w:ind w:left="900" w:hanging="244"/>
        <w:spacing w:after="0"/>
        <w:tabs>
          <w:tab w:leader="none" w:pos="90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Dispositions of cash and inventory in the ordinary course of business;</w:t>
      </w:r>
    </w:p>
    <w:p>
      <w:pPr>
        <w:spacing w:after="0" w:line="225" w:lineRule="exact"/>
        <w:rPr>
          <w:rFonts w:ascii="Arial" w:cs="Arial" w:eastAsia="Arial" w:hAnsi="Arial"/>
          <w:sz w:val="18"/>
          <w:szCs w:val="18"/>
          <w:color w:val="auto"/>
        </w:rPr>
      </w:pPr>
    </w:p>
    <w:p>
      <w:pPr>
        <w:ind w:firstLine="656"/>
        <w:spacing w:after="0" w:line="277" w:lineRule="auto"/>
        <w:tabs>
          <w:tab w:leader="none" w:pos="915" w:val="left"/>
        </w:tabs>
        <w:numPr>
          <w:ilvl w:val="0"/>
          <w:numId w:val="125"/>
        </w:numPr>
        <w:rPr>
          <w:rFonts w:ascii="Arial" w:cs="Arial" w:eastAsia="Arial" w:hAnsi="Arial"/>
          <w:sz w:val="18"/>
          <w:szCs w:val="18"/>
          <w:color w:val="auto"/>
        </w:rPr>
      </w:pPr>
      <w:r>
        <w:rPr>
          <w:rFonts w:ascii="Arial" w:cs="Arial" w:eastAsia="Arial" w:hAnsi="Arial"/>
          <w:sz w:val="18"/>
          <w:szCs w:val="18"/>
          <w:color w:val="auto"/>
        </w:rPr>
        <w:t>Dispositions of obsolete, damaged or worn out property or property no longer useful or useable in the conduct of any Loan Party’s business made in the ordinary course of business;</w:t>
      </w:r>
    </w:p>
    <w:p>
      <w:pPr>
        <w:spacing w:after="0" w:line="170" w:lineRule="exact"/>
        <w:rPr>
          <w:rFonts w:ascii="Arial" w:cs="Arial" w:eastAsia="Arial" w:hAnsi="Arial"/>
          <w:sz w:val="18"/>
          <w:szCs w:val="18"/>
          <w:color w:val="auto"/>
        </w:rPr>
      </w:pPr>
    </w:p>
    <w:p>
      <w:pPr>
        <w:ind w:left="900" w:hanging="244"/>
        <w:spacing w:after="0"/>
        <w:tabs>
          <w:tab w:leader="none" w:pos="90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non-exclusive licenses of Intellectual Property in the ordinary course of business;</w:t>
      </w:r>
    </w:p>
    <w:p>
      <w:pPr>
        <w:spacing w:after="0" w:line="225" w:lineRule="exact"/>
        <w:rPr>
          <w:rFonts w:ascii="Arial" w:cs="Arial" w:eastAsia="Arial" w:hAnsi="Arial"/>
          <w:sz w:val="18"/>
          <w:szCs w:val="18"/>
          <w:color w:val="auto"/>
        </w:rPr>
      </w:pPr>
    </w:p>
    <w:p>
      <w:pPr>
        <w:ind w:firstLine="656"/>
        <w:spacing w:after="0" w:line="277" w:lineRule="auto"/>
        <w:tabs>
          <w:tab w:leader="none" w:pos="914" w:val="left"/>
        </w:tabs>
        <w:numPr>
          <w:ilvl w:val="0"/>
          <w:numId w:val="125"/>
        </w:numPr>
        <w:rPr>
          <w:rFonts w:ascii="Arial" w:cs="Arial" w:eastAsia="Arial" w:hAnsi="Arial"/>
          <w:sz w:val="18"/>
          <w:szCs w:val="18"/>
          <w:color w:val="auto"/>
        </w:rPr>
      </w:pPr>
      <w:r>
        <w:rPr>
          <w:rFonts w:ascii="Arial" w:cs="Arial" w:eastAsia="Arial" w:hAnsi="Arial"/>
          <w:sz w:val="18"/>
          <w:szCs w:val="18"/>
          <w:color w:val="auto"/>
        </w:rPr>
        <w:t>so long as no Default exists, Dispositions of other property for its reasonable fair market value to non-Affiliates not to exceed Five Hundred Thousand Dollars ($500,000) in any calendar year;</w:t>
      </w:r>
    </w:p>
    <w:p>
      <w:pPr>
        <w:spacing w:after="0" w:line="170" w:lineRule="exact"/>
        <w:rPr>
          <w:rFonts w:ascii="Arial" w:cs="Arial" w:eastAsia="Arial" w:hAnsi="Arial"/>
          <w:sz w:val="18"/>
          <w:szCs w:val="18"/>
          <w:color w:val="auto"/>
        </w:rPr>
      </w:pPr>
    </w:p>
    <w:p>
      <w:pPr>
        <w:ind w:left="900" w:hanging="244"/>
        <w:spacing w:after="0"/>
        <w:tabs>
          <w:tab w:leader="none" w:pos="90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subleases and assignments of real property lease interests not otherwise prohibited under this Agreement;</w:t>
      </w:r>
    </w:p>
    <w:p>
      <w:pPr>
        <w:spacing w:after="0" w:line="225" w:lineRule="exact"/>
        <w:rPr>
          <w:rFonts w:ascii="Arial" w:cs="Arial" w:eastAsia="Arial" w:hAnsi="Arial"/>
          <w:sz w:val="18"/>
          <w:szCs w:val="18"/>
          <w:color w:val="auto"/>
        </w:rPr>
      </w:pPr>
    </w:p>
    <w:p>
      <w:pPr>
        <w:ind w:left="880" w:hanging="224"/>
        <w:spacing w:after="0"/>
        <w:tabs>
          <w:tab w:leader="none" w:pos="88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Dispositions permitted under the definition of Permitted Liens with respect to Collateral; and</w:t>
      </w:r>
    </w:p>
    <w:p>
      <w:pPr>
        <w:spacing w:after="0" w:line="225" w:lineRule="exact"/>
        <w:rPr>
          <w:rFonts w:ascii="Arial" w:cs="Arial" w:eastAsia="Arial" w:hAnsi="Arial"/>
          <w:sz w:val="18"/>
          <w:szCs w:val="18"/>
          <w:color w:val="auto"/>
        </w:rPr>
      </w:pPr>
    </w:p>
    <w:p>
      <w:pPr>
        <w:ind w:left="920" w:hanging="264"/>
        <w:spacing w:after="0"/>
        <w:tabs>
          <w:tab w:leader="none" w:pos="92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other Dispositions approved in writing by Agent in its sole discretion.</w:t>
      </w:r>
    </w:p>
    <w:p>
      <w:pPr>
        <w:spacing w:after="0" w:line="221"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b w:val="1"/>
          <w:bCs w:val="1"/>
          <w:color w:val="auto"/>
        </w:rPr>
        <w:t>6.5 Restricted Payments</w:t>
      </w:r>
      <w:r>
        <w:rPr>
          <w:rFonts w:ascii="Arial" w:cs="Arial" w:eastAsia="Arial" w:hAnsi="Arial"/>
          <w:sz w:val="16"/>
          <w:szCs w:val="16"/>
          <w:color w:val="auto"/>
        </w:rPr>
        <w:t>. No Loan Party shall, and shall not permit any Subsidiary to, (a) declare or pay any dividend (other than dividends</w:t>
      </w:r>
      <w:r>
        <w:rPr>
          <w:rFonts w:ascii="Arial" w:cs="Arial" w:eastAsia="Arial" w:hAnsi="Arial"/>
          <w:sz w:val="16"/>
          <w:szCs w:val="16"/>
          <w:b w:val="1"/>
          <w:bCs w:val="1"/>
          <w:color w:val="auto"/>
        </w:rPr>
        <w:t xml:space="preserve"> </w:t>
      </w:r>
      <w:r>
        <w:rPr>
          <w:rFonts w:ascii="Arial" w:cs="Arial" w:eastAsia="Arial" w:hAnsi="Arial"/>
          <w:sz w:val="16"/>
          <w:szCs w:val="16"/>
          <w:color w:val="auto"/>
        </w:rPr>
        <w:t>payable solely in common stock of the Person making such dividend) on, or make any payment on account of, or set apart assets for a sinking or other analogous fund for, the purchase, redemption, defeasance, retirement, cancellation, termination or other acquisition of, any Equity Interests (including, without limitation, any Disqualified Equity Interests) of any Loan Party, whether now or hereafter outstanding, or (b) make any other distribution (or payment of Indebtedness owed to an Affiliate) in respect thereof, either directly or indirectly, whether in cash or property or in obligations of Loan Party,</w:t>
      </w:r>
    </w:p>
    <w:p>
      <w:pPr>
        <w:spacing w:after="0" w:line="2" w:lineRule="exact"/>
        <w:rPr>
          <w:sz w:val="20"/>
          <w:szCs w:val="20"/>
          <w:color w:val="auto"/>
        </w:rPr>
      </w:pPr>
    </w:p>
    <w:p>
      <w:pPr>
        <w:ind w:firstLine="8"/>
        <w:spacing w:after="0" w:line="260" w:lineRule="auto"/>
        <w:tabs>
          <w:tab w:leader="none" w:pos="245" w:val="left"/>
        </w:tabs>
        <w:numPr>
          <w:ilvl w:val="0"/>
          <w:numId w:val="126"/>
        </w:numPr>
        <w:rPr>
          <w:rFonts w:ascii="Arial" w:cs="Arial" w:eastAsia="Arial" w:hAnsi="Arial"/>
          <w:sz w:val="18"/>
          <w:szCs w:val="18"/>
          <w:color w:val="auto"/>
        </w:rPr>
      </w:pPr>
      <w:r>
        <w:rPr>
          <w:rFonts w:ascii="Arial" w:cs="Arial" w:eastAsia="Arial" w:hAnsi="Arial"/>
          <w:sz w:val="18"/>
          <w:szCs w:val="18"/>
          <w:color w:val="auto"/>
        </w:rPr>
        <w:t>make any distribution to Parent for the purposes of making such dividend or payment, or (d) any payment, loan contribution or other transfer of funds of other property to any holder of Equity Interests of such Loan Party (collectively, “</w:t>
      </w:r>
      <w:r>
        <w:rPr>
          <w:rFonts w:ascii="Arial" w:cs="Arial" w:eastAsia="Arial" w:hAnsi="Arial"/>
          <w:sz w:val="18"/>
          <w:szCs w:val="18"/>
          <w:b w:val="1"/>
          <w:bCs w:val="1"/>
          <w:i w:val="1"/>
          <w:iCs w:val="1"/>
          <w:color w:val="auto"/>
        </w:rPr>
        <w:t>Restricted Payments</w:t>
      </w:r>
      <w:r>
        <w:rPr>
          <w:rFonts w:ascii="Arial" w:cs="Arial" w:eastAsia="Arial" w:hAnsi="Arial"/>
          <w:sz w:val="18"/>
          <w:szCs w:val="18"/>
          <w:color w:val="auto"/>
        </w:rPr>
        <w:t>”) other than:</w:t>
      </w:r>
    </w:p>
    <w:p>
      <w:pPr>
        <w:spacing w:after="0" w:line="185" w:lineRule="exact"/>
        <w:rPr>
          <w:rFonts w:ascii="Arial" w:cs="Arial" w:eastAsia="Arial" w:hAnsi="Arial"/>
          <w:sz w:val="18"/>
          <w:szCs w:val="18"/>
          <w:color w:val="auto"/>
        </w:rPr>
      </w:pPr>
    </w:p>
    <w:p>
      <w:pPr>
        <w:jc w:val="both"/>
        <w:ind w:firstLine="656"/>
        <w:spacing w:after="0" w:line="291" w:lineRule="auto"/>
        <w:tabs>
          <w:tab w:leader="none" w:pos="929" w:val="left"/>
        </w:tabs>
        <w:numPr>
          <w:ilvl w:val="1"/>
          <w:numId w:val="126"/>
        </w:numPr>
        <w:rPr>
          <w:rFonts w:ascii="Arial" w:cs="Arial" w:eastAsia="Arial" w:hAnsi="Arial"/>
          <w:sz w:val="16"/>
          <w:szCs w:val="16"/>
          <w:color w:val="auto"/>
        </w:rPr>
      </w:pPr>
      <w:r>
        <w:rPr>
          <w:rFonts w:ascii="Arial" w:cs="Arial" w:eastAsia="Arial" w:hAnsi="Arial"/>
          <w:sz w:val="16"/>
          <w:szCs w:val="16"/>
          <w:color w:val="auto"/>
        </w:rPr>
        <w:t>the Loan Parties and their Subsidiaries shall be permitted to repurchase Equity Interests (i) from former employees, officers, directors, consultants or other persons who performed services for the Loan Parties or any of their Subsidiaries in connection with the cessation of such employment or service, (ii) pursuant to the terms of employee stock plans, employee restricted stock agreements or similar arrangements by the cancellation of Indebtedness, (iii) upon the exercise of stock options or warrants if such transaction is non-cash and such repurchased Equity Interests represent a portion of the exercise price of such options or warrants, and (iv) upon withholding of a portion of the Equity Interests granted or awarded to a current or former director, officer, employee or consultant to pay for the taxes payable by such Person upon such grant or award (or upon vesting thereof); provided that all repurchases pursuant to the foregoing clauses (i) or (ii) do not exceed an aggregate of $1,000,000 per Fiscal Year for all such payments; and</w:t>
      </w:r>
    </w:p>
    <w:p>
      <w:pPr>
        <w:spacing w:after="0" w:line="166" w:lineRule="exact"/>
        <w:rPr>
          <w:rFonts w:ascii="Arial" w:cs="Arial" w:eastAsia="Arial" w:hAnsi="Arial"/>
          <w:sz w:val="16"/>
          <w:szCs w:val="16"/>
          <w:color w:val="auto"/>
        </w:rPr>
      </w:pPr>
    </w:p>
    <w:p>
      <w:pPr>
        <w:ind w:left="920" w:hanging="264"/>
        <w:spacing w:after="0"/>
        <w:tabs>
          <w:tab w:leader="none" w:pos="920" w:val="left"/>
        </w:tabs>
        <w:numPr>
          <w:ilvl w:val="1"/>
          <w:numId w:val="126"/>
        </w:numPr>
        <w:rPr>
          <w:rFonts w:ascii="Arial" w:cs="Arial" w:eastAsia="Arial" w:hAnsi="Arial"/>
          <w:sz w:val="17"/>
          <w:szCs w:val="17"/>
          <w:color w:val="auto"/>
        </w:rPr>
      </w:pPr>
      <w:r>
        <w:rPr>
          <w:rFonts w:ascii="Arial" w:cs="Arial" w:eastAsia="Arial" w:hAnsi="Arial"/>
          <w:sz w:val="17"/>
          <w:szCs w:val="17"/>
          <w:color w:val="auto"/>
        </w:rPr>
        <w:t>so long as no Default or Event of Default has occurred and is continuing or would result therefrom, Borrower may make Tax Distributions.</w:t>
      </w:r>
    </w:p>
    <w:p>
      <w:pPr>
        <w:spacing w:after="0" w:line="200" w:lineRule="exact"/>
        <w:rPr>
          <w:sz w:val="20"/>
          <w:szCs w:val="20"/>
          <w:color w:val="auto"/>
        </w:rPr>
      </w:pP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36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Presto Credit Agreement</w:t>
            </w:r>
          </w:p>
        </w:tc>
        <w:tc>
          <w:tcPr>
            <w:tcW w:w="7580" w:type="dxa"/>
            <w:vAlign w:val="bottom"/>
            <w:tcBorders>
              <w:bottom w:val="single" w:sz="8" w:color="auto"/>
            </w:tcBorders>
          </w:tcPr>
          <w:p>
            <w:pPr>
              <w:jc w:val="right"/>
              <w:ind w:right="5430"/>
              <w:spacing w:after="0"/>
              <w:rPr>
                <w:sz w:val="20"/>
                <w:szCs w:val="20"/>
                <w:color w:val="auto"/>
              </w:rPr>
            </w:pPr>
            <w:r>
              <w:rPr>
                <w:rFonts w:ascii="Arial" w:cs="Arial" w:eastAsia="Arial" w:hAnsi="Arial"/>
                <w:sz w:val="18"/>
                <w:szCs w:val="18"/>
                <w:color w:val="auto"/>
              </w:rPr>
              <w:t>46</w:t>
            </w:r>
          </w:p>
        </w:tc>
      </w:tr>
    </w:tbl>
    <w:p>
      <w:pPr>
        <w:sectPr>
          <w:pgSz w:w="11900" w:h="16838" w:orient="portrait"/>
          <w:cols w:equalWidth="0" w:num="1">
            <w:col w:w="11240"/>
          </w:cols>
          <w:pgMar w:left="320" w:top="904" w:right="339" w:bottom="1440" w:gutter="0" w:footer="0" w:header="0"/>
        </w:sectPr>
      </w:pPr>
    </w:p>
    <w:bookmarkStart w:id="133" w:name="page134"/>
    <w:bookmarkEnd w:id="133"/>
    <w:p>
      <w:pPr>
        <w:jc w:val="both"/>
        <w:ind w:firstLine="648"/>
        <w:spacing w:after="0" w:line="261" w:lineRule="auto"/>
        <w:rPr>
          <w:sz w:val="20"/>
          <w:szCs w:val="20"/>
          <w:color w:val="auto"/>
        </w:rPr>
      </w:pPr>
      <w:r>
        <w:rPr>
          <w:rFonts w:ascii="Arial" w:cs="Arial" w:eastAsia="Arial" w:hAnsi="Arial"/>
          <w:sz w:val="18"/>
          <w:szCs w:val="18"/>
          <w:b w:val="1"/>
          <w:bCs w:val="1"/>
          <w:color w:val="auto"/>
        </w:rPr>
        <w:t>6.6 Investments</w:t>
      </w:r>
      <w:r>
        <w:rPr>
          <w:rFonts w:ascii="Arial" w:cs="Arial" w:eastAsia="Arial" w:hAnsi="Arial"/>
          <w:sz w:val="18"/>
          <w:szCs w:val="18"/>
          <w:color w:val="auto"/>
        </w:rPr>
        <w:t>. No Loan Party shall, and shall not permit any Subsidiary to, make any advance, loan, extension of credit (by way of guarantee or</w:t>
      </w:r>
      <w:r>
        <w:rPr>
          <w:rFonts w:ascii="Arial" w:cs="Arial" w:eastAsia="Arial" w:hAnsi="Arial"/>
          <w:sz w:val="18"/>
          <w:szCs w:val="18"/>
          <w:b w:val="1"/>
          <w:bCs w:val="1"/>
          <w:color w:val="auto"/>
        </w:rPr>
        <w:t xml:space="preserve"> </w:t>
      </w:r>
      <w:r>
        <w:rPr>
          <w:rFonts w:ascii="Arial" w:cs="Arial" w:eastAsia="Arial" w:hAnsi="Arial"/>
          <w:sz w:val="18"/>
          <w:szCs w:val="18"/>
          <w:color w:val="auto"/>
        </w:rPr>
        <w:t>otherwise) or capital contribution to, or purchase any Equity Interests, bonds, notes, debentures or other debt securities of, or any assets constituting all or substantially all of the assets of any Person, or a business unit of any Person, or make any other investment in, any Person (all of the foregoing, “</w:t>
      </w:r>
      <w:r>
        <w:rPr>
          <w:rFonts w:ascii="Arial" w:cs="Arial" w:eastAsia="Arial" w:hAnsi="Arial"/>
          <w:sz w:val="18"/>
          <w:szCs w:val="18"/>
          <w:b w:val="1"/>
          <w:bCs w:val="1"/>
          <w:i w:val="1"/>
          <w:iCs w:val="1"/>
          <w:color w:val="auto"/>
        </w:rPr>
        <w:t>Investments</w:t>
      </w:r>
      <w:r>
        <w:rPr>
          <w:rFonts w:ascii="Arial" w:cs="Arial" w:eastAsia="Arial" w:hAnsi="Arial"/>
          <w:sz w:val="18"/>
          <w:szCs w:val="18"/>
          <w:color w:val="auto"/>
        </w:rPr>
        <w:t>”), except:</w:t>
      </w:r>
    </w:p>
    <w:p>
      <w:pPr>
        <w:spacing w:after="0" w:line="184" w:lineRule="exact"/>
        <w:rPr>
          <w:sz w:val="20"/>
          <w:szCs w:val="20"/>
          <w:color w:val="auto"/>
        </w:rPr>
      </w:pPr>
    </w:p>
    <w:p>
      <w:pPr>
        <w:ind w:left="900" w:hanging="244"/>
        <w:spacing w:after="0"/>
        <w:tabs>
          <w:tab w:leader="none" w:pos="90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Investments in cash and Cash Equivalents;</w:t>
      </w:r>
    </w:p>
    <w:p>
      <w:pPr>
        <w:spacing w:after="0" w:line="225" w:lineRule="exact"/>
        <w:rPr>
          <w:rFonts w:ascii="Arial" w:cs="Arial" w:eastAsia="Arial" w:hAnsi="Arial"/>
          <w:sz w:val="18"/>
          <w:szCs w:val="18"/>
          <w:color w:val="auto"/>
        </w:rPr>
      </w:pPr>
    </w:p>
    <w:p>
      <w:pPr>
        <w:ind w:left="920" w:hanging="264"/>
        <w:spacing w:after="0"/>
        <w:tabs>
          <w:tab w:leader="none" w:pos="92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Investments by one Loan Party in any other Loan Party (other than Parent);</w:t>
      </w:r>
    </w:p>
    <w:p>
      <w:pPr>
        <w:spacing w:after="0" w:line="225" w:lineRule="exact"/>
        <w:rPr>
          <w:rFonts w:ascii="Arial" w:cs="Arial" w:eastAsia="Arial" w:hAnsi="Arial"/>
          <w:sz w:val="18"/>
          <w:szCs w:val="18"/>
          <w:color w:val="auto"/>
        </w:rPr>
      </w:pPr>
    </w:p>
    <w:p>
      <w:pPr>
        <w:ind w:firstLine="656"/>
        <w:spacing w:after="0" w:line="308" w:lineRule="auto"/>
        <w:tabs>
          <w:tab w:leader="none" w:pos="916" w:val="left"/>
        </w:tabs>
        <w:numPr>
          <w:ilvl w:val="0"/>
          <w:numId w:val="127"/>
        </w:numPr>
        <w:rPr>
          <w:rFonts w:ascii="Arial" w:cs="Arial" w:eastAsia="Arial" w:hAnsi="Arial"/>
          <w:sz w:val="17"/>
          <w:szCs w:val="17"/>
          <w:color w:val="auto"/>
        </w:rPr>
      </w:pPr>
      <w:r>
        <w:rPr>
          <w:rFonts w:ascii="Arial" w:cs="Arial" w:eastAsia="Arial" w:hAnsi="Arial"/>
          <w:sz w:val="17"/>
          <w:szCs w:val="17"/>
          <w:color w:val="auto"/>
        </w:rPr>
        <w:t>Investments by any Loan Party in any Subsidiary provided that the aggregate amount of such Investments do not exceed $250,000 in the aggregate in any fiscal year; and Investments by any Subsidiary that is not a Loan Party in any other Subsidiary or Loan Party;</w:t>
      </w:r>
    </w:p>
    <w:p>
      <w:pPr>
        <w:spacing w:after="0" w:line="146" w:lineRule="exact"/>
        <w:rPr>
          <w:rFonts w:ascii="Arial" w:cs="Arial" w:eastAsia="Arial" w:hAnsi="Arial"/>
          <w:sz w:val="17"/>
          <w:szCs w:val="17"/>
          <w:color w:val="auto"/>
        </w:rPr>
      </w:pPr>
    </w:p>
    <w:p>
      <w:pPr>
        <w:ind w:left="920" w:hanging="264"/>
        <w:spacing w:after="0"/>
        <w:tabs>
          <w:tab w:leader="none" w:pos="92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Investments in the ordinary course of business consisting of endorsements of negotiable instruments for collection or deposit;</w:t>
      </w:r>
    </w:p>
    <w:p>
      <w:pPr>
        <w:spacing w:after="0" w:line="225" w:lineRule="exact"/>
        <w:rPr>
          <w:rFonts w:ascii="Arial" w:cs="Arial" w:eastAsia="Arial" w:hAnsi="Arial"/>
          <w:sz w:val="18"/>
          <w:szCs w:val="18"/>
          <w:color w:val="auto"/>
        </w:rPr>
      </w:pPr>
    </w:p>
    <w:p>
      <w:pPr>
        <w:jc w:val="both"/>
        <w:ind w:firstLine="656"/>
        <w:spacing w:after="0" w:line="263" w:lineRule="auto"/>
        <w:tabs>
          <w:tab w:leader="none" w:pos="907" w:val="left"/>
        </w:tabs>
        <w:numPr>
          <w:ilvl w:val="0"/>
          <w:numId w:val="127"/>
        </w:numPr>
        <w:rPr>
          <w:rFonts w:ascii="Arial" w:cs="Arial" w:eastAsia="Arial" w:hAnsi="Arial"/>
          <w:sz w:val="18"/>
          <w:szCs w:val="18"/>
          <w:color w:val="auto"/>
        </w:rPr>
      </w:pPr>
      <w:r>
        <w:rPr>
          <w:rFonts w:ascii="Arial" w:cs="Arial" w:eastAsia="Arial" w:hAnsi="Arial"/>
          <w:sz w:val="18"/>
          <w:szCs w:val="18"/>
          <w:color w:val="auto"/>
        </w:rPr>
        <w:t>Investments received in settlement of amounts due to Borrower effected in the ordinary course of business or owing to any Loan Party as a result of insolvency proceedings or upon the foreclosure or enforcement of any Lien in favor of a Loan Party or otherwise in settlement of delinquent obligations of, and other disputes with, customers or suppliers arising in the ordinary course of Borrower’s business;</w:t>
      </w:r>
    </w:p>
    <w:p>
      <w:pPr>
        <w:spacing w:after="0" w:line="183" w:lineRule="exact"/>
        <w:rPr>
          <w:rFonts w:ascii="Arial" w:cs="Arial" w:eastAsia="Arial" w:hAnsi="Arial"/>
          <w:sz w:val="18"/>
          <w:szCs w:val="18"/>
          <w:color w:val="auto"/>
        </w:rPr>
      </w:pPr>
    </w:p>
    <w:p>
      <w:pPr>
        <w:ind w:left="880" w:hanging="224"/>
        <w:spacing w:after="0"/>
        <w:tabs>
          <w:tab w:leader="none" w:pos="88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 xml:space="preserve">Investments set forth on </w:t>
      </w:r>
      <w:r>
        <w:rPr>
          <w:rFonts w:ascii="Arial" w:cs="Arial" w:eastAsia="Arial" w:hAnsi="Arial"/>
          <w:sz w:val="18"/>
          <w:szCs w:val="18"/>
          <w:u w:val="single" w:color="auto"/>
          <w:color w:val="auto"/>
        </w:rPr>
        <w:t>Schedule 6.6</w:t>
      </w:r>
      <w:r>
        <w:rPr>
          <w:rFonts w:ascii="Arial" w:cs="Arial" w:eastAsia="Arial" w:hAnsi="Arial"/>
          <w:sz w:val="18"/>
          <w:szCs w:val="18"/>
          <w:color w:val="auto"/>
        </w:rPr>
        <w:t xml:space="preserve"> existing as of the Closing Date;</w:t>
      </w:r>
    </w:p>
    <w:p>
      <w:pPr>
        <w:spacing w:after="0" w:line="225" w:lineRule="exact"/>
        <w:rPr>
          <w:rFonts w:ascii="Arial" w:cs="Arial" w:eastAsia="Arial" w:hAnsi="Arial"/>
          <w:sz w:val="18"/>
          <w:szCs w:val="18"/>
          <w:color w:val="auto"/>
        </w:rPr>
      </w:pPr>
    </w:p>
    <w:p>
      <w:pPr>
        <w:ind w:left="920" w:hanging="264"/>
        <w:spacing w:after="0"/>
        <w:tabs>
          <w:tab w:leader="none" w:pos="920" w:val="left"/>
        </w:tabs>
        <w:numPr>
          <w:ilvl w:val="0"/>
          <w:numId w:val="127"/>
        </w:numPr>
        <w:rPr>
          <w:rFonts w:ascii="Arial" w:cs="Arial" w:eastAsia="Arial" w:hAnsi="Arial"/>
          <w:sz w:val="17"/>
          <w:szCs w:val="17"/>
          <w:color w:val="auto"/>
        </w:rPr>
      </w:pPr>
      <w:r>
        <w:rPr>
          <w:rFonts w:ascii="Arial" w:cs="Arial" w:eastAsia="Arial" w:hAnsi="Arial"/>
          <w:sz w:val="17"/>
          <w:szCs w:val="17"/>
          <w:color w:val="auto"/>
        </w:rPr>
        <w:t>advances (including to trade creditors) made in connection with the purchases of goods or services in the ordinary course of business;</w:t>
      </w:r>
    </w:p>
    <w:p>
      <w:pPr>
        <w:spacing w:after="0" w:line="236" w:lineRule="exact"/>
        <w:rPr>
          <w:rFonts w:ascii="Arial" w:cs="Arial" w:eastAsia="Arial" w:hAnsi="Arial"/>
          <w:sz w:val="17"/>
          <w:szCs w:val="17"/>
          <w:color w:val="auto"/>
        </w:rPr>
      </w:pPr>
    </w:p>
    <w:p>
      <w:pPr>
        <w:ind w:left="920" w:hanging="264"/>
        <w:spacing w:after="0"/>
        <w:tabs>
          <w:tab w:leader="none" w:pos="92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extensions of trade credit in the ordinary course of business;</w:t>
      </w:r>
    </w:p>
    <w:p>
      <w:pPr>
        <w:spacing w:after="0" w:line="225" w:lineRule="exact"/>
        <w:rPr>
          <w:rFonts w:ascii="Arial" w:cs="Arial" w:eastAsia="Arial" w:hAnsi="Arial"/>
          <w:sz w:val="18"/>
          <w:szCs w:val="18"/>
          <w:color w:val="auto"/>
        </w:rPr>
      </w:pPr>
    </w:p>
    <w:p>
      <w:pPr>
        <w:ind w:left="880" w:hanging="224"/>
        <w:spacing w:after="0"/>
        <w:tabs>
          <w:tab w:leader="none" w:pos="88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guarantees permitted under the definition of Permitted Indebtedness;</w:t>
      </w:r>
    </w:p>
    <w:p>
      <w:pPr>
        <w:spacing w:after="0" w:line="225" w:lineRule="exact"/>
        <w:rPr>
          <w:rFonts w:ascii="Arial" w:cs="Arial" w:eastAsia="Arial" w:hAnsi="Arial"/>
          <w:sz w:val="18"/>
          <w:szCs w:val="18"/>
          <w:color w:val="auto"/>
        </w:rPr>
      </w:pPr>
    </w:p>
    <w:p>
      <w:pPr>
        <w:ind w:left="880" w:hanging="224"/>
        <w:spacing w:after="0"/>
        <w:tabs>
          <w:tab w:leader="none" w:pos="88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 xml:space="preserve">Investments accepted in connection with any transaction permitted pursuant to </w:t>
      </w:r>
      <w:r>
        <w:rPr>
          <w:rFonts w:ascii="Arial" w:cs="Arial" w:eastAsia="Arial" w:hAnsi="Arial"/>
          <w:sz w:val="18"/>
          <w:szCs w:val="18"/>
          <w:u w:val="single" w:color="auto"/>
          <w:color w:val="auto"/>
        </w:rPr>
        <w:t>Section 6.4</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firstLine="656"/>
        <w:spacing w:after="0" w:line="308" w:lineRule="auto"/>
        <w:tabs>
          <w:tab w:leader="none" w:pos="918" w:val="left"/>
        </w:tabs>
        <w:numPr>
          <w:ilvl w:val="0"/>
          <w:numId w:val="127"/>
        </w:numPr>
        <w:rPr>
          <w:rFonts w:ascii="Arial" w:cs="Arial" w:eastAsia="Arial" w:hAnsi="Arial"/>
          <w:sz w:val="17"/>
          <w:szCs w:val="17"/>
          <w:color w:val="auto"/>
        </w:rPr>
      </w:pPr>
      <w:r>
        <w:rPr>
          <w:rFonts w:ascii="Arial" w:cs="Arial" w:eastAsia="Arial" w:hAnsi="Arial"/>
          <w:sz w:val="17"/>
          <w:szCs w:val="17"/>
          <w:color w:val="auto"/>
        </w:rPr>
        <w:t>Investments in the form of non-cash loans and advances to employees, officers, and directors of Borrower or any of its Subsidiaries for the purpose of purchasing stock in Borrower so long as the proceeds of such loans are used in their entirety to purchase such stock in Borrower;</w:t>
      </w:r>
    </w:p>
    <w:p>
      <w:pPr>
        <w:spacing w:after="0" w:line="146" w:lineRule="exact"/>
        <w:rPr>
          <w:rFonts w:ascii="Arial" w:cs="Arial" w:eastAsia="Arial" w:hAnsi="Arial"/>
          <w:sz w:val="17"/>
          <w:szCs w:val="17"/>
          <w:color w:val="auto"/>
        </w:rPr>
      </w:pPr>
    </w:p>
    <w:p>
      <w:pPr>
        <w:jc w:val="both"/>
        <w:ind w:firstLine="656"/>
        <w:spacing w:after="0" w:line="263" w:lineRule="auto"/>
        <w:tabs>
          <w:tab w:leader="none" w:pos="867" w:val="left"/>
        </w:tabs>
        <w:numPr>
          <w:ilvl w:val="0"/>
          <w:numId w:val="127"/>
        </w:numPr>
        <w:rPr>
          <w:rFonts w:ascii="Arial" w:cs="Arial" w:eastAsia="Arial" w:hAnsi="Arial"/>
          <w:sz w:val="18"/>
          <w:szCs w:val="18"/>
          <w:color w:val="auto"/>
        </w:rPr>
      </w:pPr>
      <w:r>
        <w:rPr>
          <w:rFonts w:ascii="Arial" w:cs="Arial" w:eastAsia="Arial" w:hAnsi="Arial"/>
          <w:sz w:val="18"/>
          <w:szCs w:val="18"/>
          <w:color w:val="auto"/>
        </w:rPr>
        <w:t>loans and advances to employees, directors and officers of Borrower or any of its Subsidiaries in the ordinary course of business (including for travel, entertainment and relocation expenses) in an aggregate amount for Borrower and its Subsidiaries on a consolidated basis not to exceed $500,000 at any time outstanding;</w:t>
      </w:r>
    </w:p>
    <w:p>
      <w:pPr>
        <w:spacing w:after="0" w:line="183" w:lineRule="exact"/>
        <w:rPr>
          <w:rFonts w:ascii="Arial" w:cs="Arial" w:eastAsia="Arial" w:hAnsi="Arial"/>
          <w:sz w:val="18"/>
          <w:szCs w:val="18"/>
          <w:color w:val="auto"/>
        </w:rPr>
      </w:pPr>
    </w:p>
    <w:p>
      <w:pPr>
        <w:ind w:firstLine="656"/>
        <w:spacing w:after="0" w:line="308" w:lineRule="auto"/>
        <w:tabs>
          <w:tab w:leader="none" w:pos="986" w:val="left"/>
        </w:tabs>
        <w:numPr>
          <w:ilvl w:val="0"/>
          <w:numId w:val="127"/>
        </w:numPr>
        <w:rPr>
          <w:rFonts w:ascii="Arial" w:cs="Arial" w:eastAsia="Arial" w:hAnsi="Arial"/>
          <w:sz w:val="17"/>
          <w:szCs w:val="17"/>
          <w:color w:val="auto"/>
        </w:rPr>
      </w:pPr>
      <w:r>
        <w:rPr>
          <w:rFonts w:ascii="Arial" w:cs="Arial" w:eastAsia="Arial" w:hAnsi="Arial"/>
          <w:sz w:val="17"/>
          <w:szCs w:val="17"/>
          <w:color w:val="auto"/>
        </w:rPr>
        <w:t>Investments consisting of notes receivable of, or prepaid royalties and other credit extensions, to customers and suppliers who are not Affiliates, in the ordinary course of business, provided that this subparagraph (n) shall not apply to Investments of Borrower in any Subsidiary;</w:t>
      </w:r>
    </w:p>
    <w:p>
      <w:pPr>
        <w:spacing w:after="0" w:line="146" w:lineRule="exact"/>
        <w:rPr>
          <w:rFonts w:ascii="Arial" w:cs="Arial" w:eastAsia="Arial" w:hAnsi="Arial"/>
          <w:sz w:val="17"/>
          <w:szCs w:val="17"/>
          <w:color w:val="auto"/>
        </w:rPr>
      </w:pPr>
    </w:p>
    <w:p>
      <w:pPr>
        <w:jc w:val="both"/>
        <w:ind w:firstLine="656"/>
        <w:spacing w:after="0" w:line="263" w:lineRule="auto"/>
        <w:tabs>
          <w:tab w:leader="none" w:pos="915" w:val="left"/>
        </w:tabs>
        <w:numPr>
          <w:ilvl w:val="0"/>
          <w:numId w:val="127"/>
        </w:numPr>
        <w:rPr>
          <w:rFonts w:ascii="Arial" w:cs="Arial" w:eastAsia="Arial" w:hAnsi="Arial"/>
          <w:sz w:val="18"/>
          <w:szCs w:val="18"/>
          <w:color w:val="auto"/>
        </w:rPr>
      </w:pPr>
      <w:r>
        <w:rPr>
          <w:rFonts w:ascii="Arial" w:cs="Arial" w:eastAsia="Arial" w:hAnsi="Arial"/>
          <w:sz w:val="18"/>
          <w:szCs w:val="18"/>
          <w:color w:val="auto"/>
        </w:rPr>
        <w:t>strategic alliances in the ordinary course of Borrower’s business consisting of the non-exclusive licensing of technology, the development of technology or the providing of technical support, provided that any cash Investments by Borrower do not exceed $250,000 in the aggregate in any fiscal year;</w:t>
      </w:r>
    </w:p>
    <w:p>
      <w:pPr>
        <w:spacing w:after="0" w:line="183" w:lineRule="exact"/>
        <w:rPr>
          <w:rFonts w:ascii="Arial" w:cs="Arial" w:eastAsia="Arial" w:hAnsi="Arial"/>
          <w:sz w:val="18"/>
          <w:szCs w:val="18"/>
          <w:color w:val="auto"/>
        </w:rPr>
      </w:pPr>
    </w:p>
    <w:p>
      <w:pPr>
        <w:ind w:left="920" w:hanging="264"/>
        <w:spacing w:after="0"/>
        <w:tabs>
          <w:tab w:leader="none" w:pos="92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other Investments aggregating not in excess of $250,000 at any time;</w:t>
      </w:r>
    </w:p>
    <w:p>
      <w:pPr>
        <w:spacing w:after="0" w:line="225" w:lineRule="exact"/>
        <w:rPr>
          <w:rFonts w:ascii="Arial" w:cs="Arial" w:eastAsia="Arial" w:hAnsi="Arial"/>
          <w:sz w:val="18"/>
          <w:szCs w:val="18"/>
          <w:color w:val="auto"/>
        </w:rPr>
      </w:pPr>
    </w:p>
    <w:p>
      <w:pPr>
        <w:ind w:left="920" w:hanging="264"/>
        <w:spacing w:after="0"/>
        <w:tabs>
          <w:tab w:leader="none" w:pos="92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Permitted Acquisitions; and</w:t>
      </w:r>
    </w:p>
    <w:p>
      <w:pPr>
        <w:spacing w:after="0" w:line="225" w:lineRule="exact"/>
        <w:rPr>
          <w:rFonts w:ascii="Arial" w:cs="Arial" w:eastAsia="Arial" w:hAnsi="Arial"/>
          <w:sz w:val="18"/>
          <w:szCs w:val="18"/>
          <w:color w:val="auto"/>
        </w:rPr>
      </w:pPr>
    </w:p>
    <w:p>
      <w:pPr>
        <w:ind w:left="920" w:hanging="264"/>
        <w:spacing w:after="0"/>
        <w:tabs>
          <w:tab w:leader="none" w:pos="92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Investments approved by Agent in its sole discretion.</w:t>
      </w:r>
    </w:p>
    <w:p>
      <w:pPr>
        <w:spacing w:after="0" w:line="200" w:lineRule="exact"/>
        <w:rPr>
          <w:sz w:val="20"/>
          <w:szCs w:val="20"/>
          <w:color w:val="auto"/>
        </w:rPr>
      </w:pP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36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Presto Credit Agreement</w:t>
            </w:r>
          </w:p>
        </w:tc>
        <w:tc>
          <w:tcPr>
            <w:tcW w:w="7580" w:type="dxa"/>
            <w:vAlign w:val="bottom"/>
            <w:tcBorders>
              <w:bottom w:val="single" w:sz="8" w:color="auto"/>
            </w:tcBorders>
          </w:tcPr>
          <w:p>
            <w:pPr>
              <w:jc w:val="right"/>
              <w:ind w:right="5430"/>
              <w:spacing w:after="0"/>
              <w:rPr>
                <w:sz w:val="20"/>
                <w:szCs w:val="20"/>
                <w:color w:val="auto"/>
              </w:rPr>
            </w:pPr>
            <w:r>
              <w:rPr>
                <w:rFonts w:ascii="Arial" w:cs="Arial" w:eastAsia="Arial" w:hAnsi="Arial"/>
                <w:sz w:val="18"/>
                <w:szCs w:val="18"/>
                <w:color w:val="auto"/>
              </w:rPr>
              <w:t>47</w:t>
            </w:r>
          </w:p>
        </w:tc>
      </w:tr>
    </w:tbl>
    <w:p>
      <w:pPr>
        <w:sectPr>
          <w:pgSz w:w="11900" w:h="16838" w:orient="portrait"/>
          <w:cols w:equalWidth="0" w:num="1">
            <w:col w:w="11240"/>
          </w:cols>
          <w:pgMar w:left="320" w:top="904" w:right="339" w:bottom="1440" w:gutter="0" w:footer="0" w:header="0"/>
        </w:sectPr>
      </w:pPr>
    </w:p>
    <w:bookmarkStart w:id="134" w:name="page135"/>
    <w:bookmarkEnd w:id="134"/>
    <w:p>
      <w:pPr>
        <w:jc w:val="both"/>
        <w:ind w:firstLine="648"/>
        <w:spacing w:after="0" w:line="261" w:lineRule="auto"/>
        <w:rPr>
          <w:sz w:val="20"/>
          <w:szCs w:val="20"/>
          <w:color w:val="auto"/>
        </w:rPr>
      </w:pPr>
      <w:r>
        <w:rPr>
          <w:rFonts w:ascii="Arial" w:cs="Arial" w:eastAsia="Arial" w:hAnsi="Arial"/>
          <w:sz w:val="18"/>
          <w:szCs w:val="18"/>
          <w:b w:val="1"/>
          <w:bCs w:val="1"/>
          <w:color w:val="auto"/>
        </w:rPr>
        <w:t>6.7 ERISA</w:t>
      </w:r>
      <w:r>
        <w:rPr>
          <w:rFonts w:ascii="Arial" w:cs="Arial" w:eastAsia="Arial" w:hAnsi="Arial"/>
          <w:sz w:val="18"/>
          <w:szCs w:val="18"/>
          <w:color w:val="auto"/>
        </w:rPr>
        <w:t>. No Loan Party shall, and shall not permit any Subsidiary to, nor shall permit it’s ERISA Affiliates to, establish, maintain, contribute or</w:t>
      </w:r>
      <w:r>
        <w:rPr>
          <w:rFonts w:ascii="Arial" w:cs="Arial" w:eastAsia="Arial" w:hAnsi="Arial"/>
          <w:sz w:val="18"/>
          <w:szCs w:val="18"/>
          <w:b w:val="1"/>
          <w:bCs w:val="1"/>
          <w:color w:val="auto"/>
        </w:rPr>
        <w:t xml:space="preserve"> </w:t>
      </w:r>
      <w:r>
        <w:rPr>
          <w:rFonts w:ascii="Arial" w:cs="Arial" w:eastAsia="Arial" w:hAnsi="Arial"/>
          <w:sz w:val="18"/>
          <w:szCs w:val="18"/>
          <w:color w:val="auto"/>
        </w:rPr>
        <w:t>agree to contribute to, or otherwise incur any liability, contingent or otherwise, with respect to any “employee benefit plan” that (a) is covered by Title IV of ERISA or Section 412 of the Code or (b) provides for post-employment medical or other welfare benefits, except as required by applicable Requirements of Law and at the sole expense of the plan participants.</w:t>
      </w:r>
    </w:p>
    <w:p>
      <w:pPr>
        <w:spacing w:after="0" w:line="180" w:lineRule="exact"/>
        <w:rPr>
          <w:sz w:val="20"/>
          <w:szCs w:val="20"/>
          <w:color w:val="auto"/>
        </w:rPr>
      </w:pPr>
    </w:p>
    <w:p>
      <w:pPr>
        <w:jc w:val="both"/>
        <w:ind w:firstLine="648"/>
        <w:spacing w:after="0" w:line="347" w:lineRule="auto"/>
        <w:rPr>
          <w:sz w:val="20"/>
          <w:szCs w:val="20"/>
          <w:color w:val="auto"/>
        </w:rPr>
      </w:pPr>
      <w:r>
        <w:rPr>
          <w:rFonts w:ascii="Arial" w:cs="Arial" w:eastAsia="Arial" w:hAnsi="Arial"/>
          <w:sz w:val="16"/>
          <w:szCs w:val="16"/>
          <w:b w:val="1"/>
          <w:bCs w:val="1"/>
          <w:color w:val="auto"/>
        </w:rPr>
        <w:t>6.8 Transactions with Affiliates</w:t>
      </w:r>
      <w:r>
        <w:rPr>
          <w:rFonts w:ascii="Arial" w:cs="Arial" w:eastAsia="Arial" w:hAnsi="Arial"/>
          <w:sz w:val="16"/>
          <w:szCs w:val="16"/>
          <w:color w:val="auto"/>
        </w:rPr>
        <w:t>. No Loan Party shall, and shall not permit any Subsidiary to, enter into any transaction, including any purchase,</w:t>
      </w:r>
      <w:r>
        <w:rPr>
          <w:rFonts w:ascii="Arial" w:cs="Arial" w:eastAsia="Arial" w:hAnsi="Arial"/>
          <w:sz w:val="16"/>
          <w:szCs w:val="16"/>
          <w:b w:val="1"/>
          <w:bCs w:val="1"/>
          <w:color w:val="auto"/>
        </w:rPr>
        <w:t xml:space="preserve"> </w:t>
      </w:r>
      <w:r>
        <w:rPr>
          <w:rFonts w:ascii="Arial" w:cs="Arial" w:eastAsia="Arial" w:hAnsi="Arial"/>
          <w:sz w:val="16"/>
          <w:szCs w:val="16"/>
          <w:color w:val="auto"/>
        </w:rPr>
        <w:t>sale, lease or exchange of property, the rendering of any service or the payment of any management, advisory or similar fees, with any Affiliate, other than:</w:t>
      </w:r>
    </w:p>
    <w:p>
      <w:pPr>
        <w:spacing w:after="0" w:line="120" w:lineRule="exact"/>
        <w:rPr>
          <w:sz w:val="20"/>
          <w:szCs w:val="20"/>
          <w:color w:val="auto"/>
        </w:rPr>
      </w:pPr>
    </w:p>
    <w:p>
      <w:pPr>
        <w:ind w:left="900" w:hanging="244"/>
        <w:spacing w:after="0"/>
        <w:tabs>
          <w:tab w:leader="none" w:pos="90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such transactions that are otherwise permitted under this Agreement;</w:t>
      </w:r>
    </w:p>
    <w:p>
      <w:pPr>
        <w:spacing w:after="0" w:line="225" w:lineRule="exact"/>
        <w:rPr>
          <w:rFonts w:ascii="Arial" w:cs="Arial" w:eastAsia="Arial" w:hAnsi="Arial"/>
          <w:sz w:val="18"/>
          <w:szCs w:val="18"/>
          <w:color w:val="auto"/>
        </w:rPr>
      </w:pPr>
    </w:p>
    <w:p>
      <w:pPr>
        <w:jc w:val="both"/>
        <w:ind w:firstLine="656"/>
        <w:spacing w:after="0" w:line="263" w:lineRule="auto"/>
        <w:tabs>
          <w:tab w:leader="none" w:pos="917" w:val="left"/>
        </w:tabs>
        <w:numPr>
          <w:ilvl w:val="0"/>
          <w:numId w:val="128"/>
        </w:numPr>
        <w:rPr>
          <w:rFonts w:ascii="Arial" w:cs="Arial" w:eastAsia="Arial" w:hAnsi="Arial"/>
          <w:sz w:val="18"/>
          <w:szCs w:val="18"/>
          <w:color w:val="auto"/>
        </w:rPr>
      </w:pPr>
      <w:r>
        <w:rPr>
          <w:rFonts w:ascii="Arial" w:cs="Arial" w:eastAsia="Arial" w:hAnsi="Arial"/>
          <w:sz w:val="18"/>
          <w:szCs w:val="18"/>
          <w:color w:val="auto"/>
        </w:rPr>
        <w:t>such transactions that are in the ordinary course of business of such Loan Party and are upon fair and reasonable terms no less favorable to such Loan Party, as determined by Agent in Agent’s Permitted Discretion, than it would obtain in a comparable arm’s length transaction with a Person that is not an Affiliate;</w:t>
      </w:r>
    </w:p>
    <w:p>
      <w:pPr>
        <w:spacing w:after="0" w:line="183" w:lineRule="exact"/>
        <w:rPr>
          <w:rFonts w:ascii="Arial" w:cs="Arial" w:eastAsia="Arial" w:hAnsi="Arial"/>
          <w:sz w:val="18"/>
          <w:szCs w:val="18"/>
          <w:color w:val="auto"/>
        </w:rPr>
      </w:pPr>
    </w:p>
    <w:p>
      <w:pPr>
        <w:jc w:val="both"/>
        <w:ind w:firstLine="656"/>
        <w:spacing w:after="0" w:line="263" w:lineRule="auto"/>
        <w:tabs>
          <w:tab w:leader="none" w:pos="91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employment arrangements and employee benefit plan, director compensation (including bonuses), and other director and employee benefits (including retirement, health, stock option and other benefit plans) and indemnification arrangements, in each case entered into in the ordinary course of business;</w:t>
      </w:r>
    </w:p>
    <w:p>
      <w:pPr>
        <w:spacing w:after="0" w:line="183" w:lineRule="exact"/>
        <w:rPr>
          <w:rFonts w:ascii="Arial" w:cs="Arial" w:eastAsia="Arial" w:hAnsi="Arial"/>
          <w:sz w:val="18"/>
          <w:szCs w:val="18"/>
          <w:color w:val="auto"/>
        </w:rPr>
      </w:pPr>
    </w:p>
    <w:p>
      <w:pPr>
        <w:ind w:firstLine="656"/>
        <w:spacing w:after="0" w:line="277" w:lineRule="auto"/>
        <w:tabs>
          <w:tab w:leader="none" w:pos="904" w:val="left"/>
        </w:tabs>
        <w:numPr>
          <w:ilvl w:val="0"/>
          <w:numId w:val="128"/>
        </w:numPr>
        <w:rPr>
          <w:rFonts w:ascii="Arial" w:cs="Arial" w:eastAsia="Arial" w:hAnsi="Arial"/>
          <w:sz w:val="18"/>
          <w:szCs w:val="18"/>
          <w:color w:val="auto"/>
        </w:rPr>
      </w:pPr>
      <w:r>
        <w:rPr>
          <w:rFonts w:ascii="Arial" w:cs="Arial" w:eastAsia="Arial" w:hAnsi="Arial"/>
          <w:sz w:val="18"/>
          <w:szCs w:val="18"/>
          <w:color w:val="auto"/>
        </w:rPr>
        <w:t>payments on account of indemnification claims made by directors or officers of Borrower or its Subsidiaries or attributable to the operations of the Borrower or its Subsidiaries;</w:t>
      </w:r>
    </w:p>
    <w:p>
      <w:pPr>
        <w:spacing w:after="0" w:line="170" w:lineRule="exact"/>
        <w:rPr>
          <w:rFonts w:ascii="Arial" w:cs="Arial" w:eastAsia="Arial" w:hAnsi="Arial"/>
          <w:sz w:val="18"/>
          <w:szCs w:val="18"/>
          <w:color w:val="auto"/>
        </w:rPr>
      </w:pPr>
    </w:p>
    <w:p>
      <w:pPr>
        <w:ind w:firstLine="656"/>
        <w:spacing w:after="0" w:line="277" w:lineRule="auto"/>
        <w:tabs>
          <w:tab w:leader="none" w:pos="898" w:val="left"/>
        </w:tabs>
        <w:numPr>
          <w:ilvl w:val="0"/>
          <w:numId w:val="128"/>
        </w:numPr>
        <w:rPr>
          <w:rFonts w:ascii="Arial" w:cs="Arial" w:eastAsia="Arial" w:hAnsi="Arial"/>
          <w:sz w:val="18"/>
          <w:szCs w:val="18"/>
          <w:color w:val="auto"/>
        </w:rPr>
      </w:pPr>
      <w:r>
        <w:rPr>
          <w:rFonts w:ascii="Arial" w:cs="Arial" w:eastAsia="Arial" w:hAnsi="Arial"/>
          <w:sz w:val="18"/>
          <w:szCs w:val="18"/>
          <w:color w:val="auto"/>
        </w:rPr>
        <w:t>transactions among the Borrower and its Subsidiaries in respect of transfer pricing arrangements, cost plus arrangements, reseller arrangement and similar transactions; and</w:t>
      </w:r>
    </w:p>
    <w:p>
      <w:pPr>
        <w:spacing w:after="0" w:line="170" w:lineRule="exact"/>
        <w:rPr>
          <w:rFonts w:ascii="Arial" w:cs="Arial" w:eastAsia="Arial" w:hAnsi="Arial"/>
          <w:sz w:val="18"/>
          <w:szCs w:val="18"/>
          <w:color w:val="auto"/>
        </w:rPr>
      </w:pPr>
    </w:p>
    <w:p>
      <w:pPr>
        <w:ind w:left="880" w:hanging="224"/>
        <w:spacing w:after="0"/>
        <w:tabs>
          <w:tab w:leader="none" w:pos="88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transactions solely among the Loan Parties, not involving other Affiliates.</w:t>
      </w:r>
    </w:p>
    <w:p>
      <w:pPr>
        <w:spacing w:after="0" w:line="221"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color w:val="auto"/>
        </w:rPr>
        <w:t>6.9 Accounting Changes</w:t>
      </w:r>
      <w:r>
        <w:rPr>
          <w:rFonts w:ascii="Arial" w:cs="Arial" w:eastAsia="Arial" w:hAnsi="Arial"/>
          <w:sz w:val="18"/>
          <w:szCs w:val="18"/>
          <w:color w:val="auto"/>
        </w:rPr>
        <w:t>. No Loan Party shall, and shall not permit any Subsidiary to, make any change in its (a) accounting policies or reporting</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practices, except as required by GAAP or pursuant to </w:t>
      </w:r>
      <w:r>
        <w:rPr>
          <w:rFonts w:ascii="Arial" w:cs="Arial" w:eastAsia="Arial" w:hAnsi="Arial"/>
          <w:sz w:val="18"/>
          <w:szCs w:val="18"/>
          <w:u w:val="single" w:color="auto"/>
          <w:color w:val="auto"/>
        </w:rPr>
        <w:t>Section 1.2(e)</w:t>
      </w:r>
      <w:r>
        <w:rPr>
          <w:rFonts w:ascii="Arial" w:cs="Arial" w:eastAsia="Arial" w:hAnsi="Arial"/>
          <w:sz w:val="18"/>
          <w:szCs w:val="18"/>
          <w:color w:val="auto"/>
        </w:rPr>
        <w:t>, or (b) Fiscal Year.</w:t>
      </w:r>
    </w:p>
    <w:p>
      <w:pPr>
        <w:spacing w:after="0" w:line="162"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b w:val="1"/>
          <w:bCs w:val="1"/>
          <w:color w:val="auto"/>
        </w:rPr>
        <w:t>6.10 Negative Pledge Clauses</w:t>
      </w:r>
      <w:r>
        <w:rPr>
          <w:rFonts w:ascii="Arial" w:cs="Arial" w:eastAsia="Arial" w:hAnsi="Arial"/>
          <w:sz w:val="18"/>
          <w:szCs w:val="18"/>
          <w:color w:val="auto"/>
        </w:rPr>
        <w:t>. No Loan Party shall, and shall not permit any Subsidiary to, enter into or suffer to exist or become effective any</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agreement that prohibits or limits the ability of any Loan Party to create, incur, assume or suffer to exist any Lien upon any of its property or revenues, whether now owned or hereafter acquired, to secure its Obligations under the Loan Documents to which it is a party, other than (i) this Agreement and the other Loan Document, (ii) restrictions and conditions applicable to property or assets being sold pursuant to </w:t>
      </w:r>
      <w:r>
        <w:rPr>
          <w:rFonts w:ascii="Arial" w:cs="Arial" w:eastAsia="Arial" w:hAnsi="Arial"/>
          <w:sz w:val="18"/>
          <w:szCs w:val="18"/>
          <w:u w:val="single" w:color="auto"/>
          <w:color w:val="auto"/>
        </w:rPr>
        <w:t>Section 6.4</w:t>
      </w:r>
      <w:r>
        <w:rPr>
          <w:rFonts w:ascii="Arial" w:cs="Arial" w:eastAsia="Arial" w:hAnsi="Arial"/>
          <w:sz w:val="18"/>
          <w:szCs w:val="18"/>
          <w:color w:val="auto"/>
        </w:rPr>
        <w:t>, (iii) restrictions or conditions imposed by any agreement evidencing a Permitted Lien, and (iv) customary restrictions and conditions in real property leases, equipment leases and in-bound licenses of Intellectual Property.</w:t>
      </w:r>
    </w:p>
    <w:p>
      <w:pPr>
        <w:spacing w:after="0" w:line="200" w:lineRule="exact"/>
        <w:rPr>
          <w:sz w:val="20"/>
          <w:szCs w:val="20"/>
          <w:color w:val="auto"/>
        </w:rPr>
      </w:pP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36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Presto Credit Agreement</w:t>
            </w:r>
          </w:p>
        </w:tc>
        <w:tc>
          <w:tcPr>
            <w:tcW w:w="7580" w:type="dxa"/>
            <w:vAlign w:val="bottom"/>
            <w:tcBorders>
              <w:bottom w:val="single" w:sz="8" w:color="auto"/>
            </w:tcBorders>
          </w:tcPr>
          <w:p>
            <w:pPr>
              <w:jc w:val="right"/>
              <w:ind w:right="5430"/>
              <w:spacing w:after="0"/>
              <w:rPr>
                <w:sz w:val="20"/>
                <w:szCs w:val="20"/>
                <w:color w:val="auto"/>
              </w:rPr>
            </w:pPr>
            <w:r>
              <w:rPr>
                <w:rFonts w:ascii="Arial" w:cs="Arial" w:eastAsia="Arial" w:hAnsi="Arial"/>
                <w:sz w:val="18"/>
                <w:szCs w:val="18"/>
                <w:color w:val="auto"/>
              </w:rPr>
              <w:t>48</w:t>
            </w:r>
          </w:p>
        </w:tc>
      </w:tr>
    </w:tbl>
    <w:p>
      <w:pPr>
        <w:sectPr>
          <w:pgSz w:w="11900" w:h="16838" w:orient="portrait"/>
          <w:cols w:equalWidth="0" w:num="1">
            <w:col w:w="11240"/>
          </w:cols>
          <w:pgMar w:left="320" w:top="904" w:right="339" w:bottom="1440" w:gutter="0" w:footer="0" w:header="0"/>
        </w:sectPr>
      </w:pPr>
    </w:p>
    <w:bookmarkStart w:id="135" w:name="page136"/>
    <w:bookmarkEnd w:id="135"/>
    <w:p>
      <w:pPr>
        <w:ind w:left="660"/>
        <w:spacing w:after="0"/>
        <w:rPr>
          <w:sz w:val="20"/>
          <w:szCs w:val="20"/>
          <w:color w:val="auto"/>
        </w:rPr>
      </w:pPr>
      <w:r>
        <w:rPr>
          <w:rFonts w:ascii="Arial" w:cs="Arial" w:eastAsia="Arial" w:hAnsi="Arial"/>
          <w:sz w:val="18"/>
          <w:szCs w:val="18"/>
          <w:b w:val="1"/>
          <w:bCs w:val="1"/>
          <w:color w:val="auto"/>
        </w:rPr>
        <w:t>6.11 Lines of Business; Subsidiaries</w:t>
      </w:r>
      <w:r>
        <w:rPr>
          <w:rFonts w:ascii="Arial" w:cs="Arial" w:eastAsia="Arial" w:hAnsi="Arial"/>
          <w:sz w:val="18"/>
          <w:szCs w:val="18"/>
          <w:color w:val="auto"/>
        </w:rPr>
        <w:t>.</w:t>
      </w:r>
    </w:p>
    <w:p>
      <w:pPr>
        <w:spacing w:after="0" w:line="229" w:lineRule="exact"/>
        <w:rPr>
          <w:sz w:val="20"/>
          <w:szCs w:val="20"/>
          <w:color w:val="auto"/>
        </w:rPr>
      </w:pPr>
    </w:p>
    <w:p>
      <w:pPr>
        <w:ind w:firstLine="656"/>
        <w:spacing w:after="0" w:line="277" w:lineRule="auto"/>
        <w:tabs>
          <w:tab w:leader="none" w:pos="896" w:val="left"/>
        </w:tabs>
        <w:numPr>
          <w:ilvl w:val="0"/>
          <w:numId w:val="129"/>
        </w:numPr>
        <w:rPr>
          <w:rFonts w:ascii="Arial" w:cs="Arial" w:eastAsia="Arial" w:hAnsi="Arial"/>
          <w:sz w:val="18"/>
          <w:szCs w:val="18"/>
          <w:color w:val="auto"/>
        </w:rPr>
      </w:pPr>
      <w:r>
        <w:rPr>
          <w:rFonts w:ascii="Arial" w:cs="Arial" w:eastAsia="Arial" w:hAnsi="Arial"/>
          <w:sz w:val="18"/>
          <w:szCs w:val="18"/>
          <w:color w:val="auto"/>
        </w:rPr>
        <w:t>No Loan Party shall, and shall not permit any Subsidiary to (i) enter into any business except for the business in which Borrower and the other Loan Parties are engaged on the Closing Date; or (ii) form or acquire any Subsidiaries.</w:t>
      </w:r>
    </w:p>
    <w:p>
      <w:pPr>
        <w:spacing w:after="0" w:line="170" w:lineRule="exact"/>
        <w:rPr>
          <w:rFonts w:ascii="Arial" w:cs="Arial" w:eastAsia="Arial" w:hAnsi="Arial"/>
          <w:sz w:val="18"/>
          <w:szCs w:val="18"/>
          <w:color w:val="auto"/>
        </w:rPr>
      </w:pPr>
    </w:p>
    <w:p>
      <w:pPr>
        <w:ind w:left="920" w:hanging="264"/>
        <w:spacing w:after="0"/>
        <w:tabs>
          <w:tab w:leader="none" w:pos="92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Parent shall not:</w:t>
      </w:r>
    </w:p>
    <w:p>
      <w:pPr>
        <w:spacing w:after="0" w:line="225" w:lineRule="exact"/>
        <w:rPr>
          <w:rFonts w:ascii="Arial" w:cs="Arial" w:eastAsia="Arial" w:hAnsi="Arial"/>
          <w:sz w:val="18"/>
          <w:szCs w:val="18"/>
          <w:color w:val="auto"/>
        </w:rPr>
      </w:pPr>
    </w:p>
    <w:p>
      <w:pPr>
        <w:jc w:val="both"/>
        <w:ind w:left="1300" w:firstLine="652"/>
        <w:spacing w:after="0" w:line="263" w:lineRule="auto"/>
        <w:tabs>
          <w:tab w:leader="none" w:pos="2192" w:val="left"/>
        </w:tabs>
        <w:numPr>
          <w:ilvl w:val="1"/>
          <w:numId w:val="129"/>
        </w:numPr>
        <w:rPr>
          <w:rFonts w:ascii="Arial" w:cs="Arial" w:eastAsia="Arial" w:hAnsi="Arial"/>
          <w:sz w:val="18"/>
          <w:szCs w:val="18"/>
          <w:color w:val="auto"/>
        </w:rPr>
      </w:pPr>
      <w:r>
        <w:rPr>
          <w:rFonts w:ascii="Arial" w:cs="Arial" w:eastAsia="Arial" w:hAnsi="Arial"/>
          <w:sz w:val="18"/>
          <w:szCs w:val="18"/>
          <w:color w:val="auto"/>
        </w:rPr>
        <w:t>hold any assets other than (A) the Equity Interests of Borrower, (B) agreements relating to the issuance sale, purchase, repurchase or registration of the Equity Interests of Parent, (C) minute books and other corporate books and records of Parent, and (D) other miscellaneous non-material assets;</w:t>
      </w:r>
    </w:p>
    <w:p>
      <w:pPr>
        <w:spacing w:after="0" w:line="183" w:lineRule="exact"/>
        <w:rPr>
          <w:rFonts w:ascii="Arial" w:cs="Arial" w:eastAsia="Arial" w:hAnsi="Arial"/>
          <w:sz w:val="18"/>
          <w:szCs w:val="18"/>
          <w:color w:val="auto"/>
        </w:rPr>
      </w:pPr>
    </w:p>
    <w:p>
      <w:pPr>
        <w:jc w:val="both"/>
        <w:ind w:left="1300" w:firstLine="652"/>
        <w:spacing w:after="0" w:line="286" w:lineRule="auto"/>
        <w:tabs>
          <w:tab w:leader="none" w:pos="2247" w:val="left"/>
        </w:tabs>
        <w:numPr>
          <w:ilvl w:val="1"/>
          <w:numId w:val="129"/>
        </w:numPr>
        <w:rPr>
          <w:rFonts w:ascii="Arial" w:cs="Arial" w:eastAsia="Arial" w:hAnsi="Arial"/>
          <w:sz w:val="17"/>
          <w:szCs w:val="17"/>
          <w:color w:val="auto"/>
        </w:rPr>
      </w:pPr>
      <w:r>
        <w:rPr>
          <w:rFonts w:ascii="Arial" w:cs="Arial" w:eastAsia="Arial" w:hAnsi="Arial"/>
          <w:sz w:val="17"/>
          <w:szCs w:val="17"/>
          <w:color w:val="auto"/>
        </w:rPr>
        <w:t>have any liabilities other than (A) the liabilities under the Loan Documents, (B) guarantees of any refinancing of the foregoing, (C) tax liabilities arising in the ordinary course of business, (D) corporate, administrative and operating expenses in the ordinary course of business and (E) liabilities under any contracts or agreements described in clause (i)(B) above;</w:t>
      </w:r>
    </w:p>
    <w:p>
      <w:pPr>
        <w:spacing w:after="0" w:line="165" w:lineRule="exact"/>
        <w:rPr>
          <w:rFonts w:ascii="Arial" w:cs="Arial" w:eastAsia="Arial" w:hAnsi="Arial"/>
          <w:sz w:val="17"/>
          <w:szCs w:val="17"/>
          <w:color w:val="auto"/>
        </w:rPr>
      </w:pPr>
    </w:p>
    <w:p>
      <w:pPr>
        <w:jc w:val="both"/>
        <w:ind w:left="1300" w:firstLine="652"/>
        <w:spacing w:after="0" w:line="259" w:lineRule="auto"/>
        <w:tabs>
          <w:tab w:leader="none" w:pos="2282" w:val="left"/>
        </w:tabs>
        <w:numPr>
          <w:ilvl w:val="1"/>
          <w:numId w:val="129"/>
        </w:numPr>
        <w:rPr>
          <w:rFonts w:ascii="Arial" w:cs="Arial" w:eastAsia="Arial" w:hAnsi="Arial"/>
          <w:sz w:val="18"/>
          <w:szCs w:val="18"/>
          <w:color w:val="auto"/>
        </w:rPr>
      </w:pPr>
      <w:r>
        <w:rPr>
          <w:rFonts w:ascii="Arial" w:cs="Arial" w:eastAsia="Arial" w:hAnsi="Arial"/>
          <w:sz w:val="18"/>
          <w:szCs w:val="18"/>
          <w:color w:val="auto"/>
        </w:rPr>
        <w:t xml:space="preserve">engage in any activities or business other than (A) issuing shares of its own Equity Interests, (B) holding the assets and incurring the liabilities described in this </w:t>
      </w:r>
      <w:r>
        <w:rPr>
          <w:rFonts w:ascii="Arial" w:cs="Arial" w:eastAsia="Arial" w:hAnsi="Arial"/>
          <w:sz w:val="18"/>
          <w:szCs w:val="18"/>
          <w:u w:val="single" w:color="auto"/>
          <w:color w:val="auto"/>
        </w:rPr>
        <w:t>Section 6.11</w:t>
      </w:r>
      <w:r>
        <w:rPr>
          <w:rFonts w:ascii="Arial" w:cs="Arial" w:eastAsia="Arial" w:hAnsi="Arial"/>
          <w:sz w:val="18"/>
          <w:szCs w:val="18"/>
          <w:color w:val="auto"/>
        </w:rPr>
        <w:t xml:space="preserve"> and activities incidental and related thereto, (C) making payments, dividends, distributions, issuances or other activities otherwise permitted pursuant to this Agreement; and (D) activities and business incidental to its existence as a holding company; or</w:t>
      </w:r>
    </w:p>
    <w:p>
      <w:pPr>
        <w:spacing w:after="0" w:line="186" w:lineRule="exact"/>
        <w:rPr>
          <w:rFonts w:ascii="Arial" w:cs="Arial" w:eastAsia="Arial" w:hAnsi="Arial"/>
          <w:sz w:val="18"/>
          <w:szCs w:val="18"/>
          <w:color w:val="auto"/>
        </w:rPr>
      </w:pPr>
    </w:p>
    <w:p>
      <w:pPr>
        <w:jc w:val="both"/>
        <w:ind w:left="1300" w:firstLine="652"/>
        <w:spacing w:after="0" w:line="257" w:lineRule="auto"/>
        <w:tabs>
          <w:tab w:leader="none" w:pos="2275" w:val="left"/>
        </w:tabs>
        <w:numPr>
          <w:ilvl w:val="1"/>
          <w:numId w:val="129"/>
        </w:numPr>
        <w:rPr>
          <w:rFonts w:ascii="Arial" w:cs="Arial" w:eastAsia="Arial" w:hAnsi="Arial"/>
          <w:sz w:val="18"/>
          <w:szCs w:val="18"/>
          <w:color w:val="auto"/>
        </w:rPr>
      </w:pPr>
      <w:r>
        <w:rPr>
          <w:rFonts w:ascii="Arial" w:cs="Arial" w:eastAsia="Arial" w:hAnsi="Arial"/>
          <w:sz w:val="18"/>
          <w:szCs w:val="18"/>
          <w:color w:val="auto"/>
        </w:rPr>
        <w:t>(A) create, incur, assume or suffer to exist, any Lien on the Equity Interests of any Loan Party, whether now owned or hereafter acquired by Parent other than the Lien securing the Obligations, or (B) enter into, assume or be subject to any agreement prohibiting or otherwise restricting the creation of any Lien on the Equity Interests of any Loan Party, whether now owned or hereafter acquired by Parent, to secure the Obligations or requiring the grant of a Lien on the Equity Interests of the Borrower to secure any other obligation.</w:t>
      </w:r>
    </w:p>
    <w:p>
      <w:pPr>
        <w:spacing w:after="0" w:line="184" w:lineRule="exact"/>
        <w:rPr>
          <w:sz w:val="20"/>
          <w:szCs w:val="20"/>
          <w:color w:val="auto"/>
        </w:rPr>
      </w:pPr>
    </w:p>
    <w:p>
      <w:pPr>
        <w:ind w:firstLine="648"/>
        <w:spacing w:after="0" w:line="282" w:lineRule="auto"/>
        <w:rPr>
          <w:sz w:val="20"/>
          <w:szCs w:val="20"/>
          <w:color w:val="auto"/>
        </w:rPr>
      </w:pPr>
      <w:r>
        <w:rPr>
          <w:rFonts w:ascii="Arial" w:cs="Arial" w:eastAsia="Arial" w:hAnsi="Arial"/>
          <w:sz w:val="18"/>
          <w:szCs w:val="18"/>
          <w:b w:val="1"/>
          <w:bCs w:val="1"/>
          <w:color w:val="auto"/>
        </w:rPr>
        <w:t xml:space="preserve">6.12 Payment of Nirvana Debt and Subordinated Indebtedness; Amendments to Organizational Agreements; Material Contracts; Employment Agreements. </w:t>
      </w:r>
      <w:r>
        <w:rPr>
          <w:rFonts w:ascii="Arial" w:cs="Arial" w:eastAsia="Arial" w:hAnsi="Arial"/>
          <w:sz w:val="18"/>
          <w:szCs w:val="18"/>
          <w:color w:val="auto"/>
        </w:rPr>
        <w:t>No Loan Party shall, and shall not permit any Subsidiary to:</w:t>
      </w:r>
    </w:p>
    <w:p>
      <w:pPr>
        <w:spacing w:after="0" w:line="166" w:lineRule="exact"/>
        <w:rPr>
          <w:sz w:val="20"/>
          <w:szCs w:val="20"/>
          <w:color w:val="auto"/>
        </w:rPr>
      </w:pPr>
    </w:p>
    <w:p>
      <w:pPr>
        <w:jc w:val="both"/>
        <w:ind w:firstLine="656"/>
        <w:spacing w:after="0" w:line="257" w:lineRule="auto"/>
        <w:tabs>
          <w:tab w:leader="none" w:pos="898" w:val="left"/>
        </w:tabs>
        <w:numPr>
          <w:ilvl w:val="0"/>
          <w:numId w:val="130"/>
        </w:numPr>
        <w:rPr>
          <w:rFonts w:ascii="Arial" w:cs="Arial" w:eastAsia="Arial" w:hAnsi="Arial"/>
          <w:sz w:val="18"/>
          <w:szCs w:val="18"/>
          <w:color w:val="auto"/>
        </w:rPr>
      </w:pPr>
      <w:r>
        <w:rPr>
          <w:rFonts w:ascii="Arial" w:cs="Arial" w:eastAsia="Arial" w:hAnsi="Arial"/>
          <w:sz w:val="18"/>
          <w:szCs w:val="18"/>
          <w:color w:val="auto"/>
        </w:rPr>
        <w:t xml:space="preserve">(i) voluntarily prepay, redeem, purchase, repurchase, defease or otherwise satisfy prior to the scheduled maturity thereof the Nirvana Debt, (ii) make any payments with respect to the Nirvana Debt, unless at the time of such payment, (A) no Default or Event of Default has occurred or is continuing or would result therefrom, and (B) after giving effect to such payment, Loan Parties will be in compliance with the financial covenants set forth in </w:t>
      </w:r>
      <w:r>
        <w:rPr>
          <w:rFonts w:ascii="Arial" w:cs="Arial" w:eastAsia="Arial" w:hAnsi="Arial"/>
          <w:sz w:val="18"/>
          <w:szCs w:val="18"/>
          <w:u w:val="single" w:color="auto"/>
          <w:color w:val="auto"/>
        </w:rPr>
        <w:t>Section</w:t>
      </w:r>
      <w:r>
        <w:rPr>
          <w:rFonts w:ascii="Arial" w:cs="Arial" w:eastAsia="Arial" w:hAnsi="Arial"/>
          <w:sz w:val="18"/>
          <w:szCs w:val="18"/>
          <w:color w:val="auto"/>
        </w:rPr>
        <w:t xml:space="preserve"> </w:t>
      </w:r>
      <w:r>
        <w:rPr>
          <w:rFonts w:ascii="Arial" w:cs="Arial" w:eastAsia="Arial" w:hAnsi="Arial"/>
          <w:sz w:val="18"/>
          <w:szCs w:val="18"/>
          <w:u w:val="single" w:color="auto"/>
          <w:color w:val="auto"/>
        </w:rPr>
        <w:t>6.17</w:t>
      </w:r>
      <w:r>
        <w:rPr>
          <w:rFonts w:ascii="Arial" w:cs="Arial" w:eastAsia="Arial" w:hAnsi="Arial"/>
          <w:sz w:val="18"/>
          <w:szCs w:val="18"/>
          <w:color w:val="auto"/>
        </w:rPr>
        <w:t>, or (iii) amend, modify or change in any manner any term or condition of the documents entered into in respect of Nirvana Debt in a manner that would be adverse to any Loan Party;</w:t>
      </w:r>
    </w:p>
    <w:p>
      <w:pPr>
        <w:spacing w:after="0" w:line="187" w:lineRule="exact"/>
        <w:rPr>
          <w:rFonts w:ascii="Arial" w:cs="Arial" w:eastAsia="Arial" w:hAnsi="Arial"/>
          <w:sz w:val="18"/>
          <w:szCs w:val="18"/>
          <w:color w:val="auto"/>
        </w:rPr>
      </w:pPr>
    </w:p>
    <w:p>
      <w:pPr>
        <w:ind w:firstLine="656"/>
        <w:spacing w:after="0" w:line="277" w:lineRule="auto"/>
        <w:tabs>
          <w:tab w:leader="none" w:pos="916" w:val="left"/>
        </w:tabs>
        <w:numPr>
          <w:ilvl w:val="0"/>
          <w:numId w:val="130"/>
        </w:numPr>
        <w:rPr>
          <w:rFonts w:ascii="Arial" w:cs="Arial" w:eastAsia="Arial" w:hAnsi="Arial"/>
          <w:sz w:val="18"/>
          <w:szCs w:val="18"/>
          <w:color w:val="auto"/>
        </w:rPr>
      </w:pPr>
      <w:r>
        <w:rPr>
          <w:rFonts w:ascii="Arial" w:cs="Arial" w:eastAsia="Arial" w:hAnsi="Arial"/>
          <w:sz w:val="18"/>
          <w:szCs w:val="18"/>
          <w:color w:val="auto"/>
        </w:rPr>
        <w:t>amend or permit any amendments to any Loan Party’s organizational documents to the extent any such amendment would be adverse to the Lenders in their capacity as a holder of secured debt of the Borrower;</w:t>
      </w:r>
    </w:p>
    <w:p>
      <w:pPr>
        <w:spacing w:after="0" w:line="170" w:lineRule="exact"/>
        <w:rPr>
          <w:rFonts w:ascii="Arial" w:cs="Arial" w:eastAsia="Arial" w:hAnsi="Arial"/>
          <w:sz w:val="18"/>
          <w:szCs w:val="18"/>
          <w:color w:val="auto"/>
        </w:rPr>
      </w:pPr>
    </w:p>
    <w:p>
      <w:pPr>
        <w:jc w:val="both"/>
        <w:ind w:firstLine="656"/>
        <w:spacing w:after="0" w:line="263" w:lineRule="auto"/>
        <w:tabs>
          <w:tab w:leader="none" w:pos="928" w:val="left"/>
        </w:tabs>
        <w:numPr>
          <w:ilvl w:val="0"/>
          <w:numId w:val="130"/>
        </w:numPr>
        <w:rPr>
          <w:rFonts w:ascii="Arial" w:cs="Arial" w:eastAsia="Arial" w:hAnsi="Arial"/>
          <w:sz w:val="18"/>
          <w:szCs w:val="18"/>
          <w:color w:val="auto"/>
        </w:rPr>
      </w:pPr>
      <w:r>
        <w:rPr>
          <w:rFonts w:ascii="Arial" w:cs="Arial" w:eastAsia="Arial" w:hAnsi="Arial"/>
          <w:sz w:val="18"/>
          <w:szCs w:val="18"/>
          <w:color w:val="auto"/>
        </w:rPr>
        <w:t>voluntarily prepay, redeem, purchase, repurchase, defease or otherwise satisfy prior to the scheduled maturity thereof any Subordinated Indebtedness or make any payment at any time in violation of any subordination terms thereof or amend, modify or change in any manner any term or condition of the documents entered into in respect of such Subordinated Indebtedness;</w:t>
      </w:r>
    </w:p>
    <w:p>
      <w:pPr>
        <w:spacing w:after="0" w:line="183" w:lineRule="exact"/>
        <w:rPr>
          <w:rFonts w:ascii="Arial" w:cs="Arial" w:eastAsia="Arial" w:hAnsi="Arial"/>
          <w:sz w:val="18"/>
          <w:szCs w:val="18"/>
          <w:color w:val="auto"/>
        </w:rPr>
      </w:pPr>
    </w:p>
    <w:p>
      <w:pPr>
        <w:ind w:left="920" w:hanging="264"/>
        <w:spacing w:after="0"/>
        <w:tabs>
          <w:tab w:leader="none" w:pos="92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[reserved];</w:t>
      </w:r>
    </w:p>
    <w:p>
      <w:pPr>
        <w:spacing w:after="0" w:line="200" w:lineRule="exact"/>
        <w:rPr>
          <w:sz w:val="20"/>
          <w:szCs w:val="20"/>
          <w:color w:val="auto"/>
        </w:rPr>
      </w:pP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36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Presto Credit Agreement</w:t>
            </w:r>
          </w:p>
        </w:tc>
        <w:tc>
          <w:tcPr>
            <w:tcW w:w="7580" w:type="dxa"/>
            <w:vAlign w:val="bottom"/>
            <w:tcBorders>
              <w:bottom w:val="single" w:sz="8" w:color="auto"/>
            </w:tcBorders>
          </w:tcPr>
          <w:p>
            <w:pPr>
              <w:jc w:val="right"/>
              <w:ind w:right="5430"/>
              <w:spacing w:after="0"/>
              <w:rPr>
                <w:sz w:val="20"/>
                <w:szCs w:val="20"/>
                <w:color w:val="auto"/>
              </w:rPr>
            </w:pPr>
            <w:r>
              <w:rPr>
                <w:rFonts w:ascii="Arial" w:cs="Arial" w:eastAsia="Arial" w:hAnsi="Arial"/>
                <w:sz w:val="18"/>
                <w:szCs w:val="18"/>
                <w:color w:val="auto"/>
              </w:rPr>
              <w:t>49</w:t>
            </w:r>
          </w:p>
        </w:tc>
      </w:tr>
    </w:tbl>
    <w:p>
      <w:pPr>
        <w:sectPr>
          <w:pgSz w:w="11900" w:h="16838" w:orient="portrait"/>
          <w:cols w:equalWidth="0" w:num="1">
            <w:col w:w="11240"/>
          </w:cols>
          <w:pgMar w:left="320" w:top="904" w:right="339" w:bottom="1440" w:gutter="0" w:footer="0" w:header="0"/>
        </w:sectPr>
      </w:pPr>
    </w:p>
    <w:bookmarkStart w:id="136" w:name="page137"/>
    <w:bookmarkEnd w:id="136"/>
    <w:p>
      <w:pPr>
        <w:ind w:firstLine="656"/>
        <w:spacing w:after="0" w:line="277" w:lineRule="auto"/>
        <w:tabs>
          <w:tab w:leader="none" w:pos="906" w:val="left"/>
        </w:tabs>
        <w:numPr>
          <w:ilvl w:val="0"/>
          <w:numId w:val="131"/>
        </w:numPr>
        <w:rPr>
          <w:rFonts w:ascii="Arial" w:cs="Arial" w:eastAsia="Arial" w:hAnsi="Arial"/>
          <w:sz w:val="18"/>
          <w:szCs w:val="18"/>
          <w:color w:val="auto"/>
        </w:rPr>
      </w:pPr>
      <w:r>
        <w:rPr>
          <w:rFonts w:ascii="Arial" w:cs="Arial" w:eastAsia="Arial" w:hAnsi="Arial"/>
          <w:sz w:val="18"/>
          <w:szCs w:val="18"/>
          <w:color w:val="auto"/>
        </w:rPr>
        <w:t>amend, modify or change in any manner any term or condition of Disqualified Equity Interests to the extent any such amendment would be adverse to the Agent or any Lenders in their capacity as a holder of secured debt of the Borrower; or</w:t>
      </w:r>
    </w:p>
    <w:p>
      <w:pPr>
        <w:spacing w:after="0" w:line="170" w:lineRule="exact"/>
        <w:rPr>
          <w:rFonts w:ascii="Arial" w:cs="Arial" w:eastAsia="Arial" w:hAnsi="Arial"/>
          <w:sz w:val="18"/>
          <w:szCs w:val="18"/>
          <w:color w:val="auto"/>
        </w:rPr>
      </w:pPr>
    </w:p>
    <w:p>
      <w:pPr>
        <w:jc w:val="both"/>
        <w:ind w:firstLine="656"/>
        <w:spacing w:after="0" w:line="311" w:lineRule="auto"/>
        <w:tabs>
          <w:tab w:leader="none" w:pos="875" w:val="left"/>
        </w:tabs>
        <w:numPr>
          <w:ilvl w:val="0"/>
          <w:numId w:val="131"/>
        </w:numPr>
        <w:rPr>
          <w:rFonts w:ascii="Arial" w:cs="Arial" w:eastAsia="Arial" w:hAnsi="Arial"/>
          <w:sz w:val="16"/>
          <w:szCs w:val="16"/>
          <w:color w:val="auto"/>
        </w:rPr>
      </w:pPr>
      <w:r>
        <w:rPr>
          <w:rFonts w:ascii="Arial" w:cs="Arial" w:eastAsia="Arial" w:hAnsi="Arial"/>
          <w:sz w:val="16"/>
          <w:szCs w:val="16"/>
          <w:color w:val="auto"/>
        </w:rPr>
        <w:t>amend or permit any amendments to, or terminate or waive any provision of the SPAC Merger Agreement, any SPAC Subscription Agreement, the Sponsor Support Agreement, the Stockholder Support Agreement or any other agreement in connection with the SPAC Transaction, in each case, to the extent any such amendment would be adverse to the Agent or any Lender in their capacity as a holder of secured debt of the Loan Parties.</w:t>
      </w:r>
    </w:p>
    <w:p>
      <w:pPr>
        <w:spacing w:after="0" w:line="145"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8"/>
          <w:szCs w:val="18"/>
          <w:b w:val="1"/>
          <w:bCs w:val="1"/>
          <w:color w:val="auto"/>
        </w:rPr>
        <w:t>6.13 Use of Proceeds</w:t>
      </w:r>
      <w:r>
        <w:rPr>
          <w:rFonts w:ascii="Arial" w:cs="Arial" w:eastAsia="Arial" w:hAnsi="Arial"/>
          <w:sz w:val="18"/>
          <w:szCs w:val="18"/>
          <w:color w:val="auto"/>
        </w:rPr>
        <w:t>. No Loan Party shall, and shall not permit any Subsidiary to, use the proceeds of the Term Loan, whether directly or</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indirectly, and whether immediately, incidentally or ultimately, (a) to purchase or carry margin stock (within the meaning of Regulation U of the Board) or to extend credit to others for the purpose of purchasing or carrying margin stock or to refund indebtedness originally incurred for such purpose, in each case in violation of, or for a purpose which violates, or would be inconsistent with, Regulation T, U or X of the Board, (b) to finance a hostile acquisition or (c) for any purposes other than as specified in </w:t>
      </w:r>
      <w:r>
        <w:rPr>
          <w:rFonts w:ascii="Arial" w:cs="Arial" w:eastAsia="Arial" w:hAnsi="Arial"/>
          <w:sz w:val="18"/>
          <w:szCs w:val="18"/>
          <w:u w:val="single" w:color="auto"/>
          <w:color w:val="auto"/>
        </w:rPr>
        <w:t>Section 3.12</w:t>
      </w:r>
      <w:r>
        <w:rPr>
          <w:rFonts w:ascii="Arial" w:cs="Arial" w:eastAsia="Arial" w:hAnsi="Arial"/>
          <w:sz w:val="18"/>
          <w:szCs w:val="18"/>
          <w:color w:val="auto"/>
        </w:rPr>
        <w:t>.</w:t>
      </w:r>
    </w:p>
    <w:p>
      <w:pPr>
        <w:spacing w:after="0" w:line="183" w:lineRule="exact"/>
        <w:rPr>
          <w:sz w:val="20"/>
          <w:szCs w:val="20"/>
          <w:color w:val="auto"/>
        </w:rPr>
      </w:pPr>
    </w:p>
    <w:p>
      <w:pPr>
        <w:ind w:left="660"/>
        <w:spacing w:after="0"/>
        <w:rPr>
          <w:sz w:val="20"/>
          <w:szCs w:val="20"/>
          <w:color w:val="auto"/>
        </w:rPr>
      </w:pPr>
      <w:r>
        <w:rPr>
          <w:rFonts w:ascii="Arial" w:cs="Arial" w:eastAsia="Arial" w:hAnsi="Arial"/>
          <w:sz w:val="17"/>
          <w:szCs w:val="17"/>
          <w:b w:val="1"/>
          <w:bCs w:val="1"/>
          <w:color w:val="auto"/>
        </w:rPr>
        <w:t>6.14 Sale Leaseback Transactions</w:t>
      </w:r>
      <w:r>
        <w:rPr>
          <w:rFonts w:ascii="Arial" w:cs="Arial" w:eastAsia="Arial" w:hAnsi="Arial"/>
          <w:sz w:val="17"/>
          <w:szCs w:val="17"/>
          <w:color w:val="auto"/>
        </w:rPr>
        <w:t>. No Loan Party shall, and shall not permit any Subsidiary to, enter into any sale-leaseback transaction.</w:t>
      </w:r>
    </w:p>
    <w:p>
      <w:pPr>
        <w:spacing w:after="0" w:line="237"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7"/>
          <w:szCs w:val="17"/>
          <w:b w:val="1"/>
          <w:bCs w:val="1"/>
          <w:color w:val="auto"/>
        </w:rPr>
        <w:t>6.15 Guaranty</w:t>
      </w:r>
      <w:r>
        <w:rPr>
          <w:rFonts w:ascii="Arial" w:cs="Arial" w:eastAsia="Arial" w:hAnsi="Arial"/>
          <w:sz w:val="17"/>
          <w:szCs w:val="17"/>
          <w:color w:val="auto"/>
        </w:rPr>
        <w:t>. No Loan Party shall, and shall not permit any Subsidiary to, guaranty or otherwise, in any way, become liable with respect to the</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obligations or liabilities of any Person other than other Loan Parties to the extent permitted by </w:t>
      </w:r>
      <w:r>
        <w:rPr>
          <w:rFonts w:ascii="Arial" w:cs="Arial" w:eastAsia="Arial" w:hAnsi="Arial"/>
          <w:sz w:val="17"/>
          <w:szCs w:val="17"/>
          <w:u w:val="single" w:color="auto"/>
          <w:color w:val="auto"/>
        </w:rPr>
        <w:t>Section 6.1</w:t>
      </w:r>
      <w:r>
        <w:rPr>
          <w:rFonts w:ascii="Arial" w:cs="Arial" w:eastAsia="Arial" w:hAnsi="Arial"/>
          <w:sz w:val="17"/>
          <w:szCs w:val="17"/>
          <w:color w:val="auto"/>
        </w:rPr>
        <w:t>, except by endorsement of instruments or items of payment for deposit to the general account of a Loan Party or for delivery to Agent on account of the Obligations.</w:t>
      </w:r>
    </w:p>
    <w:p>
      <w:pPr>
        <w:spacing w:after="0" w:line="158"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b w:val="1"/>
          <w:bCs w:val="1"/>
          <w:color w:val="auto"/>
        </w:rPr>
        <w:t>6.16 No Burdensome Restrictions</w:t>
      </w:r>
      <w:r>
        <w:rPr>
          <w:rFonts w:ascii="Arial" w:cs="Arial" w:eastAsia="Arial" w:hAnsi="Arial"/>
          <w:sz w:val="16"/>
          <w:szCs w:val="16"/>
          <w:color w:val="auto"/>
        </w:rPr>
        <w:t>. No Loan Party shall, and shall not permit any Subsidiary to, create or otherwise cause, incur, assume, suffer</w:t>
      </w:r>
      <w:r>
        <w:rPr>
          <w:rFonts w:ascii="Arial" w:cs="Arial" w:eastAsia="Arial" w:hAnsi="Arial"/>
          <w:sz w:val="16"/>
          <w:szCs w:val="16"/>
          <w:b w:val="1"/>
          <w:bCs w:val="1"/>
          <w:color w:val="auto"/>
        </w:rPr>
        <w:t xml:space="preserve"> </w:t>
      </w:r>
      <w:r>
        <w:rPr>
          <w:rFonts w:ascii="Arial" w:cs="Arial" w:eastAsia="Arial" w:hAnsi="Arial"/>
          <w:sz w:val="16"/>
          <w:szCs w:val="16"/>
          <w:color w:val="auto"/>
        </w:rPr>
        <w:t>or permit to exist or become effective any encumbrance or restriction of any kind exists which materially and adversely affects the ability of (a) any Subsidiary of any Loan Party (i) to pay dividends or to make any other distribution on its Equity Interests owned by its parent, (ii) to pay or prepay any Indebtedness owed to any Loan Party, (iii) to make loans or advances to any Loan Party, or (iv) to transfer any of its property or assets to any Loan Party, or</w:t>
      </w:r>
    </w:p>
    <w:p>
      <w:pPr>
        <w:spacing w:after="0" w:line="2" w:lineRule="exact"/>
        <w:rPr>
          <w:sz w:val="20"/>
          <w:szCs w:val="20"/>
          <w:color w:val="auto"/>
        </w:rPr>
      </w:pPr>
    </w:p>
    <w:p>
      <w:pPr>
        <w:ind w:left="660" w:right="1260" w:hanging="652"/>
        <w:spacing w:after="0" w:line="492" w:lineRule="auto"/>
        <w:tabs>
          <w:tab w:leader="none" w:pos="267" w:val="left"/>
        </w:tabs>
        <w:numPr>
          <w:ilvl w:val="0"/>
          <w:numId w:val="132"/>
        </w:numPr>
        <w:rPr>
          <w:rFonts w:ascii="Arial" w:cs="Arial" w:eastAsia="Arial" w:hAnsi="Arial"/>
          <w:sz w:val="18"/>
          <w:szCs w:val="18"/>
          <w:color w:val="auto"/>
        </w:rPr>
      </w:pPr>
      <w:r>
        <w:rPr>
          <w:rFonts w:ascii="Arial" w:cs="Arial" w:eastAsia="Arial" w:hAnsi="Arial"/>
          <w:sz w:val="18"/>
          <w:szCs w:val="18"/>
          <w:color w:val="auto"/>
        </w:rPr>
        <w:t xml:space="preserve">any Loan Party to grant Liens on the Collateral to Agent, in each case except for restrictions and conditions imposed by applicable law. </w:t>
      </w:r>
      <w:r>
        <w:rPr>
          <w:rFonts w:ascii="Arial" w:cs="Arial" w:eastAsia="Arial" w:hAnsi="Arial"/>
          <w:sz w:val="18"/>
          <w:szCs w:val="18"/>
          <w:b w:val="1"/>
          <w:bCs w:val="1"/>
          <w:color w:val="auto"/>
        </w:rPr>
        <w:t>6.17 Financial Covenants</w:t>
      </w:r>
      <w:r>
        <w:rPr>
          <w:rFonts w:ascii="Arial" w:cs="Arial" w:eastAsia="Arial" w:hAnsi="Arial"/>
          <w:sz w:val="18"/>
          <w:szCs w:val="18"/>
          <w:color w:val="auto"/>
        </w:rPr>
        <w:t>.</w:t>
      </w:r>
    </w:p>
    <w:p>
      <w:pPr>
        <w:spacing w:after="0" w:line="1" w:lineRule="exact"/>
        <w:rPr>
          <w:rFonts w:ascii="Arial" w:cs="Arial" w:eastAsia="Arial" w:hAnsi="Arial"/>
          <w:sz w:val="18"/>
          <w:szCs w:val="18"/>
          <w:color w:val="auto"/>
        </w:rPr>
      </w:pPr>
    </w:p>
    <w:p>
      <w:pPr>
        <w:jc w:val="both"/>
        <w:ind w:firstLine="656"/>
        <w:spacing w:after="0" w:line="269" w:lineRule="auto"/>
        <w:tabs>
          <w:tab w:leader="none" w:pos="903" w:val="left"/>
        </w:tabs>
        <w:numPr>
          <w:ilvl w:val="1"/>
          <w:numId w:val="132"/>
        </w:numPr>
        <w:rPr>
          <w:rFonts w:ascii="Arial" w:cs="Arial" w:eastAsia="Arial" w:hAnsi="Arial"/>
          <w:sz w:val="17"/>
          <w:szCs w:val="17"/>
          <w:color w:val="auto"/>
        </w:rPr>
      </w:pPr>
      <w:r>
        <w:rPr>
          <w:rFonts w:ascii="Arial" w:cs="Arial" w:eastAsia="Arial" w:hAnsi="Arial"/>
          <w:sz w:val="17"/>
          <w:szCs w:val="17"/>
          <w:color w:val="auto"/>
        </w:rPr>
        <w:t xml:space="preserve">Borrower shall not permit Unrestricted Cash, (i) measured as of September 30, 2022 and as of the last day of each calendar month thereafter until March 31, 2023, except for the months ending February 28, 2023 and March 31, 2023, and calculated in a manner consistent with the calculation shown on </w:t>
      </w:r>
      <w:r>
        <w:rPr>
          <w:rFonts w:ascii="Arial" w:cs="Arial" w:eastAsia="Arial" w:hAnsi="Arial"/>
          <w:sz w:val="17"/>
          <w:szCs w:val="17"/>
          <w:u w:val="single" w:color="auto"/>
          <w:color w:val="auto"/>
        </w:rPr>
        <w:t>Exhibit E</w:t>
      </w:r>
      <w:r>
        <w:rPr>
          <w:rFonts w:ascii="Arial" w:cs="Arial" w:eastAsia="Arial" w:hAnsi="Arial"/>
          <w:sz w:val="17"/>
          <w:szCs w:val="17"/>
          <w:color w:val="auto"/>
        </w:rPr>
        <w:t xml:space="preserve">, to be less than the Minimum Unrestricted Cash Amount as of such date of determination;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if the aggregate amount of Annual Platform Revenue, determined as of such date, exceeds $50,000,000, then the Minimum Unrestricted Cash Amount shall be deemed to be $10,000,000 and (ii) measured as of April 30, 2023, and as of the last day of each calendar month thereafter, to be less than the Minimum Unrestricted Cash Amount as of such date of determination; </w:t>
      </w:r>
      <w:r>
        <w:rPr>
          <w:rFonts w:ascii="Arial" w:cs="Arial" w:eastAsia="Arial" w:hAnsi="Arial"/>
          <w:sz w:val="17"/>
          <w:szCs w:val="17"/>
          <w:u w:val="single" w:color="auto"/>
          <w:color w:val="auto"/>
        </w:rPr>
        <w:t>provided further</w:t>
      </w:r>
      <w:r>
        <w:rPr>
          <w:rFonts w:ascii="Arial" w:cs="Arial" w:eastAsia="Arial" w:hAnsi="Arial"/>
          <w:sz w:val="17"/>
          <w:szCs w:val="17"/>
          <w:color w:val="auto"/>
        </w:rPr>
        <w:t xml:space="preserve">, that, for purposes of calculating compliance with this </w:t>
      </w:r>
      <w:r>
        <w:rPr>
          <w:rFonts w:ascii="Arial" w:cs="Arial" w:eastAsia="Arial" w:hAnsi="Arial"/>
          <w:sz w:val="17"/>
          <w:szCs w:val="17"/>
          <w:u w:val="single" w:color="auto"/>
          <w:color w:val="auto"/>
        </w:rPr>
        <w:t>Section 6.17(a)</w:t>
      </w:r>
      <w:r>
        <w:rPr>
          <w:rFonts w:ascii="Arial" w:cs="Arial" w:eastAsia="Arial" w:hAnsi="Arial"/>
          <w:sz w:val="17"/>
          <w:szCs w:val="17"/>
          <w:color w:val="auto"/>
        </w:rPr>
        <w:t xml:space="preserve">, to the extent that as of any date of determination a Compliance Certificate and/or any financial statements required to be delivered pursuant to </w:t>
      </w:r>
      <w:r>
        <w:rPr>
          <w:rFonts w:ascii="Arial" w:cs="Arial" w:eastAsia="Arial" w:hAnsi="Arial"/>
          <w:sz w:val="17"/>
          <w:szCs w:val="17"/>
          <w:u w:val="single" w:color="auto"/>
          <w:color w:val="auto"/>
        </w:rPr>
        <w:t>Section 5.1</w:t>
      </w:r>
      <w:r>
        <w:rPr>
          <w:rFonts w:ascii="Arial" w:cs="Arial" w:eastAsia="Arial" w:hAnsi="Arial"/>
          <w:sz w:val="17"/>
          <w:szCs w:val="17"/>
          <w:color w:val="auto"/>
        </w:rPr>
        <w:t xml:space="preserve"> for the period ending as of the applicable date of determination has not been delivered as and when required hereunder, the Borrower’s Unrestricted Cash shall be deemed to be $0 for the applicable period until such time as the applicable Compliance Certificate and related financial statements complying with </w:t>
      </w:r>
      <w:r>
        <w:rPr>
          <w:rFonts w:ascii="Arial" w:cs="Arial" w:eastAsia="Arial" w:hAnsi="Arial"/>
          <w:sz w:val="17"/>
          <w:szCs w:val="17"/>
          <w:u w:val="single" w:color="auto"/>
          <w:color w:val="auto"/>
        </w:rPr>
        <w:t>Section 5.1</w:t>
      </w:r>
      <w:r>
        <w:rPr>
          <w:rFonts w:ascii="Arial" w:cs="Arial" w:eastAsia="Arial" w:hAnsi="Arial"/>
          <w:sz w:val="17"/>
          <w:szCs w:val="17"/>
          <w:color w:val="auto"/>
        </w:rPr>
        <w:t xml:space="preserve"> are delivered demonstrating the Borrower’s Unrestricted Cash.</w:t>
      </w:r>
    </w:p>
    <w:p>
      <w:pPr>
        <w:spacing w:after="0" w:line="185" w:lineRule="exact"/>
        <w:rPr>
          <w:rFonts w:ascii="Arial" w:cs="Arial" w:eastAsia="Arial" w:hAnsi="Arial"/>
          <w:sz w:val="17"/>
          <w:szCs w:val="17"/>
          <w:color w:val="auto"/>
        </w:rPr>
      </w:pPr>
    </w:p>
    <w:p>
      <w:pPr>
        <w:jc w:val="both"/>
        <w:ind w:firstLine="656"/>
        <w:spacing w:after="0" w:line="263" w:lineRule="auto"/>
        <w:tabs>
          <w:tab w:leader="none" w:pos="905" w:val="left"/>
        </w:tabs>
        <w:numPr>
          <w:ilvl w:val="1"/>
          <w:numId w:val="132"/>
        </w:numPr>
        <w:rPr>
          <w:rFonts w:ascii="Arial" w:cs="Arial" w:eastAsia="Arial" w:hAnsi="Arial"/>
          <w:sz w:val="18"/>
          <w:szCs w:val="18"/>
          <w:color w:val="auto"/>
        </w:rPr>
      </w:pPr>
      <w:r>
        <w:rPr>
          <w:rFonts w:ascii="Arial" w:cs="Arial" w:eastAsia="Arial" w:hAnsi="Arial"/>
          <w:sz w:val="18"/>
          <w:szCs w:val="18"/>
          <w:color w:val="auto"/>
        </w:rPr>
        <w:t xml:space="preserve">Borrower shall not permit the Net Leverage Ratio, measured as of September 30, 2022 and as of the last day of each calendar month thereafter except for the months ending February 28, 2023, March 31, 2023, April 30, 2023, and May 31, 2023, and calculated in a manner consistent with the calculation shown on </w:t>
      </w:r>
      <w:r>
        <w:rPr>
          <w:rFonts w:ascii="Arial" w:cs="Arial" w:eastAsia="Arial" w:hAnsi="Arial"/>
          <w:sz w:val="18"/>
          <w:szCs w:val="18"/>
          <w:u w:val="single" w:color="auto"/>
          <w:color w:val="auto"/>
        </w:rPr>
        <w:t>Exhibit E</w:t>
      </w:r>
      <w:r>
        <w:rPr>
          <w:rFonts w:ascii="Arial" w:cs="Arial" w:eastAsia="Arial" w:hAnsi="Arial"/>
          <w:sz w:val="18"/>
          <w:szCs w:val="18"/>
          <w:color w:val="auto"/>
        </w:rPr>
        <w:t>, to be less than 1.20 to 1.00.</w:t>
      </w:r>
    </w:p>
    <w:p>
      <w:pPr>
        <w:spacing w:after="0" w:line="400"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36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Presto Credit Agreement</w:t>
            </w:r>
          </w:p>
        </w:tc>
        <w:tc>
          <w:tcPr>
            <w:tcW w:w="7580" w:type="dxa"/>
            <w:vAlign w:val="bottom"/>
            <w:tcBorders>
              <w:bottom w:val="single" w:sz="8" w:color="auto"/>
            </w:tcBorders>
          </w:tcPr>
          <w:p>
            <w:pPr>
              <w:jc w:val="right"/>
              <w:ind w:right="5430"/>
              <w:spacing w:after="0"/>
              <w:rPr>
                <w:sz w:val="20"/>
                <w:szCs w:val="20"/>
                <w:color w:val="auto"/>
              </w:rPr>
            </w:pPr>
            <w:r>
              <w:rPr>
                <w:rFonts w:ascii="Arial" w:cs="Arial" w:eastAsia="Arial" w:hAnsi="Arial"/>
                <w:sz w:val="18"/>
                <w:szCs w:val="18"/>
                <w:color w:val="auto"/>
              </w:rPr>
              <w:t>50</w:t>
            </w:r>
          </w:p>
        </w:tc>
      </w:tr>
    </w:tbl>
    <w:p>
      <w:pPr>
        <w:sectPr>
          <w:pgSz w:w="11900" w:h="16838" w:orient="portrait"/>
          <w:cols w:equalWidth="0" w:num="1">
            <w:col w:w="11240"/>
          </w:cols>
          <w:pgMar w:left="320" w:top="908" w:right="339" w:bottom="1440" w:gutter="0" w:footer="0" w:header="0"/>
        </w:sectPr>
      </w:pPr>
    </w:p>
    <w:bookmarkStart w:id="137" w:name="page138"/>
    <w:bookmarkEnd w:id="137"/>
    <w:p>
      <w:pPr>
        <w:jc w:val="both"/>
        <w:ind w:firstLine="656"/>
        <w:spacing w:after="0" w:line="257" w:lineRule="auto"/>
        <w:tabs>
          <w:tab w:leader="none" w:pos="911" w:val="left"/>
        </w:tabs>
        <w:numPr>
          <w:ilvl w:val="0"/>
          <w:numId w:val="133"/>
        </w:numPr>
        <w:rPr>
          <w:rFonts w:ascii="Arial" w:cs="Arial" w:eastAsia="Arial" w:hAnsi="Arial"/>
          <w:sz w:val="18"/>
          <w:szCs w:val="18"/>
          <w:color w:val="auto"/>
        </w:rPr>
      </w:pPr>
      <w:r>
        <w:rPr>
          <w:rFonts w:ascii="Arial" w:cs="Arial" w:eastAsia="Arial" w:hAnsi="Arial"/>
          <w:sz w:val="18"/>
          <w:szCs w:val="18"/>
          <w:color w:val="auto"/>
        </w:rPr>
        <w:t xml:space="preserve">As of the last day of each calendar month, beginning with the month ending June 30, 2023, Borrower shall not permit its Net Adjusted Decrease in Operating Cash for the consecutive three-month period ending as of the last day of the applicable month (expressed as a positive number) to exceed $10,000,000, </w:t>
      </w:r>
      <w:r>
        <w:rPr>
          <w:rFonts w:ascii="Arial" w:cs="Arial" w:eastAsia="Arial" w:hAnsi="Arial"/>
          <w:sz w:val="18"/>
          <w:szCs w:val="18"/>
          <w:i w:val="1"/>
          <w:iCs w:val="1"/>
          <w:color w:val="auto"/>
        </w:rPr>
        <w:t>provided that</w:t>
      </w:r>
      <w:r>
        <w:rPr>
          <w:rFonts w:ascii="Arial" w:cs="Arial" w:eastAsia="Arial" w:hAnsi="Arial"/>
          <w:sz w:val="18"/>
          <w:szCs w:val="18"/>
          <w:color w:val="auto"/>
        </w:rPr>
        <w:t xml:space="preserve"> (i) for the month ending June 30, 2023 the Net Adjusted Decrease in Operating Cash shall be calculated for the one-month period then ended times three, and (ii) for the month ending July 31, 2023 the Net Adjusted Decrease in Operating Cash shall be calculated for the two consecutive month period then ended, times three, divided by two.</w:t>
      </w:r>
    </w:p>
    <w:p>
      <w:pPr>
        <w:spacing w:after="0" w:line="187" w:lineRule="exact"/>
        <w:rPr>
          <w:rFonts w:ascii="Arial" w:cs="Arial" w:eastAsia="Arial" w:hAnsi="Arial"/>
          <w:sz w:val="18"/>
          <w:szCs w:val="18"/>
          <w:color w:val="auto"/>
        </w:rPr>
      </w:pPr>
    </w:p>
    <w:p>
      <w:pPr>
        <w:jc w:val="both"/>
        <w:ind w:firstLine="656"/>
        <w:spacing w:after="0" w:line="283" w:lineRule="auto"/>
        <w:tabs>
          <w:tab w:leader="none" w:pos="921" w:val="left"/>
        </w:tabs>
        <w:numPr>
          <w:ilvl w:val="0"/>
          <w:numId w:val="133"/>
        </w:numPr>
        <w:rPr>
          <w:rFonts w:ascii="Arial" w:cs="Arial" w:eastAsia="Arial" w:hAnsi="Arial"/>
          <w:sz w:val="16"/>
          <w:szCs w:val="16"/>
          <w:color w:val="auto"/>
        </w:rPr>
      </w:pPr>
      <w:r>
        <w:rPr>
          <w:rFonts w:ascii="Arial" w:cs="Arial" w:eastAsia="Arial" w:hAnsi="Arial"/>
          <w:sz w:val="16"/>
          <w:szCs w:val="16"/>
          <w:color w:val="auto"/>
        </w:rPr>
        <w:t xml:space="preserve">In the event the Loan Parties fail to comply with the financial covenant set forth in </w:t>
      </w:r>
      <w:r>
        <w:rPr>
          <w:rFonts w:ascii="Arial" w:cs="Arial" w:eastAsia="Arial" w:hAnsi="Arial"/>
          <w:sz w:val="16"/>
          <w:szCs w:val="16"/>
          <w:u w:val="single" w:color="auto"/>
          <w:color w:val="auto"/>
        </w:rPr>
        <w:t>Section 6.17(a)</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Section 6.17(b)</w:t>
      </w:r>
      <w:r>
        <w:rPr>
          <w:rFonts w:ascii="Arial" w:cs="Arial" w:eastAsia="Arial" w:hAnsi="Arial"/>
          <w:sz w:val="16"/>
          <w:szCs w:val="16"/>
          <w:color w:val="auto"/>
        </w:rPr>
        <w:t xml:space="preserve"> above (other than a Default occurring under </w:t>
      </w:r>
      <w:r>
        <w:rPr>
          <w:rFonts w:ascii="Arial" w:cs="Arial" w:eastAsia="Arial" w:hAnsi="Arial"/>
          <w:sz w:val="16"/>
          <w:szCs w:val="16"/>
          <w:u w:val="single" w:color="auto"/>
          <w:color w:val="auto"/>
        </w:rPr>
        <w:t>Section 6.17(a)</w:t>
      </w:r>
      <w:r>
        <w:rPr>
          <w:rFonts w:ascii="Arial" w:cs="Arial" w:eastAsia="Arial" w:hAnsi="Arial"/>
          <w:sz w:val="16"/>
          <w:szCs w:val="16"/>
          <w:color w:val="auto"/>
        </w:rPr>
        <w:t xml:space="preserve"> for the months ending April 30, 2023 or May 31, 2023, for which there shall be no cure right), subject to the terms and conditions hereof, Borrower shall have the right (the “</w:t>
      </w:r>
      <w:r>
        <w:rPr>
          <w:rFonts w:ascii="Arial" w:cs="Arial" w:eastAsia="Arial" w:hAnsi="Arial"/>
          <w:sz w:val="16"/>
          <w:szCs w:val="16"/>
          <w:b w:val="1"/>
          <w:bCs w:val="1"/>
          <w:i w:val="1"/>
          <w:iCs w:val="1"/>
          <w:color w:val="auto"/>
        </w:rPr>
        <w:t>Cure Right</w:t>
      </w:r>
      <w:r>
        <w:rPr>
          <w:rFonts w:ascii="Arial" w:cs="Arial" w:eastAsia="Arial" w:hAnsi="Arial"/>
          <w:sz w:val="16"/>
          <w:szCs w:val="16"/>
          <w:color w:val="auto"/>
        </w:rPr>
        <w:t xml:space="preserve">”) until the expiration of the thirtieth (30th) day subsequent to the date the relevant Compliance Certificate reporting such failure is required to be delivered pursuant to </w:t>
      </w:r>
      <w:r>
        <w:rPr>
          <w:rFonts w:ascii="Arial" w:cs="Arial" w:eastAsia="Arial" w:hAnsi="Arial"/>
          <w:sz w:val="16"/>
          <w:szCs w:val="16"/>
          <w:u w:val="single" w:color="auto"/>
          <w:color w:val="auto"/>
        </w:rPr>
        <w:t>Section 5.2(a)</w:t>
      </w:r>
      <w:r>
        <w:rPr>
          <w:rFonts w:ascii="Arial" w:cs="Arial" w:eastAsia="Arial" w:hAnsi="Arial"/>
          <w:sz w:val="16"/>
          <w:szCs w:val="16"/>
          <w:color w:val="auto"/>
        </w:rPr>
        <w:t>, to issue Permitted Cure Securities for cash or otherwise receive, as additional paid in capital, cash contributions from its equity holders, in either case resulting in Net Cash Proceeds in an aggregate amount equal to, but not greater than, the amount necessary to cure the relevant financial covenant (hereinafter, the “</w:t>
      </w:r>
      <w:r>
        <w:rPr>
          <w:rFonts w:ascii="Arial" w:cs="Arial" w:eastAsia="Arial" w:hAnsi="Arial"/>
          <w:sz w:val="16"/>
          <w:szCs w:val="16"/>
          <w:b w:val="1"/>
          <w:bCs w:val="1"/>
          <w:i w:val="1"/>
          <w:iCs w:val="1"/>
          <w:color w:val="auto"/>
        </w:rPr>
        <w:t>Cure Amount</w:t>
      </w:r>
      <w:r>
        <w:rPr>
          <w:rFonts w:ascii="Arial" w:cs="Arial" w:eastAsia="Arial" w:hAnsi="Arial"/>
          <w:sz w:val="16"/>
          <w:szCs w:val="16"/>
          <w:color w:val="auto"/>
        </w:rPr>
        <w:t xml:space="preserve">”), and upon the receipt by Borrower of the Net Cash Proceeds thereof, the financial covenant shall then be recalculated giving effect to the following pro forma adjustments: (1) solely in respect of a failure to satisfy the financial covenant set forth in </w:t>
      </w:r>
      <w:r>
        <w:rPr>
          <w:rFonts w:ascii="Arial" w:cs="Arial" w:eastAsia="Arial" w:hAnsi="Arial"/>
          <w:sz w:val="16"/>
          <w:szCs w:val="16"/>
          <w:u w:val="single" w:color="auto"/>
          <w:color w:val="auto"/>
        </w:rPr>
        <w:t>Section 6.17(a),</w:t>
      </w:r>
      <w:r>
        <w:rPr>
          <w:rFonts w:ascii="Arial" w:cs="Arial" w:eastAsia="Arial" w:hAnsi="Arial"/>
          <w:sz w:val="16"/>
          <w:szCs w:val="16"/>
          <w:color w:val="auto"/>
        </w:rPr>
        <w:t xml:space="preserve"> Unrestricted Cash shall be increased by an amount equal to the Cure Amount deposited into a Deposit Account of the Borrower subject to a control agreement in favor of the Agent; (2) solely in respect of any Cure Right exercised in respect of a failure to satisfy the financial covenant set forth in </w:t>
      </w:r>
      <w:r>
        <w:rPr>
          <w:rFonts w:ascii="Arial" w:cs="Arial" w:eastAsia="Arial" w:hAnsi="Arial"/>
          <w:sz w:val="16"/>
          <w:szCs w:val="16"/>
          <w:u w:val="single" w:color="auto"/>
          <w:color w:val="auto"/>
        </w:rPr>
        <w:t>Section 6.17(b)</w:t>
      </w:r>
      <w:r>
        <w:rPr>
          <w:rFonts w:ascii="Arial" w:cs="Arial" w:eastAsia="Arial" w:hAnsi="Arial"/>
          <w:sz w:val="16"/>
          <w:szCs w:val="16"/>
          <w:color w:val="auto"/>
        </w:rPr>
        <w:t xml:space="preserve"> above, Annual Platform Revenue shall be increased for the applicable three consecutive month period, solely for the purposes of measuring such financial covenant and not for any other purpose under this Agreement, by an amount equal to the Cure Amount deposited into a Deposit Account of the Borrower subject to a control agreement in favor of Agent; provided, that such Cure Amount shall not be included as Unrestricted Cash for purposes of calculating such financial covenant for the applicable three (3) consecutive month period, (3) any prepayment of the Term Loan made with respect to such Cure Amount shall not serve as a reduction to Indebtedness for purposes of calculating the Net Leverage Ratio for the applicable three consecutive month period; and (4) if, after giving effect to the foregoing recalculations, the Loan Parties shall then be in compliance with the requirements of </w:t>
      </w:r>
      <w:r>
        <w:rPr>
          <w:rFonts w:ascii="Arial" w:cs="Arial" w:eastAsia="Arial" w:hAnsi="Arial"/>
          <w:sz w:val="16"/>
          <w:szCs w:val="16"/>
          <w:u w:val="single" w:color="auto"/>
          <w:color w:val="auto"/>
        </w:rPr>
        <w:t>Section 6.17</w:t>
      </w:r>
      <w:r>
        <w:rPr>
          <w:rFonts w:ascii="Arial" w:cs="Arial" w:eastAsia="Arial" w:hAnsi="Arial"/>
          <w:sz w:val="16"/>
          <w:szCs w:val="16"/>
          <w:color w:val="auto"/>
        </w:rPr>
        <w:t xml:space="preserve">, the Loan Parties shall be deemed to have been in compliance with such financial covenant as of the relevant date of determination with the same effect as though there had been no failure to comply therewith at such date, and the applicable breach or Default of such financial covenant that had occurred shall be deemed not to have occurred for this purpose of the Agreement. In the event that (i) no Default exists other than that arising due to failure of the Loan Parties to comply with a financial covenant set forth in </w:t>
      </w:r>
      <w:r>
        <w:rPr>
          <w:rFonts w:ascii="Arial" w:cs="Arial" w:eastAsia="Arial" w:hAnsi="Arial"/>
          <w:sz w:val="16"/>
          <w:szCs w:val="16"/>
          <w:u w:val="single" w:color="auto"/>
          <w:color w:val="auto"/>
        </w:rPr>
        <w:t>Section 6.17</w:t>
      </w:r>
      <w:r>
        <w:rPr>
          <w:rFonts w:ascii="Arial" w:cs="Arial" w:eastAsia="Arial" w:hAnsi="Arial"/>
          <w:sz w:val="16"/>
          <w:szCs w:val="16"/>
          <w:color w:val="auto"/>
        </w:rPr>
        <w:t xml:space="preserve">, and (ii) Borrower shall have delivered to Agent written notice of its intention to exercise the Cure Right (which notice shall be delivered no earlier than seven (7) Business Days following the date the relevant Compliance Certificate reporting such failure is required to be delivered pursuant to </w:t>
      </w:r>
      <w:r>
        <w:rPr>
          <w:rFonts w:ascii="Arial" w:cs="Arial" w:eastAsia="Arial" w:hAnsi="Arial"/>
          <w:sz w:val="16"/>
          <w:szCs w:val="16"/>
          <w:u w:val="single" w:color="auto"/>
          <w:color w:val="auto"/>
        </w:rPr>
        <w:t>Section 5.2(a)</w:t>
      </w:r>
      <w:r>
        <w:rPr>
          <w:rFonts w:ascii="Arial" w:cs="Arial" w:eastAsia="Arial" w:hAnsi="Arial"/>
          <w:sz w:val="16"/>
          <w:szCs w:val="16"/>
          <w:color w:val="auto"/>
        </w:rPr>
        <w:t xml:space="preserve">), which exercise if fully consummated would be sufficient in accordance with the terms hereof to cause the Loan Parties to be in compliance with the financial covenant as of the relevant date of determination, then from and following receipt by Agent of any such notice and until the date that is the earlier of (x) the thirtieth (30th) day subsequent to the date the applicable Compliance Certificate reporting such failure is required to be delivered pursuant to </w:t>
      </w:r>
      <w:r>
        <w:rPr>
          <w:rFonts w:ascii="Arial" w:cs="Arial" w:eastAsia="Arial" w:hAnsi="Arial"/>
          <w:sz w:val="16"/>
          <w:szCs w:val="16"/>
          <w:u w:val="single" w:color="auto"/>
          <w:color w:val="auto"/>
        </w:rPr>
        <w:t>Section 5.2(a)</w:t>
      </w:r>
      <w:r>
        <w:rPr>
          <w:rFonts w:ascii="Arial" w:cs="Arial" w:eastAsia="Arial" w:hAnsi="Arial"/>
          <w:sz w:val="16"/>
          <w:szCs w:val="16"/>
          <w:color w:val="auto"/>
        </w:rPr>
        <w:t xml:space="preserve"> and (y) the date, if any, on which any Loan Party notifies Agent in writing that such Cure Right shall not be exercised, then neither Agent nor any Lender shall exercise any remedies set forth in </w:t>
      </w:r>
      <w:r>
        <w:rPr>
          <w:rFonts w:ascii="Arial" w:cs="Arial" w:eastAsia="Arial" w:hAnsi="Arial"/>
          <w:sz w:val="16"/>
          <w:szCs w:val="16"/>
          <w:u w:val="single" w:color="auto"/>
          <w:color w:val="auto"/>
        </w:rPr>
        <w:t>Section 7.2</w:t>
      </w:r>
      <w:r>
        <w:rPr>
          <w:rFonts w:ascii="Arial" w:cs="Arial" w:eastAsia="Arial" w:hAnsi="Arial"/>
          <w:sz w:val="16"/>
          <w:szCs w:val="16"/>
          <w:color w:val="auto"/>
        </w:rPr>
        <w:t xml:space="preserve"> hereof during such period. Notwithstanding anything herein to the contrary, (i) the Cure Right may be used only one (1) time in any rolling twelve (12) month period, (ii) the dollar amount of the applicable Cure Amount shall be no greater than the amount required for purposes of complying with the applicable covenant in </w:t>
      </w:r>
      <w:r>
        <w:rPr>
          <w:rFonts w:ascii="Arial" w:cs="Arial" w:eastAsia="Arial" w:hAnsi="Arial"/>
          <w:sz w:val="16"/>
          <w:szCs w:val="16"/>
          <w:u w:val="single" w:color="auto"/>
          <w:color w:val="auto"/>
        </w:rPr>
        <w:t>Section 6.17</w:t>
      </w:r>
      <w:r>
        <w:rPr>
          <w:rFonts w:ascii="Arial" w:cs="Arial" w:eastAsia="Arial" w:hAnsi="Arial"/>
          <w:sz w:val="16"/>
          <w:szCs w:val="16"/>
          <w:color w:val="auto"/>
        </w:rPr>
        <w:t>, and (iii) no Cure Amount shall be used to make a Restricted Payment.</w:t>
      </w:r>
    </w:p>
    <w:p>
      <w:pPr>
        <w:spacing w:after="0" w:line="200" w:lineRule="exact"/>
        <w:rPr>
          <w:sz w:val="20"/>
          <w:szCs w:val="20"/>
          <w:color w:val="auto"/>
        </w:rPr>
      </w:pPr>
    </w:p>
    <w:p>
      <w:pPr>
        <w:spacing w:after="0" w:line="201"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6.18 Change of Control</w:t>
      </w:r>
      <w:r>
        <w:rPr>
          <w:rFonts w:ascii="Arial" w:cs="Arial" w:eastAsia="Arial" w:hAnsi="Arial"/>
          <w:sz w:val="18"/>
          <w:szCs w:val="18"/>
          <w:color w:val="auto"/>
        </w:rPr>
        <w:t>. Permit or incur any Change of Control.</w:t>
      </w:r>
    </w:p>
    <w:p>
      <w:pPr>
        <w:spacing w:after="0" w:line="200" w:lineRule="exact"/>
        <w:rPr>
          <w:sz w:val="20"/>
          <w:szCs w:val="20"/>
          <w:color w:val="auto"/>
        </w:rPr>
      </w:pP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36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Presto Credit Agreement</w:t>
            </w:r>
          </w:p>
        </w:tc>
        <w:tc>
          <w:tcPr>
            <w:tcW w:w="7580" w:type="dxa"/>
            <w:vAlign w:val="bottom"/>
            <w:tcBorders>
              <w:bottom w:val="single" w:sz="8" w:color="auto"/>
            </w:tcBorders>
          </w:tcPr>
          <w:p>
            <w:pPr>
              <w:jc w:val="right"/>
              <w:ind w:right="5430"/>
              <w:spacing w:after="0"/>
              <w:rPr>
                <w:sz w:val="20"/>
                <w:szCs w:val="20"/>
                <w:color w:val="auto"/>
              </w:rPr>
            </w:pPr>
            <w:r>
              <w:rPr>
                <w:rFonts w:ascii="Arial" w:cs="Arial" w:eastAsia="Arial" w:hAnsi="Arial"/>
                <w:sz w:val="18"/>
                <w:szCs w:val="18"/>
                <w:color w:val="auto"/>
              </w:rPr>
              <w:t>51</w:t>
            </w:r>
          </w:p>
        </w:tc>
      </w:tr>
    </w:tbl>
    <w:p>
      <w:pPr>
        <w:sectPr>
          <w:pgSz w:w="11900" w:h="16838" w:orient="portrait"/>
          <w:cols w:equalWidth="0" w:num="1">
            <w:col w:w="11240"/>
          </w:cols>
          <w:pgMar w:left="320" w:top="908" w:right="339" w:bottom="1440" w:gutter="0" w:footer="0" w:header="0"/>
        </w:sectPr>
      </w:pPr>
    </w:p>
    <w:bookmarkStart w:id="138" w:name="page139"/>
    <w:bookmarkEnd w:id="138"/>
    <w:p>
      <w:pPr>
        <w:jc w:val="center"/>
        <w:spacing w:after="0"/>
        <w:rPr>
          <w:sz w:val="20"/>
          <w:szCs w:val="20"/>
          <w:color w:val="auto"/>
        </w:rPr>
      </w:pPr>
      <w:r>
        <w:rPr>
          <w:rFonts w:ascii="Arial" w:cs="Arial" w:eastAsia="Arial" w:hAnsi="Arial"/>
          <w:sz w:val="18"/>
          <w:szCs w:val="18"/>
          <w:color w:val="auto"/>
        </w:rPr>
        <w:t>SECTION 7</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EVENTS OF DEFAULT</w:t>
      </w:r>
    </w:p>
    <w:p>
      <w:pPr>
        <w:spacing w:after="0" w:line="207"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7.1 Events of Default</w:t>
      </w:r>
      <w:r>
        <w:rPr>
          <w:rFonts w:ascii="Arial" w:cs="Arial" w:eastAsia="Arial" w:hAnsi="Arial"/>
          <w:sz w:val="18"/>
          <w:szCs w:val="18"/>
          <w:color w:val="auto"/>
        </w:rPr>
        <w:t>. The occurrence of any of the following shall constitute an Event of Default:</w:t>
      </w:r>
    </w:p>
    <w:p>
      <w:pPr>
        <w:spacing w:after="0" w:line="229" w:lineRule="exact"/>
        <w:rPr>
          <w:sz w:val="20"/>
          <w:szCs w:val="20"/>
          <w:color w:val="auto"/>
        </w:rPr>
      </w:pPr>
    </w:p>
    <w:p>
      <w:pPr>
        <w:jc w:val="both"/>
        <w:ind w:firstLine="656"/>
        <w:spacing w:after="0" w:line="291" w:lineRule="auto"/>
        <w:tabs>
          <w:tab w:leader="none" w:pos="912" w:val="left"/>
        </w:tabs>
        <w:numPr>
          <w:ilvl w:val="1"/>
          <w:numId w:val="134"/>
        </w:numPr>
        <w:rPr>
          <w:rFonts w:ascii="Arial" w:cs="Arial" w:eastAsia="Arial" w:hAnsi="Arial"/>
          <w:sz w:val="16"/>
          <w:szCs w:val="16"/>
          <w:color w:val="auto"/>
        </w:rPr>
      </w:pPr>
      <w:r>
        <w:rPr>
          <w:rFonts w:ascii="Arial" w:cs="Arial" w:eastAsia="Arial" w:hAnsi="Arial"/>
          <w:sz w:val="16"/>
          <w:szCs w:val="16"/>
          <w:color w:val="auto"/>
        </w:rPr>
        <w:t>Borrower shall (i) fail to pay any amount of principal of the Term Loan or Make Whole Premium when due in accordance with the terms hereof, or (ii) fail to pay any amount of interest on the Term Loan, or any other amount payable hereunder or under any other Loan Document, within three</w:t>
      </w:r>
    </w:p>
    <w:p>
      <w:pPr>
        <w:ind w:left="260" w:hanging="252"/>
        <w:spacing w:after="0"/>
        <w:tabs>
          <w:tab w:leader="none" w:pos="26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Business Days after any such interest or other amount becomes due in accordance with the terms hereof; or</w:t>
      </w:r>
    </w:p>
    <w:p>
      <w:pPr>
        <w:spacing w:after="0" w:line="210" w:lineRule="exact"/>
        <w:rPr>
          <w:rFonts w:ascii="Arial" w:cs="Arial" w:eastAsia="Arial" w:hAnsi="Arial"/>
          <w:sz w:val="18"/>
          <w:szCs w:val="18"/>
          <w:color w:val="auto"/>
        </w:rPr>
      </w:pPr>
    </w:p>
    <w:p>
      <w:pPr>
        <w:jc w:val="both"/>
        <w:ind w:firstLine="656"/>
        <w:spacing w:after="0" w:line="259" w:lineRule="auto"/>
        <w:tabs>
          <w:tab w:leader="none" w:pos="918" w:val="left"/>
        </w:tabs>
        <w:numPr>
          <w:ilvl w:val="1"/>
          <w:numId w:val="135"/>
        </w:numPr>
        <w:rPr>
          <w:rFonts w:ascii="Arial" w:cs="Arial" w:eastAsia="Arial" w:hAnsi="Arial"/>
          <w:sz w:val="18"/>
          <w:szCs w:val="18"/>
          <w:color w:val="auto"/>
        </w:rPr>
      </w:pPr>
      <w:r>
        <w:rPr>
          <w:rFonts w:ascii="Arial" w:cs="Arial" w:eastAsia="Arial" w:hAnsi="Arial"/>
          <w:sz w:val="18"/>
          <w:szCs w:val="18"/>
          <w:color w:val="auto"/>
        </w:rPr>
        <w:t>any representation or warranty made or deemed made by any Loan Party herein or in any other Loan Document or that is contained in any certificate, document or financial or other statement furnished by it at any time under or in connection with this Agreement or any such other Loan Document (i) if qualified by materiality, shall be incorrect or misleading when made or deemed made, or (ii) if not qualified by materiality, shall be incorrect or misleading in any material respect when made or deemed made; or</w:t>
      </w:r>
    </w:p>
    <w:p>
      <w:pPr>
        <w:spacing w:after="0" w:line="186" w:lineRule="exact"/>
        <w:rPr>
          <w:rFonts w:ascii="Arial" w:cs="Arial" w:eastAsia="Arial" w:hAnsi="Arial"/>
          <w:sz w:val="18"/>
          <w:szCs w:val="18"/>
          <w:color w:val="auto"/>
        </w:rPr>
      </w:pPr>
    </w:p>
    <w:p>
      <w:pPr>
        <w:jc w:val="both"/>
        <w:ind w:firstLine="656"/>
        <w:spacing w:after="0" w:line="253" w:lineRule="auto"/>
        <w:tabs>
          <w:tab w:leader="none" w:pos="907" w:val="left"/>
        </w:tabs>
        <w:numPr>
          <w:ilvl w:val="1"/>
          <w:numId w:val="135"/>
        </w:numPr>
        <w:rPr>
          <w:rFonts w:ascii="Arial" w:cs="Arial" w:eastAsia="Arial" w:hAnsi="Arial"/>
          <w:sz w:val="18"/>
          <w:szCs w:val="18"/>
          <w:color w:val="auto"/>
        </w:rPr>
      </w:pPr>
      <w:r>
        <w:rPr>
          <w:rFonts w:ascii="Arial" w:cs="Arial" w:eastAsia="Arial" w:hAnsi="Arial"/>
          <w:sz w:val="18"/>
          <w:szCs w:val="18"/>
          <w:color w:val="auto"/>
        </w:rPr>
        <w:t xml:space="preserve">(i) any Loan Party fails to perform or comply with any term or condition contained in </w:t>
      </w:r>
      <w:r>
        <w:rPr>
          <w:rFonts w:ascii="Arial" w:cs="Arial" w:eastAsia="Arial" w:hAnsi="Arial"/>
          <w:sz w:val="18"/>
          <w:szCs w:val="18"/>
          <w:u w:val="single" w:color="auto"/>
          <w:color w:val="auto"/>
        </w:rPr>
        <w:t>Sections 5.1</w:t>
      </w:r>
      <w:r>
        <w:rPr>
          <w:rFonts w:ascii="Arial" w:cs="Arial" w:eastAsia="Arial" w:hAnsi="Arial"/>
          <w:sz w:val="18"/>
          <w:szCs w:val="18"/>
          <w:color w:val="auto"/>
        </w:rPr>
        <w:t xml:space="preserve"> [</w:t>
      </w:r>
      <w:r>
        <w:rPr>
          <w:rFonts w:ascii="Arial" w:cs="Arial" w:eastAsia="Arial" w:hAnsi="Arial"/>
          <w:sz w:val="18"/>
          <w:szCs w:val="18"/>
          <w:i w:val="1"/>
          <w:iCs w:val="1"/>
          <w:color w:val="auto"/>
        </w:rPr>
        <w:t>Financial Statements</w:t>
      </w:r>
      <w:r>
        <w:rPr>
          <w:rFonts w:ascii="Arial" w:cs="Arial" w:eastAsia="Arial" w:hAnsi="Arial"/>
          <w:sz w:val="18"/>
          <w:szCs w:val="18"/>
          <w:color w:val="auto"/>
        </w:rPr>
        <w:t xml:space="preserve">], </w:t>
      </w:r>
      <w:r>
        <w:rPr>
          <w:rFonts w:ascii="Arial" w:cs="Arial" w:eastAsia="Arial" w:hAnsi="Arial"/>
          <w:sz w:val="18"/>
          <w:szCs w:val="18"/>
          <w:u w:val="single" w:color="auto"/>
          <w:color w:val="auto"/>
        </w:rPr>
        <w:t>5.2</w:t>
      </w:r>
      <w:r>
        <w:rPr>
          <w:rFonts w:ascii="Arial" w:cs="Arial" w:eastAsia="Arial" w:hAnsi="Arial"/>
          <w:sz w:val="18"/>
          <w:szCs w:val="18"/>
          <w:color w:val="auto"/>
        </w:rPr>
        <w:t xml:space="preserve"> </w:t>
      </w:r>
      <w:r>
        <w:rPr>
          <w:rFonts w:ascii="Arial" w:cs="Arial" w:eastAsia="Arial" w:hAnsi="Arial"/>
          <w:sz w:val="18"/>
          <w:szCs w:val="18"/>
          <w:i w:val="1"/>
          <w:iCs w:val="1"/>
          <w:color w:val="auto"/>
        </w:rPr>
        <w:t>Certificates;</w:t>
      </w:r>
      <w:r>
        <w:rPr>
          <w:rFonts w:ascii="Arial" w:cs="Arial" w:eastAsia="Arial" w:hAnsi="Arial"/>
          <w:sz w:val="18"/>
          <w:szCs w:val="18"/>
          <w:color w:val="auto"/>
        </w:rPr>
        <w:t xml:space="preserve"> </w:t>
      </w:r>
      <w:r>
        <w:rPr>
          <w:rFonts w:ascii="Arial" w:cs="Arial" w:eastAsia="Arial" w:hAnsi="Arial"/>
          <w:sz w:val="18"/>
          <w:szCs w:val="18"/>
          <w:i w:val="1"/>
          <w:iCs w:val="1"/>
          <w:color w:val="auto"/>
        </w:rPr>
        <w:t>Reports; Other Information</w:t>
      </w:r>
      <w:r>
        <w:rPr>
          <w:rFonts w:ascii="Arial" w:cs="Arial" w:eastAsia="Arial" w:hAnsi="Arial"/>
          <w:sz w:val="18"/>
          <w:szCs w:val="18"/>
          <w:color w:val="auto"/>
        </w:rPr>
        <w:t>],</w:t>
      </w:r>
      <w:r>
        <w:rPr>
          <w:rFonts w:ascii="Arial" w:cs="Arial" w:eastAsia="Arial" w:hAnsi="Arial"/>
          <w:sz w:val="18"/>
          <w:szCs w:val="18"/>
          <w:i w:val="1"/>
          <w:iCs w:val="1"/>
          <w:color w:val="auto"/>
        </w:rPr>
        <w:t xml:space="preserve"> </w:t>
      </w:r>
      <w:r>
        <w:rPr>
          <w:rFonts w:ascii="Arial" w:cs="Arial" w:eastAsia="Arial" w:hAnsi="Arial"/>
          <w:sz w:val="18"/>
          <w:szCs w:val="18"/>
          <w:u w:val="single" w:color="auto"/>
          <w:color w:val="auto"/>
        </w:rPr>
        <w:t>5.4</w:t>
      </w:r>
      <w:r>
        <w:rPr>
          <w:rFonts w:ascii="Arial" w:cs="Arial" w:eastAsia="Arial" w:hAnsi="Arial"/>
          <w:sz w:val="18"/>
          <w:szCs w:val="18"/>
          <w:i w:val="1"/>
          <w:iCs w:val="1"/>
          <w:color w:val="auto"/>
        </w:rPr>
        <w:t xml:space="preserve"> </w:t>
      </w:r>
      <w:r>
        <w:rPr>
          <w:rFonts w:ascii="Arial" w:cs="Arial" w:eastAsia="Arial" w:hAnsi="Arial"/>
          <w:sz w:val="18"/>
          <w:szCs w:val="18"/>
          <w:color w:val="auto"/>
        </w:rPr>
        <w:t>[</w:t>
      </w:r>
      <w:r>
        <w:rPr>
          <w:rFonts w:ascii="Arial" w:cs="Arial" w:eastAsia="Arial" w:hAnsi="Arial"/>
          <w:sz w:val="18"/>
          <w:szCs w:val="18"/>
          <w:i w:val="1"/>
          <w:iCs w:val="1"/>
          <w:color w:val="auto"/>
        </w:rPr>
        <w:t>Maintenance of Existence; Compliance with Requirements of Law</w:t>
      </w:r>
      <w:r>
        <w:rPr>
          <w:rFonts w:ascii="Arial" w:cs="Arial" w:eastAsia="Arial" w:hAnsi="Arial"/>
          <w:sz w:val="18"/>
          <w:szCs w:val="18"/>
          <w:color w:val="auto"/>
        </w:rPr>
        <w:t>],</w:t>
      </w:r>
      <w:r>
        <w:rPr>
          <w:rFonts w:ascii="Arial" w:cs="Arial" w:eastAsia="Arial" w:hAnsi="Arial"/>
          <w:sz w:val="18"/>
          <w:szCs w:val="18"/>
          <w:i w:val="1"/>
          <w:iCs w:val="1"/>
          <w:color w:val="auto"/>
        </w:rPr>
        <w:t xml:space="preserve"> </w:t>
      </w:r>
      <w:r>
        <w:rPr>
          <w:rFonts w:ascii="Arial" w:cs="Arial" w:eastAsia="Arial" w:hAnsi="Arial"/>
          <w:sz w:val="18"/>
          <w:szCs w:val="18"/>
          <w:u w:val="single" w:color="auto"/>
          <w:color w:val="auto"/>
        </w:rPr>
        <w:t>5.5</w:t>
      </w:r>
      <w:r>
        <w:rPr>
          <w:rFonts w:ascii="Arial" w:cs="Arial" w:eastAsia="Arial" w:hAnsi="Arial"/>
          <w:sz w:val="18"/>
          <w:szCs w:val="18"/>
          <w:i w:val="1"/>
          <w:iCs w:val="1"/>
          <w:color w:val="auto"/>
        </w:rPr>
        <w:t xml:space="preserve"> </w:t>
      </w:r>
      <w:r>
        <w:rPr>
          <w:rFonts w:ascii="Arial" w:cs="Arial" w:eastAsia="Arial" w:hAnsi="Arial"/>
          <w:sz w:val="18"/>
          <w:szCs w:val="18"/>
          <w:color w:val="auto"/>
        </w:rPr>
        <w:t>[</w:t>
      </w:r>
      <w:r>
        <w:rPr>
          <w:rFonts w:ascii="Arial" w:cs="Arial" w:eastAsia="Arial" w:hAnsi="Arial"/>
          <w:sz w:val="18"/>
          <w:szCs w:val="18"/>
          <w:i w:val="1"/>
          <w:iCs w:val="1"/>
          <w:color w:val="auto"/>
        </w:rPr>
        <w:t>Maintenance of Collateral; Insurance</w:t>
      </w:r>
      <w:r>
        <w:rPr>
          <w:rFonts w:ascii="Arial" w:cs="Arial" w:eastAsia="Arial" w:hAnsi="Arial"/>
          <w:sz w:val="18"/>
          <w:szCs w:val="18"/>
          <w:color w:val="auto"/>
        </w:rPr>
        <w:t>],</w:t>
      </w:r>
      <w:r>
        <w:rPr>
          <w:rFonts w:ascii="Arial" w:cs="Arial" w:eastAsia="Arial" w:hAnsi="Arial"/>
          <w:sz w:val="18"/>
          <w:szCs w:val="18"/>
          <w:i w:val="1"/>
          <w:iCs w:val="1"/>
          <w:color w:val="auto"/>
        </w:rPr>
        <w:t xml:space="preserve"> </w:t>
      </w:r>
      <w:r>
        <w:rPr>
          <w:rFonts w:ascii="Arial" w:cs="Arial" w:eastAsia="Arial" w:hAnsi="Arial"/>
          <w:sz w:val="18"/>
          <w:szCs w:val="18"/>
          <w:u w:val="single" w:color="auto"/>
          <w:color w:val="auto"/>
        </w:rPr>
        <w:t>5.6</w:t>
      </w:r>
      <w:r>
        <w:rPr>
          <w:rFonts w:ascii="Arial" w:cs="Arial" w:eastAsia="Arial" w:hAnsi="Arial"/>
          <w:sz w:val="18"/>
          <w:szCs w:val="18"/>
          <w:i w:val="1"/>
          <w:iCs w:val="1"/>
          <w:color w:val="auto"/>
        </w:rPr>
        <w:t xml:space="preserve"> </w:t>
      </w:r>
      <w:r>
        <w:rPr>
          <w:rFonts w:ascii="Arial" w:cs="Arial" w:eastAsia="Arial" w:hAnsi="Arial"/>
          <w:sz w:val="18"/>
          <w:szCs w:val="18"/>
          <w:color w:val="auto"/>
        </w:rPr>
        <w:t>[</w:t>
      </w:r>
      <w:r>
        <w:rPr>
          <w:rFonts w:ascii="Arial" w:cs="Arial" w:eastAsia="Arial" w:hAnsi="Arial"/>
          <w:sz w:val="18"/>
          <w:szCs w:val="18"/>
          <w:i w:val="1"/>
          <w:iCs w:val="1"/>
          <w:color w:val="auto"/>
        </w:rPr>
        <w:t>Inspection of Property; Books and Records; Discussions</w:t>
      </w:r>
      <w:r>
        <w:rPr>
          <w:rFonts w:ascii="Arial" w:cs="Arial" w:eastAsia="Arial" w:hAnsi="Arial"/>
          <w:sz w:val="18"/>
          <w:szCs w:val="18"/>
          <w:color w:val="auto"/>
        </w:rPr>
        <w:t xml:space="preserve">], </w:t>
      </w:r>
      <w:r>
        <w:rPr>
          <w:rFonts w:ascii="Arial" w:cs="Arial" w:eastAsia="Arial" w:hAnsi="Arial"/>
          <w:sz w:val="18"/>
          <w:szCs w:val="18"/>
          <w:u w:val="single" w:color="auto"/>
          <w:color w:val="auto"/>
        </w:rPr>
        <w:t>5.7</w:t>
      </w:r>
      <w:r>
        <w:rPr>
          <w:rFonts w:ascii="Arial" w:cs="Arial" w:eastAsia="Arial" w:hAnsi="Arial"/>
          <w:sz w:val="18"/>
          <w:szCs w:val="18"/>
          <w:color w:val="auto"/>
        </w:rPr>
        <w:t xml:space="preserve"> [</w:t>
      </w:r>
      <w:r>
        <w:rPr>
          <w:rFonts w:ascii="Arial" w:cs="Arial" w:eastAsia="Arial" w:hAnsi="Arial"/>
          <w:sz w:val="18"/>
          <w:szCs w:val="18"/>
          <w:i w:val="1"/>
          <w:iCs w:val="1"/>
          <w:color w:val="auto"/>
        </w:rPr>
        <w:t>Notices</w:t>
      </w:r>
      <w:r>
        <w:rPr>
          <w:rFonts w:ascii="Arial" w:cs="Arial" w:eastAsia="Arial" w:hAnsi="Arial"/>
          <w:sz w:val="18"/>
          <w:szCs w:val="18"/>
          <w:color w:val="auto"/>
        </w:rPr>
        <w:t xml:space="preserve">], </w:t>
      </w:r>
      <w:r>
        <w:rPr>
          <w:rFonts w:ascii="Arial" w:cs="Arial" w:eastAsia="Arial" w:hAnsi="Arial"/>
          <w:sz w:val="18"/>
          <w:szCs w:val="18"/>
          <w:u w:val="single" w:color="auto"/>
          <w:color w:val="auto"/>
        </w:rPr>
        <w:t>5.8</w:t>
      </w:r>
      <w:r>
        <w:rPr>
          <w:rFonts w:ascii="Arial" w:cs="Arial" w:eastAsia="Arial" w:hAnsi="Arial"/>
          <w:sz w:val="18"/>
          <w:szCs w:val="18"/>
          <w:color w:val="auto"/>
        </w:rPr>
        <w:t xml:space="preserve"> [</w:t>
      </w:r>
      <w:r>
        <w:rPr>
          <w:rFonts w:ascii="Arial" w:cs="Arial" w:eastAsia="Arial" w:hAnsi="Arial"/>
          <w:sz w:val="18"/>
          <w:szCs w:val="18"/>
          <w:i w:val="1"/>
          <w:iCs w:val="1"/>
          <w:color w:val="auto"/>
        </w:rPr>
        <w:t>Environmental Law</w:t>
      </w:r>
      <w:r>
        <w:rPr>
          <w:rFonts w:ascii="Arial" w:cs="Arial" w:eastAsia="Arial" w:hAnsi="Arial"/>
          <w:sz w:val="18"/>
          <w:szCs w:val="18"/>
          <w:color w:val="auto"/>
        </w:rPr>
        <w:t xml:space="preserve">], </w:t>
      </w:r>
      <w:r>
        <w:rPr>
          <w:rFonts w:ascii="Arial" w:cs="Arial" w:eastAsia="Arial" w:hAnsi="Arial"/>
          <w:sz w:val="18"/>
          <w:szCs w:val="18"/>
          <w:u w:val="single" w:color="auto"/>
          <w:color w:val="auto"/>
        </w:rPr>
        <w:t>5.10</w:t>
      </w:r>
      <w:r>
        <w:rPr>
          <w:rFonts w:ascii="Arial" w:cs="Arial" w:eastAsia="Arial" w:hAnsi="Arial"/>
          <w:sz w:val="18"/>
          <w:szCs w:val="18"/>
          <w:color w:val="auto"/>
        </w:rPr>
        <w:t xml:space="preserve"> [</w:t>
      </w:r>
      <w:r>
        <w:rPr>
          <w:rFonts w:ascii="Arial" w:cs="Arial" w:eastAsia="Arial" w:hAnsi="Arial"/>
          <w:sz w:val="18"/>
          <w:szCs w:val="18"/>
          <w:i w:val="1"/>
          <w:iCs w:val="1"/>
          <w:color w:val="auto"/>
        </w:rPr>
        <w:t>Further Assurances</w:t>
      </w:r>
      <w:r>
        <w:rPr>
          <w:rFonts w:ascii="Arial" w:cs="Arial" w:eastAsia="Arial" w:hAnsi="Arial"/>
          <w:sz w:val="18"/>
          <w:szCs w:val="18"/>
          <w:color w:val="auto"/>
        </w:rPr>
        <w:t xml:space="preserve">], </w:t>
      </w:r>
      <w:r>
        <w:rPr>
          <w:rFonts w:ascii="Arial" w:cs="Arial" w:eastAsia="Arial" w:hAnsi="Arial"/>
          <w:sz w:val="18"/>
          <w:szCs w:val="18"/>
          <w:u w:val="single" w:color="auto"/>
          <w:color w:val="auto"/>
        </w:rPr>
        <w:t>5.11</w:t>
      </w:r>
      <w:r>
        <w:rPr>
          <w:rFonts w:ascii="Arial" w:cs="Arial" w:eastAsia="Arial" w:hAnsi="Arial"/>
          <w:sz w:val="18"/>
          <w:szCs w:val="18"/>
          <w:color w:val="auto"/>
        </w:rPr>
        <w:t xml:space="preserve"> [</w:t>
      </w:r>
      <w:r>
        <w:rPr>
          <w:rFonts w:ascii="Arial" w:cs="Arial" w:eastAsia="Arial" w:hAnsi="Arial"/>
          <w:sz w:val="18"/>
          <w:szCs w:val="18"/>
          <w:i w:val="1"/>
          <w:iCs w:val="1"/>
          <w:color w:val="auto"/>
        </w:rPr>
        <w:t>Use of Proceeds</w:t>
      </w:r>
      <w:r>
        <w:rPr>
          <w:rFonts w:ascii="Arial" w:cs="Arial" w:eastAsia="Arial" w:hAnsi="Arial"/>
          <w:sz w:val="18"/>
          <w:szCs w:val="18"/>
          <w:color w:val="auto"/>
        </w:rPr>
        <w:t xml:space="preserve">], </w:t>
      </w:r>
      <w:r>
        <w:rPr>
          <w:rFonts w:ascii="Arial" w:cs="Arial" w:eastAsia="Arial" w:hAnsi="Arial"/>
          <w:sz w:val="18"/>
          <w:szCs w:val="18"/>
          <w:u w:val="single" w:color="auto"/>
          <w:color w:val="auto"/>
        </w:rPr>
        <w:t>5.12</w:t>
      </w:r>
      <w:r>
        <w:rPr>
          <w:rFonts w:ascii="Arial" w:cs="Arial" w:eastAsia="Arial" w:hAnsi="Arial"/>
          <w:sz w:val="18"/>
          <w:szCs w:val="18"/>
          <w:color w:val="auto"/>
        </w:rPr>
        <w:t xml:space="preserve"> [</w:t>
      </w:r>
      <w:r>
        <w:rPr>
          <w:rFonts w:ascii="Arial" w:cs="Arial" w:eastAsia="Arial" w:hAnsi="Arial"/>
          <w:sz w:val="18"/>
          <w:szCs w:val="18"/>
          <w:i w:val="1"/>
          <w:iCs w:val="1"/>
          <w:color w:val="auto"/>
        </w:rPr>
        <w:t>Taxes</w:t>
      </w:r>
      <w:r>
        <w:rPr>
          <w:rFonts w:ascii="Arial" w:cs="Arial" w:eastAsia="Arial" w:hAnsi="Arial"/>
          <w:sz w:val="18"/>
          <w:szCs w:val="18"/>
          <w:color w:val="auto"/>
        </w:rPr>
        <w:t xml:space="preserve">], </w:t>
      </w:r>
      <w:r>
        <w:rPr>
          <w:rFonts w:ascii="Arial" w:cs="Arial" w:eastAsia="Arial" w:hAnsi="Arial"/>
          <w:sz w:val="18"/>
          <w:szCs w:val="18"/>
          <w:u w:val="single" w:color="auto"/>
          <w:color w:val="auto"/>
        </w:rPr>
        <w:t>5.13</w:t>
      </w:r>
      <w:r>
        <w:rPr>
          <w:rFonts w:ascii="Arial" w:cs="Arial" w:eastAsia="Arial" w:hAnsi="Arial"/>
          <w:sz w:val="18"/>
          <w:szCs w:val="18"/>
          <w:color w:val="auto"/>
        </w:rPr>
        <w:t xml:space="preserve"> [</w:t>
      </w:r>
      <w:r>
        <w:rPr>
          <w:rFonts w:ascii="Arial" w:cs="Arial" w:eastAsia="Arial" w:hAnsi="Arial"/>
          <w:sz w:val="18"/>
          <w:szCs w:val="18"/>
          <w:i w:val="1"/>
          <w:iCs w:val="1"/>
          <w:color w:val="auto"/>
        </w:rPr>
        <w:t>Post-Closing Covenants</w:t>
      </w:r>
      <w:r>
        <w:rPr>
          <w:rFonts w:ascii="Arial" w:cs="Arial" w:eastAsia="Arial" w:hAnsi="Arial"/>
          <w:sz w:val="18"/>
          <w:szCs w:val="18"/>
          <w:color w:val="auto"/>
        </w:rPr>
        <w:t xml:space="preserve">], </w:t>
      </w:r>
      <w:r>
        <w:rPr>
          <w:rFonts w:ascii="Arial" w:cs="Arial" w:eastAsia="Arial" w:hAnsi="Arial"/>
          <w:sz w:val="18"/>
          <w:szCs w:val="18"/>
          <w:u w:val="single" w:color="auto"/>
          <w:color w:val="auto"/>
        </w:rPr>
        <w:t>5.15</w:t>
      </w:r>
      <w:r>
        <w:rPr>
          <w:rFonts w:ascii="Arial" w:cs="Arial" w:eastAsia="Arial" w:hAnsi="Arial"/>
          <w:sz w:val="18"/>
          <w:szCs w:val="18"/>
          <w:color w:val="auto"/>
        </w:rPr>
        <w:t xml:space="preserve"> [</w:t>
      </w:r>
      <w:r>
        <w:rPr>
          <w:rFonts w:ascii="Arial" w:cs="Arial" w:eastAsia="Arial" w:hAnsi="Arial"/>
          <w:sz w:val="18"/>
          <w:szCs w:val="18"/>
          <w:i w:val="1"/>
          <w:iCs w:val="1"/>
          <w:color w:val="auto"/>
        </w:rPr>
        <w:t>Additional Subsidiaries</w:t>
      </w:r>
      <w:r>
        <w:rPr>
          <w:rFonts w:ascii="Arial" w:cs="Arial" w:eastAsia="Arial" w:hAnsi="Arial"/>
          <w:sz w:val="18"/>
          <w:szCs w:val="18"/>
          <w:color w:val="auto"/>
        </w:rPr>
        <w:t xml:space="preserve">], </w:t>
      </w:r>
      <w:r>
        <w:rPr>
          <w:rFonts w:ascii="Arial" w:cs="Arial" w:eastAsia="Arial" w:hAnsi="Arial"/>
          <w:sz w:val="18"/>
          <w:szCs w:val="18"/>
          <w:u w:val="single" w:color="auto"/>
          <w:color w:val="auto"/>
        </w:rPr>
        <w:t>5.16</w:t>
      </w:r>
      <w:r>
        <w:rPr>
          <w:rFonts w:ascii="Arial" w:cs="Arial" w:eastAsia="Arial" w:hAnsi="Arial"/>
          <w:sz w:val="18"/>
          <w:szCs w:val="18"/>
          <w:color w:val="auto"/>
        </w:rPr>
        <w:t xml:space="preserve"> [</w:t>
      </w:r>
      <w:r>
        <w:rPr>
          <w:rFonts w:ascii="Arial" w:cs="Arial" w:eastAsia="Arial" w:hAnsi="Arial"/>
          <w:sz w:val="18"/>
          <w:szCs w:val="18"/>
          <w:i w:val="1"/>
          <w:iCs w:val="1"/>
          <w:color w:val="auto"/>
        </w:rPr>
        <w:t>Board Observation Rights</w:t>
      </w:r>
      <w:r>
        <w:rPr>
          <w:rFonts w:ascii="Arial" w:cs="Arial" w:eastAsia="Arial" w:hAnsi="Arial"/>
          <w:sz w:val="18"/>
          <w:szCs w:val="18"/>
          <w:color w:val="auto"/>
        </w:rPr>
        <w:t xml:space="preserve">], </w:t>
      </w:r>
      <w:r>
        <w:rPr>
          <w:rFonts w:ascii="Arial" w:cs="Arial" w:eastAsia="Arial" w:hAnsi="Arial"/>
          <w:sz w:val="18"/>
          <w:szCs w:val="18"/>
          <w:u w:val="single" w:color="auto"/>
          <w:color w:val="auto"/>
        </w:rPr>
        <w:t>5.18</w:t>
      </w:r>
      <w:r>
        <w:rPr>
          <w:rFonts w:ascii="Arial" w:cs="Arial" w:eastAsia="Arial" w:hAnsi="Arial"/>
          <w:sz w:val="18"/>
          <w:szCs w:val="18"/>
          <w:color w:val="auto"/>
        </w:rPr>
        <w:t xml:space="preserve"> [Cash Collateral Account] or </w:t>
      </w:r>
      <w:r>
        <w:rPr>
          <w:rFonts w:ascii="Arial" w:cs="Arial" w:eastAsia="Arial" w:hAnsi="Arial"/>
          <w:sz w:val="18"/>
          <w:szCs w:val="18"/>
          <w:u w:val="single" w:color="auto"/>
          <w:color w:val="auto"/>
        </w:rPr>
        <w:t>Section 6</w:t>
      </w:r>
      <w:r>
        <w:rPr>
          <w:rFonts w:ascii="Arial" w:cs="Arial" w:eastAsia="Arial" w:hAnsi="Arial"/>
          <w:sz w:val="18"/>
          <w:szCs w:val="18"/>
          <w:color w:val="auto"/>
        </w:rPr>
        <w:t xml:space="preserve"> [</w:t>
      </w:r>
      <w:r>
        <w:rPr>
          <w:rFonts w:ascii="Arial" w:cs="Arial" w:eastAsia="Arial" w:hAnsi="Arial"/>
          <w:sz w:val="18"/>
          <w:szCs w:val="18"/>
          <w:i w:val="1"/>
          <w:iCs w:val="1"/>
          <w:color w:val="auto"/>
        </w:rPr>
        <w:t>Negative Covenants</w:t>
      </w:r>
      <w:r>
        <w:rPr>
          <w:rFonts w:ascii="Arial" w:cs="Arial" w:eastAsia="Arial" w:hAnsi="Arial"/>
          <w:sz w:val="18"/>
          <w:szCs w:val="18"/>
          <w:color w:val="auto"/>
        </w:rPr>
        <w:t xml:space="preserve">] or (ii) any Loan Party or any Affiliate of the Obligations fails or neglects to perform, keep or observe any other term, provision, condition or covenant contained in this Agreement or in the Loan Documents, which is required to be performed, kept or observed by it (exclusive of payment obligations and other occurrences described in other provisions of this </w:t>
      </w:r>
      <w:r>
        <w:rPr>
          <w:rFonts w:ascii="Arial" w:cs="Arial" w:eastAsia="Arial" w:hAnsi="Arial"/>
          <w:sz w:val="18"/>
          <w:szCs w:val="18"/>
          <w:u w:val="single" w:color="auto"/>
          <w:color w:val="auto"/>
        </w:rPr>
        <w:t>Section 7.1</w:t>
      </w:r>
      <w:r>
        <w:rPr>
          <w:rFonts w:ascii="Arial" w:cs="Arial" w:eastAsia="Arial" w:hAnsi="Arial"/>
          <w:sz w:val="18"/>
          <w:szCs w:val="18"/>
          <w:color w:val="auto"/>
        </w:rPr>
        <w:t>) and the same is not cured to Agent’s reasonable satisfaction within thirty (30) days after Agent gives it written notice identifying such Default, provided that if the same cannot reasonably be cured within the aforesaid thirty (30) day period, it shall have such additional time as Agent may grant in its sole discretion to cure the same so long as it is diligently pursuing to cure the same; or</w:t>
      </w:r>
    </w:p>
    <w:p>
      <w:pPr>
        <w:spacing w:after="0" w:line="194" w:lineRule="exact"/>
        <w:rPr>
          <w:rFonts w:ascii="Arial" w:cs="Arial" w:eastAsia="Arial" w:hAnsi="Arial"/>
          <w:sz w:val="18"/>
          <w:szCs w:val="18"/>
          <w:color w:val="auto"/>
        </w:rPr>
      </w:pPr>
    </w:p>
    <w:p>
      <w:pPr>
        <w:jc w:val="both"/>
        <w:ind w:firstLine="656"/>
        <w:spacing w:after="0" w:line="287" w:lineRule="auto"/>
        <w:tabs>
          <w:tab w:leader="none" w:pos="914" w:val="left"/>
        </w:tabs>
        <w:numPr>
          <w:ilvl w:val="1"/>
          <w:numId w:val="135"/>
        </w:numPr>
        <w:rPr>
          <w:rFonts w:ascii="Arial" w:cs="Arial" w:eastAsia="Arial" w:hAnsi="Arial"/>
          <w:sz w:val="16"/>
          <w:szCs w:val="16"/>
          <w:color w:val="auto"/>
        </w:rPr>
      </w:pPr>
      <w:r>
        <w:rPr>
          <w:rFonts w:ascii="Arial" w:cs="Arial" w:eastAsia="Arial" w:hAnsi="Arial"/>
          <w:sz w:val="16"/>
          <w:szCs w:val="16"/>
          <w:color w:val="auto"/>
        </w:rPr>
        <w:t>(i) any Loan Party shall commence any case, proceeding or other action (a) under any Debtor Relief Law seeking to have an order for relief entered with respect to it, or seeking to adjudicate it as bankrupt or insolvent, or seeking reorganization, arrangement, adjustment, winding up, liquidation, dissolution, composition or other relief with respect to it or its debts, or (b) seeking appointment of a receiver, trustee, custodian, conservator, judicial manager or other similar official for it or for all or any substantial part of its assets, or any Loan Party shall make a general assignment for the benefit of its creditors; or (ii) there shall be commenced against any Loan Party any case, proceeding or other action of a nature referred to in clause (i) above that results in the entry of an order for relief or any such adjudication or appointment or remains undismissed, undischarged or unbonded for a period of sixty (60) days; or (iii) there shall be commenced against any Loan Party any case, proceeding or other action seeking issuance of a warrant of attachment, execution, distraint or similar process against all or any substantial part of its assets that results in the entry of an order for any such relief that shall not have been vacated, discharged, or stayed or bonded pending appeal within sixty (60) days from the entry thereof; or (iv) any Loan Party shall take any action in furtherance of, or indicating its consent to, approval of, or acquiescence in, any of the acts set forth in clause (i), (ii), or (iii) above; or (v) any Loan Party shall generally not, or shall be unable to, or shall admit in writing its inability to, pay its debts as they become due; or</w:t>
      </w:r>
    </w:p>
    <w:p>
      <w:pPr>
        <w:spacing w:after="0" w:line="388"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36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Presto Credit Agreement</w:t>
            </w:r>
          </w:p>
        </w:tc>
        <w:tc>
          <w:tcPr>
            <w:tcW w:w="7580" w:type="dxa"/>
            <w:vAlign w:val="bottom"/>
            <w:tcBorders>
              <w:bottom w:val="single" w:sz="8" w:color="auto"/>
            </w:tcBorders>
          </w:tcPr>
          <w:p>
            <w:pPr>
              <w:jc w:val="right"/>
              <w:ind w:right="5430"/>
              <w:spacing w:after="0"/>
              <w:rPr>
                <w:sz w:val="20"/>
                <w:szCs w:val="20"/>
                <w:color w:val="auto"/>
              </w:rPr>
            </w:pPr>
            <w:r>
              <w:rPr>
                <w:rFonts w:ascii="Arial" w:cs="Arial" w:eastAsia="Arial" w:hAnsi="Arial"/>
                <w:sz w:val="18"/>
                <w:szCs w:val="18"/>
                <w:color w:val="auto"/>
              </w:rPr>
              <w:t>52</w:t>
            </w:r>
          </w:p>
        </w:tc>
      </w:tr>
    </w:tbl>
    <w:p>
      <w:pPr>
        <w:sectPr>
          <w:pgSz w:w="11900" w:h="16838" w:orient="portrait"/>
          <w:cols w:equalWidth="0" w:num="1">
            <w:col w:w="11240"/>
          </w:cols>
          <w:pgMar w:left="320" w:top="908" w:right="339" w:bottom="1440" w:gutter="0" w:footer="0" w:header="0"/>
        </w:sectPr>
      </w:pPr>
    </w:p>
    <w:bookmarkStart w:id="139" w:name="page140"/>
    <w:bookmarkEnd w:id="139"/>
    <w:p>
      <w:pPr>
        <w:jc w:val="both"/>
        <w:ind w:firstLine="656"/>
        <w:spacing w:after="0" w:line="286" w:lineRule="auto"/>
        <w:tabs>
          <w:tab w:leader="none" w:pos="913" w:val="left"/>
        </w:tabs>
        <w:numPr>
          <w:ilvl w:val="0"/>
          <w:numId w:val="136"/>
        </w:numPr>
        <w:rPr>
          <w:rFonts w:ascii="Arial" w:cs="Arial" w:eastAsia="Arial" w:hAnsi="Arial"/>
          <w:sz w:val="16"/>
          <w:szCs w:val="16"/>
          <w:color w:val="auto"/>
        </w:rPr>
      </w:pPr>
      <w:r>
        <w:rPr>
          <w:rFonts w:ascii="Arial" w:cs="Arial" w:eastAsia="Arial" w:hAnsi="Arial"/>
          <w:sz w:val="16"/>
          <w:szCs w:val="16"/>
          <w:color w:val="auto"/>
        </w:rPr>
        <w:t>(i) any default or breach occurs, which is not cured within any applicable grace period or waived, (x) in the payment of any amount with respect to any Indebtedness (other than the Obligations and any Subordinated Indebtedness) of Borrower or any other Loan Party for borrowed money having an aggregate principal amount in excess of $500,000 individually or in the aggregate, or (y) in the performance, observance or fulfillment of any provision contained in any agreement, contract, document or instrument to which Borrower or any other Loan Party is a party or to which any of their properties or assets are subject or bound under or pursuant to which any Indebtedness (other than any Subordinated Indebtedness) having an aggregate principal amount in excess of $500,000 individually or in the aggregate was issued, created, assumed, guaranteed or secured and such default or breach continues for more than any applicable grace period and permits the holder of any such Indebtedness to accelerate the maturity thereof; or (ii) any Indebtedness (other than the Obligations and any Subordinated Indebtedness) of Borrower or any other Loan Party for borrowed money having an aggregate principal amount in excess of $500,000 individually or in the aggregate is declared to be due and payable or is required to be prepaid (other than by a regularly scheduled payment or a payment due on the voluntary termination of a Capital Lease) prior to the stated maturity thereof, or any obligation of such Person for the payment of Indebtedness for borrowed money having an aggregate principal amount in excess of $500,000 individually or in the aggregate (other than the Obligations and any Subordinated Indebtedness) is not paid when due or within any applicable grace period, or any such obligation becomes or is declared to be due and payable before the expressed maturity thereof, or there occurs any event which would cause any such obligation to become, or allow any such obligation to be declared, due and payable; or</w:t>
      </w:r>
    </w:p>
    <w:p>
      <w:pPr>
        <w:spacing w:after="0" w:line="170" w:lineRule="exact"/>
        <w:rPr>
          <w:rFonts w:ascii="Arial" w:cs="Arial" w:eastAsia="Arial" w:hAnsi="Arial"/>
          <w:sz w:val="16"/>
          <w:szCs w:val="16"/>
          <w:color w:val="auto"/>
        </w:rPr>
      </w:pPr>
    </w:p>
    <w:p>
      <w:pPr>
        <w:jc w:val="both"/>
        <w:ind w:firstLine="656"/>
        <w:spacing w:after="0" w:line="263" w:lineRule="auto"/>
        <w:tabs>
          <w:tab w:leader="none" w:pos="873" w:val="left"/>
        </w:tabs>
        <w:numPr>
          <w:ilvl w:val="0"/>
          <w:numId w:val="136"/>
        </w:numPr>
        <w:rPr>
          <w:rFonts w:ascii="Arial" w:cs="Arial" w:eastAsia="Arial" w:hAnsi="Arial"/>
          <w:sz w:val="18"/>
          <w:szCs w:val="18"/>
          <w:color w:val="auto"/>
        </w:rPr>
      </w:pPr>
      <w:r>
        <w:rPr>
          <w:rFonts w:ascii="Arial" w:cs="Arial" w:eastAsia="Arial" w:hAnsi="Arial"/>
          <w:sz w:val="18"/>
          <w:szCs w:val="18"/>
          <w:color w:val="auto"/>
        </w:rPr>
        <w:t>the occurrence of any default or breach by Borrower or any Loan Party under the Nirvana Debt or any Subordinated Indebtedness, or any of the instruments or other documents executed in connection therewith and, in each case, such default or breach continues for more than any applicable grace period and permits the holder of any such Indebtedness to accelerate the maturity thereof; or</w:t>
      </w:r>
    </w:p>
    <w:p>
      <w:pPr>
        <w:spacing w:after="0" w:line="183" w:lineRule="exact"/>
        <w:rPr>
          <w:rFonts w:ascii="Arial" w:cs="Arial" w:eastAsia="Arial" w:hAnsi="Arial"/>
          <w:sz w:val="18"/>
          <w:szCs w:val="18"/>
          <w:color w:val="auto"/>
        </w:rPr>
      </w:pPr>
    </w:p>
    <w:p>
      <w:pPr>
        <w:jc w:val="both"/>
        <w:ind w:firstLine="656"/>
        <w:spacing w:after="0" w:line="275" w:lineRule="auto"/>
        <w:tabs>
          <w:tab w:leader="none" w:pos="926" w:val="left"/>
        </w:tabs>
        <w:numPr>
          <w:ilvl w:val="0"/>
          <w:numId w:val="136"/>
        </w:numPr>
        <w:rPr>
          <w:rFonts w:ascii="Arial" w:cs="Arial" w:eastAsia="Arial" w:hAnsi="Arial"/>
          <w:sz w:val="17"/>
          <w:szCs w:val="17"/>
          <w:color w:val="auto"/>
        </w:rPr>
      </w:pPr>
      <w:r>
        <w:rPr>
          <w:rFonts w:ascii="Arial" w:cs="Arial" w:eastAsia="Arial" w:hAnsi="Arial"/>
          <w:sz w:val="17"/>
          <w:szCs w:val="17"/>
          <w:color w:val="auto"/>
        </w:rPr>
        <w:t>there is entered against any Loan Party (i) one or more final judgments or orders for the payment of money involving in the aggregate a liability (not paid or fully covered by insurance as to which the relevant insurance company has acknowledged coverage) of $1,000,000 or more, or (ii) one or more non-monetary final judgments that have, or could reasonably be expected to have, individually or in the aggregate, a Material Adverse Effect and, in either case, enforcement proceedings are commenced by any creditor upon such judgment or order, or all such judgments or decrees shall not have been vacated, discharged, stayed or bonded pending appeal within thirty (30) days from the entry thereof; or</w:t>
      </w:r>
    </w:p>
    <w:p>
      <w:pPr>
        <w:spacing w:after="0" w:line="176" w:lineRule="exact"/>
        <w:rPr>
          <w:rFonts w:ascii="Arial" w:cs="Arial" w:eastAsia="Arial" w:hAnsi="Arial"/>
          <w:sz w:val="17"/>
          <w:szCs w:val="17"/>
          <w:color w:val="auto"/>
        </w:rPr>
      </w:pPr>
    </w:p>
    <w:p>
      <w:pPr>
        <w:jc w:val="both"/>
        <w:ind w:firstLine="656"/>
        <w:spacing w:after="0" w:line="263" w:lineRule="auto"/>
        <w:tabs>
          <w:tab w:leader="none" w:pos="916" w:val="left"/>
        </w:tabs>
        <w:numPr>
          <w:ilvl w:val="0"/>
          <w:numId w:val="136"/>
        </w:numPr>
        <w:rPr>
          <w:rFonts w:ascii="Arial" w:cs="Arial" w:eastAsia="Arial" w:hAnsi="Arial"/>
          <w:sz w:val="18"/>
          <w:szCs w:val="18"/>
          <w:color w:val="auto"/>
        </w:rPr>
      </w:pPr>
      <w:r>
        <w:rPr>
          <w:rFonts w:ascii="Arial" w:cs="Arial" w:eastAsia="Arial" w:hAnsi="Arial"/>
          <w:sz w:val="18"/>
          <w:szCs w:val="18"/>
          <w:color w:val="auto"/>
        </w:rPr>
        <w:t>any of the Security Documents shall cease, for any reason other than the action or inaction of the Agent or a Lender, to be in full force and effect (other than pursuant to the terms thereof), or any party thereto shall so assert, or any Lien created by any of the Security Documents shall cease to be enforceable and of the same effect and priority purported to be created thereby; or</w:t>
      </w:r>
    </w:p>
    <w:p>
      <w:pPr>
        <w:spacing w:after="0" w:line="183" w:lineRule="exact"/>
        <w:rPr>
          <w:rFonts w:ascii="Arial" w:cs="Arial" w:eastAsia="Arial" w:hAnsi="Arial"/>
          <w:sz w:val="18"/>
          <w:szCs w:val="18"/>
          <w:color w:val="auto"/>
        </w:rPr>
      </w:pPr>
    </w:p>
    <w:p>
      <w:pPr>
        <w:jc w:val="both"/>
        <w:ind w:firstLine="656"/>
        <w:spacing w:after="0" w:line="263" w:lineRule="auto"/>
        <w:tabs>
          <w:tab w:leader="none" w:pos="869" w:val="left"/>
        </w:tabs>
        <w:numPr>
          <w:ilvl w:val="0"/>
          <w:numId w:val="136"/>
        </w:numPr>
        <w:rPr>
          <w:rFonts w:ascii="Arial" w:cs="Arial" w:eastAsia="Arial" w:hAnsi="Arial"/>
          <w:sz w:val="18"/>
          <w:szCs w:val="18"/>
          <w:color w:val="auto"/>
        </w:rPr>
      </w:pPr>
      <w:r>
        <w:rPr>
          <w:rFonts w:ascii="Arial" w:cs="Arial" w:eastAsia="Arial" w:hAnsi="Arial"/>
          <w:sz w:val="18"/>
          <w:szCs w:val="18"/>
          <w:color w:val="auto"/>
        </w:rPr>
        <w:t>there shall be commenced against any Loan Party any case, proceeding or other action seeking issuance of a warrant of attachment, execution, distraint or similar process against all or any substantial part of its assets that results in the entry of an order for any such relief that shall not have been vacated, discharged or stayed or bonded pending appeal within thirty (30) days from the entry thereof; or</w:t>
      </w:r>
    </w:p>
    <w:p>
      <w:pPr>
        <w:spacing w:after="0" w:line="183" w:lineRule="exact"/>
        <w:rPr>
          <w:rFonts w:ascii="Arial" w:cs="Arial" w:eastAsia="Arial" w:hAnsi="Arial"/>
          <w:sz w:val="18"/>
          <w:szCs w:val="18"/>
          <w:color w:val="auto"/>
        </w:rPr>
      </w:pPr>
    </w:p>
    <w:p>
      <w:pPr>
        <w:jc w:val="both"/>
        <w:ind w:firstLine="656"/>
        <w:spacing w:after="0" w:line="259" w:lineRule="auto"/>
        <w:tabs>
          <w:tab w:leader="none" w:pos="881" w:val="left"/>
        </w:tabs>
        <w:numPr>
          <w:ilvl w:val="0"/>
          <w:numId w:val="136"/>
        </w:numPr>
        <w:rPr>
          <w:rFonts w:ascii="Arial" w:cs="Arial" w:eastAsia="Arial" w:hAnsi="Arial"/>
          <w:sz w:val="18"/>
          <w:szCs w:val="18"/>
          <w:color w:val="auto"/>
        </w:rPr>
      </w:pPr>
      <w:r>
        <w:rPr>
          <w:rFonts w:ascii="Arial" w:cs="Arial" w:eastAsia="Arial" w:hAnsi="Arial"/>
          <w:sz w:val="18"/>
          <w:szCs w:val="18"/>
          <w:color w:val="auto"/>
        </w:rPr>
        <w:t>Borrower, any other Loan Party or any of their respective ERISA Affiliates establishes, maintains, contributes or agrees to contribute to, or otherwise incurs any liability, contingent or otherwise, with respect to, any “employee benefit plan” that (i) is covered by Title IV of ERISA or Section 412 of the Code or (ii) provides for post-employment medical or other welfare benefits, except as required by applicable Requirements of Law and at the sole expense of the plan participants; or</w:t>
      </w:r>
    </w:p>
    <w:p>
      <w:pPr>
        <w:spacing w:after="0" w:line="186" w:lineRule="exact"/>
        <w:rPr>
          <w:rFonts w:ascii="Arial" w:cs="Arial" w:eastAsia="Arial" w:hAnsi="Arial"/>
          <w:sz w:val="18"/>
          <w:szCs w:val="18"/>
          <w:color w:val="auto"/>
        </w:rPr>
      </w:pPr>
    </w:p>
    <w:p>
      <w:pPr>
        <w:ind w:left="920" w:hanging="264"/>
        <w:spacing w:after="0"/>
        <w:tabs>
          <w:tab w:leader="none" w:pos="920" w:val="left"/>
        </w:tabs>
        <w:numPr>
          <w:ilvl w:val="0"/>
          <w:numId w:val="136"/>
        </w:numPr>
        <w:rPr>
          <w:rFonts w:ascii="Arial" w:cs="Arial" w:eastAsia="Arial" w:hAnsi="Arial"/>
          <w:sz w:val="18"/>
          <w:szCs w:val="18"/>
          <w:color w:val="auto"/>
        </w:rPr>
      </w:pPr>
      <w:r>
        <w:rPr>
          <w:rFonts w:ascii="Arial" w:cs="Arial" w:eastAsia="Arial" w:hAnsi="Arial"/>
          <w:sz w:val="18"/>
          <w:szCs w:val="18"/>
          <w:color w:val="auto"/>
        </w:rPr>
        <w:t>a Change of Control shall occur; or</w:t>
      </w:r>
    </w:p>
    <w:p>
      <w:pPr>
        <w:spacing w:after="0" w:line="225" w:lineRule="exact"/>
        <w:rPr>
          <w:rFonts w:ascii="Arial" w:cs="Arial" w:eastAsia="Arial" w:hAnsi="Arial"/>
          <w:sz w:val="18"/>
          <w:szCs w:val="18"/>
          <w:color w:val="auto"/>
        </w:rPr>
      </w:pPr>
    </w:p>
    <w:p>
      <w:pPr>
        <w:ind w:left="880" w:hanging="224"/>
        <w:spacing w:after="0"/>
        <w:tabs>
          <w:tab w:leader="none" w:pos="880" w:val="left"/>
        </w:tabs>
        <w:numPr>
          <w:ilvl w:val="0"/>
          <w:numId w:val="136"/>
        </w:numPr>
        <w:rPr>
          <w:rFonts w:ascii="Arial" w:cs="Arial" w:eastAsia="Arial" w:hAnsi="Arial"/>
          <w:sz w:val="18"/>
          <w:szCs w:val="18"/>
          <w:color w:val="auto"/>
        </w:rPr>
      </w:pPr>
      <w:r>
        <w:rPr>
          <w:rFonts w:ascii="Arial" w:cs="Arial" w:eastAsia="Arial" w:hAnsi="Arial"/>
          <w:sz w:val="18"/>
          <w:szCs w:val="18"/>
          <w:color w:val="auto"/>
        </w:rPr>
        <w:t>a Material Adverse Effect shall occur; or</w:t>
      </w:r>
    </w:p>
    <w:p>
      <w:pPr>
        <w:spacing w:after="0" w:line="200" w:lineRule="exact"/>
        <w:rPr>
          <w:sz w:val="20"/>
          <w:szCs w:val="20"/>
          <w:color w:val="auto"/>
        </w:rPr>
      </w:pP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36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Presto Credit Agreement</w:t>
            </w:r>
          </w:p>
        </w:tc>
        <w:tc>
          <w:tcPr>
            <w:tcW w:w="7580" w:type="dxa"/>
            <w:vAlign w:val="bottom"/>
            <w:tcBorders>
              <w:bottom w:val="single" w:sz="8" w:color="auto"/>
            </w:tcBorders>
          </w:tcPr>
          <w:p>
            <w:pPr>
              <w:jc w:val="right"/>
              <w:ind w:right="5430"/>
              <w:spacing w:after="0"/>
              <w:rPr>
                <w:sz w:val="20"/>
                <w:szCs w:val="20"/>
                <w:color w:val="auto"/>
              </w:rPr>
            </w:pPr>
            <w:r>
              <w:rPr>
                <w:rFonts w:ascii="Arial" w:cs="Arial" w:eastAsia="Arial" w:hAnsi="Arial"/>
                <w:sz w:val="18"/>
                <w:szCs w:val="18"/>
                <w:color w:val="auto"/>
              </w:rPr>
              <w:t>53</w:t>
            </w:r>
          </w:p>
        </w:tc>
      </w:tr>
    </w:tbl>
    <w:p>
      <w:pPr>
        <w:sectPr>
          <w:pgSz w:w="11900" w:h="16838" w:orient="portrait"/>
          <w:cols w:equalWidth="0" w:num="1">
            <w:col w:w="11240"/>
          </w:cols>
          <w:pgMar w:left="320" w:top="908" w:right="339" w:bottom="1440" w:gutter="0" w:footer="0" w:header="0"/>
        </w:sectPr>
      </w:pPr>
    </w:p>
    <w:bookmarkStart w:id="140" w:name="page141"/>
    <w:bookmarkEnd w:id="140"/>
    <w:p>
      <w:pPr>
        <w:ind w:firstLine="656"/>
        <w:spacing w:after="0" w:line="277" w:lineRule="auto"/>
        <w:tabs>
          <w:tab w:leader="none" w:pos="977" w:val="left"/>
        </w:tabs>
        <w:numPr>
          <w:ilvl w:val="0"/>
          <w:numId w:val="137"/>
        </w:numPr>
        <w:rPr>
          <w:rFonts w:ascii="Arial" w:cs="Arial" w:eastAsia="Arial" w:hAnsi="Arial"/>
          <w:sz w:val="18"/>
          <w:szCs w:val="18"/>
          <w:color w:val="auto"/>
        </w:rPr>
      </w:pPr>
      <w:r>
        <w:rPr>
          <w:rFonts w:ascii="Arial" w:cs="Arial" w:eastAsia="Arial" w:hAnsi="Arial"/>
          <w:sz w:val="18"/>
          <w:szCs w:val="18"/>
          <w:color w:val="auto"/>
        </w:rPr>
        <w:t>any license or permit material (in the Agent’s sole discretion) to the operation of the business of any Loan Party is terminated, revoked, suspended or not renewed, the result of which could reasonably be expected to result in a Material Adverse Effect; or</w:t>
      </w:r>
    </w:p>
    <w:p>
      <w:pPr>
        <w:spacing w:after="0" w:line="170" w:lineRule="exact"/>
        <w:rPr>
          <w:rFonts w:ascii="Arial" w:cs="Arial" w:eastAsia="Arial" w:hAnsi="Arial"/>
          <w:sz w:val="18"/>
          <w:szCs w:val="18"/>
          <w:color w:val="auto"/>
        </w:rPr>
      </w:pPr>
    </w:p>
    <w:p>
      <w:pPr>
        <w:jc w:val="both"/>
        <w:ind w:firstLine="656"/>
        <w:spacing w:after="0" w:line="279" w:lineRule="auto"/>
        <w:tabs>
          <w:tab w:leader="none" w:pos="923" w:val="left"/>
        </w:tabs>
        <w:numPr>
          <w:ilvl w:val="0"/>
          <w:numId w:val="137"/>
        </w:numPr>
        <w:rPr>
          <w:rFonts w:ascii="Arial" w:cs="Arial" w:eastAsia="Arial" w:hAnsi="Arial"/>
          <w:sz w:val="17"/>
          <w:szCs w:val="17"/>
          <w:color w:val="auto"/>
        </w:rPr>
      </w:pPr>
      <w:r>
        <w:rPr>
          <w:rFonts w:ascii="Arial" w:cs="Arial" w:eastAsia="Arial" w:hAnsi="Arial"/>
          <w:sz w:val="17"/>
          <w:szCs w:val="17"/>
          <w:color w:val="auto"/>
        </w:rPr>
        <w:t>a notice of lien, levy or assessment is filed of record with respect to all or any substantial portion of any Borrower’s assets by the United States, or any department, agency or instrumentality thereof, or by any state, county, municipal or other governmental agency, including, without limitation, the Pension Benefit Guaranty Corporation, or any Taxes or debts owing to any of the foregoing becomes a lien or encumbrance upon the Collateral or any of its other assets and such lien or encumbrance is not released within thirty (30) days after its creation; or</w:t>
      </w:r>
    </w:p>
    <w:p>
      <w:pPr>
        <w:spacing w:after="0" w:line="171" w:lineRule="exact"/>
        <w:rPr>
          <w:rFonts w:ascii="Arial" w:cs="Arial" w:eastAsia="Arial" w:hAnsi="Arial"/>
          <w:sz w:val="17"/>
          <w:szCs w:val="17"/>
          <w:color w:val="auto"/>
        </w:rPr>
      </w:pPr>
    </w:p>
    <w:p>
      <w:pPr>
        <w:jc w:val="both"/>
        <w:ind w:firstLine="656"/>
        <w:spacing w:after="0" w:line="263" w:lineRule="auto"/>
        <w:tabs>
          <w:tab w:leader="none" w:pos="916" w:val="left"/>
        </w:tabs>
        <w:numPr>
          <w:ilvl w:val="0"/>
          <w:numId w:val="137"/>
        </w:numPr>
        <w:rPr>
          <w:rFonts w:ascii="Arial" w:cs="Arial" w:eastAsia="Arial" w:hAnsi="Arial"/>
          <w:sz w:val="18"/>
          <w:szCs w:val="18"/>
          <w:color w:val="auto"/>
        </w:rPr>
      </w:pPr>
      <w:r>
        <w:rPr>
          <w:rFonts w:ascii="Arial" w:cs="Arial" w:eastAsia="Arial" w:hAnsi="Arial"/>
          <w:sz w:val="18"/>
          <w:szCs w:val="18"/>
          <w:color w:val="auto"/>
        </w:rPr>
        <w:t>Borrower or any other Loan Party or any of their directors, managing members or senior officers is criminally indicted or convicted (i) of a felony, or (ii) under any Law that could reasonably be expected to lead to a forfeiture of any material (as determined by Agent in its sole discretion) portion of the Collateral; or</w:t>
      </w:r>
    </w:p>
    <w:p>
      <w:pPr>
        <w:spacing w:after="0" w:line="183" w:lineRule="exact"/>
        <w:rPr>
          <w:rFonts w:ascii="Arial" w:cs="Arial" w:eastAsia="Arial" w:hAnsi="Arial"/>
          <w:sz w:val="18"/>
          <w:szCs w:val="18"/>
          <w:color w:val="auto"/>
        </w:rPr>
      </w:pPr>
    </w:p>
    <w:p>
      <w:pPr>
        <w:ind w:left="920" w:hanging="264"/>
        <w:spacing w:after="0"/>
        <w:tabs>
          <w:tab w:leader="none" w:pos="920" w:val="left"/>
        </w:tabs>
        <w:numPr>
          <w:ilvl w:val="0"/>
          <w:numId w:val="137"/>
        </w:numPr>
        <w:rPr>
          <w:rFonts w:ascii="Arial" w:cs="Arial" w:eastAsia="Arial" w:hAnsi="Arial"/>
          <w:sz w:val="18"/>
          <w:szCs w:val="18"/>
          <w:color w:val="auto"/>
        </w:rPr>
      </w:pPr>
      <w:r>
        <w:rPr>
          <w:rFonts w:ascii="Arial" w:cs="Arial" w:eastAsia="Arial" w:hAnsi="Arial"/>
          <w:sz w:val="18"/>
          <w:szCs w:val="18"/>
          <w:color w:val="auto"/>
        </w:rPr>
        <w:t>[reserved]; or</w:t>
      </w:r>
    </w:p>
    <w:p>
      <w:pPr>
        <w:spacing w:after="0" w:line="225" w:lineRule="exact"/>
        <w:rPr>
          <w:rFonts w:ascii="Arial" w:cs="Arial" w:eastAsia="Arial" w:hAnsi="Arial"/>
          <w:sz w:val="18"/>
          <w:szCs w:val="18"/>
          <w:color w:val="auto"/>
        </w:rPr>
      </w:pPr>
    </w:p>
    <w:p>
      <w:pPr>
        <w:ind w:firstLine="656"/>
        <w:spacing w:after="0" w:line="277" w:lineRule="auto"/>
        <w:tabs>
          <w:tab w:leader="none" w:pos="907" w:val="left"/>
        </w:tabs>
        <w:numPr>
          <w:ilvl w:val="0"/>
          <w:numId w:val="137"/>
        </w:numPr>
        <w:rPr>
          <w:rFonts w:ascii="Arial" w:cs="Arial" w:eastAsia="Arial" w:hAnsi="Arial"/>
          <w:sz w:val="18"/>
          <w:szCs w:val="18"/>
          <w:color w:val="auto"/>
        </w:rPr>
      </w:pPr>
      <w:r>
        <w:rPr>
          <w:rFonts w:ascii="Arial" w:cs="Arial" w:eastAsia="Arial" w:hAnsi="Arial"/>
          <w:sz w:val="18"/>
          <w:szCs w:val="18"/>
          <w:color w:val="auto"/>
        </w:rPr>
        <w:t>trading of the Parent’s common shares shall be suspended by the SEC, the Principal Market or FINRA, or otherwise halted for any reason and such common stock shall not be approved for listing or quotation on or delisted from the Principal Market; or</w:t>
      </w:r>
    </w:p>
    <w:p>
      <w:pPr>
        <w:spacing w:after="0" w:line="170" w:lineRule="exact"/>
        <w:rPr>
          <w:rFonts w:ascii="Arial" w:cs="Arial" w:eastAsia="Arial" w:hAnsi="Arial"/>
          <w:sz w:val="18"/>
          <w:szCs w:val="18"/>
          <w:color w:val="auto"/>
        </w:rPr>
      </w:pPr>
    </w:p>
    <w:p>
      <w:pPr>
        <w:ind w:firstLine="656"/>
        <w:spacing w:after="0" w:line="308" w:lineRule="auto"/>
        <w:tabs>
          <w:tab w:leader="none" w:pos="909" w:val="left"/>
        </w:tabs>
        <w:numPr>
          <w:ilvl w:val="0"/>
          <w:numId w:val="137"/>
        </w:numPr>
        <w:rPr>
          <w:rFonts w:ascii="Arial" w:cs="Arial" w:eastAsia="Arial" w:hAnsi="Arial"/>
          <w:sz w:val="17"/>
          <w:szCs w:val="17"/>
          <w:color w:val="auto"/>
        </w:rPr>
      </w:pPr>
      <w:r>
        <w:rPr>
          <w:rFonts w:ascii="Arial" w:cs="Arial" w:eastAsia="Arial" w:hAnsi="Arial"/>
          <w:sz w:val="17"/>
          <w:szCs w:val="17"/>
          <w:color w:val="auto"/>
        </w:rPr>
        <w:t>any Loan Party breaches or defaults under any term of the SPAC Merger Agreement, any SPAC Subscription Agreement or any other agreement in connection with the SPAC Transaction in a manner that could reasonably be expected to result in liability of $1,000,000 or more.</w:t>
      </w:r>
    </w:p>
    <w:p>
      <w:pPr>
        <w:spacing w:after="0" w:line="142" w:lineRule="exact"/>
        <w:rPr>
          <w:sz w:val="20"/>
          <w:szCs w:val="20"/>
          <w:color w:val="auto"/>
        </w:rPr>
      </w:pPr>
    </w:p>
    <w:p>
      <w:pPr>
        <w:ind w:left="660"/>
        <w:spacing w:after="0"/>
        <w:rPr>
          <w:sz w:val="20"/>
          <w:szCs w:val="20"/>
          <w:color w:val="auto"/>
        </w:rPr>
      </w:pPr>
      <w:r>
        <w:rPr>
          <w:rFonts w:ascii="Arial" w:cs="Arial" w:eastAsia="Arial" w:hAnsi="Arial"/>
          <w:sz w:val="17"/>
          <w:szCs w:val="17"/>
          <w:b w:val="1"/>
          <w:bCs w:val="1"/>
          <w:color w:val="auto"/>
        </w:rPr>
        <w:t>7.2 Remedies Upon Event of Default</w:t>
      </w:r>
      <w:r>
        <w:rPr>
          <w:rFonts w:ascii="Arial" w:cs="Arial" w:eastAsia="Arial" w:hAnsi="Arial"/>
          <w:sz w:val="17"/>
          <w:szCs w:val="17"/>
          <w:color w:val="auto"/>
        </w:rPr>
        <w:t>. If any Event of Default occurs and is continuing, Agent may take any or all of the following actions:</w:t>
      </w:r>
    </w:p>
    <w:p>
      <w:pPr>
        <w:spacing w:after="0" w:line="241" w:lineRule="exact"/>
        <w:rPr>
          <w:sz w:val="20"/>
          <w:szCs w:val="20"/>
          <w:color w:val="auto"/>
        </w:rPr>
      </w:pPr>
    </w:p>
    <w:p>
      <w:pPr>
        <w:jc w:val="both"/>
        <w:ind w:firstLine="656"/>
        <w:spacing w:after="0" w:line="311" w:lineRule="auto"/>
        <w:tabs>
          <w:tab w:leader="none" w:pos="896" w:val="left"/>
        </w:tabs>
        <w:numPr>
          <w:ilvl w:val="0"/>
          <w:numId w:val="138"/>
        </w:numPr>
        <w:rPr>
          <w:rFonts w:ascii="Arial" w:cs="Arial" w:eastAsia="Arial" w:hAnsi="Arial"/>
          <w:sz w:val="16"/>
          <w:szCs w:val="16"/>
          <w:color w:val="auto"/>
        </w:rPr>
      </w:pPr>
      <w:r>
        <w:rPr>
          <w:rFonts w:ascii="Arial" w:cs="Arial" w:eastAsia="Arial" w:hAnsi="Arial"/>
          <w:sz w:val="16"/>
          <w:szCs w:val="16"/>
          <w:color w:val="auto"/>
        </w:rPr>
        <w:t xml:space="preserve">if such event is an Event of Default specified in </w:t>
      </w:r>
      <w:r>
        <w:rPr>
          <w:rFonts w:ascii="Arial" w:cs="Arial" w:eastAsia="Arial" w:hAnsi="Arial"/>
          <w:sz w:val="16"/>
          <w:szCs w:val="16"/>
          <w:u w:val="single" w:color="auto"/>
          <w:color w:val="auto"/>
        </w:rPr>
        <w:t>Section</w:t>
      </w:r>
      <w:r>
        <w:rPr>
          <w:rFonts w:ascii="Arial" w:cs="Arial" w:eastAsia="Arial" w:hAnsi="Arial"/>
          <w:sz w:val="16"/>
          <w:szCs w:val="16"/>
          <w:color w:val="auto"/>
        </w:rPr>
        <w:t xml:space="preserve"> 7.1</w:t>
      </w:r>
      <w:r>
        <w:rPr>
          <w:rFonts w:ascii="Arial" w:cs="Arial" w:eastAsia="Arial" w:hAnsi="Arial"/>
          <w:sz w:val="16"/>
          <w:szCs w:val="16"/>
          <w:u w:val="single" w:color="auto"/>
          <w:color w:val="auto"/>
        </w:rPr>
        <w:t>(d)</w:t>
      </w:r>
      <w:r>
        <w:rPr>
          <w:rFonts w:ascii="Arial" w:cs="Arial" w:eastAsia="Arial" w:hAnsi="Arial"/>
          <w:sz w:val="16"/>
          <w:szCs w:val="16"/>
          <w:color w:val="auto"/>
        </w:rPr>
        <w:t>, the Term Loan Commitment shall immediately terminate automatically and the Term Loan (with accrued interest thereon) and all other amounts owing under this Agreement and the other Loan Documents shall automatically immediately become due and payable, without demand, notice or legal process of any kind, with such rights are hereby waived by the Loan Parties; and</w:t>
      </w:r>
    </w:p>
    <w:p>
      <w:pPr>
        <w:spacing w:after="0" w:line="148" w:lineRule="exact"/>
        <w:rPr>
          <w:rFonts w:ascii="Arial" w:cs="Arial" w:eastAsia="Arial" w:hAnsi="Arial"/>
          <w:sz w:val="16"/>
          <w:szCs w:val="16"/>
          <w:color w:val="auto"/>
        </w:rPr>
      </w:pPr>
    </w:p>
    <w:p>
      <w:pPr>
        <w:jc w:val="both"/>
        <w:ind w:firstLine="656"/>
        <w:spacing w:after="0" w:line="287" w:lineRule="auto"/>
        <w:tabs>
          <w:tab w:leader="none" w:pos="912" w:val="left"/>
        </w:tabs>
        <w:numPr>
          <w:ilvl w:val="0"/>
          <w:numId w:val="138"/>
        </w:numPr>
        <w:rPr>
          <w:rFonts w:ascii="Arial" w:cs="Arial" w:eastAsia="Arial" w:hAnsi="Arial"/>
          <w:sz w:val="16"/>
          <w:szCs w:val="16"/>
          <w:color w:val="auto"/>
        </w:rPr>
      </w:pPr>
      <w:r>
        <w:rPr>
          <w:rFonts w:ascii="Arial" w:cs="Arial" w:eastAsia="Arial" w:hAnsi="Arial"/>
          <w:sz w:val="16"/>
          <w:szCs w:val="16"/>
          <w:color w:val="auto"/>
        </w:rPr>
        <w:t>if such event is any other Event of Default, Agent may, or at the direction of the Required Lenders, shall: (i) immediately terminate the Term Loan Commitment; (ii) declare the Term Loan (with accrued interest thereon) and all other Obligations and other amounts owing under this Agreement and the other Loan Documents to be due and payable forthwith, whereupon the same shall immediately become due and payable, without demand, notice or legal process of any kind, which such rights are hereby waived by the Loan Parties; and (iii) exercise all rights and remedies available to it hereunder and under any other Loan Document, under the UCC or at Law or in equity (in each case, in compliance with all applicable law), including, without limitation the right to (A) apply any property of any Loan Party held by Agent or any Lender to reduce the Obligations, (B) foreclose the Liens created under the Loan Documents, (C) realize upon, take possession of and/or sell any Collateral, with or without judicial process, (D) exercise all rights and powers with respect to the Collateral as such Loan Party might exercise, (E) collect and send notices regarding the Collateral, with or without judicial process, (F) by its own means or with judicial assistance, enter any premises at which Collateral is located, or render any of the foregoing unusable or dispose of the Collateral on such premises without any liability for rent, storage, utilities, or other sums, and no Loan Party shall, or permit any Subsidiary or Affiliate to, resist or interfere with such action, (G) at the Loan Parties’ expense, require that all or any part of the Collateral be assembled and made available to Agent at any place designated by Agent in its sole discretion, and/or (H) relinquish or abandon any Collateral or securities pledged or any Lien thereon.</w:t>
      </w:r>
    </w:p>
    <w:p>
      <w:pPr>
        <w:spacing w:after="0" w:line="384"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36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Presto Credit Agreement</w:t>
            </w:r>
          </w:p>
        </w:tc>
        <w:tc>
          <w:tcPr>
            <w:tcW w:w="7580" w:type="dxa"/>
            <w:vAlign w:val="bottom"/>
            <w:tcBorders>
              <w:bottom w:val="single" w:sz="8" w:color="auto"/>
            </w:tcBorders>
          </w:tcPr>
          <w:p>
            <w:pPr>
              <w:jc w:val="right"/>
              <w:ind w:right="5430"/>
              <w:spacing w:after="0"/>
              <w:rPr>
                <w:sz w:val="20"/>
                <w:szCs w:val="20"/>
                <w:color w:val="auto"/>
              </w:rPr>
            </w:pPr>
            <w:r>
              <w:rPr>
                <w:rFonts w:ascii="Arial" w:cs="Arial" w:eastAsia="Arial" w:hAnsi="Arial"/>
                <w:sz w:val="18"/>
                <w:szCs w:val="18"/>
                <w:color w:val="auto"/>
              </w:rPr>
              <w:t>54</w:t>
            </w:r>
          </w:p>
        </w:tc>
      </w:tr>
    </w:tbl>
    <w:p>
      <w:pPr>
        <w:sectPr>
          <w:pgSz w:w="11900" w:h="16838" w:orient="portrait"/>
          <w:cols w:equalWidth="0" w:num="1">
            <w:col w:w="11240"/>
          </w:cols>
          <w:pgMar w:left="320" w:top="908" w:right="339" w:bottom="1440" w:gutter="0" w:footer="0" w:header="0"/>
        </w:sectPr>
      </w:pPr>
    </w:p>
    <w:bookmarkStart w:id="141" w:name="page142"/>
    <w:bookmarkEnd w:id="141"/>
    <w:p>
      <w:pPr>
        <w:jc w:val="both"/>
        <w:spacing w:after="0" w:line="287" w:lineRule="auto"/>
        <w:rPr>
          <w:sz w:val="20"/>
          <w:szCs w:val="20"/>
          <w:color w:val="auto"/>
        </w:rPr>
      </w:pPr>
      <w:r>
        <w:rPr>
          <w:rFonts w:ascii="Arial" w:cs="Arial" w:eastAsia="Arial" w:hAnsi="Arial"/>
          <w:sz w:val="16"/>
          <w:szCs w:val="16"/>
          <w:color w:val="auto"/>
        </w:rPr>
        <w:t>Notwithstanding any provision of any Loan Document, Agent, in its sole discretion, shall have the right, at any time that any Loan Party fails to do so, after an Event of Default, without prior notice, to: (A) obtain insurance covering any of the Collateral to the extent required hereunder; (B) pay for the performance of any of the Obligations; (C) discharge Taxes, levies and/or Liens on any of the Collateral that are in violation of any Loan Document; and</w:t>
      </w:r>
    </w:p>
    <w:p>
      <w:pPr>
        <w:spacing w:after="0" w:line="2" w:lineRule="exact"/>
        <w:rPr>
          <w:sz w:val="20"/>
          <w:szCs w:val="20"/>
          <w:color w:val="auto"/>
        </w:rPr>
      </w:pPr>
    </w:p>
    <w:p>
      <w:pPr>
        <w:jc w:val="both"/>
        <w:ind w:firstLine="8"/>
        <w:spacing w:after="0" w:line="266" w:lineRule="auto"/>
        <w:tabs>
          <w:tab w:leader="none" w:pos="295" w:val="left"/>
        </w:tabs>
        <w:numPr>
          <w:ilvl w:val="0"/>
          <w:numId w:val="139"/>
        </w:numPr>
        <w:rPr>
          <w:rFonts w:ascii="Arial" w:cs="Arial" w:eastAsia="Arial" w:hAnsi="Arial"/>
          <w:sz w:val="17"/>
          <w:szCs w:val="17"/>
          <w:color w:val="auto"/>
        </w:rPr>
      </w:pPr>
      <w:r>
        <w:rPr>
          <w:rFonts w:ascii="Arial" w:cs="Arial" w:eastAsia="Arial" w:hAnsi="Arial"/>
          <w:sz w:val="17"/>
          <w:szCs w:val="17"/>
          <w:color w:val="auto"/>
        </w:rPr>
        <w:t xml:space="preserve">pay for the maintenance, repair and/or preservation of the Collateral. Such expenses and advances (1) shall be deemed loans hereunder and added to the Obligations until reimbursed to Agent and the Lenders, (2) shall be secured by the Collateral, and (3) at Agent’s discretion, shall be deemed a Protective Advance, and such payments by Agent or any Lender shall not be construed as a waiver by Agent or any Lender of any Event of Default or any other rights or remedies of Agent or any Lender. Each Loan Party agrees that notice received at least ten (10) calendar days before the time of any intended public sale, or the time after which any private sale or other disposition of Collateral is to be made, shall be deemed to be reasonable notice of such sale or other disposition. Each Loan Party acknowledges and agrees that (A) a private sale may result in a lower price than if such sale were a public sale, and notwithstanding such circumstances, agrees that such lower price shall not make such private sale unreasonable, and (B) Agent shall be under no obligation to delay a sale of any of the Collateral for the period of time necessary to permit the issuer thereof to register such securities or other interests for public sale under the Securities Act, or under applicable state securities Laws, even if such registration would result in a higher price than a private sale. If permitted by applicable law, any perishable Collateral which threatens to speedily decline in value or which is sold on a recognized market may be sold immediately by Agent without prior notice to any Loan Party. At any sale or disposition of Collateral or securities pledged, Agent may (to the extent permitted by applicable law) purchase all or any part thereof on behalf of itself and the Lenders free from any right of redemption by any Loan Party which right is hereby waived and released. Each Loan Party covenants and agrees not to, and to cause its Subsidiaries and Agents not to, interfere with or impose any obstacle to Agent’s exercise of its rights and remedies with respect to the Collateral. In dealing with or disposing of the Collateral or any part thereof, Agent shall not be required to give priority or preference to any item of Collateral or otherwise to marshal assets or to take possession or sell any Collateral with judicial process. Presentment, demand, protest and all other notices of any kind with respect to the remedies provided in this </w:t>
      </w:r>
      <w:r>
        <w:rPr>
          <w:rFonts w:ascii="Arial" w:cs="Arial" w:eastAsia="Arial" w:hAnsi="Arial"/>
          <w:sz w:val="17"/>
          <w:szCs w:val="17"/>
          <w:u w:val="single" w:color="auto"/>
          <w:color w:val="auto"/>
        </w:rPr>
        <w:t>Section 7.2</w:t>
      </w:r>
      <w:r>
        <w:rPr>
          <w:rFonts w:ascii="Arial" w:cs="Arial" w:eastAsia="Arial" w:hAnsi="Arial"/>
          <w:sz w:val="17"/>
          <w:szCs w:val="17"/>
          <w:color w:val="auto"/>
        </w:rPr>
        <w:t xml:space="preserve"> are hereby expressly waived by each Loan Party. Each Loan Party hereby irrevocably appoints Agent as its attorney-in-fact for the limited purpose of taking any action permitted under the Loan Documents that Agent deems necessary or desirable (in Agent’s sole discretion) upon the occurrence and during the continuation of an Event of Default to protect and realize upon Agent’s Lien in the Collateral, including the execution and delivery of any and all documents or instruments related to the Collateral in each Loan Party’s name, and said appointment shall create in Agent a power coupled with an interest. Such power of attorney, and proxy with respect thereto, is irrevocable and coupled with an interest and may not be terminated or revoked until all Obligations are paid in full in cash (other than inchoate indemnification obligations for which no claim has been asserted) and all Term Loan Commitments have expired or terminated.</w:t>
      </w:r>
    </w:p>
    <w:p>
      <w:pPr>
        <w:spacing w:after="0" w:line="183" w:lineRule="exact"/>
        <w:rPr>
          <w:sz w:val="20"/>
          <w:szCs w:val="20"/>
          <w:color w:val="auto"/>
        </w:rPr>
      </w:pPr>
    </w:p>
    <w:p>
      <w:pPr>
        <w:ind w:firstLine="648"/>
        <w:spacing w:after="0" w:line="282" w:lineRule="auto"/>
        <w:rPr>
          <w:sz w:val="20"/>
          <w:szCs w:val="20"/>
          <w:color w:val="auto"/>
        </w:rPr>
      </w:pPr>
      <w:r>
        <w:rPr>
          <w:rFonts w:ascii="Arial" w:cs="Arial" w:eastAsia="Arial" w:hAnsi="Arial"/>
          <w:sz w:val="18"/>
          <w:szCs w:val="18"/>
          <w:b w:val="1"/>
          <w:bCs w:val="1"/>
          <w:color w:val="auto"/>
        </w:rPr>
        <w:t>7.3 Application of Funds</w:t>
      </w:r>
      <w:r>
        <w:rPr>
          <w:rFonts w:ascii="Arial" w:cs="Arial" w:eastAsia="Arial" w:hAnsi="Arial"/>
          <w:sz w:val="18"/>
          <w:szCs w:val="18"/>
          <w:color w:val="auto"/>
        </w:rPr>
        <w:t>. After the exercise of remedies provided for in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w:t>
      </w:r>
      <w:r>
        <w:rPr>
          <w:rFonts w:ascii="Arial" w:cs="Arial" w:eastAsia="Arial" w:hAnsi="Arial"/>
          <w:sz w:val="18"/>
          <w:szCs w:val="18"/>
          <w:b w:val="1"/>
          <w:bCs w:val="1"/>
          <w:color w:val="auto"/>
        </w:rPr>
        <w:t xml:space="preserve"> </w:t>
      </w:r>
      <w:r>
        <w:rPr>
          <w:rFonts w:ascii="Arial" w:cs="Arial" w:eastAsia="Arial" w:hAnsi="Arial"/>
          <w:sz w:val="18"/>
          <w:szCs w:val="18"/>
          <w:color w:val="auto"/>
        </w:rPr>
        <w:t>7.2, any amounts received by Agent or any Lender on account of</w:t>
      </w:r>
      <w:r>
        <w:rPr>
          <w:rFonts w:ascii="Arial" w:cs="Arial" w:eastAsia="Arial" w:hAnsi="Arial"/>
          <w:sz w:val="18"/>
          <w:szCs w:val="18"/>
          <w:b w:val="1"/>
          <w:bCs w:val="1"/>
          <w:color w:val="auto"/>
        </w:rPr>
        <w:t xml:space="preserve"> </w:t>
      </w:r>
      <w:r>
        <w:rPr>
          <w:rFonts w:ascii="Arial" w:cs="Arial" w:eastAsia="Arial" w:hAnsi="Arial"/>
          <w:sz w:val="18"/>
          <w:szCs w:val="18"/>
          <w:color w:val="auto"/>
        </w:rPr>
        <w:t>the Obligations shall be applied by Agent in the following order:</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6"/>
          <w:szCs w:val="16"/>
          <w:color w:val="auto"/>
        </w:rPr>
        <w:t xml:space="preserve">(a) </w:t>
      </w:r>
      <w:r>
        <w:rPr>
          <w:rFonts w:ascii="Arial" w:cs="Arial" w:eastAsia="Arial" w:hAnsi="Arial"/>
          <w:sz w:val="16"/>
          <w:szCs w:val="16"/>
          <w:u w:val="single" w:color="auto"/>
          <w:color w:val="auto"/>
        </w:rPr>
        <w:t>First</w:t>
      </w:r>
      <w:r>
        <w:rPr>
          <w:rFonts w:ascii="Arial" w:cs="Arial" w:eastAsia="Arial" w:hAnsi="Arial"/>
          <w:sz w:val="16"/>
          <w:szCs w:val="16"/>
          <w:color w:val="auto"/>
        </w:rPr>
        <w:t>, to Agent, for the benefit of itself and Lenders, an amount equal to any interest owed with respect to all Protective Advances until paid in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full;</w:t>
      </w:r>
    </w:p>
    <w:p>
      <w:pPr>
        <w:spacing w:after="0" w:line="211" w:lineRule="exact"/>
        <w:rPr>
          <w:sz w:val="20"/>
          <w:szCs w:val="20"/>
          <w:color w:val="auto"/>
        </w:rPr>
      </w:pPr>
    </w:p>
    <w:p>
      <w:pPr>
        <w:ind w:left="920" w:hanging="264"/>
        <w:spacing w:after="0"/>
        <w:tabs>
          <w:tab w:leader="none" w:pos="920" w:val="left"/>
        </w:tabs>
        <w:numPr>
          <w:ilvl w:val="0"/>
          <w:numId w:val="140"/>
        </w:numPr>
        <w:rPr>
          <w:rFonts w:ascii="Arial" w:cs="Arial" w:eastAsia="Arial" w:hAnsi="Arial"/>
          <w:sz w:val="16"/>
          <w:szCs w:val="16"/>
          <w:color w:val="auto"/>
        </w:rPr>
      </w:pPr>
      <w:r>
        <w:rPr>
          <w:rFonts w:ascii="Arial" w:cs="Arial" w:eastAsia="Arial" w:hAnsi="Arial"/>
          <w:sz w:val="16"/>
          <w:szCs w:val="16"/>
          <w:u w:val="single" w:color="auto"/>
          <w:color w:val="auto"/>
        </w:rPr>
        <w:t>Second</w:t>
      </w:r>
      <w:r>
        <w:rPr>
          <w:rFonts w:ascii="Arial" w:cs="Arial" w:eastAsia="Arial" w:hAnsi="Arial"/>
          <w:sz w:val="16"/>
          <w:szCs w:val="16"/>
          <w:color w:val="auto"/>
        </w:rPr>
        <w:t>, to Agent, for the benefit of itself and Lenders, an amount equal to any principal owed with respect to all Protective Advances until</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paid in full;</w:t>
      </w:r>
    </w:p>
    <w:p>
      <w:pPr>
        <w:spacing w:after="0" w:line="210" w:lineRule="exact"/>
        <w:rPr>
          <w:rFonts w:ascii="Arial" w:cs="Arial" w:eastAsia="Arial" w:hAnsi="Arial"/>
          <w:sz w:val="16"/>
          <w:szCs w:val="16"/>
          <w:color w:val="auto"/>
        </w:rPr>
      </w:pPr>
    </w:p>
    <w:p>
      <w:pPr>
        <w:jc w:val="both"/>
        <w:ind w:firstLine="656"/>
        <w:spacing w:after="0" w:line="263" w:lineRule="auto"/>
        <w:tabs>
          <w:tab w:leader="none" w:pos="893" w:val="left"/>
        </w:tabs>
        <w:numPr>
          <w:ilvl w:val="0"/>
          <w:numId w:val="140"/>
        </w:numPr>
        <w:rPr>
          <w:rFonts w:ascii="Arial" w:cs="Arial" w:eastAsia="Arial" w:hAnsi="Arial"/>
          <w:sz w:val="18"/>
          <w:szCs w:val="18"/>
          <w:color w:val="auto"/>
        </w:rPr>
      </w:pPr>
      <w:r>
        <w:rPr>
          <w:rFonts w:ascii="Arial" w:cs="Arial" w:eastAsia="Arial" w:hAnsi="Arial"/>
          <w:sz w:val="18"/>
          <w:szCs w:val="18"/>
          <w:u w:val="single" w:color="auto"/>
          <w:color w:val="auto"/>
        </w:rPr>
        <w:t>Third</w:t>
      </w:r>
      <w:r>
        <w:rPr>
          <w:rFonts w:ascii="Arial" w:cs="Arial" w:eastAsia="Arial" w:hAnsi="Arial"/>
          <w:sz w:val="18"/>
          <w:szCs w:val="18"/>
          <w:color w:val="auto"/>
        </w:rPr>
        <w:t xml:space="preserve">, to payment of that portion of the Obligations constituting fees, reimbursements under </w:t>
      </w:r>
      <w:r>
        <w:rPr>
          <w:rFonts w:ascii="Arial" w:cs="Arial" w:eastAsia="Arial" w:hAnsi="Arial"/>
          <w:sz w:val="18"/>
          <w:szCs w:val="18"/>
          <w:u w:val="single" w:color="auto"/>
          <w:color w:val="auto"/>
        </w:rPr>
        <w:t>Section 8.5</w:t>
      </w:r>
      <w:r>
        <w:rPr>
          <w:rFonts w:ascii="Arial" w:cs="Arial" w:eastAsia="Arial" w:hAnsi="Arial"/>
          <w:sz w:val="18"/>
          <w:szCs w:val="18"/>
          <w:color w:val="auto"/>
        </w:rPr>
        <w:t>, indemnities and other amounts (other than principal, interest, and the Monitoring Fee (as defined in the Fee Letter)) payable to Agent and Lenders (including reasonable fees, charges and disbursements of counsel required to be paid hereunder) until paid in full;</w:t>
      </w:r>
    </w:p>
    <w:p>
      <w:pPr>
        <w:spacing w:after="0" w:line="183" w:lineRule="exact"/>
        <w:rPr>
          <w:rFonts w:ascii="Arial" w:cs="Arial" w:eastAsia="Arial" w:hAnsi="Arial"/>
          <w:sz w:val="18"/>
          <w:szCs w:val="18"/>
          <w:color w:val="auto"/>
        </w:rPr>
      </w:pPr>
    </w:p>
    <w:p>
      <w:pPr>
        <w:ind w:left="920" w:hanging="264"/>
        <w:spacing w:after="0"/>
        <w:tabs>
          <w:tab w:leader="none" w:pos="920" w:val="left"/>
        </w:tabs>
        <w:numPr>
          <w:ilvl w:val="0"/>
          <w:numId w:val="140"/>
        </w:numPr>
        <w:rPr>
          <w:rFonts w:ascii="Arial" w:cs="Arial" w:eastAsia="Arial" w:hAnsi="Arial"/>
          <w:sz w:val="18"/>
          <w:szCs w:val="18"/>
          <w:color w:val="auto"/>
        </w:rPr>
      </w:pPr>
      <w:r>
        <w:rPr>
          <w:rFonts w:ascii="Arial" w:cs="Arial" w:eastAsia="Arial" w:hAnsi="Arial"/>
          <w:sz w:val="18"/>
          <w:szCs w:val="18"/>
          <w:u w:val="single" w:color="auto"/>
          <w:color w:val="auto"/>
        </w:rPr>
        <w:t>Fourth</w:t>
      </w:r>
      <w:r>
        <w:rPr>
          <w:rFonts w:ascii="Arial" w:cs="Arial" w:eastAsia="Arial" w:hAnsi="Arial"/>
          <w:sz w:val="18"/>
          <w:szCs w:val="18"/>
          <w:color w:val="auto"/>
        </w:rPr>
        <w:t>, to Agent, any accrued and unpaid Monitoring Fee;</w:t>
      </w:r>
    </w:p>
    <w:p>
      <w:pPr>
        <w:spacing w:after="0" w:line="225" w:lineRule="exact"/>
        <w:rPr>
          <w:rFonts w:ascii="Arial" w:cs="Arial" w:eastAsia="Arial" w:hAnsi="Arial"/>
          <w:sz w:val="18"/>
          <w:szCs w:val="18"/>
          <w:color w:val="auto"/>
        </w:rPr>
      </w:pPr>
    </w:p>
    <w:p>
      <w:pPr>
        <w:ind w:left="900" w:hanging="244"/>
        <w:spacing w:after="0"/>
        <w:tabs>
          <w:tab w:leader="none" w:pos="900" w:val="left"/>
        </w:tabs>
        <w:numPr>
          <w:ilvl w:val="0"/>
          <w:numId w:val="140"/>
        </w:numPr>
        <w:rPr>
          <w:rFonts w:ascii="Arial" w:cs="Arial" w:eastAsia="Arial" w:hAnsi="Arial"/>
          <w:sz w:val="18"/>
          <w:szCs w:val="18"/>
          <w:color w:val="auto"/>
        </w:rPr>
      </w:pPr>
      <w:r>
        <w:rPr>
          <w:rFonts w:ascii="Arial" w:cs="Arial" w:eastAsia="Arial" w:hAnsi="Arial"/>
          <w:sz w:val="18"/>
          <w:szCs w:val="18"/>
          <w:u w:val="single" w:color="auto"/>
          <w:color w:val="auto"/>
        </w:rPr>
        <w:t>Fifth</w:t>
      </w:r>
      <w:r>
        <w:rPr>
          <w:rFonts w:ascii="Arial" w:cs="Arial" w:eastAsia="Arial" w:hAnsi="Arial"/>
          <w:sz w:val="18"/>
          <w:szCs w:val="18"/>
          <w:color w:val="auto"/>
        </w:rPr>
        <w:t>, to payment of that portion of the Obligations constituting accrued and unpaid interest;</w:t>
      </w:r>
    </w:p>
    <w:p>
      <w:pPr>
        <w:spacing w:after="0" w:line="200" w:lineRule="exact"/>
        <w:rPr>
          <w:sz w:val="20"/>
          <w:szCs w:val="20"/>
          <w:color w:val="auto"/>
        </w:rPr>
      </w:pP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36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Presto Credit Agreement</w:t>
            </w:r>
          </w:p>
        </w:tc>
        <w:tc>
          <w:tcPr>
            <w:tcW w:w="7580" w:type="dxa"/>
            <w:vAlign w:val="bottom"/>
            <w:tcBorders>
              <w:bottom w:val="single" w:sz="8" w:color="auto"/>
            </w:tcBorders>
          </w:tcPr>
          <w:p>
            <w:pPr>
              <w:jc w:val="right"/>
              <w:ind w:right="5430"/>
              <w:spacing w:after="0"/>
              <w:rPr>
                <w:sz w:val="20"/>
                <w:szCs w:val="20"/>
                <w:color w:val="auto"/>
              </w:rPr>
            </w:pPr>
            <w:r>
              <w:rPr>
                <w:rFonts w:ascii="Arial" w:cs="Arial" w:eastAsia="Arial" w:hAnsi="Arial"/>
                <w:sz w:val="18"/>
                <w:szCs w:val="18"/>
                <w:color w:val="auto"/>
              </w:rPr>
              <w:t>55</w:t>
            </w:r>
          </w:p>
        </w:tc>
      </w:tr>
    </w:tbl>
    <w:p>
      <w:pPr>
        <w:sectPr>
          <w:pgSz w:w="11900" w:h="16838" w:orient="portrait"/>
          <w:cols w:equalWidth="0" w:num="1">
            <w:col w:w="11240"/>
          </w:cols>
          <w:pgMar w:left="320" w:top="908" w:right="339" w:bottom="1440" w:gutter="0" w:footer="0" w:header="0"/>
        </w:sectPr>
      </w:pPr>
    </w:p>
    <w:bookmarkStart w:id="142" w:name="page143"/>
    <w:bookmarkEnd w:id="142"/>
    <w:p>
      <w:pPr>
        <w:ind w:left="880" w:hanging="224"/>
        <w:spacing w:after="0"/>
        <w:tabs>
          <w:tab w:leader="none" w:pos="880" w:val="left"/>
        </w:tabs>
        <w:numPr>
          <w:ilvl w:val="0"/>
          <w:numId w:val="141"/>
        </w:numPr>
        <w:rPr>
          <w:rFonts w:ascii="Arial" w:cs="Arial" w:eastAsia="Arial" w:hAnsi="Arial"/>
          <w:sz w:val="18"/>
          <w:szCs w:val="18"/>
          <w:color w:val="auto"/>
        </w:rPr>
      </w:pPr>
      <w:r>
        <w:rPr>
          <w:rFonts w:ascii="Arial" w:cs="Arial" w:eastAsia="Arial" w:hAnsi="Arial"/>
          <w:sz w:val="18"/>
          <w:szCs w:val="18"/>
          <w:u w:val="single" w:color="auto"/>
          <w:color w:val="auto"/>
        </w:rPr>
        <w:t>Sixth</w:t>
      </w:r>
      <w:r>
        <w:rPr>
          <w:rFonts w:ascii="Arial" w:cs="Arial" w:eastAsia="Arial" w:hAnsi="Arial"/>
          <w:sz w:val="18"/>
          <w:szCs w:val="18"/>
          <w:color w:val="auto"/>
        </w:rPr>
        <w:t>, to payment of any Make Whole Premium, if applicable;</w:t>
      </w:r>
    </w:p>
    <w:p>
      <w:pPr>
        <w:spacing w:after="0" w:line="225" w:lineRule="exact"/>
        <w:rPr>
          <w:rFonts w:ascii="Arial" w:cs="Arial" w:eastAsia="Arial" w:hAnsi="Arial"/>
          <w:sz w:val="18"/>
          <w:szCs w:val="18"/>
          <w:color w:val="auto"/>
        </w:rPr>
      </w:pPr>
    </w:p>
    <w:p>
      <w:pPr>
        <w:ind w:left="920" w:hanging="264"/>
        <w:spacing w:after="0"/>
        <w:tabs>
          <w:tab w:leader="none" w:pos="920" w:val="left"/>
        </w:tabs>
        <w:numPr>
          <w:ilvl w:val="0"/>
          <w:numId w:val="141"/>
        </w:numPr>
        <w:rPr>
          <w:rFonts w:ascii="Arial" w:cs="Arial" w:eastAsia="Arial" w:hAnsi="Arial"/>
          <w:sz w:val="18"/>
          <w:szCs w:val="18"/>
          <w:color w:val="auto"/>
        </w:rPr>
      </w:pPr>
      <w:r>
        <w:rPr>
          <w:rFonts w:ascii="Arial" w:cs="Arial" w:eastAsia="Arial" w:hAnsi="Arial"/>
          <w:sz w:val="18"/>
          <w:szCs w:val="18"/>
          <w:u w:val="single" w:color="auto"/>
          <w:color w:val="auto"/>
        </w:rPr>
        <w:t>Seventh</w:t>
      </w:r>
      <w:r>
        <w:rPr>
          <w:rFonts w:ascii="Arial" w:cs="Arial" w:eastAsia="Arial" w:hAnsi="Arial"/>
          <w:sz w:val="18"/>
          <w:szCs w:val="18"/>
          <w:color w:val="auto"/>
        </w:rPr>
        <w:t>, to payment of that portion of the Obligations constituting unpaid principal and all other Obligations; and</w:t>
      </w:r>
    </w:p>
    <w:p>
      <w:pPr>
        <w:spacing w:after="0" w:line="225" w:lineRule="exact"/>
        <w:rPr>
          <w:rFonts w:ascii="Arial" w:cs="Arial" w:eastAsia="Arial" w:hAnsi="Arial"/>
          <w:sz w:val="18"/>
          <w:szCs w:val="18"/>
          <w:color w:val="auto"/>
        </w:rPr>
      </w:pPr>
    </w:p>
    <w:p>
      <w:pPr>
        <w:ind w:firstLine="656"/>
        <w:spacing w:after="0" w:line="277" w:lineRule="auto"/>
        <w:tabs>
          <w:tab w:leader="none" w:pos="918" w:val="left"/>
        </w:tabs>
        <w:numPr>
          <w:ilvl w:val="0"/>
          <w:numId w:val="141"/>
        </w:numPr>
        <w:rPr>
          <w:rFonts w:ascii="Arial" w:cs="Arial" w:eastAsia="Arial" w:hAnsi="Arial"/>
          <w:sz w:val="18"/>
          <w:szCs w:val="18"/>
          <w:color w:val="auto"/>
        </w:rPr>
      </w:pPr>
      <w:r>
        <w:rPr>
          <w:rFonts w:ascii="Arial" w:cs="Arial" w:eastAsia="Arial" w:hAnsi="Arial"/>
          <w:sz w:val="18"/>
          <w:szCs w:val="18"/>
          <w:u w:val="single" w:color="auto"/>
          <w:color w:val="auto"/>
        </w:rPr>
        <w:t>Last</w:t>
      </w:r>
      <w:r>
        <w:rPr>
          <w:rFonts w:ascii="Arial" w:cs="Arial" w:eastAsia="Arial" w:hAnsi="Arial"/>
          <w:sz w:val="18"/>
          <w:szCs w:val="18"/>
          <w:color w:val="auto"/>
        </w:rPr>
        <w:t>, the balance, if any, after all of the Obligations have been indefeasibly paid in full (other than inchoate indemnification obligations for which no claim has been asserted), to Borrower or as otherwise required by applicable law.</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8</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MISCELLANEOUS</w:t>
      </w:r>
    </w:p>
    <w:p>
      <w:pPr>
        <w:spacing w:after="0" w:line="207"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7"/>
          <w:szCs w:val="17"/>
          <w:b w:val="1"/>
          <w:bCs w:val="1"/>
          <w:color w:val="auto"/>
        </w:rPr>
        <w:t xml:space="preserve">8.1 Amendments and Waivers. </w:t>
      </w:r>
      <w:r>
        <w:rPr>
          <w:rFonts w:ascii="Arial" w:cs="Arial" w:eastAsia="Arial" w:hAnsi="Arial"/>
          <w:sz w:val="17"/>
          <w:szCs w:val="17"/>
          <w:color w:val="auto"/>
        </w:rPr>
        <w:t>Neither this Agreement nor any other Loan Document, nor any terms hereof or thereof, may be amended,</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changed, waived or otherwise modified unless such amendment, change, waiver or other modification is in writing and signed by the applicable Loan Parties, Agent, and the Required Lenders or by Agent acting at the written direction of the Required Lenders;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w:t>
      </w:r>
    </w:p>
    <w:p>
      <w:pPr>
        <w:spacing w:after="0" w:line="162" w:lineRule="exact"/>
        <w:rPr>
          <w:sz w:val="20"/>
          <w:szCs w:val="20"/>
          <w:color w:val="auto"/>
        </w:rPr>
      </w:pPr>
    </w:p>
    <w:p>
      <w:pPr>
        <w:ind w:left="900" w:hanging="244"/>
        <w:spacing w:after="0"/>
        <w:tabs>
          <w:tab w:leader="none" w:pos="900" w:val="left"/>
        </w:tabs>
        <w:numPr>
          <w:ilvl w:val="0"/>
          <w:numId w:val="142"/>
        </w:numPr>
        <w:rPr>
          <w:rFonts w:ascii="Arial" w:cs="Arial" w:eastAsia="Arial" w:hAnsi="Arial"/>
          <w:sz w:val="18"/>
          <w:szCs w:val="18"/>
          <w:color w:val="auto"/>
        </w:rPr>
      </w:pPr>
      <w:r>
        <w:rPr>
          <w:rFonts w:ascii="Arial" w:cs="Arial" w:eastAsia="Arial" w:hAnsi="Arial"/>
          <w:sz w:val="18"/>
          <w:szCs w:val="18"/>
          <w:color w:val="auto"/>
        </w:rPr>
        <w:t>no change, waiver or other modification shall:</w:t>
      </w:r>
    </w:p>
    <w:p>
      <w:pPr>
        <w:spacing w:after="0" w:line="225" w:lineRule="exact"/>
        <w:rPr>
          <w:rFonts w:ascii="Arial" w:cs="Arial" w:eastAsia="Arial" w:hAnsi="Arial"/>
          <w:sz w:val="18"/>
          <w:szCs w:val="18"/>
          <w:color w:val="auto"/>
        </w:rPr>
      </w:pPr>
    </w:p>
    <w:p>
      <w:pPr>
        <w:ind w:left="1520" w:hanging="216"/>
        <w:spacing w:after="0"/>
        <w:tabs>
          <w:tab w:leader="none" w:pos="1520" w:val="left"/>
        </w:tabs>
        <w:numPr>
          <w:ilvl w:val="1"/>
          <w:numId w:val="142"/>
        </w:numPr>
        <w:rPr>
          <w:rFonts w:ascii="Arial" w:cs="Arial" w:eastAsia="Arial" w:hAnsi="Arial"/>
          <w:sz w:val="16"/>
          <w:szCs w:val="16"/>
          <w:color w:val="auto"/>
        </w:rPr>
      </w:pPr>
      <w:r>
        <w:rPr>
          <w:rFonts w:ascii="Arial" w:cs="Arial" w:eastAsia="Arial" w:hAnsi="Arial"/>
          <w:sz w:val="16"/>
          <w:szCs w:val="16"/>
          <w:color w:val="auto"/>
        </w:rPr>
        <w:t>increase the Term Loan Commitment of a Lender without the written consent of such Lender whose Term Loan Commitment is being</w:t>
      </w:r>
    </w:p>
    <w:p>
      <w:pPr>
        <w:spacing w:after="0" w:line="46" w:lineRule="exact"/>
        <w:rPr>
          <w:rFonts w:ascii="Arial" w:cs="Arial" w:eastAsia="Arial" w:hAnsi="Arial"/>
          <w:sz w:val="16"/>
          <w:szCs w:val="16"/>
          <w:color w:val="auto"/>
        </w:rPr>
      </w:pPr>
    </w:p>
    <w:p>
      <w:pPr>
        <w:ind w:left="660"/>
        <w:spacing w:after="0"/>
        <w:rPr>
          <w:rFonts w:ascii="Arial" w:cs="Arial" w:eastAsia="Arial" w:hAnsi="Arial"/>
          <w:sz w:val="16"/>
          <w:szCs w:val="16"/>
          <w:color w:val="auto"/>
        </w:rPr>
      </w:pPr>
      <w:r>
        <w:rPr>
          <w:rFonts w:ascii="Arial" w:cs="Arial" w:eastAsia="Arial" w:hAnsi="Arial"/>
          <w:sz w:val="18"/>
          <w:szCs w:val="18"/>
          <w:color w:val="auto"/>
        </w:rPr>
        <w:t>increased;</w:t>
      </w:r>
    </w:p>
    <w:p>
      <w:pPr>
        <w:spacing w:after="0" w:line="210" w:lineRule="exact"/>
        <w:rPr>
          <w:rFonts w:ascii="Arial" w:cs="Arial" w:eastAsia="Arial" w:hAnsi="Arial"/>
          <w:sz w:val="16"/>
          <w:szCs w:val="16"/>
          <w:color w:val="auto"/>
        </w:rPr>
      </w:pPr>
    </w:p>
    <w:p>
      <w:pPr>
        <w:ind w:left="660" w:firstLine="644"/>
        <w:spacing w:after="0" w:line="277" w:lineRule="auto"/>
        <w:tabs>
          <w:tab w:leader="none" w:pos="1574" w:val="left"/>
        </w:tabs>
        <w:numPr>
          <w:ilvl w:val="1"/>
          <w:numId w:val="142"/>
        </w:numPr>
        <w:rPr>
          <w:rFonts w:ascii="Arial" w:cs="Arial" w:eastAsia="Arial" w:hAnsi="Arial"/>
          <w:sz w:val="18"/>
          <w:szCs w:val="18"/>
          <w:color w:val="auto"/>
        </w:rPr>
      </w:pPr>
      <w:r>
        <w:rPr>
          <w:rFonts w:ascii="Arial" w:cs="Arial" w:eastAsia="Arial" w:hAnsi="Arial"/>
          <w:sz w:val="18"/>
          <w:szCs w:val="18"/>
          <w:color w:val="auto"/>
        </w:rPr>
        <w:t>(x) extend any date fixed by this Agreement for any payment of principal due to the Lenders (or any of them) or under any other Loan Document without the written consent of each Lender entitled to receive such payment;</w:t>
      </w:r>
    </w:p>
    <w:p>
      <w:pPr>
        <w:spacing w:after="0" w:line="170" w:lineRule="exact"/>
        <w:rPr>
          <w:rFonts w:ascii="Arial" w:cs="Arial" w:eastAsia="Arial" w:hAnsi="Arial"/>
          <w:sz w:val="18"/>
          <w:szCs w:val="18"/>
          <w:color w:val="auto"/>
        </w:rPr>
      </w:pPr>
    </w:p>
    <w:p>
      <w:pPr>
        <w:ind w:left="660" w:firstLine="644"/>
        <w:spacing w:after="0" w:line="277" w:lineRule="auto"/>
        <w:tabs>
          <w:tab w:leader="none" w:pos="1626" w:val="left"/>
        </w:tabs>
        <w:numPr>
          <w:ilvl w:val="1"/>
          <w:numId w:val="142"/>
        </w:numPr>
        <w:rPr>
          <w:rFonts w:ascii="Arial" w:cs="Arial" w:eastAsia="Arial" w:hAnsi="Arial"/>
          <w:sz w:val="18"/>
          <w:szCs w:val="18"/>
          <w:color w:val="auto"/>
        </w:rPr>
      </w:pPr>
      <w:r>
        <w:rPr>
          <w:rFonts w:ascii="Arial" w:cs="Arial" w:eastAsia="Arial" w:hAnsi="Arial"/>
          <w:sz w:val="18"/>
          <w:szCs w:val="18"/>
          <w:color w:val="auto"/>
        </w:rPr>
        <w:t>(x) reduce the principal amount of the Term Loan made by any Lender or (y) reduce the rate of interest thereon, in each case without the written consent of such Lender;</w:t>
      </w:r>
    </w:p>
    <w:p>
      <w:pPr>
        <w:spacing w:after="0" w:line="170" w:lineRule="exact"/>
        <w:rPr>
          <w:rFonts w:ascii="Arial" w:cs="Arial" w:eastAsia="Arial" w:hAnsi="Arial"/>
          <w:sz w:val="18"/>
          <w:szCs w:val="18"/>
          <w:color w:val="auto"/>
        </w:rPr>
      </w:pPr>
    </w:p>
    <w:p>
      <w:pPr>
        <w:ind w:left="660" w:firstLine="644"/>
        <w:spacing w:after="0" w:line="277" w:lineRule="auto"/>
        <w:tabs>
          <w:tab w:leader="none" w:pos="1635" w:val="left"/>
        </w:tabs>
        <w:numPr>
          <w:ilvl w:val="1"/>
          <w:numId w:val="142"/>
        </w:numPr>
        <w:rPr>
          <w:rFonts w:ascii="Arial" w:cs="Arial" w:eastAsia="Arial" w:hAnsi="Arial"/>
          <w:sz w:val="18"/>
          <w:szCs w:val="18"/>
          <w:color w:val="auto"/>
        </w:rPr>
      </w:pPr>
      <w:r>
        <w:rPr>
          <w:rFonts w:ascii="Arial" w:cs="Arial" w:eastAsia="Arial" w:hAnsi="Arial"/>
          <w:sz w:val="18"/>
          <w:szCs w:val="18"/>
          <w:color w:val="auto"/>
        </w:rPr>
        <w:t>reduce the rate or extend the time of payment of, or excuse the payment of, any fees to which any Lender is entitled hereunder without the written consent of each Lender entitled to receive such fees;</w:t>
      </w:r>
    </w:p>
    <w:p>
      <w:pPr>
        <w:spacing w:after="0" w:line="170" w:lineRule="exact"/>
        <w:rPr>
          <w:rFonts w:ascii="Arial" w:cs="Arial" w:eastAsia="Arial" w:hAnsi="Arial"/>
          <w:sz w:val="18"/>
          <w:szCs w:val="18"/>
          <w:color w:val="auto"/>
        </w:rPr>
      </w:pPr>
    </w:p>
    <w:p>
      <w:pPr>
        <w:ind w:left="660" w:firstLine="644"/>
        <w:spacing w:after="0" w:line="308" w:lineRule="auto"/>
        <w:tabs>
          <w:tab w:leader="none" w:pos="1594" w:val="left"/>
        </w:tabs>
        <w:numPr>
          <w:ilvl w:val="1"/>
          <w:numId w:val="142"/>
        </w:numPr>
        <w:rPr>
          <w:rFonts w:ascii="Arial" w:cs="Arial" w:eastAsia="Arial" w:hAnsi="Arial"/>
          <w:sz w:val="17"/>
          <w:szCs w:val="17"/>
          <w:color w:val="auto"/>
        </w:rPr>
      </w:pPr>
      <w:r>
        <w:rPr>
          <w:rFonts w:ascii="Arial" w:cs="Arial" w:eastAsia="Arial" w:hAnsi="Arial"/>
          <w:sz w:val="17"/>
          <w:szCs w:val="17"/>
          <w:color w:val="auto"/>
        </w:rPr>
        <w:t>release or permit the subordination of any portion of the Collateral securing the Obligations, or release any Guarantor from its obligations under any Loan Document (other than a disposition permitted hereunder) without the written consent of each Lender</w:t>
      </w:r>
    </w:p>
    <w:p>
      <w:pPr>
        <w:spacing w:after="0" w:line="146" w:lineRule="exact"/>
        <w:rPr>
          <w:rFonts w:ascii="Arial" w:cs="Arial" w:eastAsia="Arial" w:hAnsi="Arial"/>
          <w:sz w:val="17"/>
          <w:szCs w:val="17"/>
          <w:color w:val="auto"/>
        </w:rPr>
      </w:pPr>
    </w:p>
    <w:p>
      <w:pPr>
        <w:jc w:val="both"/>
        <w:ind w:left="660" w:firstLine="644"/>
        <w:spacing w:after="0" w:line="311" w:lineRule="auto"/>
        <w:tabs>
          <w:tab w:leader="none" w:pos="1623" w:val="left"/>
        </w:tabs>
        <w:numPr>
          <w:ilvl w:val="1"/>
          <w:numId w:val="142"/>
        </w:numPr>
        <w:rPr>
          <w:rFonts w:ascii="Arial" w:cs="Arial" w:eastAsia="Arial" w:hAnsi="Arial"/>
          <w:sz w:val="16"/>
          <w:szCs w:val="16"/>
          <w:color w:val="auto"/>
        </w:rPr>
      </w:pPr>
      <w:r>
        <w:rPr>
          <w:rFonts w:ascii="Arial" w:cs="Arial" w:eastAsia="Arial" w:hAnsi="Arial"/>
          <w:sz w:val="16"/>
          <w:szCs w:val="16"/>
          <w:color w:val="auto"/>
        </w:rPr>
        <w:t xml:space="preserve">amend, modify or waive any provision of (x) this </w:t>
      </w:r>
      <w:r>
        <w:rPr>
          <w:rFonts w:ascii="Arial" w:cs="Arial" w:eastAsia="Arial" w:hAnsi="Arial"/>
          <w:sz w:val="16"/>
          <w:szCs w:val="16"/>
          <w:u w:val="single" w:color="auto"/>
          <w:color w:val="auto"/>
        </w:rPr>
        <w:t>Section 8.1</w:t>
      </w:r>
      <w:r>
        <w:rPr>
          <w:rFonts w:ascii="Arial" w:cs="Arial" w:eastAsia="Arial" w:hAnsi="Arial"/>
          <w:sz w:val="16"/>
          <w:szCs w:val="16"/>
          <w:color w:val="auto"/>
        </w:rPr>
        <w:t xml:space="preserve"> or (y) any other provision of any of the Loan Documents pursuant to which the consent or approval of all Lenders, or a number or specified percentage or other required grouping of Lenders holding any portion of the Term Loan, is by the terms of such provision explicitly required, in each case without the written consent of each Lender directly affected thereby;</w:t>
      </w:r>
    </w:p>
    <w:p>
      <w:pPr>
        <w:spacing w:after="0" w:line="148" w:lineRule="exact"/>
        <w:rPr>
          <w:rFonts w:ascii="Arial" w:cs="Arial" w:eastAsia="Arial" w:hAnsi="Arial"/>
          <w:sz w:val="16"/>
          <w:szCs w:val="16"/>
          <w:color w:val="auto"/>
        </w:rPr>
      </w:pPr>
    </w:p>
    <w:p>
      <w:pPr>
        <w:ind w:left="660" w:firstLine="644"/>
        <w:spacing w:after="0" w:line="277" w:lineRule="auto"/>
        <w:tabs>
          <w:tab w:leader="none" w:pos="1669" w:val="left"/>
        </w:tabs>
        <w:numPr>
          <w:ilvl w:val="1"/>
          <w:numId w:val="142"/>
        </w:numPr>
        <w:rPr>
          <w:rFonts w:ascii="Arial" w:cs="Arial" w:eastAsia="Arial" w:hAnsi="Arial"/>
          <w:sz w:val="18"/>
          <w:szCs w:val="18"/>
          <w:color w:val="auto"/>
        </w:rPr>
      </w:pPr>
      <w:r>
        <w:rPr>
          <w:rFonts w:ascii="Arial" w:cs="Arial" w:eastAsia="Arial" w:hAnsi="Arial"/>
          <w:sz w:val="18"/>
          <w:szCs w:val="18"/>
          <w:color w:val="auto"/>
        </w:rPr>
        <w:t>reduce the percentage specified in, or otherwise modify, the definition of Required Lender, in each case without the written consent of each Lender directly affected thereby;</w:t>
      </w:r>
    </w:p>
    <w:p>
      <w:pPr>
        <w:spacing w:after="0" w:line="170" w:lineRule="exact"/>
        <w:rPr>
          <w:rFonts w:ascii="Arial" w:cs="Arial" w:eastAsia="Arial" w:hAnsi="Arial"/>
          <w:sz w:val="18"/>
          <w:szCs w:val="18"/>
          <w:color w:val="auto"/>
        </w:rPr>
      </w:pPr>
    </w:p>
    <w:p>
      <w:pPr>
        <w:jc w:val="both"/>
        <w:ind w:left="660" w:firstLine="644"/>
        <w:spacing w:after="0" w:line="259" w:lineRule="auto"/>
        <w:tabs>
          <w:tab w:leader="none" w:pos="1733" w:val="left"/>
        </w:tabs>
        <w:numPr>
          <w:ilvl w:val="1"/>
          <w:numId w:val="142"/>
        </w:numPr>
        <w:rPr>
          <w:rFonts w:ascii="Arial" w:cs="Arial" w:eastAsia="Arial" w:hAnsi="Arial"/>
          <w:sz w:val="18"/>
          <w:szCs w:val="18"/>
          <w:color w:val="auto"/>
        </w:rPr>
      </w:pPr>
      <w:r>
        <w:rPr>
          <w:rFonts w:ascii="Arial" w:cs="Arial" w:eastAsia="Arial" w:hAnsi="Arial"/>
          <w:sz w:val="18"/>
          <w:szCs w:val="18"/>
          <w:color w:val="auto"/>
        </w:rPr>
        <w:t>release Borrower, any other Loan Party or any other Guarantor from any of their respective obligations hereunder or under any other Loan Document (other than in connection with a disposition permitted hereunder) or consent to the assignment or transfer by Borrower or any other Loan Party of any of their respective rights and obligations under this Agreement or any of the other Loan Documents, in each case without the written consent of each Lender;</w:t>
      </w:r>
    </w:p>
    <w:p>
      <w:pPr>
        <w:spacing w:after="0" w:line="186" w:lineRule="exact"/>
        <w:rPr>
          <w:rFonts w:ascii="Arial" w:cs="Arial" w:eastAsia="Arial" w:hAnsi="Arial"/>
          <w:sz w:val="18"/>
          <w:szCs w:val="18"/>
          <w:color w:val="auto"/>
        </w:rPr>
      </w:pPr>
    </w:p>
    <w:p>
      <w:pPr>
        <w:ind w:left="660" w:firstLine="644"/>
        <w:spacing w:after="0" w:line="308" w:lineRule="auto"/>
        <w:tabs>
          <w:tab w:leader="none" w:pos="1622" w:val="left"/>
        </w:tabs>
        <w:numPr>
          <w:ilvl w:val="1"/>
          <w:numId w:val="142"/>
        </w:numPr>
        <w:rPr>
          <w:rFonts w:ascii="Arial" w:cs="Arial" w:eastAsia="Arial" w:hAnsi="Arial"/>
          <w:sz w:val="17"/>
          <w:szCs w:val="17"/>
          <w:color w:val="auto"/>
        </w:rPr>
      </w:pPr>
      <w:r>
        <w:rPr>
          <w:rFonts w:ascii="Arial" w:cs="Arial" w:eastAsia="Arial" w:hAnsi="Arial"/>
          <w:sz w:val="17"/>
          <w:szCs w:val="17"/>
          <w:color w:val="auto"/>
        </w:rPr>
        <w:t>amend, modify or waive any provision with respect to application of payments so as to alter the pro rata sharing of any payment in respect of the Obligations or proceeds of Collateral, in each case without the written consent of each Lender directly affected thereby;</w:t>
      </w:r>
    </w:p>
    <w:p>
      <w:pPr>
        <w:spacing w:after="0" w:line="362"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36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Presto Credit Agreement</w:t>
            </w:r>
          </w:p>
        </w:tc>
        <w:tc>
          <w:tcPr>
            <w:tcW w:w="7580" w:type="dxa"/>
            <w:vAlign w:val="bottom"/>
            <w:tcBorders>
              <w:bottom w:val="single" w:sz="8" w:color="auto"/>
            </w:tcBorders>
          </w:tcPr>
          <w:p>
            <w:pPr>
              <w:jc w:val="right"/>
              <w:ind w:right="5430"/>
              <w:spacing w:after="0"/>
              <w:rPr>
                <w:sz w:val="20"/>
                <w:szCs w:val="20"/>
                <w:color w:val="auto"/>
              </w:rPr>
            </w:pPr>
            <w:r>
              <w:rPr>
                <w:rFonts w:ascii="Arial" w:cs="Arial" w:eastAsia="Arial" w:hAnsi="Arial"/>
                <w:sz w:val="18"/>
                <w:szCs w:val="18"/>
                <w:color w:val="auto"/>
              </w:rPr>
              <w:t>56</w:t>
            </w:r>
          </w:p>
        </w:tc>
      </w:tr>
    </w:tbl>
    <w:p>
      <w:pPr>
        <w:sectPr>
          <w:pgSz w:w="11900" w:h="16838" w:orient="portrait"/>
          <w:cols w:equalWidth="0" w:num="1">
            <w:col w:w="11240"/>
          </w:cols>
          <w:pgMar w:left="320" w:top="908" w:right="339" w:bottom="1440" w:gutter="0" w:footer="0" w:header="0"/>
        </w:sectPr>
      </w:pPr>
    </w:p>
    <w:bookmarkStart w:id="143" w:name="page144"/>
    <w:bookmarkEnd w:id="143"/>
    <w:p>
      <w:pPr>
        <w:ind w:left="660" w:firstLine="644"/>
        <w:spacing w:after="0" w:line="308" w:lineRule="auto"/>
        <w:tabs>
          <w:tab w:leader="none" w:pos="1573" w:val="left"/>
        </w:tabs>
        <w:numPr>
          <w:ilvl w:val="0"/>
          <w:numId w:val="143"/>
        </w:numPr>
        <w:rPr>
          <w:rFonts w:ascii="Arial" w:cs="Arial" w:eastAsia="Arial" w:hAnsi="Arial"/>
          <w:sz w:val="17"/>
          <w:szCs w:val="17"/>
          <w:color w:val="auto"/>
        </w:rPr>
      </w:pPr>
      <w:r>
        <w:rPr>
          <w:rFonts w:ascii="Arial" w:cs="Arial" w:eastAsia="Arial" w:hAnsi="Arial"/>
          <w:sz w:val="17"/>
          <w:szCs w:val="17"/>
          <w:color w:val="auto"/>
        </w:rPr>
        <w:t>amend, modify or waive any provision in a manner that adversely affects a particular Lender in a manner that is disproportionate in relation to other Lenders, in each case without the written consent of the Lender that is disproportionately affected thereby; and</w:t>
      </w:r>
    </w:p>
    <w:p>
      <w:pPr>
        <w:spacing w:after="0" w:line="146" w:lineRule="exact"/>
        <w:rPr>
          <w:rFonts w:ascii="Arial" w:cs="Arial" w:eastAsia="Arial" w:hAnsi="Arial"/>
          <w:sz w:val="17"/>
          <w:szCs w:val="17"/>
          <w:color w:val="auto"/>
        </w:rPr>
      </w:pPr>
    </w:p>
    <w:p>
      <w:pPr>
        <w:ind w:left="1600" w:hanging="296"/>
        <w:spacing w:after="0"/>
        <w:tabs>
          <w:tab w:leader="none" w:pos="1600" w:val="left"/>
        </w:tabs>
        <w:numPr>
          <w:ilvl w:val="0"/>
          <w:numId w:val="143"/>
        </w:numPr>
        <w:rPr>
          <w:rFonts w:ascii="Arial" w:cs="Arial" w:eastAsia="Arial" w:hAnsi="Arial"/>
          <w:sz w:val="18"/>
          <w:szCs w:val="18"/>
          <w:color w:val="auto"/>
        </w:rPr>
      </w:pPr>
      <w:r>
        <w:rPr>
          <w:rFonts w:ascii="Arial" w:cs="Arial" w:eastAsia="Arial" w:hAnsi="Arial"/>
          <w:sz w:val="18"/>
          <w:szCs w:val="18"/>
          <w:color w:val="auto"/>
        </w:rPr>
        <w:t xml:space="preserve">amend any provision of </w:t>
      </w:r>
      <w:r>
        <w:rPr>
          <w:rFonts w:ascii="Arial" w:cs="Arial" w:eastAsia="Arial" w:hAnsi="Arial"/>
          <w:sz w:val="18"/>
          <w:szCs w:val="18"/>
          <w:u w:val="single" w:color="auto"/>
          <w:color w:val="auto"/>
        </w:rPr>
        <w:t>Section 8.18</w:t>
      </w:r>
      <w:r>
        <w:rPr>
          <w:rFonts w:ascii="Arial" w:cs="Arial" w:eastAsia="Arial" w:hAnsi="Arial"/>
          <w:sz w:val="18"/>
          <w:szCs w:val="18"/>
          <w:color w:val="auto"/>
        </w:rPr>
        <w:t xml:space="preserve"> without the consent of Agent; and</w:t>
      </w:r>
    </w:p>
    <w:p>
      <w:pPr>
        <w:spacing w:after="0" w:line="225" w:lineRule="exact"/>
        <w:rPr>
          <w:sz w:val="20"/>
          <w:szCs w:val="20"/>
          <w:color w:val="auto"/>
        </w:rPr>
      </w:pPr>
    </w:p>
    <w:p>
      <w:pPr>
        <w:ind w:firstLine="656"/>
        <w:spacing w:after="0" w:line="277" w:lineRule="auto"/>
        <w:tabs>
          <w:tab w:leader="none" w:pos="895" w:val="left"/>
        </w:tabs>
        <w:numPr>
          <w:ilvl w:val="0"/>
          <w:numId w:val="144"/>
        </w:numPr>
        <w:rPr>
          <w:rFonts w:ascii="Arial" w:cs="Arial" w:eastAsia="Arial" w:hAnsi="Arial"/>
          <w:sz w:val="18"/>
          <w:szCs w:val="18"/>
          <w:color w:val="auto"/>
        </w:rPr>
      </w:pPr>
      <w:r>
        <w:rPr>
          <w:rFonts w:ascii="Arial" w:cs="Arial" w:eastAsia="Arial" w:hAnsi="Arial"/>
          <w:sz w:val="18"/>
          <w:szCs w:val="18"/>
          <w:color w:val="auto"/>
        </w:rPr>
        <w:t>Any amendment, waiver or consent with respect to this Agreement or any other Loan Document given or made in accordance with this Section shall be effective only in the specific instance and for the specific purpose for which it was given or made.</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8.2 Notices</w:t>
      </w:r>
      <w:r>
        <w:rPr>
          <w:rFonts w:ascii="Arial" w:cs="Arial" w:eastAsia="Arial" w:hAnsi="Arial"/>
          <w:sz w:val="18"/>
          <w:szCs w:val="18"/>
          <w:color w:val="auto"/>
        </w:rPr>
        <w:t>.</w:t>
      </w:r>
    </w:p>
    <w:p>
      <w:pPr>
        <w:spacing w:after="0" w:line="229" w:lineRule="exact"/>
        <w:rPr>
          <w:sz w:val="20"/>
          <w:szCs w:val="20"/>
          <w:color w:val="auto"/>
        </w:rPr>
      </w:pPr>
    </w:p>
    <w:p>
      <w:pPr>
        <w:jc w:val="both"/>
        <w:ind w:firstLine="656"/>
        <w:spacing w:after="0" w:line="296" w:lineRule="auto"/>
        <w:tabs>
          <w:tab w:leader="none" w:pos="885" w:val="left"/>
        </w:tabs>
        <w:numPr>
          <w:ilvl w:val="0"/>
          <w:numId w:val="145"/>
        </w:numPr>
        <w:rPr>
          <w:rFonts w:ascii="Arial" w:cs="Arial" w:eastAsia="Arial" w:hAnsi="Arial"/>
          <w:sz w:val="16"/>
          <w:szCs w:val="16"/>
          <w:color w:val="auto"/>
        </w:rPr>
      </w:pPr>
      <w:r>
        <w:rPr>
          <w:rFonts w:ascii="Arial" w:cs="Arial" w:eastAsia="Arial" w:hAnsi="Arial"/>
          <w:sz w:val="16"/>
          <w:szCs w:val="16"/>
          <w:color w:val="auto"/>
        </w:rPr>
        <w:t xml:space="preserve">All notices, requests and demands to or upon the respective parties hereto to be effective shall be in writing (including by electronic mail), and, unless otherwise expressly provided herein, shall be deemed to have been duly given or made when delivered, or three (3) Business Days after being deposited in the mail, postage prepaid, or one (1) Business Day after being deposited with an overnight courier, or, in the case of electronic mail notice, pursuant to clause (c) below,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each notice or communication delivered by mail must also be accompanied by delivery via electronic mail in accordance with clause (c) below, in each case addressed as follows or to such other address as may be hereafter notified by the respective parties hereto:</w:t>
      </w:r>
    </w:p>
    <w:p>
      <w:pPr>
        <w:sectPr>
          <w:pgSz w:w="11900" w:h="16838" w:orient="portrait"/>
          <w:cols w:equalWidth="0" w:num="1">
            <w:col w:w="11240"/>
          </w:cols>
          <w:pgMar w:left="320" w:top="908" w:right="339" w:bottom="1440" w:gutter="0" w:footer="0" w:header="0"/>
        </w:sectPr>
      </w:pPr>
    </w:p>
    <w:p>
      <w:pPr>
        <w:spacing w:after="0" w:line="161" w:lineRule="exact"/>
        <w:rPr>
          <w:sz w:val="20"/>
          <w:szCs w:val="20"/>
          <w:color w:val="auto"/>
        </w:rPr>
      </w:pPr>
    </w:p>
    <w:p>
      <w:pPr>
        <w:spacing w:after="0"/>
        <w:rPr>
          <w:sz w:val="20"/>
          <w:szCs w:val="20"/>
          <w:color w:val="auto"/>
        </w:rPr>
      </w:pPr>
      <w:r>
        <w:rPr>
          <w:rFonts w:ascii="Arial" w:cs="Arial" w:eastAsia="Arial" w:hAnsi="Arial"/>
          <w:sz w:val="17"/>
          <w:szCs w:val="17"/>
          <w:color w:val="auto"/>
        </w:rPr>
        <w:t>Borrower:</w:t>
      </w:r>
    </w:p>
    <w:p>
      <w:pPr>
        <w:spacing w:after="0" w:line="20" w:lineRule="exact"/>
        <w:rPr>
          <w:sz w:val="20"/>
          <w:szCs w:val="20"/>
          <w:color w:val="auto"/>
        </w:rPr>
      </w:pPr>
      <w:r>
        <w:rPr>
          <w:sz w:val="20"/>
          <w:szCs w:val="20"/>
          <w:color w:val="auto"/>
        </w:rPr>
        <w:br w:type="column"/>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color w:val="auto"/>
        </w:rPr>
        <w:t>E La Carte,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816 Hamilton St.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Redwood City, CA 94063</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Attention: Chief Financial Officer</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E-Mail: ashish@presto.com</w:t>
      </w:r>
    </w:p>
    <w:p>
      <w:pPr>
        <w:spacing w:after="0" w:line="200" w:lineRule="exact"/>
        <w:rPr>
          <w:sz w:val="20"/>
          <w:szCs w:val="20"/>
          <w:color w:val="auto"/>
        </w:rPr>
      </w:pPr>
    </w:p>
    <w:p>
      <w:pPr>
        <w:sectPr>
          <w:pgSz w:w="11900" w:h="16838" w:orient="portrait"/>
          <w:cols w:equalWidth="0" w:num="2">
            <w:col w:w="980" w:space="720"/>
            <w:col w:w="9540"/>
          </w:cols>
          <w:pgMar w:left="320" w:top="908" w:right="339" w:bottom="1440" w:gutter="0" w:footer="0" w:header="0"/>
          <w:type w:val="continuous"/>
        </w:sectPr>
      </w:pPr>
    </w:p>
    <w:p>
      <w:pPr>
        <w:spacing w:after="0" w:line="11" w:lineRule="exact"/>
        <w:rPr>
          <w:sz w:val="20"/>
          <w:szCs w:val="20"/>
          <w:color w:val="auto"/>
        </w:rPr>
      </w:pPr>
    </w:p>
    <w:p>
      <w:pPr>
        <w:spacing w:after="0"/>
        <w:rPr>
          <w:sz w:val="20"/>
          <w:szCs w:val="20"/>
          <w:color w:val="auto"/>
        </w:rPr>
      </w:pPr>
      <w:r>
        <w:rPr>
          <w:rFonts w:ascii="Arial" w:cs="Arial" w:eastAsia="Arial" w:hAnsi="Arial"/>
          <w:sz w:val="16"/>
          <w:szCs w:val="16"/>
          <w:color w:val="auto"/>
        </w:rPr>
        <w:t>Parent: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Presto Automation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816 Hamilton St.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Redwood City, CA 94063</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Attention: Chief Financial Officer</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E-Mail: ashish@presto.com</w:t>
      </w:r>
    </w:p>
    <w:p>
      <w:pPr>
        <w:spacing w:after="0" w:line="200" w:lineRule="exact"/>
        <w:rPr>
          <w:sz w:val="20"/>
          <w:szCs w:val="20"/>
          <w:color w:val="auto"/>
        </w:rPr>
      </w:pPr>
    </w:p>
    <w:p>
      <w:pPr>
        <w:sectPr>
          <w:pgSz w:w="11900" w:h="16838" w:orient="portrait"/>
          <w:cols w:equalWidth="0" w:num="2">
            <w:col w:w="980" w:space="720"/>
            <w:col w:w="9540"/>
          </w:cols>
          <w:pgMar w:left="320" w:top="908" w:right="339" w:bottom="1440" w:gutter="0" w:footer="0" w:header="0"/>
          <w:type w:val="continuous"/>
        </w:sectPr>
      </w:pPr>
    </w:p>
    <w:p>
      <w:pPr>
        <w:spacing w:after="0" w:line="11" w:lineRule="exact"/>
        <w:rPr>
          <w:sz w:val="20"/>
          <w:szCs w:val="20"/>
          <w:color w:val="auto"/>
        </w:rPr>
      </w:pPr>
    </w:p>
    <w:p>
      <w:pPr>
        <w:ind w:right="60"/>
        <w:spacing w:after="0" w:line="316" w:lineRule="auto"/>
        <w:rPr>
          <w:sz w:val="20"/>
          <w:szCs w:val="20"/>
          <w:color w:val="auto"/>
        </w:rPr>
      </w:pPr>
      <w:r>
        <w:rPr>
          <w:rFonts w:ascii="Arial" w:cs="Arial" w:eastAsia="Arial" w:hAnsi="Arial"/>
          <w:sz w:val="15"/>
          <w:szCs w:val="15"/>
          <w:color w:val="auto"/>
        </w:rPr>
        <w:t>in each case: with a copy to (which shall not be deemed to be notice)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Fenwick &amp;West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801 California St.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Mountain View, CA 94041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Attention: Faisal Rashid</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Telephone No.: 310-434-5402</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E-Mail: Faisal Rashid</w:t>
      </w:r>
    </w:p>
    <w:p>
      <w:pPr>
        <w:spacing w:after="0" w:line="210" w:lineRule="exact"/>
        <w:rPr>
          <w:sz w:val="20"/>
          <w:szCs w:val="20"/>
          <w:color w:val="auto"/>
        </w:rPr>
      </w:pPr>
    </w:p>
    <w:p>
      <w:pPr>
        <w:sectPr>
          <w:pgSz w:w="11900" w:h="16838" w:orient="portrait"/>
          <w:cols w:equalWidth="0" w:num="2">
            <w:col w:w="980" w:space="720"/>
            <w:col w:w="9540"/>
          </w:cols>
          <w:pgMar w:left="320" w:top="908" w:right="339" w:bottom="1440" w:gutter="0" w:footer="0" w:header="0"/>
          <w:type w:val="continuous"/>
        </w:sectPr>
      </w:pPr>
    </w:p>
    <w:p>
      <w:pPr>
        <w:spacing w:after="0"/>
        <w:rPr>
          <w:sz w:val="20"/>
          <w:szCs w:val="20"/>
          <w:color w:val="auto"/>
        </w:rPr>
      </w:pPr>
      <w:r>
        <w:rPr>
          <w:rFonts w:ascii="Arial" w:cs="Arial" w:eastAsia="Arial" w:hAnsi="Arial"/>
          <w:sz w:val="17"/>
          <w:szCs w:val="17"/>
          <w:color w:val="auto"/>
        </w:rPr>
        <w:t>Agent: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Metropolitan Partners Group Administration, LLC</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850 Third Avenue, 18th Floor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NY 10022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Attention: Paul Lisiak</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Telephone No.: (212) 561-1250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E-Mail: plisiak@metpg.com</w:t>
      </w:r>
    </w:p>
    <w:p>
      <w:pPr>
        <w:spacing w:after="0" w:line="200" w:lineRule="exact"/>
        <w:rPr>
          <w:sz w:val="20"/>
          <w:szCs w:val="20"/>
          <w:color w:val="auto"/>
        </w:rPr>
      </w:pPr>
    </w:p>
    <w:p>
      <w:pPr>
        <w:sectPr>
          <w:pgSz w:w="11900" w:h="16838" w:orient="portrait"/>
          <w:cols w:equalWidth="0" w:num="2">
            <w:col w:w="980" w:space="720"/>
            <w:col w:w="9540"/>
          </w:cols>
          <w:pgMar w:left="320" w:top="908" w:right="339" w:bottom="1440" w:gutter="0" w:footer="0" w:header="0"/>
          <w:type w:val="continuous"/>
        </w:sectPr>
      </w:pPr>
    </w:p>
    <w:p>
      <w:pPr>
        <w:spacing w:after="0" w:line="11" w:lineRule="exact"/>
        <w:rPr>
          <w:sz w:val="20"/>
          <w:szCs w:val="20"/>
          <w:color w:val="auto"/>
        </w:rPr>
      </w:pPr>
    </w:p>
    <w:p>
      <w:pPr>
        <w:ind w:right="80"/>
        <w:spacing w:after="0" w:line="275" w:lineRule="auto"/>
        <w:rPr>
          <w:sz w:val="20"/>
          <w:szCs w:val="20"/>
          <w:color w:val="auto"/>
        </w:rPr>
      </w:pPr>
      <w:r>
        <w:rPr>
          <w:rFonts w:ascii="Arial" w:cs="Arial" w:eastAsia="Arial" w:hAnsi="Arial"/>
          <w:sz w:val="17"/>
          <w:szCs w:val="17"/>
          <w:color w:val="auto"/>
        </w:rPr>
        <w:t>with a copy: to (which shall not be deemed to be notice)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K&amp;L Gates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599 Lexington Avenue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NY 10022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Attention: Aaron S. Rothman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Telephone No.: 704-331-7446</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E-Mail: aaron.rothman@klgates.com</w:t>
      </w:r>
    </w:p>
    <w:p>
      <w:pPr>
        <w:spacing w:after="0" w:line="200" w:lineRule="exact"/>
        <w:rPr>
          <w:sz w:val="20"/>
          <w:szCs w:val="20"/>
          <w:color w:val="auto"/>
        </w:rPr>
      </w:pPr>
    </w:p>
    <w:p>
      <w:pPr>
        <w:sectPr>
          <w:pgSz w:w="11900" w:h="16838" w:orient="portrait"/>
          <w:cols w:equalWidth="0" w:num="2">
            <w:col w:w="980" w:space="720"/>
            <w:col w:w="9540"/>
          </w:cols>
          <w:pgMar w:left="320" w:top="908" w:right="339" w:bottom="1440" w:gutter="0" w:footer="0" w:header="0"/>
          <w:type w:val="continuous"/>
        </w:sectPr>
      </w:pPr>
    </w:p>
    <w:p>
      <w:pPr>
        <w:spacing w:after="0" w:line="3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any notice, request or demand to or upon Agent shall not be effective until received.</w:t>
      </w:r>
    </w:p>
    <w:p>
      <w:pPr>
        <w:spacing w:after="0" w:line="200" w:lineRule="exact"/>
        <w:rPr>
          <w:sz w:val="20"/>
          <w:szCs w:val="20"/>
          <w:color w:val="auto"/>
        </w:rPr>
      </w:pP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36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Presto Credit Agreement</w:t>
            </w:r>
          </w:p>
        </w:tc>
        <w:tc>
          <w:tcPr>
            <w:tcW w:w="7580" w:type="dxa"/>
            <w:vAlign w:val="bottom"/>
            <w:tcBorders>
              <w:bottom w:val="single" w:sz="8" w:color="auto"/>
            </w:tcBorders>
          </w:tcPr>
          <w:p>
            <w:pPr>
              <w:jc w:val="right"/>
              <w:ind w:right="5430"/>
              <w:spacing w:after="0"/>
              <w:rPr>
                <w:sz w:val="20"/>
                <w:szCs w:val="20"/>
                <w:color w:val="auto"/>
              </w:rPr>
            </w:pPr>
            <w:r>
              <w:rPr>
                <w:rFonts w:ascii="Arial" w:cs="Arial" w:eastAsia="Arial" w:hAnsi="Arial"/>
                <w:sz w:val="18"/>
                <w:szCs w:val="18"/>
                <w:color w:val="auto"/>
              </w:rPr>
              <w:t>57</w:t>
            </w:r>
          </w:p>
        </w:tc>
      </w:tr>
    </w:tbl>
    <w:p>
      <w:pPr>
        <w:sectPr>
          <w:pgSz w:w="11900" w:h="16838" w:orient="portrait"/>
          <w:cols w:equalWidth="0" w:num="1">
            <w:col w:w="11240"/>
          </w:cols>
          <w:pgMar w:left="320" w:top="908" w:right="339" w:bottom="1440" w:gutter="0" w:footer="0" w:header="0"/>
          <w:type w:val="continuous"/>
        </w:sectPr>
      </w:pPr>
    </w:p>
    <w:bookmarkStart w:id="144" w:name="page145"/>
    <w:bookmarkEnd w:id="144"/>
    <w:p>
      <w:pPr>
        <w:ind w:firstLine="656"/>
        <w:spacing w:after="0" w:line="277" w:lineRule="auto"/>
        <w:tabs>
          <w:tab w:leader="none" w:pos="912" w:val="left"/>
        </w:tabs>
        <w:numPr>
          <w:ilvl w:val="0"/>
          <w:numId w:val="146"/>
        </w:numPr>
        <w:rPr>
          <w:rFonts w:ascii="Arial" w:cs="Arial" w:eastAsia="Arial" w:hAnsi="Arial"/>
          <w:sz w:val="18"/>
          <w:szCs w:val="18"/>
          <w:color w:val="auto"/>
        </w:rPr>
      </w:pPr>
      <w:r>
        <w:rPr>
          <w:rFonts w:ascii="Arial" w:cs="Arial" w:eastAsia="Arial" w:hAnsi="Arial"/>
          <w:sz w:val="18"/>
          <w:szCs w:val="18"/>
          <w:color w:val="auto"/>
        </w:rPr>
        <w:t>Any party hereto may change its address or electronic mail address for notices and other communications hereunder by notice to the other parties hereto.</w:t>
      </w:r>
    </w:p>
    <w:p>
      <w:pPr>
        <w:spacing w:after="0" w:line="170" w:lineRule="exact"/>
        <w:rPr>
          <w:rFonts w:ascii="Arial" w:cs="Arial" w:eastAsia="Arial" w:hAnsi="Arial"/>
          <w:sz w:val="18"/>
          <w:szCs w:val="18"/>
          <w:color w:val="auto"/>
        </w:rPr>
      </w:pPr>
    </w:p>
    <w:p>
      <w:pPr>
        <w:jc w:val="both"/>
        <w:ind w:firstLine="656"/>
        <w:spacing w:after="0" w:line="287" w:lineRule="auto"/>
        <w:tabs>
          <w:tab w:leader="none" w:pos="898" w:val="left"/>
        </w:tabs>
        <w:numPr>
          <w:ilvl w:val="0"/>
          <w:numId w:val="146"/>
        </w:numPr>
        <w:rPr>
          <w:rFonts w:ascii="Arial" w:cs="Arial" w:eastAsia="Arial" w:hAnsi="Arial"/>
          <w:sz w:val="16"/>
          <w:szCs w:val="16"/>
          <w:color w:val="auto"/>
        </w:rPr>
      </w:pPr>
      <w:r>
        <w:rPr>
          <w:rFonts w:ascii="Arial" w:cs="Arial" w:eastAsia="Arial" w:hAnsi="Arial"/>
          <w:sz w:val="16"/>
          <w:szCs w:val="16"/>
          <w:color w:val="auto"/>
        </w:rPr>
        <w:t xml:space="preserve">Notices and other communications to Agent or any Lender hereunder and required to be delivered pursuant to </w:t>
      </w:r>
      <w:r>
        <w:rPr>
          <w:rFonts w:ascii="Arial" w:cs="Arial" w:eastAsia="Arial" w:hAnsi="Arial"/>
          <w:sz w:val="16"/>
          <w:szCs w:val="16"/>
          <w:u w:val="single" w:color="auto"/>
          <w:color w:val="auto"/>
        </w:rPr>
        <w:t>Section 5.1</w:t>
      </w:r>
      <w:r>
        <w:rPr>
          <w:rFonts w:ascii="Arial" w:cs="Arial" w:eastAsia="Arial" w:hAnsi="Arial"/>
          <w:sz w:val="16"/>
          <w:szCs w:val="16"/>
          <w:color w:val="auto"/>
        </w:rPr>
        <w:t xml:space="preserve"> may be delivered or furnished by electronic communication (including e-mail and Internet or intranet web sites) pursuant to procedures approved by Agent. Agent and the Loan Parties may, in their discretion, agree in a separate writing to accept notices and other communications to them hereunder by electronic communications pursuant to procedures approved by it,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approval of such procedures may be limited to particular notices or communications. Unless Agent otherwise prescribes, (i) notices and other communications sent to an e-mail address shall be deemed received upon the sender’s receipt of an acknowledgement from the intended recipient (such as by the “return receipt requested” function, as available, return e-mail or other written acknowledgement),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(x) if no such acknowledgment is provided, such notice or communication shall be deemed received the next Business Day after being delivered or (y) if such notice or other communication is not sent during the normal business hours of the recipient, such notice or communication shall be deemed to have been sent at the opening of business on the next Business Day for the recipient, and (ii) notices or communications posted to an Internet or intranet web site shall be deemed received upon the deemed receipt by the intended recipient at its e-mail address as described in the foregoing clause (i) of notification that such notice or communication is available and identifying the web site address therefor.</w:t>
      </w:r>
    </w:p>
    <w:p>
      <w:pPr>
        <w:spacing w:after="0" w:line="168" w:lineRule="exact"/>
        <w:rPr>
          <w:sz w:val="20"/>
          <w:szCs w:val="20"/>
          <w:color w:val="auto"/>
        </w:rPr>
      </w:pPr>
    </w:p>
    <w:p>
      <w:pPr>
        <w:jc w:val="both"/>
        <w:ind w:firstLine="648"/>
        <w:spacing w:after="0" w:line="292" w:lineRule="auto"/>
        <w:rPr>
          <w:sz w:val="20"/>
          <w:szCs w:val="20"/>
          <w:color w:val="auto"/>
        </w:rPr>
      </w:pPr>
      <w:r>
        <w:rPr>
          <w:rFonts w:ascii="Arial" w:cs="Arial" w:eastAsia="Arial" w:hAnsi="Arial"/>
          <w:sz w:val="16"/>
          <w:szCs w:val="16"/>
          <w:b w:val="1"/>
          <w:bCs w:val="1"/>
          <w:color w:val="auto"/>
        </w:rPr>
        <w:t>8.3 No Waiver; Cumulative Remedies</w:t>
      </w:r>
      <w:r>
        <w:rPr>
          <w:rFonts w:ascii="Arial" w:cs="Arial" w:eastAsia="Arial" w:hAnsi="Arial"/>
          <w:sz w:val="16"/>
          <w:szCs w:val="16"/>
          <w:color w:val="auto"/>
        </w:rPr>
        <w:t>. No failure to exercise and no delay in exercising, on the part of Agent or any Lender, any right, remedy,</w:t>
      </w:r>
      <w:r>
        <w:rPr>
          <w:rFonts w:ascii="Arial" w:cs="Arial" w:eastAsia="Arial" w:hAnsi="Arial"/>
          <w:sz w:val="16"/>
          <w:szCs w:val="16"/>
          <w:b w:val="1"/>
          <w:bCs w:val="1"/>
          <w:color w:val="auto"/>
        </w:rPr>
        <w:t xml:space="preserve"> </w:t>
      </w:r>
      <w:r>
        <w:rPr>
          <w:rFonts w:ascii="Arial" w:cs="Arial" w:eastAsia="Arial" w:hAnsi="Arial"/>
          <w:sz w:val="16"/>
          <w:szCs w:val="16"/>
          <w:color w:val="auto"/>
        </w:rPr>
        <w:t>power or privilege hereunder or under the other Loan Documents shall operate as a waiver thereof or acquiescence thereto; nor shall any single or partial exercise of any right, remedy, power or privilege hereunder preclude any other or further exercise thereof or the exercise of any other right, remedy, power or privilege. The rights, remedies, powers and privileges herein provided are cumulative and not exclusive of any rights, remedies, powers, privileges and remedies provided by virtue of any statute or rule of Law or in any of the other Loan Documents. Any forbearance or failure to exercise, and any delay in exercising, any right, power, privilege or remedy hereunder or any other Loan Document shall not impair any such right, power, privilege or remedy or be construed to be a waiver thereof, nor shall it preclude the further exercise of any such right, power, privilege or remedy.</w:t>
      </w:r>
    </w:p>
    <w:p>
      <w:pPr>
        <w:spacing w:after="0" w:line="161"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b w:val="1"/>
          <w:bCs w:val="1"/>
          <w:color w:val="auto"/>
        </w:rPr>
        <w:t>8.4 Survival of Representations and Warranties</w:t>
      </w:r>
      <w:r>
        <w:rPr>
          <w:rFonts w:ascii="Arial" w:cs="Arial" w:eastAsia="Arial" w:hAnsi="Arial"/>
          <w:sz w:val="18"/>
          <w:szCs w:val="18"/>
          <w:color w:val="auto"/>
        </w:rPr>
        <w:t>. All representations and warranties made hereunder, in the other Loan Documents and in any</w:t>
      </w:r>
      <w:r>
        <w:rPr>
          <w:rFonts w:ascii="Arial" w:cs="Arial" w:eastAsia="Arial" w:hAnsi="Arial"/>
          <w:sz w:val="18"/>
          <w:szCs w:val="18"/>
          <w:b w:val="1"/>
          <w:bCs w:val="1"/>
          <w:color w:val="auto"/>
        </w:rPr>
        <w:t xml:space="preserve"> </w:t>
      </w:r>
      <w:r>
        <w:rPr>
          <w:rFonts w:ascii="Arial" w:cs="Arial" w:eastAsia="Arial" w:hAnsi="Arial"/>
          <w:sz w:val="18"/>
          <w:szCs w:val="18"/>
          <w:color w:val="auto"/>
        </w:rPr>
        <w:t>document, certificate or statement delivered pursuant hereto or in connection herewith shall survive the execution and delivery of this Agreement and the other Loan Documents and the making of the Term Loan and other extensions of credit hereunder.</w:t>
      </w:r>
    </w:p>
    <w:p>
      <w:pPr>
        <w:spacing w:after="0" w:line="396"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36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Presto Credit Agreement</w:t>
            </w:r>
          </w:p>
        </w:tc>
        <w:tc>
          <w:tcPr>
            <w:tcW w:w="7580" w:type="dxa"/>
            <w:vAlign w:val="bottom"/>
            <w:tcBorders>
              <w:bottom w:val="single" w:sz="8" w:color="auto"/>
            </w:tcBorders>
          </w:tcPr>
          <w:p>
            <w:pPr>
              <w:jc w:val="right"/>
              <w:ind w:right="5430"/>
              <w:spacing w:after="0"/>
              <w:rPr>
                <w:sz w:val="20"/>
                <w:szCs w:val="20"/>
                <w:color w:val="auto"/>
              </w:rPr>
            </w:pPr>
            <w:r>
              <w:rPr>
                <w:rFonts w:ascii="Arial" w:cs="Arial" w:eastAsia="Arial" w:hAnsi="Arial"/>
                <w:sz w:val="18"/>
                <w:szCs w:val="18"/>
                <w:color w:val="auto"/>
              </w:rPr>
              <w:t>58</w:t>
            </w:r>
          </w:p>
        </w:tc>
      </w:tr>
    </w:tbl>
    <w:p>
      <w:pPr>
        <w:sectPr>
          <w:pgSz w:w="11900" w:h="16838" w:orient="portrait"/>
          <w:cols w:equalWidth="0" w:num="1">
            <w:col w:w="11240"/>
          </w:cols>
          <w:pgMar w:left="320" w:top="908" w:right="339" w:bottom="1440" w:gutter="0" w:footer="0" w:header="0"/>
        </w:sectPr>
      </w:pPr>
    </w:p>
    <w:bookmarkStart w:id="145" w:name="page146"/>
    <w:bookmarkEnd w:id="145"/>
    <w:p>
      <w:pPr>
        <w:ind w:left="660"/>
        <w:spacing w:after="0"/>
        <w:rPr>
          <w:sz w:val="20"/>
          <w:szCs w:val="20"/>
          <w:color w:val="auto"/>
        </w:rPr>
      </w:pPr>
      <w:r>
        <w:rPr>
          <w:rFonts w:ascii="Arial" w:cs="Arial" w:eastAsia="Arial" w:hAnsi="Arial"/>
          <w:sz w:val="18"/>
          <w:szCs w:val="18"/>
          <w:b w:val="1"/>
          <w:bCs w:val="1"/>
          <w:color w:val="auto"/>
        </w:rPr>
        <w:t>8.5 Expenses; Indemnity; Damage Waiver</w:t>
      </w:r>
      <w:r>
        <w:rPr>
          <w:rFonts w:ascii="Arial" w:cs="Arial" w:eastAsia="Arial" w:hAnsi="Arial"/>
          <w:sz w:val="18"/>
          <w:szCs w:val="18"/>
          <w:color w:val="auto"/>
        </w:rPr>
        <w:t>.</w:t>
      </w:r>
    </w:p>
    <w:p>
      <w:pPr>
        <w:spacing w:after="0" w:line="229" w:lineRule="exact"/>
        <w:rPr>
          <w:sz w:val="20"/>
          <w:szCs w:val="20"/>
          <w:color w:val="auto"/>
        </w:rPr>
      </w:pPr>
    </w:p>
    <w:p>
      <w:pPr>
        <w:ind w:left="900" w:hanging="244"/>
        <w:spacing w:after="0"/>
        <w:tabs>
          <w:tab w:leader="none" w:pos="900" w:val="left"/>
        </w:tabs>
        <w:numPr>
          <w:ilvl w:val="0"/>
          <w:numId w:val="147"/>
        </w:numPr>
        <w:rPr>
          <w:rFonts w:ascii="Arial" w:cs="Arial" w:eastAsia="Arial" w:hAnsi="Arial"/>
          <w:sz w:val="18"/>
          <w:szCs w:val="18"/>
          <w:color w:val="auto"/>
        </w:rPr>
      </w:pPr>
      <w:r>
        <w:rPr>
          <w:rFonts w:ascii="Arial" w:cs="Arial" w:eastAsia="Arial" w:hAnsi="Arial"/>
          <w:sz w:val="18"/>
          <w:szCs w:val="18"/>
          <w:u w:val="single" w:color="auto"/>
          <w:color w:val="auto"/>
        </w:rPr>
        <w:t>Costs and Expenses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left="660" w:firstLine="644"/>
        <w:spacing w:after="0" w:line="273" w:lineRule="auto"/>
        <w:tabs>
          <w:tab w:leader="none" w:pos="1536" w:val="left"/>
        </w:tabs>
        <w:numPr>
          <w:ilvl w:val="1"/>
          <w:numId w:val="147"/>
        </w:numPr>
        <w:rPr>
          <w:rFonts w:ascii="Arial" w:cs="Arial" w:eastAsia="Arial" w:hAnsi="Arial"/>
          <w:sz w:val="17"/>
          <w:szCs w:val="17"/>
          <w:color w:val="auto"/>
        </w:rPr>
      </w:pPr>
      <w:r>
        <w:rPr>
          <w:rFonts w:ascii="Arial" w:cs="Arial" w:eastAsia="Arial" w:hAnsi="Arial"/>
          <w:sz w:val="17"/>
          <w:szCs w:val="17"/>
          <w:color w:val="auto"/>
        </w:rPr>
        <w:t>Except as otherwise provided herein, the Loan Parties, jointly and severally, shall pay the reasonable and documented out-of-pocket transaction and diligence expenses of Agent and the Lenders (including the reasonable and documented out-of-pocket fees, charges and disbursements of any counsel for Agent or any Lender and of any consultants to the Lender) in connection with the initial preparation, negotiation, execution and delivery of the Loan Documents and all actual fees, costs and reasonable and documented expenses of creating and perfecting Liens in favor of Agent, for the benefit of Lenders, including filing and recording fees, expenses and Other Taxes, search fees, title insurance premiums and reasonable and documented fees, expenses and disbursements of counsel to Agent; and</w:t>
      </w:r>
    </w:p>
    <w:p>
      <w:pPr>
        <w:spacing w:after="0" w:line="177" w:lineRule="exact"/>
        <w:rPr>
          <w:rFonts w:ascii="Arial" w:cs="Arial" w:eastAsia="Arial" w:hAnsi="Arial"/>
          <w:sz w:val="17"/>
          <w:szCs w:val="17"/>
          <w:color w:val="auto"/>
        </w:rPr>
      </w:pPr>
    </w:p>
    <w:p>
      <w:pPr>
        <w:jc w:val="both"/>
        <w:ind w:left="660" w:firstLine="644"/>
        <w:spacing w:after="0" w:line="267" w:lineRule="auto"/>
        <w:tabs>
          <w:tab w:leader="none" w:pos="1594" w:val="left"/>
        </w:tabs>
        <w:numPr>
          <w:ilvl w:val="1"/>
          <w:numId w:val="147"/>
        </w:numPr>
        <w:rPr>
          <w:rFonts w:ascii="Arial" w:cs="Arial" w:eastAsia="Arial" w:hAnsi="Arial"/>
          <w:sz w:val="17"/>
          <w:szCs w:val="17"/>
          <w:color w:val="auto"/>
        </w:rPr>
      </w:pPr>
      <w:r>
        <w:rPr>
          <w:rFonts w:ascii="Arial" w:cs="Arial" w:eastAsia="Arial" w:hAnsi="Arial"/>
          <w:sz w:val="17"/>
          <w:szCs w:val="17"/>
          <w:color w:val="auto"/>
        </w:rPr>
        <w:t xml:space="preserve">Loan Parties, jointly and severally, shall pay (a) all reasonable and documented out-of-pocket expenses incurred by Agent or any Lender (including the reasonable and documented out-of-pocket fees, charges and disbursements of any counsel for Agent or any Lender) in connection with the administration of this Agreement and the other Loan Documents (including all reasonable and documented out-of-pocket expenses related to the board observation rights set forth in </w:t>
      </w:r>
      <w:r>
        <w:rPr>
          <w:rFonts w:ascii="Arial" w:cs="Arial" w:eastAsia="Arial" w:hAnsi="Arial"/>
          <w:sz w:val="17"/>
          <w:szCs w:val="17"/>
          <w:u w:val="single" w:color="auto"/>
          <w:color w:val="auto"/>
        </w:rPr>
        <w:t>Section 5.16</w:t>
      </w:r>
      <w:r>
        <w:rPr>
          <w:rFonts w:ascii="Arial" w:cs="Arial" w:eastAsia="Arial" w:hAnsi="Arial"/>
          <w:sz w:val="17"/>
          <w:szCs w:val="17"/>
          <w:color w:val="auto"/>
        </w:rPr>
        <w:t>), or any amendments, modifications or waivers of the provisions hereof or thereof (whether or not the transactions contemplated hereby or thereby shall be consummated), (b) all Agent’s actual costs and reasonable and documented fees, expenses for, and disbursements of any of Agent’s, auditors, accountants, consultants or appraisers whether internal or external (subject to the limitations agreed to herein), and all reasonable and documented out-of-pocket attorneys’ fees, costs, expenses and disbursements incurred by Agent, (c) all actual costs and reasonable and documented out-of-pocket expenses (including the reasonable and documented out-of-pocket fees, expenses and disbursements of any appraisers, consultants, advisors and agents employed or retained by Agent and its counsel (subject to the limitations agreed to herein)) in connection with the custody or preservation of any of the Collateral, (d) all reasonable and documented out of pocket expenses incurred by Agent or any Lender (including the fees, charges and disbursements of any counsel for Agent or any Lender) in connection with review of the insurance policies maintained by the Loan Parties, limited to a maximum of one (1) review per Fiscal Year, and (e) all out-of-pocket expenses incurred by Agent or any Lender (including the fees, charges and disbursements of any counsel for Agent or any Lender), in connection with the enforcement, collection or protection of its rights (i) in connection with this Agreement and the other Loan Documents, including its rights under this Section, or (ii) in connection with the Term Loan made hereunder, including all such out of pocket expenses incurred during any or in connection with, of negotiation of, any refinancing or restructuring of the credit arrangements provided hereunder in the nature of a “work out” or pursuant to any insolvency or bankruptcy cases or proceedings, or any other proceeding under a Debtor Relief Law.</w:t>
      </w:r>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36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Presto Credit Agreement</w:t>
            </w:r>
          </w:p>
        </w:tc>
        <w:tc>
          <w:tcPr>
            <w:tcW w:w="7580" w:type="dxa"/>
            <w:vAlign w:val="bottom"/>
            <w:tcBorders>
              <w:bottom w:val="single" w:sz="8" w:color="auto"/>
            </w:tcBorders>
          </w:tcPr>
          <w:p>
            <w:pPr>
              <w:jc w:val="right"/>
              <w:ind w:right="5430"/>
              <w:spacing w:after="0"/>
              <w:rPr>
                <w:sz w:val="20"/>
                <w:szCs w:val="20"/>
                <w:color w:val="auto"/>
              </w:rPr>
            </w:pPr>
            <w:r>
              <w:rPr>
                <w:rFonts w:ascii="Arial" w:cs="Arial" w:eastAsia="Arial" w:hAnsi="Arial"/>
                <w:sz w:val="18"/>
                <w:szCs w:val="18"/>
                <w:color w:val="auto"/>
              </w:rPr>
              <w:t>59</w:t>
            </w:r>
          </w:p>
        </w:tc>
      </w:tr>
    </w:tbl>
    <w:p>
      <w:pPr>
        <w:sectPr>
          <w:pgSz w:w="11900" w:h="16838" w:orient="portrait"/>
          <w:cols w:equalWidth="0" w:num="1">
            <w:col w:w="11240"/>
          </w:cols>
          <w:pgMar w:left="320" w:top="904" w:right="339" w:bottom="1440" w:gutter="0" w:footer="0" w:header="0"/>
        </w:sectPr>
      </w:pPr>
    </w:p>
    <w:bookmarkStart w:id="146" w:name="page147"/>
    <w:bookmarkEnd w:id="146"/>
    <w:p>
      <w:pPr>
        <w:jc w:val="both"/>
        <w:ind w:firstLine="656"/>
        <w:spacing w:after="0" w:line="268" w:lineRule="auto"/>
        <w:tabs>
          <w:tab w:leader="none" w:pos="903" w:val="left"/>
        </w:tabs>
        <w:numPr>
          <w:ilvl w:val="0"/>
          <w:numId w:val="148"/>
        </w:numPr>
        <w:rPr>
          <w:rFonts w:ascii="Arial" w:cs="Arial" w:eastAsia="Arial" w:hAnsi="Arial"/>
          <w:sz w:val="17"/>
          <w:szCs w:val="17"/>
          <w:color w:val="auto"/>
        </w:rPr>
      </w:pPr>
      <w:r>
        <w:rPr>
          <w:rFonts w:ascii="Arial" w:cs="Arial" w:eastAsia="Arial" w:hAnsi="Arial"/>
          <w:sz w:val="17"/>
          <w:szCs w:val="17"/>
          <w:u w:val="single" w:color="auto"/>
          <w:color w:val="auto"/>
        </w:rPr>
        <w:t>Indemnification by Borrower</w:t>
      </w:r>
      <w:r>
        <w:rPr>
          <w:rFonts w:ascii="Arial" w:cs="Arial" w:eastAsia="Arial" w:hAnsi="Arial"/>
          <w:sz w:val="17"/>
          <w:szCs w:val="17"/>
          <w:color w:val="auto"/>
        </w:rPr>
        <w:t xml:space="preserve">. Except as set forth in </w:t>
      </w:r>
      <w:r>
        <w:rPr>
          <w:rFonts w:ascii="Arial" w:cs="Arial" w:eastAsia="Arial" w:hAnsi="Arial"/>
          <w:sz w:val="17"/>
          <w:szCs w:val="17"/>
          <w:u w:val="single" w:color="auto"/>
          <w:color w:val="auto"/>
        </w:rPr>
        <w:t>Section 8.5(a)(i)</w:t>
      </w:r>
      <w:r>
        <w:rPr>
          <w:rFonts w:ascii="Arial" w:cs="Arial" w:eastAsia="Arial" w:hAnsi="Arial"/>
          <w:sz w:val="17"/>
          <w:szCs w:val="17"/>
          <w:color w:val="auto"/>
        </w:rPr>
        <w:t xml:space="preserve"> above, the Loan Parties, jointly and severally, shall indemnify Agent, each Lender and each Related Party of Agent and each Lender (each such Person being called an “</w:t>
      </w:r>
      <w:r>
        <w:rPr>
          <w:rFonts w:ascii="Arial" w:cs="Arial" w:eastAsia="Arial" w:hAnsi="Arial"/>
          <w:sz w:val="17"/>
          <w:szCs w:val="17"/>
          <w:b w:val="1"/>
          <w:bCs w:val="1"/>
          <w:i w:val="1"/>
          <w:iCs w:val="1"/>
          <w:color w:val="auto"/>
        </w:rPr>
        <w:t>Indemnitee</w:t>
      </w:r>
      <w:r>
        <w:rPr>
          <w:rFonts w:ascii="Arial" w:cs="Arial" w:eastAsia="Arial" w:hAnsi="Arial"/>
          <w:sz w:val="17"/>
          <w:szCs w:val="17"/>
          <w:color w:val="auto"/>
        </w:rPr>
        <w:t xml:space="preserve">”) against, and hold each Indemnitee harmless from, any and all losses, claims, damages, liabilities and related expenses (including the fees, charges and disbursements of any counsel for any Indemnitee), incurred by any Indemnitee or asserted against any Indemnitee by any Person (including Borrower or any other Loan Party), and in all cases, whether or not caused by or arising, in whole or in part, out of the comparative, contributory, or sole negligence of such Indemnitee, arising out of, in connection with, or as a result of (i) the execution or delivery of this Agreement, any other Loan Document or any agreement or instrument contemplated hereby or thereby, the performance by the parties hereto of their respective obligations hereunder or thereunder or the consummation of the transactions contemplated hereby or thereby, (ii) the Term Loan or the use or proposed use of the proceeds therefrom, (iii) the SPAC Transaction, (iv) any actual or alleged presence or release of hazardous materials on or from any property owned or operated by any Loan Party, or any environmental liability related in any way to the Loan Parties, or (v) any actual or prospective claim, litigation, investigation or proceeding relating to any of the foregoing, whether based on contract, tort or any other theory, whether brought by a third party or by Borrower, any other Loan Party, and regardless of whether any Indemnitee is a party thereto; </w:t>
      </w:r>
      <w:r>
        <w:rPr>
          <w:rFonts w:ascii="Arial" w:cs="Arial" w:eastAsia="Arial" w:hAnsi="Arial"/>
          <w:sz w:val="17"/>
          <w:szCs w:val="17"/>
          <w:u w:val="single" w:color="auto"/>
          <w:color w:val="auto"/>
        </w:rPr>
        <w:t>provided</w:t>
      </w:r>
      <w:r>
        <w:rPr>
          <w:rFonts w:ascii="Arial" w:cs="Arial" w:eastAsia="Arial" w:hAnsi="Arial"/>
          <w:sz w:val="17"/>
          <w:szCs w:val="17"/>
          <w:color w:val="auto"/>
        </w:rPr>
        <w:t>, that such indemnity shall not, as to such Indemnitee, be available to the extent that such losses, claims, damages, liabilities or related expenses are determined by a court of competent jurisdiction by final and non-appealable judgment to have resulted from the gross negligence or willful misconduct of such Indemnitee.</w:t>
      </w:r>
    </w:p>
    <w:p>
      <w:pPr>
        <w:spacing w:after="0" w:line="184" w:lineRule="exact"/>
        <w:rPr>
          <w:rFonts w:ascii="Arial" w:cs="Arial" w:eastAsia="Arial" w:hAnsi="Arial"/>
          <w:sz w:val="17"/>
          <w:szCs w:val="17"/>
          <w:color w:val="auto"/>
        </w:rPr>
      </w:pPr>
    </w:p>
    <w:p>
      <w:pPr>
        <w:jc w:val="both"/>
        <w:ind w:firstLine="656"/>
        <w:spacing w:after="0" w:line="254" w:lineRule="auto"/>
        <w:tabs>
          <w:tab w:leader="none" w:pos="909" w:val="left"/>
        </w:tabs>
        <w:numPr>
          <w:ilvl w:val="0"/>
          <w:numId w:val="148"/>
        </w:numPr>
        <w:rPr>
          <w:rFonts w:ascii="Arial" w:cs="Arial" w:eastAsia="Arial" w:hAnsi="Arial"/>
          <w:sz w:val="18"/>
          <w:szCs w:val="18"/>
          <w:color w:val="auto"/>
        </w:rPr>
      </w:pPr>
      <w:r>
        <w:rPr>
          <w:rFonts w:ascii="Arial" w:cs="Arial" w:eastAsia="Arial" w:hAnsi="Arial"/>
          <w:sz w:val="18"/>
          <w:szCs w:val="18"/>
          <w:u w:val="single" w:color="auto"/>
          <w:color w:val="auto"/>
        </w:rPr>
        <w:t>Waiver of Consequential Damages, Etc</w:t>
      </w:r>
      <w:r>
        <w:rPr>
          <w:rFonts w:ascii="Arial" w:cs="Arial" w:eastAsia="Arial" w:hAnsi="Arial"/>
          <w:sz w:val="18"/>
          <w:szCs w:val="18"/>
          <w:color w:val="auto"/>
        </w:rPr>
        <w:t>. To the fullest extent permitted by applicable law, neither Borrower nor any other Loan Party shall assert, and hereby waives, any claim against any Indemnitee, on any theory of liability, for special, indirect, consequential or punitive damages (as opposed to direct or actual damages) arising out of, in connection with, or as a result of, this Agreement, any other Loan Document or any agreement or instrument contemplated hereby, the transactions contemplated hereby or thereby, the Term Loan, or the use of the proceeds thereof. No Indemnitee referred to in paragraph (b) above shall be liable for any damages arising from the use by unintended recipients of any information or other materials distributed by it through telecommunications, electronic or other information transmission systems in connection with this Agreement or the other Loan Documents or the transactions contemplated hereby or thereby.</w:t>
      </w:r>
    </w:p>
    <w:p>
      <w:pPr>
        <w:spacing w:after="0" w:line="194" w:lineRule="exact"/>
        <w:rPr>
          <w:rFonts w:ascii="Arial" w:cs="Arial" w:eastAsia="Arial" w:hAnsi="Arial"/>
          <w:sz w:val="18"/>
          <w:szCs w:val="18"/>
          <w:color w:val="auto"/>
        </w:rPr>
      </w:pPr>
    </w:p>
    <w:p>
      <w:pPr>
        <w:ind w:left="920" w:hanging="264"/>
        <w:spacing w:after="0"/>
        <w:tabs>
          <w:tab w:leader="none" w:pos="920" w:val="left"/>
        </w:tabs>
        <w:numPr>
          <w:ilvl w:val="0"/>
          <w:numId w:val="148"/>
        </w:numPr>
        <w:rPr>
          <w:rFonts w:ascii="Arial" w:cs="Arial" w:eastAsia="Arial" w:hAnsi="Arial"/>
          <w:sz w:val="18"/>
          <w:szCs w:val="18"/>
          <w:color w:val="auto"/>
        </w:rPr>
      </w:pPr>
      <w:r>
        <w:rPr>
          <w:rFonts w:ascii="Arial" w:cs="Arial" w:eastAsia="Arial" w:hAnsi="Arial"/>
          <w:sz w:val="18"/>
          <w:szCs w:val="18"/>
          <w:u w:val="single" w:color="auto"/>
          <w:color w:val="auto"/>
        </w:rPr>
        <w:t>Payments</w:t>
      </w:r>
      <w:r>
        <w:rPr>
          <w:rFonts w:ascii="Arial" w:cs="Arial" w:eastAsia="Arial" w:hAnsi="Arial"/>
          <w:sz w:val="18"/>
          <w:szCs w:val="18"/>
          <w:color w:val="auto"/>
        </w:rPr>
        <w:t>. All amounts due under this Section shall be payable promptly after demand therefor.</w:t>
      </w:r>
    </w:p>
    <w:p>
      <w:pPr>
        <w:spacing w:after="0" w:line="225" w:lineRule="exact"/>
        <w:rPr>
          <w:rFonts w:ascii="Arial" w:cs="Arial" w:eastAsia="Arial" w:hAnsi="Arial"/>
          <w:sz w:val="18"/>
          <w:szCs w:val="18"/>
          <w:color w:val="auto"/>
        </w:rPr>
      </w:pPr>
    </w:p>
    <w:p>
      <w:pPr>
        <w:ind w:left="920" w:hanging="264"/>
        <w:spacing w:after="0"/>
        <w:tabs>
          <w:tab w:leader="none" w:pos="920" w:val="left"/>
        </w:tabs>
        <w:numPr>
          <w:ilvl w:val="0"/>
          <w:numId w:val="148"/>
        </w:numPr>
        <w:rPr>
          <w:rFonts w:ascii="Arial" w:cs="Arial" w:eastAsia="Arial" w:hAnsi="Arial"/>
          <w:sz w:val="17"/>
          <w:szCs w:val="17"/>
          <w:color w:val="auto"/>
        </w:rPr>
      </w:pPr>
      <w:r>
        <w:rPr>
          <w:rFonts w:ascii="Arial" w:cs="Arial" w:eastAsia="Arial" w:hAnsi="Arial"/>
          <w:sz w:val="17"/>
          <w:szCs w:val="17"/>
          <w:u w:val="single" w:color="auto"/>
          <w:color w:val="auto"/>
        </w:rPr>
        <w:t>Survival</w:t>
      </w:r>
      <w:r>
        <w:rPr>
          <w:rFonts w:ascii="Arial" w:cs="Arial" w:eastAsia="Arial" w:hAnsi="Arial"/>
          <w:sz w:val="17"/>
          <w:szCs w:val="17"/>
          <w:color w:val="auto"/>
        </w:rPr>
        <w:t>. Each party’s obligations under this Section shall survive the termination of the Loan Documents and payment of the Obligations</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hereunder.</w:t>
      </w:r>
    </w:p>
    <w:p>
      <w:pPr>
        <w:spacing w:after="0" w:line="207"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8.6 Successors and Assigns</w:t>
      </w:r>
      <w:r>
        <w:rPr>
          <w:rFonts w:ascii="Arial" w:cs="Arial" w:eastAsia="Arial" w:hAnsi="Arial"/>
          <w:sz w:val="18"/>
          <w:szCs w:val="18"/>
          <w:color w:val="auto"/>
        </w:rPr>
        <w:t>.</w:t>
      </w:r>
    </w:p>
    <w:p>
      <w:pPr>
        <w:spacing w:after="0" w:line="229" w:lineRule="exact"/>
        <w:rPr>
          <w:sz w:val="20"/>
          <w:szCs w:val="20"/>
          <w:color w:val="auto"/>
        </w:rPr>
      </w:pPr>
    </w:p>
    <w:p>
      <w:pPr>
        <w:jc w:val="both"/>
        <w:ind w:firstLine="656"/>
        <w:spacing w:after="0" w:line="285" w:lineRule="auto"/>
        <w:tabs>
          <w:tab w:leader="none" w:pos="890" w:val="left"/>
        </w:tabs>
        <w:numPr>
          <w:ilvl w:val="0"/>
          <w:numId w:val="149"/>
        </w:numPr>
        <w:rPr>
          <w:rFonts w:ascii="Arial" w:cs="Arial" w:eastAsia="Arial" w:hAnsi="Arial"/>
          <w:sz w:val="16"/>
          <w:szCs w:val="16"/>
          <w:color w:val="auto"/>
        </w:rPr>
      </w:pPr>
      <w:r>
        <w:rPr>
          <w:rFonts w:ascii="Arial" w:cs="Arial" w:eastAsia="Arial" w:hAnsi="Arial"/>
          <w:sz w:val="16"/>
          <w:szCs w:val="16"/>
          <w:color w:val="auto"/>
        </w:rPr>
        <w:t xml:space="preserve">The provisions of this Agreement shall be binding upon and inure to the benefit of the parties hereto and their respective successors and assigns permitted hereby, except that the Borrower and the other Loan Parties, as the case may be, may not assign or otherwise transfer any of its rights or obligations hereunder or under the applicable Loan Document without the prior written consent of Agent and Lenders in their sole discretion. Nothing in this Agreement or any other Loan Document, expressed or implied, shall be construed to confer upon any Person (other than the parties hereto or thereto, Indemnitees under </w:t>
      </w:r>
      <w:r>
        <w:rPr>
          <w:rFonts w:ascii="Arial" w:cs="Arial" w:eastAsia="Arial" w:hAnsi="Arial"/>
          <w:sz w:val="16"/>
          <w:szCs w:val="16"/>
          <w:u w:val="single" w:color="auto"/>
          <w:color w:val="auto"/>
        </w:rPr>
        <w:t>Section 8.5(b)</w:t>
      </w:r>
      <w:r>
        <w:rPr>
          <w:rFonts w:ascii="Arial" w:cs="Arial" w:eastAsia="Arial" w:hAnsi="Arial"/>
          <w:sz w:val="16"/>
          <w:szCs w:val="16"/>
          <w:color w:val="auto"/>
        </w:rPr>
        <w:t xml:space="preserve">, their respective successors and assigns permitted hereby or thereby and, to the extent expressly contemplated hereby or thereby, Affiliates of each of Agent and Lenders) any legal or equitable right, remedy or claim under or by reason of this Agreement or such other Loan Document. Upon notice to Agent, Lender shall have the right at any time to sell, assign or transfer all or a portion of its rights and obligations under this Agreement and the other Loan Documents to any other Person (other than (w) a natural Person, or a holding company, investment vehicle or trust for, or owned and operated for the primary benefit of, a natural Person, or (x) Borrower or any of Borrower’s Affiliates or another Loan Party, (y) so long as no Event of Default has occurred and is continuing, a direct competitor of Borrower as specifically identified in writing by the Borrower to the Agent at least five (5) Business Days prior to the date of the applicable sale, assignment, or transfer, or (z) so long as no Event of Default has occurred and is continuing, a vulture fund or distressed debt fund), including, without limitation, all or a portion of its Term Loan Commitment or the Term Loan owing to it or other Obligations;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an assignment pursuant to </w:t>
      </w:r>
      <w:r>
        <w:rPr>
          <w:rFonts w:ascii="Arial" w:cs="Arial" w:eastAsia="Arial" w:hAnsi="Arial"/>
          <w:sz w:val="16"/>
          <w:szCs w:val="16"/>
          <w:u w:val="single" w:color="auto"/>
          <w:color w:val="auto"/>
        </w:rPr>
        <w:t>Section 8.7</w:t>
      </w:r>
      <w:r>
        <w:rPr>
          <w:rFonts w:ascii="Arial" w:cs="Arial" w:eastAsia="Arial" w:hAnsi="Arial"/>
          <w:sz w:val="16"/>
          <w:szCs w:val="16"/>
          <w:color w:val="auto"/>
        </w:rPr>
        <w:t xml:space="preserve"> shall not require prior notice to Agent. Upon Agent’s receipt and acceptance of a duly executed and completed assignment agreement (in form and substance reasonably satisfactory to Agent), any forms, certificates or other evidence required by this Agreement in connection therewith, Agent shall record the information contained in such assignment agreement in the Register, shall give prompt notice thereof to Borrower and shall maintain a copy of such assignment agreement.</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36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Presto Credit Agreement</w:t>
            </w:r>
          </w:p>
        </w:tc>
        <w:tc>
          <w:tcPr>
            <w:tcW w:w="7580" w:type="dxa"/>
            <w:vAlign w:val="bottom"/>
            <w:tcBorders>
              <w:bottom w:val="single" w:sz="8" w:color="auto"/>
            </w:tcBorders>
          </w:tcPr>
          <w:p>
            <w:pPr>
              <w:jc w:val="right"/>
              <w:ind w:right="5430"/>
              <w:spacing w:after="0"/>
              <w:rPr>
                <w:sz w:val="20"/>
                <w:szCs w:val="20"/>
                <w:color w:val="auto"/>
              </w:rPr>
            </w:pPr>
            <w:r>
              <w:rPr>
                <w:rFonts w:ascii="Arial" w:cs="Arial" w:eastAsia="Arial" w:hAnsi="Arial"/>
                <w:sz w:val="18"/>
                <w:szCs w:val="18"/>
                <w:color w:val="auto"/>
              </w:rPr>
              <w:t>60</w:t>
            </w:r>
          </w:p>
        </w:tc>
      </w:tr>
    </w:tbl>
    <w:p>
      <w:pPr>
        <w:sectPr>
          <w:pgSz w:w="11900" w:h="16838" w:orient="portrait"/>
          <w:cols w:equalWidth="0" w:num="1">
            <w:col w:w="11240"/>
          </w:cols>
          <w:pgMar w:left="320" w:top="908" w:right="339" w:bottom="1440" w:gutter="0" w:footer="0" w:header="0"/>
        </w:sectPr>
      </w:pPr>
    </w:p>
    <w:bookmarkStart w:id="147" w:name="page148"/>
    <w:bookmarkEnd w:id="147"/>
    <w:p>
      <w:pPr>
        <w:jc w:val="both"/>
        <w:ind w:firstLine="656"/>
        <w:spacing w:after="0" w:line="273" w:lineRule="auto"/>
        <w:tabs>
          <w:tab w:leader="none" w:pos="923" w:val="left"/>
        </w:tabs>
        <w:numPr>
          <w:ilvl w:val="1"/>
          <w:numId w:val="150"/>
        </w:numPr>
        <w:rPr>
          <w:rFonts w:ascii="Arial" w:cs="Arial" w:eastAsia="Arial" w:hAnsi="Arial"/>
          <w:sz w:val="17"/>
          <w:szCs w:val="17"/>
          <w:color w:val="auto"/>
        </w:rPr>
      </w:pPr>
      <w:r>
        <w:rPr>
          <w:rFonts w:ascii="Arial" w:cs="Arial" w:eastAsia="Arial" w:hAnsi="Arial"/>
          <w:sz w:val="17"/>
          <w:szCs w:val="17"/>
          <w:u w:val="single" w:color="auto"/>
          <w:color w:val="auto"/>
        </w:rPr>
        <w:t>Register</w:t>
      </w:r>
      <w:r>
        <w:rPr>
          <w:rFonts w:ascii="Arial" w:cs="Arial" w:eastAsia="Arial" w:hAnsi="Arial"/>
          <w:sz w:val="17"/>
          <w:szCs w:val="17"/>
          <w:color w:val="auto"/>
        </w:rPr>
        <w:t>. Agent, acting solely for this purpose as an agent of Borrower, shall maintain at one of its offices a copy of each assignment and assumption delivered to it and a register for the recordation of the names and addresses of the Lenders, and the Term Loan Commitments of, and principal amounts (and stated interest) of the Term Loan owing to, each Lender pursuant to the terms hereof from time to time (the “</w:t>
      </w:r>
      <w:r>
        <w:rPr>
          <w:rFonts w:ascii="Arial" w:cs="Arial" w:eastAsia="Arial" w:hAnsi="Arial"/>
          <w:sz w:val="17"/>
          <w:szCs w:val="17"/>
          <w:b w:val="1"/>
          <w:bCs w:val="1"/>
          <w:i w:val="1"/>
          <w:iCs w:val="1"/>
          <w:color w:val="auto"/>
        </w:rPr>
        <w:t>Register</w:t>
      </w:r>
      <w:r>
        <w:rPr>
          <w:rFonts w:ascii="Arial" w:cs="Arial" w:eastAsia="Arial" w:hAnsi="Arial"/>
          <w:sz w:val="17"/>
          <w:szCs w:val="17"/>
          <w:color w:val="auto"/>
        </w:rPr>
        <w:t>”). The entries in the Register shall be conclusive absent manifest error, and Borrower, Agent and Lenders shall treat each Person whose name is recorded in the Register pursuant to the terms hereof as a Lender hereunder for all purposes of this Agreement. The Register shall be available for inspection by Borrower and any Lender, at any reasonable time and from time to time upon reasonable prior notice.</w:t>
      </w:r>
    </w:p>
    <w:p>
      <w:pPr>
        <w:spacing w:after="0" w:line="177" w:lineRule="exact"/>
        <w:rPr>
          <w:rFonts w:ascii="Arial" w:cs="Arial" w:eastAsia="Arial" w:hAnsi="Arial"/>
          <w:sz w:val="17"/>
          <w:szCs w:val="17"/>
          <w:color w:val="auto"/>
        </w:rPr>
      </w:pPr>
    </w:p>
    <w:p>
      <w:pPr>
        <w:jc w:val="both"/>
        <w:ind w:firstLine="656"/>
        <w:spacing w:after="0" w:line="286" w:lineRule="auto"/>
        <w:tabs>
          <w:tab w:leader="none" w:pos="905" w:val="left"/>
        </w:tabs>
        <w:numPr>
          <w:ilvl w:val="1"/>
          <w:numId w:val="150"/>
        </w:numPr>
        <w:rPr>
          <w:rFonts w:ascii="Arial" w:cs="Arial" w:eastAsia="Arial" w:hAnsi="Arial"/>
          <w:sz w:val="16"/>
          <w:szCs w:val="16"/>
          <w:color w:val="auto"/>
        </w:rPr>
      </w:pPr>
      <w:r>
        <w:rPr>
          <w:rFonts w:ascii="Arial" w:cs="Arial" w:eastAsia="Arial" w:hAnsi="Arial"/>
          <w:sz w:val="16"/>
          <w:szCs w:val="16"/>
          <w:u w:val="single" w:color="auto"/>
          <w:color w:val="auto"/>
        </w:rPr>
        <w:t>Participations</w:t>
      </w:r>
      <w:r>
        <w:rPr>
          <w:rFonts w:ascii="Arial" w:cs="Arial" w:eastAsia="Arial" w:hAnsi="Arial"/>
          <w:sz w:val="16"/>
          <w:szCs w:val="16"/>
          <w:color w:val="auto"/>
        </w:rPr>
        <w:t>. Any Lender may at any time, without the consent of, or notice to, Borrower or Agent, sell participations to any Person (other than a natural Person, or a holding company, investment vehicle or trust for, or owned and operated for the primary benefit of, a natural Person, or Borrower or any of Borrower’s Affiliates or another Loan Party) (each, a “</w:t>
      </w:r>
      <w:r>
        <w:rPr>
          <w:rFonts w:ascii="Arial" w:cs="Arial" w:eastAsia="Arial" w:hAnsi="Arial"/>
          <w:sz w:val="16"/>
          <w:szCs w:val="16"/>
          <w:b w:val="1"/>
          <w:bCs w:val="1"/>
          <w:i w:val="1"/>
          <w:iCs w:val="1"/>
          <w:color w:val="auto"/>
        </w:rPr>
        <w:t>Participant</w:t>
      </w:r>
      <w:r>
        <w:rPr>
          <w:rFonts w:ascii="Arial" w:cs="Arial" w:eastAsia="Arial" w:hAnsi="Arial"/>
          <w:sz w:val="16"/>
          <w:szCs w:val="16"/>
          <w:color w:val="auto"/>
        </w:rPr>
        <w:t xml:space="preserve">”) in all or a portion of such Lender’s rights and/or obligations under this Agreement and the other Loan Documents (including all or a portion of its Term Loan Commitment and/or the Term Loan owing to it); </w:t>
      </w:r>
      <w:r>
        <w:rPr>
          <w:rFonts w:ascii="Arial" w:cs="Arial" w:eastAsia="Arial" w:hAnsi="Arial"/>
          <w:sz w:val="16"/>
          <w:szCs w:val="16"/>
          <w:u w:val="single" w:color="auto"/>
          <w:color w:val="auto"/>
        </w:rPr>
        <w:t>provided</w:t>
      </w:r>
      <w:r>
        <w:rPr>
          <w:rFonts w:ascii="Arial" w:cs="Arial" w:eastAsia="Arial" w:hAnsi="Arial"/>
          <w:sz w:val="16"/>
          <w:szCs w:val="16"/>
          <w:color w:val="auto"/>
        </w:rPr>
        <w:t>, that</w:t>
      </w:r>
    </w:p>
    <w:p>
      <w:pPr>
        <w:spacing w:after="0" w:line="1" w:lineRule="exact"/>
        <w:rPr>
          <w:rFonts w:ascii="Arial" w:cs="Arial" w:eastAsia="Arial" w:hAnsi="Arial"/>
          <w:sz w:val="16"/>
          <w:szCs w:val="16"/>
          <w:color w:val="auto"/>
        </w:rPr>
      </w:pPr>
    </w:p>
    <w:p>
      <w:pPr>
        <w:jc w:val="both"/>
        <w:ind w:firstLine="8"/>
        <w:spacing w:after="0" w:line="295" w:lineRule="auto"/>
        <w:tabs>
          <w:tab w:leader="none" w:pos="217" w:val="left"/>
        </w:tabs>
        <w:numPr>
          <w:ilvl w:val="0"/>
          <w:numId w:val="151"/>
        </w:numPr>
        <w:rPr>
          <w:rFonts w:ascii="Arial" w:cs="Arial" w:eastAsia="Arial" w:hAnsi="Arial"/>
          <w:sz w:val="16"/>
          <w:szCs w:val="16"/>
          <w:color w:val="auto"/>
        </w:rPr>
      </w:pPr>
      <w:r>
        <w:rPr>
          <w:rFonts w:ascii="Arial" w:cs="Arial" w:eastAsia="Arial" w:hAnsi="Arial"/>
          <w:sz w:val="16"/>
          <w:szCs w:val="16"/>
          <w:color w:val="auto"/>
        </w:rPr>
        <w:t xml:space="preserve">such Lender’s obligations under this Agreement and the other Loan Documents shall remain unchanged, (ii) such Lender shall remain solely responsible to the other parties hereto for the performance of such obligations, and (iii) Borrower, Agent and Lenders shall continue to deal solely and directly with such Lender in connection with such Lender’s rights and obligations under this Agreement and the other Loan Documents. For the avoidance of doubt, each Lender shall be responsible for the indemnity under </w:t>
      </w:r>
      <w:r>
        <w:rPr>
          <w:rFonts w:ascii="Arial" w:cs="Arial" w:eastAsia="Arial" w:hAnsi="Arial"/>
          <w:sz w:val="16"/>
          <w:szCs w:val="16"/>
          <w:u w:val="single" w:color="auto"/>
          <w:color w:val="auto"/>
        </w:rPr>
        <w:t>Section 8.5(b)</w:t>
      </w:r>
      <w:r>
        <w:rPr>
          <w:rFonts w:ascii="Arial" w:cs="Arial" w:eastAsia="Arial" w:hAnsi="Arial"/>
          <w:sz w:val="16"/>
          <w:szCs w:val="16"/>
          <w:color w:val="auto"/>
        </w:rPr>
        <w:t xml:space="preserve"> with respect to any payments made by such Lender to its Participant(s).</w:t>
      </w:r>
    </w:p>
    <w:p>
      <w:pPr>
        <w:spacing w:after="0" w:line="161" w:lineRule="exact"/>
        <w:rPr>
          <w:rFonts w:ascii="Arial" w:cs="Arial" w:eastAsia="Arial" w:hAnsi="Arial"/>
          <w:sz w:val="16"/>
          <w:szCs w:val="16"/>
          <w:color w:val="auto"/>
        </w:rPr>
      </w:pPr>
    </w:p>
    <w:p>
      <w:pPr>
        <w:jc w:val="both"/>
        <w:ind w:firstLine="656"/>
        <w:spacing w:after="0" w:line="290" w:lineRule="auto"/>
        <w:tabs>
          <w:tab w:leader="none" w:pos="905" w:val="left"/>
        </w:tabs>
        <w:numPr>
          <w:ilvl w:val="1"/>
          <w:numId w:val="151"/>
        </w:numPr>
        <w:rPr>
          <w:rFonts w:ascii="Arial" w:cs="Arial" w:eastAsia="Arial" w:hAnsi="Arial"/>
          <w:sz w:val="16"/>
          <w:szCs w:val="16"/>
          <w:color w:val="auto"/>
        </w:rPr>
      </w:pPr>
      <w:r>
        <w:rPr>
          <w:rFonts w:ascii="Arial" w:cs="Arial" w:eastAsia="Arial" w:hAnsi="Arial"/>
          <w:sz w:val="16"/>
          <w:szCs w:val="16"/>
          <w:u w:val="single" w:color="auto"/>
          <w:color w:val="auto"/>
        </w:rPr>
        <w:t>Participant Register</w:t>
      </w:r>
      <w:r>
        <w:rPr>
          <w:rFonts w:ascii="Arial" w:cs="Arial" w:eastAsia="Arial" w:hAnsi="Arial"/>
          <w:sz w:val="16"/>
          <w:szCs w:val="16"/>
          <w:color w:val="auto"/>
        </w:rPr>
        <w:t>. Each Lender that sells a participation shall, acting solely for this purpose as a non-fiduciary agent of Borrower, maintain a register on which it enters the name and address of each Participant and the principal amounts (and stated interest) of each Participant’s interest in the Term Loan or other obligations under the Loan Documents (the “</w:t>
      </w:r>
      <w:r>
        <w:rPr>
          <w:rFonts w:ascii="Arial" w:cs="Arial" w:eastAsia="Arial" w:hAnsi="Arial"/>
          <w:sz w:val="16"/>
          <w:szCs w:val="16"/>
          <w:b w:val="1"/>
          <w:bCs w:val="1"/>
          <w:i w:val="1"/>
          <w:iCs w:val="1"/>
          <w:color w:val="auto"/>
        </w:rPr>
        <w:t>Participant Register</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that no Lender shall have any obligation to disclose all or any portion of the Participant Register (including the identity of any Participant or any information relating to a Participant’s interest in any commitments, loans, letters of credit or its other obligations under any Loan Document) to any Person except to the extent that such disclosure is necessary to establish that such commitment, loan, letter of credit or other obligation is in registered form under Section 5f.103-1(c) of the United States Treasury Regulations. The entries in the Participant Register shall be conclusive absent manifest error, and such Lender shall treat each Person whose name is recorded in the Participant Register as the owner of such participation for all purposes of this Agreement notwithstanding any notice to the contrary.</w:t>
      </w:r>
    </w:p>
    <w:p>
      <w:pPr>
        <w:spacing w:after="0" w:line="165" w:lineRule="exact"/>
        <w:rPr>
          <w:rFonts w:ascii="Arial" w:cs="Arial" w:eastAsia="Arial" w:hAnsi="Arial"/>
          <w:sz w:val="16"/>
          <w:szCs w:val="16"/>
          <w:color w:val="auto"/>
        </w:rPr>
      </w:pPr>
    </w:p>
    <w:p>
      <w:pPr>
        <w:jc w:val="both"/>
        <w:ind w:firstLine="656"/>
        <w:spacing w:after="0" w:line="285" w:lineRule="auto"/>
        <w:tabs>
          <w:tab w:leader="none" w:pos="913" w:val="left"/>
        </w:tabs>
        <w:numPr>
          <w:ilvl w:val="1"/>
          <w:numId w:val="151"/>
        </w:numPr>
        <w:rPr>
          <w:rFonts w:ascii="Arial" w:cs="Arial" w:eastAsia="Arial" w:hAnsi="Arial"/>
          <w:sz w:val="16"/>
          <w:szCs w:val="16"/>
          <w:color w:val="auto"/>
        </w:rPr>
      </w:pPr>
      <w:r>
        <w:rPr>
          <w:rFonts w:ascii="Arial" w:cs="Arial" w:eastAsia="Arial" w:hAnsi="Arial"/>
          <w:sz w:val="16"/>
          <w:szCs w:val="16"/>
          <w:u w:val="single" w:color="auto"/>
          <w:color w:val="auto"/>
        </w:rPr>
        <w:t>Retained Rights Following Sale of Participations</w:t>
      </w:r>
      <w:r>
        <w:rPr>
          <w:rFonts w:ascii="Arial" w:cs="Arial" w:eastAsia="Arial" w:hAnsi="Arial"/>
          <w:sz w:val="16"/>
          <w:szCs w:val="16"/>
          <w:color w:val="auto"/>
        </w:rPr>
        <w:t xml:space="preserve">. Any agreement or instrument pursuant to which a Lender sells such a participation shall provide that such Lender shall retain the sole right to enforce this Agreement and the other Loan Documents against the Loan Parties. Borrower agrees that each Participant shall be entitled to the benefits of </w:t>
      </w:r>
      <w:r>
        <w:rPr>
          <w:rFonts w:ascii="Arial" w:cs="Arial" w:eastAsia="Arial" w:hAnsi="Arial"/>
          <w:sz w:val="16"/>
          <w:szCs w:val="16"/>
          <w:u w:val="single" w:color="auto"/>
          <w:color w:val="auto"/>
        </w:rPr>
        <w:t>Section 2.8</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Section 2.10</w:t>
      </w:r>
      <w:r>
        <w:rPr>
          <w:rFonts w:ascii="Arial" w:cs="Arial" w:eastAsia="Arial" w:hAnsi="Arial"/>
          <w:sz w:val="16"/>
          <w:szCs w:val="16"/>
          <w:color w:val="auto"/>
        </w:rPr>
        <w:t xml:space="preserve"> (subject to the requirements and limitations therein, including the requirements under </w:t>
      </w:r>
      <w:r>
        <w:rPr>
          <w:rFonts w:ascii="Arial" w:cs="Arial" w:eastAsia="Arial" w:hAnsi="Arial"/>
          <w:sz w:val="16"/>
          <w:szCs w:val="16"/>
          <w:u w:val="single" w:color="auto"/>
          <w:color w:val="auto"/>
        </w:rPr>
        <w:t>Section 2.8(g)</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Section 8.6(a)(ii)</w:t>
      </w:r>
      <w:r>
        <w:rPr>
          <w:rFonts w:ascii="Arial" w:cs="Arial" w:eastAsia="Arial" w:hAnsi="Arial"/>
          <w:sz w:val="16"/>
          <w:szCs w:val="16"/>
          <w:color w:val="auto"/>
        </w:rPr>
        <w:t xml:space="preserve"> (it being understood that the documentation required under </w:t>
      </w:r>
      <w:r>
        <w:rPr>
          <w:rFonts w:ascii="Arial" w:cs="Arial" w:eastAsia="Arial" w:hAnsi="Arial"/>
          <w:sz w:val="16"/>
          <w:szCs w:val="16"/>
          <w:u w:val="single" w:color="auto"/>
          <w:color w:val="auto"/>
        </w:rPr>
        <w:t>Section 2.8(g)</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Section 8.6(a)(ii)</w:t>
      </w:r>
      <w:r>
        <w:rPr>
          <w:rFonts w:ascii="Arial" w:cs="Arial" w:eastAsia="Arial" w:hAnsi="Arial"/>
          <w:sz w:val="16"/>
          <w:szCs w:val="16"/>
          <w:color w:val="auto"/>
        </w:rPr>
        <w:t xml:space="preserve"> shall be delivered to the participating Lender)) to the same extent as if it were a Lender and had acquired its interest by assignment pursuant to paragraph</w:t>
      </w:r>
    </w:p>
    <w:p>
      <w:pPr>
        <w:spacing w:after="0" w:line="1" w:lineRule="exact"/>
        <w:rPr>
          <w:rFonts w:ascii="Arial" w:cs="Arial" w:eastAsia="Arial" w:hAnsi="Arial"/>
          <w:sz w:val="16"/>
          <w:szCs w:val="16"/>
          <w:color w:val="auto"/>
        </w:rPr>
      </w:pPr>
    </w:p>
    <w:p>
      <w:pPr>
        <w:ind w:firstLine="8"/>
        <w:spacing w:after="0" w:line="260" w:lineRule="auto"/>
        <w:tabs>
          <w:tab w:leader="none" w:pos="246" w:val="left"/>
        </w:tabs>
        <w:numPr>
          <w:ilvl w:val="0"/>
          <w:numId w:val="152"/>
        </w:numPr>
        <w:rPr>
          <w:rFonts w:ascii="Arial" w:cs="Arial" w:eastAsia="Arial" w:hAnsi="Arial"/>
          <w:sz w:val="18"/>
          <w:szCs w:val="18"/>
          <w:u w:val="single" w:color="auto"/>
          <w:color w:val="auto"/>
        </w:rPr>
      </w:pPr>
      <w:r>
        <w:rPr>
          <w:rFonts w:ascii="Arial" w:cs="Arial" w:eastAsia="Arial" w:hAnsi="Arial"/>
          <w:sz w:val="18"/>
          <w:szCs w:val="18"/>
          <w:color w:val="auto"/>
        </w:rPr>
        <w:t xml:space="preserve">of this Section;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such Participant shall not be entitled to receive any greater payment under </w:t>
      </w:r>
      <w:r>
        <w:rPr>
          <w:rFonts w:ascii="Arial" w:cs="Arial" w:eastAsia="Arial" w:hAnsi="Arial"/>
          <w:sz w:val="18"/>
          <w:szCs w:val="18"/>
          <w:u w:val="single" w:color="auto"/>
          <w:color w:val="auto"/>
        </w:rPr>
        <w:t>Section 2.8</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Section 2.10</w:t>
      </w:r>
      <w:r>
        <w:rPr>
          <w:rFonts w:ascii="Arial" w:cs="Arial" w:eastAsia="Arial" w:hAnsi="Arial"/>
          <w:sz w:val="18"/>
          <w:szCs w:val="18"/>
          <w:color w:val="auto"/>
        </w:rPr>
        <w:t>, with respect to any participation, than its participating Lender would have been entitled to receive.</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8.7 [Reserved]</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b w:val="1"/>
          <w:bCs w:val="1"/>
          <w:color w:val="auto"/>
        </w:rPr>
        <w:t>8.8 Interest Rate Limitation</w:t>
      </w:r>
      <w:r>
        <w:rPr>
          <w:rFonts w:ascii="Arial" w:cs="Arial" w:eastAsia="Arial" w:hAnsi="Arial"/>
          <w:sz w:val="17"/>
          <w:szCs w:val="17"/>
          <w:color w:val="auto"/>
        </w:rPr>
        <w:t>. Notwithstanding anything to the contrary contained in any Loan Document, the interest paid or agreed to be paid</w:t>
      </w:r>
      <w:r>
        <w:rPr>
          <w:rFonts w:ascii="Arial" w:cs="Arial" w:eastAsia="Arial" w:hAnsi="Arial"/>
          <w:sz w:val="17"/>
          <w:szCs w:val="17"/>
          <w:b w:val="1"/>
          <w:bCs w:val="1"/>
          <w:color w:val="auto"/>
        </w:rPr>
        <w:t xml:space="preserve"> </w:t>
      </w:r>
      <w:r>
        <w:rPr>
          <w:rFonts w:ascii="Arial" w:cs="Arial" w:eastAsia="Arial" w:hAnsi="Arial"/>
          <w:sz w:val="17"/>
          <w:szCs w:val="17"/>
          <w:color w:val="auto"/>
        </w:rPr>
        <w:t>under the Loan Documents shall not exceed the maximum rate of non-usurious interest permitted by applicable Law (the “</w:t>
      </w:r>
      <w:r>
        <w:rPr>
          <w:rFonts w:ascii="Arial" w:cs="Arial" w:eastAsia="Arial" w:hAnsi="Arial"/>
          <w:sz w:val="17"/>
          <w:szCs w:val="17"/>
          <w:b w:val="1"/>
          <w:bCs w:val="1"/>
          <w:i w:val="1"/>
          <w:iCs w:val="1"/>
          <w:color w:val="auto"/>
        </w:rPr>
        <w:t>Maximum Rate</w:t>
      </w:r>
      <w:r>
        <w:rPr>
          <w:rFonts w:ascii="Arial" w:cs="Arial" w:eastAsia="Arial" w:hAnsi="Arial"/>
          <w:sz w:val="17"/>
          <w:szCs w:val="17"/>
          <w:color w:val="auto"/>
        </w:rPr>
        <w:t>”). If Lenders shall receive interest in an amount that exceeds the Maximum Rate, the excess interest shall be applied to the principal of the Term Loan or, if it exceeds such unpaid principal, refunded to Borrower. In determining whether the interest contracted for, charged, or received by any Lender exceeds the Maximum Rate, such Person may, to the extent permitted by applicable law, (a) characterize any payment that is not principal as an expense, fee, or premium rather than interest, (b) exclude voluntary prepayments and the effects thereof, and (c) amortize, prorate, allocate, and spread in equal or unequal parts the total amount of interest throughout the contemplated term of the Obligations hereunder.</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36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Presto Credit Agreement</w:t>
            </w:r>
          </w:p>
        </w:tc>
        <w:tc>
          <w:tcPr>
            <w:tcW w:w="7580" w:type="dxa"/>
            <w:vAlign w:val="bottom"/>
            <w:tcBorders>
              <w:bottom w:val="single" w:sz="8" w:color="auto"/>
            </w:tcBorders>
          </w:tcPr>
          <w:p>
            <w:pPr>
              <w:jc w:val="right"/>
              <w:ind w:right="5430"/>
              <w:spacing w:after="0"/>
              <w:rPr>
                <w:sz w:val="20"/>
                <w:szCs w:val="20"/>
                <w:color w:val="auto"/>
              </w:rPr>
            </w:pPr>
            <w:r>
              <w:rPr>
                <w:rFonts w:ascii="Arial" w:cs="Arial" w:eastAsia="Arial" w:hAnsi="Arial"/>
                <w:sz w:val="18"/>
                <w:szCs w:val="18"/>
                <w:color w:val="auto"/>
              </w:rPr>
              <w:t>61</w:t>
            </w:r>
          </w:p>
        </w:tc>
      </w:tr>
    </w:tbl>
    <w:p>
      <w:pPr>
        <w:sectPr>
          <w:pgSz w:w="11900" w:h="16838" w:orient="portrait"/>
          <w:cols w:equalWidth="0" w:num="1">
            <w:col w:w="11240"/>
          </w:cols>
          <w:pgMar w:left="320" w:top="908" w:right="339" w:bottom="1440" w:gutter="0" w:footer="0" w:header="0"/>
        </w:sectPr>
      </w:pPr>
    </w:p>
    <w:bookmarkStart w:id="148" w:name="page149"/>
    <w:bookmarkEnd w:id="148"/>
    <w:p>
      <w:pPr>
        <w:jc w:val="both"/>
        <w:ind w:firstLine="648"/>
        <w:spacing w:after="0" w:line="288" w:lineRule="auto"/>
        <w:rPr>
          <w:sz w:val="20"/>
          <w:szCs w:val="20"/>
          <w:color w:val="auto"/>
        </w:rPr>
      </w:pPr>
      <w:r>
        <w:rPr>
          <w:rFonts w:ascii="Arial" w:cs="Arial" w:eastAsia="Arial" w:hAnsi="Arial"/>
          <w:sz w:val="16"/>
          <w:szCs w:val="16"/>
          <w:b w:val="1"/>
          <w:bCs w:val="1"/>
          <w:color w:val="auto"/>
        </w:rPr>
        <w:t>8.9 Counterparts</w:t>
      </w:r>
      <w:r>
        <w:rPr>
          <w:rFonts w:ascii="Arial" w:cs="Arial" w:eastAsia="Arial" w:hAnsi="Arial"/>
          <w:sz w:val="16"/>
          <w:szCs w:val="16"/>
          <w:color w:val="auto"/>
        </w:rPr>
        <w:t>. This Agreement may be executed in any number of duplicate originals, and each duplicate original shall be deemed to be an</w:t>
      </w:r>
      <w:r>
        <w:rPr>
          <w:rFonts w:ascii="Arial" w:cs="Arial" w:eastAsia="Arial" w:hAnsi="Arial"/>
          <w:sz w:val="16"/>
          <w:szCs w:val="16"/>
          <w:b w:val="1"/>
          <w:bCs w:val="1"/>
          <w:color w:val="auto"/>
        </w:rPr>
        <w:t xml:space="preserve"> </w:t>
      </w:r>
      <w:r>
        <w:rPr>
          <w:rFonts w:ascii="Arial" w:cs="Arial" w:eastAsia="Arial" w:hAnsi="Arial"/>
          <w:sz w:val="16"/>
          <w:szCs w:val="16"/>
          <w:color w:val="auto"/>
        </w:rPr>
        <w:t>original. This Agreement (and each duplicate original) also may be executed in any number of counterparts, each of which shall be deemed an original and all of which together constitute a fully executed Agreement even though all signatures do not appear on the same counterpart. Receipt of an executed signature page to this Agreement by portable document format (.pdf) attachment to an email, other electronic transmission or as any electronic signature complying with the U.S. federal ESIGN Act of 2000 or the New York Electronic Signature and Records Act or any other similar state Laws based on the Uniform Electronic Transactions Act or other transmission method and any counterpart so delivered shall be deemed to have been duly and validly delivered and electronic signatures or the keeping of records in electronic form shall be valid and effective for all purposes to the fullest extent permitted by applicable law. For the avoidance of doubt, the foregoing also applies to any amendment, extension or renewal of this Agreement. Each of the parties hereto hereby represents and warrants to the other parties hereto that it has the corporation or limited liability capacity and authority to execute this Agreement through electronic means and there are no restrictions for doing so in such party’s constitutive documents, including having the same legal effect, validity or enforceability as a manually executed signature or the use of a paper-based recordkeeping system.</w:t>
      </w:r>
    </w:p>
    <w:p>
      <w:pPr>
        <w:spacing w:after="0" w:line="163"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b w:val="1"/>
          <w:bCs w:val="1"/>
          <w:color w:val="auto"/>
        </w:rPr>
        <w:t>8.10 Severability</w:t>
      </w:r>
      <w:r>
        <w:rPr>
          <w:rFonts w:ascii="Arial" w:cs="Arial" w:eastAsia="Arial" w:hAnsi="Arial"/>
          <w:sz w:val="18"/>
          <w:szCs w:val="18"/>
          <w:color w:val="auto"/>
        </w:rPr>
        <w:t>. Any provision of this Agreement that is prohibited or unenforceable in any jurisdiction shall, as to such jurisdiction, be</w:t>
      </w:r>
      <w:r>
        <w:rPr>
          <w:rFonts w:ascii="Arial" w:cs="Arial" w:eastAsia="Arial" w:hAnsi="Arial"/>
          <w:sz w:val="18"/>
          <w:szCs w:val="18"/>
          <w:b w:val="1"/>
          <w:bCs w:val="1"/>
          <w:color w:val="auto"/>
        </w:rPr>
        <w:t xml:space="preserve"> </w:t>
      </w:r>
      <w:r>
        <w:rPr>
          <w:rFonts w:ascii="Arial" w:cs="Arial" w:eastAsia="Arial" w:hAnsi="Arial"/>
          <w:sz w:val="18"/>
          <w:szCs w:val="18"/>
          <w:color w:val="auto"/>
        </w:rPr>
        <w:t>ineffective to the extent of such prohibition or unenforceability without invalidating the remaining provisions hereof, and any such prohibition or unenforceability in any jurisdiction shall not invalidate or render unenforceable such provision in any other jurisdiction.</w:t>
      </w:r>
    </w:p>
    <w:p>
      <w:pPr>
        <w:spacing w:after="0" w:line="176" w:lineRule="exact"/>
        <w:rPr>
          <w:sz w:val="20"/>
          <w:szCs w:val="20"/>
          <w:color w:val="auto"/>
        </w:rPr>
      </w:pPr>
    </w:p>
    <w:p>
      <w:pPr>
        <w:jc w:val="both"/>
        <w:ind w:firstLine="648"/>
        <w:spacing w:after="0" w:line="303" w:lineRule="auto"/>
        <w:rPr>
          <w:sz w:val="20"/>
          <w:szCs w:val="20"/>
          <w:color w:val="auto"/>
        </w:rPr>
      </w:pPr>
      <w:r>
        <w:rPr>
          <w:rFonts w:ascii="Arial" w:cs="Arial" w:eastAsia="Arial" w:hAnsi="Arial"/>
          <w:sz w:val="16"/>
          <w:szCs w:val="16"/>
          <w:b w:val="1"/>
          <w:bCs w:val="1"/>
          <w:color w:val="auto"/>
        </w:rPr>
        <w:t>8.11 Integration; Headings</w:t>
      </w:r>
      <w:r>
        <w:rPr>
          <w:rFonts w:ascii="Arial" w:cs="Arial" w:eastAsia="Arial" w:hAnsi="Arial"/>
          <w:sz w:val="16"/>
          <w:szCs w:val="16"/>
          <w:color w:val="auto"/>
        </w:rPr>
        <w:t>. This Agreement and the other Loan Documents represent the entire agreement of Borrower, the other Loan Parties,</w:t>
      </w:r>
      <w:r>
        <w:rPr>
          <w:rFonts w:ascii="Arial" w:cs="Arial" w:eastAsia="Arial" w:hAnsi="Arial"/>
          <w:sz w:val="16"/>
          <w:szCs w:val="16"/>
          <w:b w:val="1"/>
          <w:bCs w:val="1"/>
          <w:color w:val="auto"/>
        </w:rPr>
        <w:t xml:space="preserve"> </w:t>
      </w:r>
      <w:r>
        <w:rPr>
          <w:rFonts w:ascii="Arial" w:cs="Arial" w:eastAsia="Arial" w:hAnsi="Arial"/>
          <w:sz w:val="16"/>
          <w:szCs w:val="16"/>
          <w:color w:val="auto"/>
        </w:rPr>
        <w:t>Agent and Lenders with respect to the subject matter hereof and thereof, and there are no promises, undertakings, representations or warranties by relative to the subject matter hereof not expressly set forth or referred to herein or in the other Loan Documents. The headings of subdivisions in this Agreement are for convenience of reference only, and shall not govern the interpretation of any of the provisions of this Agreement.</w:t>
      </w:r>
    </w:p>
    <w:p>
      <w:pPr>
        <w:spacing w:after="0" w:line="151"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b w:val="1"/>
          <w:bCs w:val="1"/>
          <w:color w:val="auto"/>
        </w:rPr>
        <w:t>8.12 GOVERNING LAW. THIS AGREEMENT AND THE RIGHTS AND OBLIGATIONS OF THE PARTIES UNDER THIS AGREEMENT SHALL BE GOVERNED BY, AND CONSTRUED AND INTERPRETED IN ACCORDANCE WITH, THE LAW OF THE STATE OF NEW YORK WITHOUT REGARD TO CONFLICT OF LAWS PRINCIPLES (OTHER THAN SECTIONS 5-1401 AND 5-1402 OF THE NEW YORK GENERAL OBLIGATIONS LAW) THEREOF.</w:t>
      </w:r>
    </w:p>
    <w:p>
      <w:pPr>
        <w:spacing w:after="0" w:line="180"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8.13 Submission to Jurisdiction; Waivers</w:t>
      </w:r>
      <w:r>
        <w:rPr>
          <w:rFonts w:ascii="Arial" w:cs="Arial" w:eastAsia="Arial" w:hAnsi="Arial"/>
          <w:sz w:val="18"/>
          <w:szCs w:val="18"/>
          <w:color w:val="auto"/>
        </w:rPr>
        <w:t>. The parties hereto hereby irrevocably and unconditionally:</w:t>
      </w:r>
    </w:p>
    <w:p>
      <w:pPr>
        <w:spacing w:after="0" w:line="229" w:lineRule="exact"/>
        <w:rPr>
          <w:sz w:val="20"/>
          <w:szCs w:val="20"/>
          <w:color w:val="auto"/>
        </w:rPr>
      </w:pPr>
    </w:p>
    <w:p>
      <w:pPr>
        <w:jc w:val="both"/>
        <w:ind w:firstLine="656"/>
        <w:spacing w:after="0" w:line="289" w:lineRule="auto"/>
        <w:tabs>
          <w:tab w:leader="none" w:pos="904" w:val="left"/>
        </w:tabs>
        <w:numPr>
          <w:ilvl w:val="0"/>
          <w:numId w:val="153"/>
        </w:numPr>
        <w:rPr>
          <w:rFonts w:ascii="Arial" w:cs="Arial" w:eastAsia="Arial" w:hAnsi="Arial"/>
          <w:sz w:val="16"/>
          <w:szCs w:val="16"/>
          <w:color w:val="auto"/>
        </w:rPr>
      </w:pPr>
      <w:r>
        <w:rPr>
          <w:rFonts w:ascii="Arial" w:cs="Arial" w:eastAsia="Arial" w:hAnsi="Arial"/>
          <w:sz w:val="16"/>
          <w:szCs w:val="16"/>
          <w:color w:val="auto"/>
        </w:rPr>
        <w:t xml:space="preserve">submit to the exclusive jurisdiction of the State and Federal courts in New York County, New York;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nothing in this Agreement shall be deemed to operate to preclude Agent from bringing suit or taking other legal action in any other jurisdiction to realize on the Collateral or any other security for the Obligations, or to enforce a judgment or other court order in favor of Agent or the Lenders. Each party hereto expressly submits and consents in advance to such jurisdiction in any action or suit commenced in any such court, and each party hereto hereby waives any objection that it may have based upon lack of personal jurisdiction, improper venue, or forum non-conveniens and hereby consents to the granting of such legal or equitable relief as is deemed appropriate by such court. Each party hereto hereby waives personal service of the summons, complaints, and other process issued in such action or suit and agrees that service of such summons, complaints, and other process may be made by registered or certified mail addressed to such party at the addresses set forth in </w:t>
      </w:r>
      <w:r>
        <w:rPr>
          <w:rFonts w:ascii="Arial" w:cs="Arial" w:eastAsia="Arial" w:hAnsi="Arial"/>
          <w:sz w:val="16"/>
          <w:szCs w:val="16"/>
          <w:u w:val="single" w:color="auto"/>
          <w:color w:val="auto"/>
        </w:rPr>
        <w:t>Section</w:t>
      </w:r>
      <w:r>
        <w:rPr>
          <w:rFonts w:ascii="Arial" w:cs="Arial" w:eastAsia="Arial" w:hAnsi="Arial"/>
          <w:sz w:val="16"/>
          <w:szCs w:val="16"/>
          <w:color w:val="auto"/>
        </w:rPr>
        <w:t xml:space="preserve"> 8.2 of this Agreement and that service so made shall be deemed completed upon the earlier to occur of such party’s actual receipt thereof or three (3) days after deposit in the U.S. mails, proper postage prepaid; and</w:t>
      </w:r>
    </w:p>
    <w:p>
      <w:pPr>
        <w:spacing w:after="0" w:line="382"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36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Presto Credit Agreement</w:t>
            </w:r>
          </w:p>
        </w:tc>
        <w:tc>
          <w:tcPr>
            <w:tcW w:w="7580" w:type="dxa"/>
            <w:vAlign w:val="bottom"/>
            <w:tcBorders>
              <w:bottom w:val="single" w:sz="8" w:color="auto"/>
            </w:tcBorders>
          </w:tcPr>
          <w:p>
            <w:pPr>
              <w:jc w:val="right"/>
              <w:ind w:right="5430"/>
              <w:spacing w:after="0"/>
              <w:rPr>
                <w:sz w:val="20"/>
                <w:szCs w:val="20"/>
                <w:color w:val="auto"/>
              </w:rPr>
            </w:pPr>
            <w:r>
              <w:rPr>
                <w:rFonts w:ascii="Arial" w:cs="Arial" w:eastAsia="Arial" w:hAnsi="Arial"/>
                <w:sz w:val="18"/>
                <w:szCs w:val="18"/>
                <w:color w:val="auto"/>
              </w:rPr>
              <w:t>62</w:t>
            </w:r>
          </w:p>
        </w:tc>
      </w:tr>
    </w:tbl>
    <w:p>
      <w:pPr>
        <w:sectPr>
          <w:pgSz w:w="11900" w:h="16838" w:orient="portrait"/>
          <w:cols w:equalWidth="0" w:num="1">
            <w:col w:w="11240"/>
          </w:cols>
          <w:pgMar w:left="320" w:top="904" w:right="339" w:bottom="1440" w:gutter="0" w:footer="0" w:header="0"/>
        </w:sectPr>
      </w:pPr>
    </w:p>
    <w:bookmarkStart w:id="149" w:name="page150"/>
    <w:bookmarkEnd w:id="149"/>
    <w:p>
      <w:pPr>
        <w:jc w:val="both"/>
        <w:ind w:firstLine="656"/>
        <w:spacing w:after="0" w:line="258" w:lineRule="auto"/>
        <w:tabs>
          <w:tab w:leader="none" w:pos="922" w:val="left"/>
        </w:tabs>
        <w:numPr>
          <w:ilvl w:val="0"/>
          <w:numId w:val="154"/>
        </w:numPr>
        <w:rPr>
          <w:rFonts w:ascii="Arial" w:cs="Arial" w:eastAsia="Arial" w:hAnsi="Arial"/>
          <w:sz w:val="18"/>
          <w:szCs w:val="18"/>
          <w:color w:val="auto"/>
        </w:rPr>
      </w:pPr>
      <w:r>
        <w:rPr>
          <w:rFonts w:ascii="Arial" w:cs="Arial" w:eastAsia="Arial" w:hAnsi="Arial"/>
          <w:sz w:val="18"/>
          <w:szCs w:val="18"/>
          <w:b w:val="1"/>
          <w:bCs w:val="1"/>
          <w:color w:val="auto"/>
        </w:rPr>
        <w:t>WAIVE, TO THE EXTENT PERMITTED BY APPLICABLE LAW, THEIR RESPECTIVE RIGHT TO A JURY TRIAL OF ANY CLAIM OR CAUSE OF ACTION ARISING OUT OF OR BASED UPON THIS AGREEMENT, THE OTHER LOAN DOCUMENTS OR ANY CONTEMPLATED TRANSACTION, INCLUDING CONTRACT, TORT, BREACH OF DUTY AND ALL OTHER CLAIMS. THIS WAIVER IS A MATERIAL INDUCEMENT FOR THE PARTIES TO ENTER INTO THIS AGREEMENT. EACH PARTY HAS REVIEWED THIS WAIVER WITH ITS COUNSEL</w:t>
      </w:r>
      <w:r>
        <w:rPr>
          <w:rFonts w:ascii="Arial" w:cs="Arial" w:eastAsia="Arial" w:hAnsi="Arial"/>
          <w:sz w:val="18"/>
          <w:szCs w:val="18"/>
          <w:color w:val="auto"/>
        </w:rPr>
        <w:t>.</w:t>
      </w:r>
    </w:p>
    <w:p>
      <w:pPr>
        <w:spacing w:after="0" w:line="183"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8.14 Acknowledgements</w:t>
      </w:r>
      <w:r>
        <w:rPr>
          <w:rFonts w:ascii="Arial" w:cs="Arial" w:eastAsia="Arial" w:hAnsi="Arial"/>
          <w:sz w:val="18"/>
          <w:szCs w:val="18"/>
          <w:color w:val="auto"/>
        </w:rPr>
        <w:t>. Each Loan Party hereby acknowledges that:</w:t>
      </w:r>
    </w:p>
    <w:p>
      <w:pPr>
        <w:spacing w:after="0" w:line="229" w:lineRule="exact"/>
        <w:rPr>
          <w:sz w:val="20"/>
          <w:szCs w:val="20"/>
          <w:color w:val="auto"/>
        </w:rPr>
      </w:pPr>
    </w:p>
    <w:p>
      <w:pPr>
        <w:ind w:left="900" w:hanging="244"/>
        <w:spacing w:after="0"/>
        <w:tabs>
          <w:tab w:leader="none" w:pos="900" w:val="left"/>
        </w:tabs>
        <w:numPr>
          <w:ilvl w:val="0"/>
          <w:numId w:val="155"/>
        </w:numPr>
        <w:rPr>
          <w:rFonts w:ascii="Arial" w:cs="Arial" w:eastAsia="Arial" w:hAnsi="Arial"/>
          <w:sz w:val="18"/>
          <w:szCs w:val="18"/>
          <w:color w:val="auto"/>
        </w:rPr>
      </w:pPr>
      <w:r>
        <w:rPr>
          <w:rFonts w:ascii="Arial" w:cs="Arial" w:eastAsia="Arial" w:hAnsi="Arial"/>
          <w:sz w:val="18"/>
          <w:szCs w:val="18"/>
          <w:color w:val="auto"/>
        </w:rPr>
        <w:t>it has been advised by counsel in the negotiation, execution and delivery of this Agreement and the other Loan Documents;</w:t>
      </w:r>
    </w:p>
    <w:p>
      <w:pPr>
        <w:spacing w:after="0" w:line="225" w:lineRule="exact"/>
        <w:rPr>
          <w:rFonts w:ascii="Arial" w:cs="Arial" w:eastAsia="Arial" w:hAnsi="Arial"/>
          <w:sz w:val="18"/>
          <w:szCs w:val="18"/>
          <w:color w:val="auto"/>
        </w:rPr>
      </w:pPr>
    </w:p>
    <w:p>
      <w:pPr>
        <w:jc w:val="both"/>
        <w:ind w:firstLine="656"/>
        <w:spacing w:after="0" w:line="263" w:lineRule="auto"/>
        <w:tabs>
          <w:tab w:leader="none" w:pos="903" w:val="left"/>
        </w:tabs>
        <w:numPr>
          <w:ilvl w:val="0"/>
          <w:numId w:val="155"/>
        </w:numPr>
        <w:rPr>
          <w:rFonts w:ascii="Arial" w:cs="Arial" w:eastAsia="Arial" w:hAnsi="Arial"/>
          <w:sz w:val="18"/>
          <w:szCs w:val="18"/>
          <w:color w:val="auto"/>
        </w:rPr>
      </w:pPr>
      <w:r>
        <w:rPr>
          <w:rFonts w:ascii="Arial" w:cs="Arial" w:eastAsia="Arial" w:hAnsi="Arial"/>
          <w:sz w:val="18"/>
          <w:szCs w:val="18"/>
          <w:color w:val="auto"/>
        </w:rPr>
        <w:t>neither Agent nor any Lender has any fiduciary relationship with or duty to Borrower, any other Loan Party arising out of or in connection with this Agreement or any of the other Loan Documents, and the relationship between Agent and Lenders, on one hand, and Borrower, and any other Loan Party, on the other hand, in connection herewith or therewith is solely that of debtor and creditor; and</w:t>
      </w:r>
    </w:p>
    <w:p>
      <w:pPr>
        <w:spacing w:after="0" w:line="183" w:lineRule="exact"/>
        <w:rPr>
          <w:rFonts w:ascii="Arial" w:cs="Arial" w:eastAsia="Arial" w:hAnsi="Arial"/>
          <w:sz w:val="18"/>
          <w:szCs w:val="18"/>
          <w:color w:val="auto"/>
        </w:rPr>
      </w:pPr>
    </w:p>
    <w:p>
      <w:pPr>
        <w:ind w:firstLine="656"/>
        <w:spacing w:after="0" w:line="277" w:lineRule="auto"/>
        <w:tabs>
          <w:tab w:leader="none" w:pos="918" w:val="left"/>
        </w:tabs>
        <w:numPr>
          <w:ilvl w:val="0"/>
          <w:numId w:val="155"/>
        </w:numPr>
        <w:rPr>
          <w:rFonts w:ascii="Arial" w:cs="Arial" w:eastAsia="Arial" w:hAnsi="Arial"/>
          <w:sz w:val="18"/>
          <w:szCs w:val="18"/>
          <w:color w:val="auto"/>
        </w:rPr>
      </w:pPr>
      <w:r>
        <w:rPr>
          <w:rFonts w:ascii="Arial" w:cs="Arial" w:eastAsia="Arial" w:hAnsi="Arial"/>
          <w:sz w:val="18"/>
          <w:szCs w:val="18"/>
          <w:color w:val="auto"/>
        </w:rPr>
        <w:t>no joint venture is created hereby or by the other Loan Documents or otherwise exists by virtue of the transactions contemplated hereby between Agent, Lenders, Borrower or any other Loan Party.</w:t>
      </w:r>
    </w:p>
    <w:p>
      <w:pPr>
        <w:spacing w:after="0" w:line="166" w:lineRule="exact"/>
        <w:rPr>
          <w:sz w:val="20"/>
          <w:szCs w:val="20"/>
          <w:color w:val="auto"/>
        </w:rPr>
      </w:pPr>
    </w:p>
    <w:p>
      <w:pPr>
        <w:jc w:val="both"/>
        <w:ind w:firstLine="648"/>
        <w:spacing w:after="0" w:line="284" w:lineRule="auto"/>
        <w:rPr>
          <w:sz w:val="20"/>
          <w:szCs w:val="20"/>
          <w:color w:val="auto"/>
        </w:rPr>
      </w:pPr>
      <w:r>
        <w:rPr>
          <w:rFonts w:ascii="Arial" w:cs="Arial" w:eastAsia="Arial" w:hAnsi="Arial"/>
          <w:sz w:val="16"/>
          <w:szCs w:val="16"/>
          <w:b w:val="1"/>
          <w:bCs w:val="1"/>
          <w:color w:val="auto"/>
        </w:rPr>
        <w:t>8.15 Treatment of Certain Information; Confidentiality</w:t>
      </w:r>
      <w:r>
        <w:rPr>
          <w:rFonts w:ascii="Arial" w:cs="Arial" w:eastAsia="Arial" w:hAnsi="Arial"/>
          <w:sz w:val="16"/>
          <w:szCs w:val="16"/>
          <w:color w:val="auto"/>
        </w:rPr>
        <w:t>. Agent and each Lender agrees to use commercially reasonable efforts to maintain the</w:t>
      </w:r>
      <w:r>
        <w:rPr>
          <w:rFonts w:ascii="Arial" w:cs="Arial" w:eastAsia="Arial" w:hAnsi="Arial"/>
          <w:sz w:val="16"/>
          <w:szCs w:val="16"/>
          <w:b w:val="1"/>
          <w:bCs w:val="1"/>
          <w:color w:val="auto"/>
        </w:rPr>
        <w:t xml:space="preserve"> </w:t>
      </w:r>
      <w:r>
        <w:rPr>
          <w:rFonts w:ascii="Arial" w:cs="Arial" w:eastAsia="Arial" w:hAnsi="Arial"/>
          <w:sz w:val="16"/>
          <w:szCs w:val="16"/>
          <w:color w:val="auto"/>
        </w:rPr>
        <w:t>confidentiality of the Information (as defined below), except that Information may be disclosed (a) to its Affiliates and to its Related Parties and its fund investors or shareholders (as potential investors and shareholders), and to its lenders, funding or financing sources (it being understood that the Persons to whom such disclosure is made are informed of the confidential nature of such Information and instructed to keep such Information confidential); (b) to the extent required or requested by any regulatory authority purporting to have jurisdiction over such Person or its Related Parties; (c) to the extent required by applicable Laws or regulations or by any subpoena or similar legal process, upon the request or demand of any Governmental Authority, in response to any order of any court or other Governmental Authority or as may otherwise be required pursuant to any Requirement of Law or if requested or required to do so in connection with any litigation or similar proceeding (provided that such party will use commercially reasonable efforts to give Borrower prior notice to the extent not prohibited); (d) to any other party hereto; (e) in connection with the exercise of any remedies hereunder or under any other Loan Document or any action or proceeding relating to this Agreement or any other Loan Document or the enforcement of rights hereunder or thereunder; (f) on a confidential basis to any rating agency in connection with rating a Loan Party or the Obligations; (g) with the consent of Borrower; (h) to any Person to whom a Lender offers or proposes to offer to sell, assign or transfer the Term Loan, the Term Loan Commitment or any part thereof or any interest or participation therein (it being understood that the Persons to whom such disclosure is made will be informed of the confidential nature of such Information and instructed to keep such Information confidential) or (i) to the extent such Information (x) becomes publicly available other than as a result of a breach of this Section, or (y) becomes available to Agent, a Lender or its Affiliates on a non-confidential basis from a source other than a Loan Party. Notwithstanding anything herein to the contrary, any party to this Agreement (and any employee, representative, or other agent of any party to this Agreement) may disclose to any and all persons, without limitation of any kind, the tax treatment and tax structure of the transactions contemplated by this Agreement and all materials of any kind (including opinions or other tax analyses) that are provided to it relating to such tax treatment and tax structure. However, any such information relating to the tax treatment or tax structure is required to be kept confidential to the extent necessary to comply with any applicable federal or state securities Laws. For purposes of this Section, “</w:t>
      </w:r>
      <w:r>
        <w:rPr>
          <w:rFonts w:ascii="Arial" w:cs="Arial" w:eastAsia="Arial" w:hAnsi="Arial"/>
          <w:sz w:val="16"/>
          <w:szCs w:val="16"/>
          <w:b w:val="1"/>
          <w:bCs w:val="1"/>
          <w:i w:val="1"/>
          <w:iCs w:val="1"/>
          <w:color w:val="auto"/>
        </w:rPr>
        <w:t>Information</w:t>
      </w:r>
      <w:r>
        <w:rPr>
          <w:rFonts w:ascii="Arial" w:cs="Arial" w:eastAsia="Arial" w:hAnsi="Arial"/>
          <w:sz w:val="16"/>
          <w:szCs w:val="16"/>
          <w:color w:val="auto"/>
        </w:rPr>
        <w:t>” means all information received from the Loan Parties relating to the Loan Parties or any of their respective businesses, other than any such information that is available to Agent or Lenders on a non-confidential basis prior to disclosure by such Loan Party; provided, that, in the case of information received from the Loan Parties after the date hereof, such information is clearly identified at the time of delivery as confidential. Any Person required to maintain the confidentiality of Information as provided in this Section shall be considered to have complied with its obligation to do so if such Person has exercised the same degree of care to maintain the confidentiality of such Information as such Person would accord to its own confidential information, which degree of care is no less than a reasonable degree of care.</w:t>
      </w:r>
    </w:p>
    <w:p>
      <w:pPr>
        <w:spacing w:after="0" w:line="393"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36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Presto Credit Agreement</w:t>
            </w:r>
          </w:p>
        </w:tc>
        <w:tc>
          <w:tcPr>
            <w:tcW w:w="7580" w:type="dxa"/>
            <w:vAlign w:val="bottom"/>
            <w:tcBorders>
              <w:bottom w:val="single" w:sz="8" w:color="auto"/>
            </w:tcBorders>
          </w:tcPr>
          <w:p>
            <w:pPr>
              <w:jc w:val="right"/>
              <w:ind w:right="5430"/>
              <w:spacing w:after="0"/>
              <w:rPr>
                <w:sz w:val="20"/>
                <w:szCs w:val="20"/>
                <w:color w:val="auto"/>
              </w:rPr>
            </w:pPr>
            <w:r>
              <w:rPr>
                <w:rFonts w:ascii="Arial" w:cs="Arial" w:eastAsia="Arial" w:hAnsi="Arial"/>
                <w:sz w:val="18"/>
                <w:szCs w:val="18"/>
                <w:color w:val="auto"/>
              </w:rPr>
              <w:t>63</w:t>
            </w:r>
          </w:p>
        </w:tc>
      </w:tr>
    </w:tbl>
    <w:p>
      <w:pPr>
        <w:sectPr>
          <w:pgSz w:w="11900" w:h="16838" w:orient="portrait"/>
          <w:cols w:equalWidth="0" w:num="1">
            <w:col w:w="11240"/>
          </w:cols>
          <w:pgMar w:left="320" w:top="904" w:right="339" w:bottom="1440" w:gutter="0" w:footer="0" w:header="0"/>
        </w:sectPr>
      </w:pPr>
    </w:p>
    <w:bookmarkStart w:id="150" w:name="page151"/>
    <w:bookmarkEnd w:id="150"/>
    <w:p>
      <w:pPr>
        <w:jc w:val="both"/>
        <w:ind w:firstLine="648"/>
        <w:spacing w:after="0" w:line="277" w:lineRule="auto"/>
        <w:rPr>
          <w:sz w:val="20"/>
          <w:szCs w:val="20"/>
          <w:color w:val="auto"/>
        </w:rPr>
      </w:pPr>
      <w:r>
        <w:rPr>
          <w:rFonts w:ascii="Arial" w:cs="Arial" w:eastAsia="Arial" w:hAnsi="Arial"/>
          <w:sz w:val="17"/>
          <w:szCs w:val="17"/>
          <w:b w:val="1"/>
          <w:bCs w:val="1"/>
          <w:color w:val="auto"/>
        </w:rPr>
        <w:t>8.16 Beneficial Ownership Regulation; Patriot Act</w:t>
      </w:r>
      <w:r>
        <w:rPr>
          <w:rFonts w:ascii="Arial" w:cs="Arial" w:eastAsia="Arial" w:hAnsi="Arial"/>
          <w:sz w:val="17"/>
          <w:szCs w:val="17"/>
          <w:color w:val="auto"/>
        </w:rPr>
        <w:t>. Agent and Lenders hereby notifies each Loan Party that, pursuant to the requirements of the</w:t>
      </w:r>
      <w:r>
        <w:rPr>
          <w:rFonts w:ascii="Arial" w:cs="Arial" w:eastAsia="Arial" w:hAnsi="Arial"/>
          <w:sz w:val="17"/>
          <w:szCs w:val="17"/>
          <w:b w:val="1"/>
          <w:bCs w:val="1"/>
          <w:color w:val="auto"/>
        </w:rPr>
        <w:t xml:space="preserve"> </w:t>
      </w:r>
      <w:r>
        <w:rPr>
          <w:rFonts w:ascii="Arial" w:cs="Arial" w:eastAsia="Arial" w:hAnsi="Arial"/>
          <w:sz w:val="17"/>
          <w:szCs w:val="17"/>
          <w:color w:val="auto"/>
        </w:rPr>
        <w:t>Patriot Act, it is required to obtain, verify and record information that identifies such Person, which information includes the names and addresses and other information that will allow Agent or such Lender to identify such Loan Party in accordance with the Patriot Act. Each Loan Party will provide, to the extent required by any Requirement of Law, such information and take such actions as are reasonably requested by Agent or a Lender to assist Agent or such Lender in maintaining compliance with the Patriot Act and the Beneficial Ownership Regulation.</w:t>
      </w:r>
    </w:p>
    <w:p>
      <w:pPr>
        <w:spacing w:after="0" w:line="168"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b w:val="1"/>
          <w:bCs w:val="1"/>
          <w:color w:val="auto"/>
        </w:rPr>
        <w:t>8.17 Marshalling; Setoff</w:t>
      </w:r>
      <w:r>
        <w:rPr>
          <w:rFonts w:ascii="Arial" w:cs="Arial" w:eastAsia="Arial" w:hAnsi="Arial"/>
          <w:sz w:val="17"/>
          <w:szCs w:val="17"/>
          <w:color w:val="auto"/>
        </w:rPr>
        <w:t>. Neither any Agent nor any Lender shall be under any obligation to marshal any assets in favor of any Loan Party or any</w:t>
      </w:r>
      <w:r>
        <w:rPr>
          <w:rFonts w:ascii="Arial" w:cs="Arial" w:eastAsia="Arial" w:hAnsi="Arial"/>
          <w:sz w:val="17"/>
          <w:szCs w:val="17"/>
          <w:b w:val="1"/>
          <w:bCs w:val="1"/>
          <w:color w:val="auto"/>
        </w:rPr>
        <w:t xml:space="preserve"> </w:t>
      </w:r>
      <w:r>
        <w:rPr>
          <w:rFonts w:ascii="Arial" w:cs="Arial" w:eastAsia="Arial" w:hAnsi="Arial"/>
          <w:sz w:val="17"/>
          <w:szCs w:val="17"/>
          <w:color w:val="auto"/>
        </w:rPr>
        <w:t>other Person or against or in payment of any or all of the Obligations. Each Loan Party grants to Agent and each Lender a continuing Lien, security interest and right of setoff as security for all liabilities and obligations to Agent or such Lender arising under or relating to the Obligations, whether now existing or hereafter arising, upon and against all deposits, credits, collateral and property of such Loan Party, and any other accounts established hereunder for the deposit of cash collateral in order to secure the Obligations, now or hereafter in the possession, custody, safekeeping or control of Agent or such Lender or any entity under the control of Agent or such Lender, and their successors and assigns or in transit to any of them. At any time while an Event of Default exists, without demand or notice (any such notice being expressly waived by such Loan Party), Agent or such Lender may set-off the same or any part thereof and apply the same to any liability or obligation of such Loan Party even though unmatured and regardless of the adequacy of any other Collateral securing the Obligations. ANY AND ALL RIGHTS TO REQUIRE AGENT OR ANY LENDER TO EXERCISE ITS RIGHTS OR REMEDIES WITH RESPECT TO ANY OTHER COLLATERAL WHICH SECURES THE OBLIGATIONS, PRIOR TO EXERCISING ITS RIGHTS OF SETOFF WITH RESPECT TO SUCH DEPOSITS, CREDITS OR OTHER PROPERTY OF THE BORROWER ARE HEREBY KNOWINGLY, VOLUNTARILY AND IRREVOCABLY WAIVED.</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Agency Provisions.</w:t>
      </w:r>
    </w:p>
    <w:p>
      <w:pPr>
        <w:spacing w:after="0" w:line="207"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8"/>
          <w:szCs w:val="18"/>
          <w:b w:val="1"/>
          <w:bCs w:val="1"/>
          <w:color w:val="auto"/>
        </w:rPr>
        <w:t>9.1 Appointment of Agent</w:t>
      </w:r>
      <w:r>
        <w:rPr>
          <w:rFonts w:ascii="Arial" w:cs="Arial" w:eastAsia="Arial" w:hAnsi="Arial"/>
          <w:sz w:val="18"/>
          <w:szCs w:val="18"/>
          <w:color w:val="auto"/>
        </w:rPr>
        <w:t>. Each Lender hereby appoints Agent as collateral agent, payment and administrative agent under this Agreement and</w:t>
      </w:r>
      <w:r>
        <w:rPr>
          <w:rFonts w:ascii="Arial" w:cs="Arial" w:eastAsia="Arial" w:hAnsi="Arial"/>
          <w:sz w:val="18"/>
          <w:szCs w:val="18"/>
          <w:b w:val="1"/>
          <w:bCs w:val="1"/>
          <w:color w:val="auto"/>
        </w:rPr>
        <w:t xml:space="preserve"> </w:t>
      </w:r>
      <w:r>
        <w:rPr>
          <w:rFonts w:ascii="Arial" w:cs="Arial" w:eastAsia="Arial" w:hAnsi="Arial"/>
          <w:sz w:val="18"/>
          <w:szCs w:val="18"/>
          <w:color w:val="auto"/>
        </w:rPr>
        <w:t>the other Loan Documents, and Agent hereby accepts such appointment. Lenders hereby authorize Agent to (a) execute and deliver the Loan Documents (including any subordination agreement), as applicable, and accept delivery thereof on its behalf from the Loan Parties, (b) take such action on its behalf and to exercise all rights, powers and remedies and perform the duties as are expressly delegated to Agent under this Agreement and the other Loan Documents and (c) exercise such powers as are reasonably incidental thereto.</w:t>
      </w:r>
    </w:p>
    <w:p>
      <w:pPr>
        <w:spacing w:after="0" w:line="183"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b w:val="1"/>
          <w:bCs w:val="1"/>
          <w:color w:val="auto"/>
        </w:rPr>
        <w:t>9.2 Duties as Agent</w:t>
      </w:r>
      <w:r>
        <w:rPr>
          <w:rFonts w:ascii="Arial" w:cs="Arial" w:eastAsia="Arial" w:hAnsi="Arial"/>
          <w:sz w:val="16"/>
          <w:szCs w:val="16"/>
          <w:color w:val="auto"/>
        </w:rPr>
        <w:t>. Without limiting the generality of</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Section 9.1(a)</w:t>
      </w:r>
      <w:r>
        <w:rPr>
          <w:rFonts w:ascii="Arial" w:cs="Arial" w:eastAsia="Arial" w:hAnsi="Arial"/>
          <w:sz w:val="16"/>
          <w:szCs w:val="16"/>
          <w:b w:val="1"/>
          <w:bCs w:val="1"/>
          <w:color w:val="auto"/>
        </w:rPr>
        <w:t xml:space="preserve"> </w:t>
      </w:r>
      <w:r>
        <w:rPr>
          <w:rFonts w:ascii="Arial" w:cs="Arial" w:eastAsia="Arial" w:hAnsi="Arial"/>
          <w:sz w:val="16"/>
          <w:szCs w:val="16"/>
          <w:color w:val="auto"/>
        </w:rPr>
        <w:t>above, Agent shall have the sole and exclusive right and authority (to the</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exclusion of Lenders), and is hereby authorized as provided in this Agreement and the other Loan Documents or as directed in writing by the Required Lenders, to (a) file and prove claims and file other documents necessary or desirable to allow the claims of Lenders, Agent and their respective Related Parties with respect to any obligations hereunder or under the other Loan Documents in any bankruptcy, insolvency or similar proceeding (but not to vote, consent or otherwise act on behalf of such other Lender or Related Party), (b) act as collateral agent for each Lender for purposes of the perfection of all Liens created by such agreements and all other purposes stated therein, (c) manage, supervise and otherwise deal with the Collateral, (d) take such other action as is necessary or desirable to maintain the perfection and priority of the Liens created or purported to be created by this Agreement and the other Loan Documents, (e) except as may be otherwise specified in this Agreement or the other Loan Documents, exercise all remedies given to Agent and Lenders with respect to the Collateral, whether under this Agreement or the other Loan Documents, applicable Laws or otherwise, (f) to credit bid any or all of the obligations on behalf of Lenders in connection with any sale or other disposition of any or all assets or equity of the Loan Parties and (g) execute any amendment, consent or waiver under this Agreement and the other Loan Documents (including any subordination agreement) on behalf of the Required Lenders that have consented in writing to such amendment, consent or waiver;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Agent hereby appoints, authorizes and directs Lenders to act as collateral sub-agents for Agent and the other Lenders for purposes of the perfection of all Liens with respect to the Collateral, including any deposit account maintained by any Loan Party with, and cash and Cash Equivalents held by, Lenders, and may further authorize and direct Lenders to take further actions as collateral sub-agents for purposes of enforcing such Liens or otherwise to transfer the Collateral subject thereto to Agent and Lenders hereby agree to take such further actions to the extent, and only to the extent, so authorized and directed.</w:t>
      </w:r>
    </w:p>
    <w:p>
      <w:pPr>
        <w:spacing w:after="0" w:line="384"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36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Presto Credit Agreement</w:t>
            </w:r>
          </w:p>
        </w:tc>
        <w:tc>
          <w:tcPr>
            <w:tcW w:w="7580" w:type="dxa"/>
            <w:vAlign w:val="bottom"/>
            <w:tcBorders>
              <w:bottom w:val="single" w:sz="8" w:color="auto"/>
            </w:tcBorders>
          </w:tcPr>
          <w:p>
            <w:pPr>
              <w:jc w:val="right"/>
              <w:ind w:right="5430"/>
              <w:spacing w:after="0"/>
              <w:rPr>
                <w:sz w:val="20"/>
                <w:szCs w:val="20"/>
                <w:color w:val="auto"/>
              </w:rPr>
            </w:pPr>
            <w:r>
              <w:rPr>
                <w:rFonts w:ascii="Arial" w:cs="Arial" w:eastAsia="Arial" w:hAnsi="Arial"/>
                <w:sz w:val="18"/>
                <w:szCs w:val="18"/>
                <w:color w:val="auto"/>
              </w:rPr>
              <w:t>64</w:t>
            </w:r>
          </w:p>
        </w:tc>
      </w:tr>
    </w:tbl>
    <w:p>
      <w:pPr>
        <w:sectPr>
          <w:pgSz w:w="11900" w:h="16838" w:orient="portrait"/>
          <w:cols w:equalWidth="0" w:num="1">
            <w:col w:w="11240"/>
          </w:cols>
          <w:pgMar w:left="320" w:top="904" w:right="339" w:bottom="1440" w:gutter="0" w:footer="0" w:header="0"/>
        </w:sectPr>
      </w:pPr>
    </w:p>
    <w:bookmarkStart w:id="151" w:name="page152"/>
    <w:bookmarkEnd w:id="151"/>
    <w:p>
      <w:pPr>
        <w:jc w:val="both"/>
        <w:ind w:firstLine="648"/>
        <w:spacing w:after="0" w:line="273" w:lineRule="auto"/>
        <w:rPr>
          <w:sz w:val="20"/>
          <w:szCs w:val="20"/>
          <w:color w:val="auto"/>
        </w:rPr>
      </w:pPr>
      <w:r>
        <w:rPr>
          <w:rFonts w:ascii="Arial" w:cs="Arial" w:eastAsia="Arial" w:hAnsi="Arial"/>
          <w:sz w:val="17"/>
          <w:szCs w:val="17"/>
          <w:b w:val="1"/>
          <w:bCs w:val="1"/>
          <w:color w:val="auto"/>
        </w:rPr>
        <w:t>9.3 Limited Duties</w:t>
      </w:r>
      <w:r>
        <w:rPr>
          <w:rFonts w:ascii="Arial" w:cs="Arial" w:eastAsia="Arial" w:hAnsi="Arial"/>
          <w:sz w:val="17"/>
          <w:szCs w:val="17"/>
          <w:color w:val="auto"/>
        </w:rPr>
        <w:t>. Under this Agreement and the other Loan Documents, Agent (a) is acting solely on behalf of Lenders with duties that are</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entirely administrative in nature with respect to the rights delegated to it under this Agreement and the other Loan Documents notwithstanding the use of the defined term “Agent”, which is used for title purposes only, (b) is not assuming any obligation under this Agreement or any other Loan Document other than as expressly set forth therein or herein and is not assuming any role as agent, fiduciary or trustee of or for Lenders or any other Person and (c) shall have no implied functions, responsibilities, duties, obligations or other liabilities under this Agreement or any other Loan Document, and Lenders, by accepting the benefits of this Agreement and the other Loan Documents, hereby waive and agree not to assert any claim against Agent based on the roles, duties and legal relationships expressly disclaimed in clauses (a) through (c) of this </w:t>
      </w:r>
      <w:r>
        <w:rPr>
          <w:rFonts w:ascii="Arial" w:cs="Arial" w:eastAsia="Arial" w:hAnsi="Arial"/>
          <w:sz w:val="17"/>
          <w:szCs w:val="17"/>
          <w:u w:val="single" w:color="auto"/>
          <w:color w:val="auto"/>
        </w:rPr>
        <w:t>Section 9.3</w:t>
      </w:r>
      <w:r>
        <w:rPr>
          <w:rFonts w:ascii="Arial" w:cs="Arial" w:eastAsia="Arial" w:hAnsi="Arial"/>
          <w:sz w:val="17"/>
          <w:szCs w:val="17"/>
          <w:color w:val="auto"/>
        </w:rPr>
        <w:t>.</w:t>
      </w:r>
    </w:p>
    <w:p>
      <w:pPr>
        <w:spacing w:after="0" w:line="172"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b w:val="1"/>
          <w:bCs w:val="1"/>
          <w:color w:val="auto"/>
        </w:rPr>
        <w:t>9.4 No Actions Without Instructions</w:t>
      </w:r>
      <w:r>
        <w:rPr>
          <w:rFonts w:ascii="Arial" w:cs="Arial" w:eastAsia="Arial" w:hAnsi="Arial"/>
          <w:sz w:val="18"/>
          <w:szCs w:val="18"/>
          <w:color w:val="auto"/>
        </w:rPr>
        <w:t>. Agent shall not be required to exercise any discretion or take, or to omit to take, any action, including with</w:t>
      </w:r>
      <w:r>
        <w:rPr>
          <w:rFonts w:ascii="Arial" w:cs="Arial" w:eastAsia="Arial" w:hAnsi="Arial"/>
          <w:sz w:val="18"/>
          <w:szCs w:val="18"/>
          <w:b w:val="1"/>
          <w:bCs w:val="1"/>
          <w:color w:val="auto"/>
        </w:rPr>
        <w:t xml:space="preserve"> </w:t>
      </w:r>
      <w:r>
        <w:rPr>
          <w:rFonts w:ascii="Arial" w:cs="Arial" w:eastAsia="Arial" w:hAnsi="Arial"/>
          <w:sz w:val="18"/>
          <w:szCs w:val="18"/>
          <w:color w:val="auto"/>
        </w:rPr>
        <w:t>respect to enforcement or collection, except any action it is required and directed to take, or omit to take, pursuant to instructions approved by the Required Lenders. Notwithstanding the prior sentence, Agent shall not be required to take, or to omit to take, any action (a) unless, upon demand, Agent receives an indemnification satisfactory to it from Lenders against all liabilities that, by reason of such action or omission, may be imposed on, incurred by or asserted against Agent or any of its Affiliates or Related Parties or (b) that is, in the opinion of Agent or its counsel, contrary to this Agreement, the other Loan Document or applicable law.</w:t>
      </w:r>
    </w:p>
    <w:p>
      <w:pPr>
        <w:spacing w:after="0" w:line="187"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7"/>
          <w:szCs w:val="17"/>
          <w:b w:val="1"/>
          <w:bCs w:val="1"/>
          <w:color w:val="auto"/>
        </w:rPr>
        <w:t>9.5 Delegation of Rights and Duties</w:t>
      </w:r>
      <w:r>
        <w:rPr>
          <w:rFonts w:ascii="Arial" w:cs="Arial" w:eastAsia="Arial" w:hAnsi="Arial"/>
          <w:sz w:val="17"/>
          <w:szCs w:val="17"/>
          <w:color w:val="auto"/>
        </w:rPr>
        <w:t>. Agent may, upon any term or condition it specifies, delegate or exercise any of its rights, powers and</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remedies under, and delegate or perform any of its duties or any other action with respect to, this Agreement and the other Loan Documents by or through any Lender or their Related Parties. Any such person shall benefit from this </w:t>
      </w:r>
      <w:r>
        <w:rPr>
          <w:rFonts w:ascii="Arial" w:cs="Arial" w:eastAsia="Arial" w:hAnsi="Arial"/>
          <w:sz w:val="17"/>
          <w:szCs w:val="17"/>
          <w:u w:val="single" w:color="auto"/>
          <w:color w:val="auto"/>
        </w:rPr>
        <w:t>Article 9</w:t>
      </w:r>
      <w:r>
        <w:rPr>
          <w:rFonts w:ascii="Arial" w:cs="Arial" w:eastAsia="Arial" w:hAnsi="Arial"/>
          <w:sz w:val="17"/>
          <w:szCs w:val="17"/>
          <w:color w:val="auto"/>
        </w:rPr>
        <w:t xml:space="preserve"> to the extent provided to Agent.</w:t>
      </w:r>
    </w:p>
    <w:p>
      <w:pPr>
        <w:spacing w:after="0" w:line="158"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6"/>
          <w:szCs w:val="16"/>
          <w:b w:val="1"/>
          <w:bCs w:val="1"/>
          <w:color w:val="auto"/>
        </w:rPr>
        <w:t>9.6 Reliance and Liability</w:t>
      </w:r>
      <w:r>
        <w:rPr>
          <w:rFonts w:ascii="Arial" w:cs="Arial" w:eastAsia="Arial" w:hAnsi="Arial"/>
          <w:sz w:val="16"/>
          <w:szCs w:val="16"/>
          <w:color w:val="auto"/>
        </w:rPr>
        <w:t>. Neither Agent nor any of its Related Parties shall be liable or responsible to any Lender or any of its Related Party or</w:t>
      </w:r>
      <w:r>
        <w:rPr>
          <w:rFonts w:ascii="Arial" w:cs="Arial" w:eastAsia="Arial" w:hAnsi="Arial"/>
          <w:sz w:val="16"/>
          <w:szCs w:val="16"/>
          <w:b w:val="1"/>
          <w:bCs w:val="1"/>
          <w:color w:val="auto"/>
        </w:rPr>
        <w:t xml:space="preserve"> </w:t>
      </w:r>
      <w:r>
        <w:rPr>
          <w:rFonts w:ascii="Arial" w:cs="Arial" w:eastAsia="Arial" w:hAnsi="Arial"/>
          <w:sz w:val="16"/>
          <w:szCs w:val="16"/>
          <w:color w:val="auto"/>
        </w:rPr>
        <w:t>to the Loan Parties for (a) any action taken or omitted to be taken by Agent or any other such Person hereunder or under any related agreement, instrument or document, except in the case of resulting primarily from its gross negligence or willful misconduct as finally determined by a non-appealable court of competent jurisdiction or (b) any action taken or omitted to be taken by Agent or any such Related Party in connection with this Agreement or any other Loan Document with the consent or at the request of the Required Lenders, nor shall Agent or any of its Related Parties be liable or responsible for (i) the execution, legality, validity, effectiveness, sufficiency, enforceability or enforcement of this Agreement and the other Loan Documents or any instrument or document delivered hereunder or thereunder or relating hereto or thereto, or the value of any Collateral, or the attachment, perfection or priority of any Lien created or purported to be created under or in connection with this Agreement and the other Loan Documents; (ii) the title of any Loan Party to any of the Collateral or the right to grant a security interest therein; (iii) the determination, verification or enforcement any Loan Party’s compliance with any of the terms and conditions of this Agreement or the other Loan Documents; (iv) the failure by any Loan Party to deliver any instrument or document required to be delivered pursuant to the terms hereof or any other Loan Document; or (v) the receipt, disbursement, waiver, extension or other handling of proceeds made or received with respect to the Collateral, or the payment thereof, the servicing of the Collateral or the enforcement or the collection of any amounts owing with respect to the Collateral. Agent shall not incur any liability by acting in reliance upon any notice, consent, certificate, statement or other writing (which may be a bank wire, telex, facsimile transmission, e-mail or similar writing) reasonably believed by it to be genuine or to be signed by the proper party or parties. Agent makes no warranty or representation, and shall not be responsible, to any Lender for any statement, document, information, representation or warranty made or furnished by or on behalf of any of its Related Parties or any Loan Party in connection with this Agreement or the other Loan Documents or any transaction contemplated herein or therein or any other document or information transmitted by Agent, if any, including as to completeness, accuracy, scope or adequacy thereof, or for the scope, nature or results of any due diligence performed by Agent in connection with this Agreement and the other Loan Documents.</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36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Presto Credit Agreement</w:t>
            </w:r>
          </w:p>
        </w:tc>
        <w:tc>
          <w:tcPr>
            <w:tcW w:w="7580" w:type="dxa"/>
            <w:vAlign w:val="bottom"/>
            <w:tcBorders>
              <w:bottom w:val="single" w:sz="8" w:color="auto"/>
            </w:tcBorders>
          </w:tcPr>
          <w:p>
            <w:pPr>
              <w:jc w:val="right"/>
              <w:ind w:right="5430"/>
              <w:spacing w:after="0"/>
              <w:rPr>
                <w:sz w:val="20"/>
                <w:szCs w:val="20"/>
                <w:color w:val="auto"/>
              </w:rPr>
            </w:pPr>
            <w:r>
              <w:rPr>
                <w:rFonts w:ascii="Arial" w:cs="Arial" w:eastAsia="Arial" w:hAnsi="Arial"/>
                <w:sz w:val="18"/>
                <w:szCs w:val="18"/>
                <w:color w:val="auto"/>
              </w:rPr>
              <w:t>65</w:t>
            </w:r>
          </w:p>
        </w:tc>
      </w:tr>
    </w:tbl>
    <w:p>
      <w:pPr>
        <w:sectPr>
          <w:pgSz w:w="11900" w:h="16838" w:orient="portrait"/>
          <w:cols w:equalWidth="0" w:num="1">
            <w:col w:w="11240"/>
          </w:cols>
          <w:pgMar w:left="320" w:top="904" w:right="339" w:bottom="1440" w:gutter="0" w:footer="0" w:header="0"/>
        </w:sectPr>
      </w:pPr>
    </w:p>
    <w:bookmarkStart w:id="152" w:name="page153"/>
    <w:bookmarkEnd w:id="152"/>
    <w:p>
      <w:pPr>
        <w:jc w:val="both"/>
        <w:ind w:firstLine="648"/>
        <w:spacing w:after="0" w:line="266" w:lineRule="auto"/>
        <w:rPr>
          <w:sz w:val="20"/>
          <w:szCs w:val="20"/>
          <w:color w:val="auto"/>
        </w:rPr>
      </w:pPr>
      <w:r>
        <w:rPr>
          <w:rFonts w:ascii="Arial" w:cs="Arial" w:eastAsia="Arial" w:hAnsi="Arial"/>
          <w:sz w:val="18"/>
          <w:szCs w:val="18"/>
          <w:b w:val="1"/>
          <w:bCs w:val="1"/>
          <w:color w:val="auto"/>
        </w:rPr>
        <w:t>9.7 Agent Individually</w:t>
      </w:r>
      <w:r>
        <w:rPr>
          <w:rFonts w:ascii="Arial" w:cs="Arial" w:eastAsia="Arial" w:hAnsi="Arial"/>
          <w:sz w:val="18"/>
          <w:szCs w:val="18"/>
          <w:color w:val="auto"/>
        </w:rPr>
        <w:t>. To the extent Agent is owed an obligation as a Lender or made a Protective Advance and is a party to the other Loan</w:t>
      </w:r>
      <w:r>
        <w:rPr>
          <w:rFonts w:ascii="Arial" w:cs="Arial" w:eastAsia="Arial" w:hAnsi="Arial"/>
          <w:sz w:val="18"/>
          <w:szCs w:val="18"/>
          <w:b w:val="1"/>
          <w:bCs w:val="1"/>
          <w:color w:val="auto"/>
        </w:rPr>
        <w:t xml:space="preserve"> </w:t>
      </w:r>
      <w:r>
        <w:rPr>
          <w:rFonts w:ascii="Arial" w:cs="Arial" w:eastAsia="Arial" w:hAnsi="Arial"/>
          <w:sz w:val="18"/>
          <w:szCs w:val="18"/>
          <w:color w:val="auto"/>
        </w:rPr>
        <w:t>Documents, it shall have and may exercise the same rights and powers hereunder and thereunder, and shall be subject to the same obligations and liabilities as, any other Lender.</w:t>
      </w:r>
    </w:p>
    <w:p>
      <w:pPr>
        <w:spacing w:after="0" w:line="176"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17"/>
          <w:szCs w:val="17"/>
          <w:b w:val="1"/>
          <w:bCs w:val="1"/>
          <w:color w:val="auto"/>
        </w:rPr>
        <w:t>9.8 Agent Costs and Expenses</w:t>
      </w:r>
      <w:r>
        <w:rPr>
          <w:rFonts w:ascii="Arial" w:cs="Arial" w:eastAsia="Arial" w:hAnsi="Arial"/>
          <w:sz w:val="17"/>
          <w:szCs w:val="17"/>
          <w:color w:val="auto"/>
        </w:rPr>
        <w:t>. Lenders agree to reimburse Agent and each of its Related Parties (to the extent not reimbursed by the Loan Parties</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as required pursuant to this Agreement) promptly upon demand, severally and ratably with each other Lender, for any documented costs and expenses (including reasonable fees and expenses of legal counsel) that may be incurred by Agent or any of its Related Parties in connection with the administration, modification, consent, waiver or enforcement (whether through negotiations, through any work-out, bankruptcy, restructuring or other legal or other proceeding or otherwise) of, or legal advice in respect of its rights or responsibilities under, this Agreement or any other Loan Document. This </w:t>
      </w:r>
      <w:r>
        <w:rPr>
          <w:rFonts w:ascii="Arial" w:cs="Arial" w:eastAsia="Arial" w:hAnsi="Arial"/>
          <w:sz w:val="17"/>
          <w:szCs w:val="17"/>
          <w:u w:val="single" w:color="auto"/>
          <w:color w:val="auto"/>
        </w:rPr>
        <w:t>Section9.8</w:t>
      </w:r>
      <w:r>
        <w:rPr>
          <w:rFonts w:ascii="Arial" w:cs="Arial" w:eastAsia="Arial" w:hAnsi="Arial"/>
          <w:sz w:val="17"/>
          <w:szCs w:val="17"/>
          <w:color w:val="auto"/>
        </w:rPr>
        <w:t xml:space="preserve"> shall survive termination of this Agreement and the other Loan Documents.</w:t>
      </w:r>
    </w:p>
    <w:p>
      <w:pPr>
        <w:spacing w:after="0" w:line="173"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b w:val="1"/>
          <w:bCs w:val="1"/>
          <w:color w:val="auto"/>
        </w:rPr>
        <w:t>9.9 Indemnification of Agent</w:t>
      </w:r>
      <w:r>
        <w:rPr>
          <w:rFonts w:ascii="Arial" w:cs="Arial" w:eastAsia="Arial" w:hAnsi="Arial"/>
          <w:sz w:val="17"/>
          <w:szCs w:val="17"/>
          <w:color w:val="auto"/>
        </w:rPr>
        <w:t>. Lenders further agree to indemnify Agent and each of its Related Parties (to the extent not reimbursed by the Loan</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Parties as required pursuant to this Agreement), severally and ratably with each other Lender, from and against any and all liabilities, obligations, losses, damages, penalties, actions, judgments, suits, claims, costs, expenses and disbursements of any kind or nature whatsoever (including the reasonable fees and disbursements of counsel for Agent or such Related Parties) in connection with any investigative, administrative or judicial proceeding, enforcement action or any other action taken or omitted to be taken by Agent or any of its Related Parties under or with respect to this Agreement or the other Loan Documents, or any other act, event or transaction related, contemplated or attendant thereto, whether or not Agent or such Related Party shall be designated a party thereto and including any such proceeding initiated by or on behalf of the Loan Parties which may be imposed on, incurred by or asserted against Agent or such Related Party as a result of or in connection with this Agreement or the other Loan Documents;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Lenders shall not be liable to Agent or any of its Related Parties to the extent such liability has resulted primarily from the gross negligence or willful misconduct of Agent or, as the case may be, such Related Party, as determined by a court of competent jurisdiction in a final non-appealable judgment or order. This </w:t>
      </w:r>
      <w:r>
        <w:rPr>
          <w:rFonts w:ascii="Arial" w:cs="Arial" w:eastAsia="Arial" w:hAnsi="Arial"/>
          <w:sz w:val="17"/>
          <w:szCs w:val="17"/>
          <w:u w:val="single" w:color="auto"/>
          <w:color w:val="auto"/>
        </w:rPr>
        <w:t>Section 9.9</w:t>
      </w:r>
      <w:r>
        <w:rPr>
          <w:rFonts w:ascii="Arial" w:cs="Arial" w:eastAsia="Arial" w:hAnsi="Arial"/>
          <w:sz w:val="17"/>
          <w:szCs w:val="17"/>
          <w:color w:val="auto"/>
        </w:rPr>
        <w:t xml:space="preserve"> shall survive termination of this Agreement and the other Loan Documents.</w:t>
      </w:r>
    </w:p>
    <w:p>
      <w:pPr>
        <w:spacing w:after="0" w:line="182"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b w:val="1"/>
          <w:bCs w:val="1"/>
          <w:color w:val="auto"/>
        </w:rPr>
        <w:t>9.10 Resignation of Agent</w:t>
      </w:r>
      <w:r>
        <w:rPr>
          <w:rFonts w:ascii="Arial" w:cs="Arial" w:eastAsia="Arial" w:hAnsi="Arial"/>
          <w:sz w:val="18"/>
          <w:szCs w:val="18"/>
          <w:color w:val="auto"/>
        </w:rPr>
        <w:t>. Agent may resign at any time by giving notice thereof to Lenders and Borrower. Upon any such resignation, the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Required Lenders shall have the right to appoint a successor Agent. If no successor Agent shall have been so appointed by the Required Lenders, and shall have accepted such appointment, within thirty (30) days after the retiring Agent gives notice of resignation, then the retiring Agent may, on behalf of Lenders, appoint a successor Agent, which shall be an entity organized or licensed under the Laws of the United States of America or any state thereof. Upon the acceptance of its appointment as Agent hereunder by a successor Agent, such successor Agent shall thereupon succeed to and become vested with all the rights and duties of the retiring Agent, and the retiring Agent shall be discharged from any further duties and obligations hereunder. After any retiring Agent’s resignation hereunder as Agent, the provisions of this </w:t>
      </w:r>
      <w:r>
        <w:rPr>
          <w:rFonts w:ascii="Arial" w:cs="Arial" w:eastAsia="Arial" w:hAnsi="Arial"/>
          <w:sz w:val="18"/>
          <w:szCs w:val="18"/>
          <w:u w:val="single" w:color="auto"/>
          <w:color w:val="auto"/>
        </w:rPr>
        <w:t>Article 9</w:t>
      </w:r>
      <w:r>
        <w:rPr>
          <w:rFonts w:ascii="Arial" w:cs="Arial" w:eastAsia="Arial" w:hAnsi="Arial"/>
          <w:sz w:val="18"/>
          <w:szCs w:val="18"/>
          <w:color w:val="auto"/>
        </w:rPr>
        <w:t xml:space="preserve"> or otherwise herein shall inure to its benefit as to any actions taken or omitted to be taken by it while it was Agent.</w:t>
      </w:r>
    </w:p>
    <w:p>
      <w:pPr>
        <w:spacing w:after="0" w:line="192" w:lineRule="exact"/>
        <w:rPr>
          <w:sz w:val="20"/>
          <w:szCs w:val="20"/>
          <w:color w:val="auto"/>
        </w:rPr>
      </w:pPr>
    </w:p>
    <w:p>
      <w:pPr>
        <w:jc w:val="both"/>
        <w:ind w:firstLine="648"/>
        <w:spacing w:after="0" w:line="292" w:lineRule="auto"/>
        <w:rPr>
          <w:sz w:val="20"/>
          <w:szCs w:val="20"/>
          <w:color w:val="auto"/>
        </w:rPr>
      </w:pPr>
      <w:r>
        <w:rPr>
          <w:rFonts w:ascii="Arial" w:cs="Arial" w:eastAsia="Arial" w:hAnsi="Arial"/>
          <w:sz w:val="16"/>
          <w:szCs w:val="16"/>
          <w:b w:val="1"/>
          <w:bCs w:val="1"/>
          <w:color w:val="auto"/>
        </w:rPr>
        <w:t>9.11 Release of Collateral</w:t>
      </w:r>
      <w:r>
        <w:rPr>
          <w:rFonts w:ascii="Arial" w:cs="Arial" w:eastAsia="Arial" w:hAnsi="Arial"/>
          <w:sz w:val="16"/>
          <w:szCs w:val="16"/>
          <w:color w:val="auto"/>
        </w:rPr>
        <w:t>. Lenders hereby consent to the automatic release and hereby directs Agent to release any Lien held by Agent for the</w:t>
      </w:r>
      <w:r>
        <w:rPr>
          <w:rFonts w:ascii="Arial" w:cs="Arial" w:eastAsia="Arial" w:hAnsi="Arial"/>
          <w:sz w:val="16"/>
          <w:szCs w:val="16"/>
          <w:b w:val="1"/>
          <w:bCs w:val="1"/>
          <w:color w:val="auto"/>
        </w:rPr>
        <w:t xml:space="preserve"> </w:t>
      </w:r>
      <w:r>
        <w:rPr>
          <w:rFonts w:ascii="Arial" w:cs="Arial" w:eastAsia="Arial" w:hAnsi="Arial"/>
          <w:sz w:val="16"/>
          <w:szCs w:val="16"/>
          <w:color w:val="auto"/>
        </w:rPr>
        <w:t>benefit of Lenders against (a) any Collateral that is sold by a Loan Party as permitted by this Agreement or the other Loan Documents (including pursuant to a valid waiver or consent), to the extent all Liens required to be granted in the proceeds of such Collateral after giving effect to such sale have been granted and (b) all of the Collateral of the Loan Parties upon (i) payment and satisfaction in full of all obligations under this Agreement and the other Loan Documents (other than contingent indemnification obligations for which no claim has been asserted), (ii) deposit of cash collateral with respect to all contingent obligations in amounts and on terms and conditions and with parties satisfactory to Agent and each Related Party that is owed such obligations and (iii) to the extent requested by Agent, receipt by Lenders of liability releases from the Loan Parties each in form and substance acceptable to Agent.</w:t>
      </w:r>
    </w:p>
    <w:p>
      <w:pPr>
        <w:spacing w:after="0" w:line="381"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36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Presto Credit Agreement</w:t>
            </w:r>
          </w:p>
        </w:tc>
        <w:tc>
          <w:tcPr>
            <w:tcW w:w="7580" w:type="dxa"/>
            <w:vAlign w:val="bottom"/>
            <w:tcBorders>
              <w:bottom w:val="single" w:sz="8" w:color="auto"/>
            </w:tcBorders>
          </w:tcPr>
          <w:p>
            <w:pPr>
              <w:jc w:val="right"/>
              <w:ind w:right="5430"/>
              <w:spacing w:after="0"/>
              <w:rPr>
                <w:sz w:val="20"/>
                <w:szCs w:val="20"/>
                <w:color w:val="auto"/>
              </w:rPr>
            </w:pPr>
            <w:r>
              <w:rPr>
                <w:rFonts w:ascii="Arial" w:cs="Arial" w:eastAsia="Arial" w:hAnsi="Arial"/>
                <w:sz w:val="18"/>
                <w:szCs w:val="18"/>
                <w:color w:val="auto"/>
              </w:rPr>
              <w:t>66</w:t>
            </w:r>
          </w:p>
        </w:tc>
      </w:tr>
    </w:tbl>
    <w:p>
      <w:pPr>
        <w:sectPr>
          <w:pgSz w:w="11900" w:h="16838" w:orient="portrait"/>
          <w:cols w:equalWidth="0" w:num="1">
            <w:col w:w="11240"/>
          </w:cols>
          <w:pgMar w:left="320" w:top="904" w:right="339" w:bottom="1440" w:gutter="0" w:footer="0" w:header="0"/>
        </w:sectPr>
      </w:pPr>
    </w:p>
    <w:bookmarkStart w:id="153" w:name="page154"/>
    <w:bookmarkEnd w:id="153"/>
    <w:p>
      <w:pPr>
        <w:ind w:left="660"/>
        <w:spacing w:after="0"/>
        <w:rPr>
          <w:sz w:val="20"/>
          <w:szCs w:val="20"/>
          <w:color w:val="auto"/>
        </w:rPr>
      </w:pPr>
      <w:r>
        <w:rPr>
          <w:rFonts w:ascii="Arial" w:cs="Arial" w:eastAsia="Arial" w:hAnsi="Arial"/>
          <w:sz w:val="18"/>
          <w:szCs w:val="18"/>
          <w:b w:val="1"/>
          <w:bCs w:val="1"/>
          <w:color w:val="auto"/>
        </w:rPr>
        <w:t>9.12 Erroneous Payments</w:t>
      </w:r>
    </w:p>
    <w:p>
      <w:pPr>
        <w:spacing w:after="0" w:line="229" w:lineRule="exact"/>
        <w:rPr>
          <w:sz w:val="20"/>
          <w:szCs w:val="20"/>
          <w:color w:val="auto"/>
        </w:rPr>
      </w:pPr>
    </w:p>
    <w:p>
      <w:pPr>
        <w:jc w:val="both"/>
        <w:ind w:firstLine="656"/>
        <w:spacing w:after="0" w:line="269" w:lineRule="auto"/>
        <w:tabs>
          <w:tab w:leader="none" w:pos="893" w:val="left"/>
        </w:tabs>
        <w:numPr>
          <w:ilvl w:val="0"/>
          <w:numId w:val="156"/>
        </w:numPr>
        <w:rPr>
          <w:rFonts w:ascii="Arial" w:cs="Arial" w:eastAsia="Arial" w:hAnsi="Arial"/>
          <w:sz w:val="17"/>
          <w:szCs w:val="17"/>
          <w:color w:val="auto"/>
        </w:rPr>
      </w:pPr>
      <w:r>
        <w:rPr>
          <w:rFonts w:ascii="Arial" w:cs="Arial" w:eastAsia="Arial" w:hAnsi="Arial"/>
          <w:sz w:val="17"/>
          <w:szCs w:val="17"/>
          <w:color w:val="auto"/>
        </w:rPr>
        <w:t>If Agent (i) notifies a Lender or any Person who has received funds on behalf of a Lender (any such Lender or other recipient (and each of their respective successors and assigns), a “</w:t>
      </w:r>
      <w:r>
        <w:rPr>
          <w:rFonts w:ascii="Arial" w:cs="Arial" w:eastAsia="Arial" w:hAnsi="Arial"/>
          <w:sz w:val="17"/>
          <w:szCs w:val="17"/>
          <w:b w:val="1"/>
          <w:bCs w:val="1"/>
          <w:i w:val="1"/>
          <w:iCs w:val="1"/>
          <w:color w:val="auto"/>
        </w:rPr>
        <w:t>Payment Recipient</w:t>
      </w:r>
      <w:r>
        <w:rPr>
          <w:rFonts w:ascii="Arial" w:cs="Arial" w:eastAsia="Arial" w:hAnsi="Arial"/>
          <w:sz w:val="17"/>
          <w:szCs w:val="17"/>
          <w:color w:val="auto"/>
        </w:rPr>
        <w:t xml:space="preserve">”) that Agent has determined in its sole discretion (whether or not after receipt of any notice under immediately succeeding </w:t>
      </w:r>
      <w:r>
        <w:rPr>
          <w:rFonts w:ascii="Arial" w:cs="Arial" w:eastAsia="Arial" w:hAnsi="Arial"/>
          <w:sz w:val="17"/>
          <w:szCs w:val="17"/>
          <w:u w:val="single" w:color="auto"/>
          <w:color w:val="auto"/>
        </w:rPr>
        <w:t>clause (b)</w:t>
      </w:r>
      <w:r>
        <w:rPr>
          <w:rFonts w:ascii="Arial" w:cs="Arial" w:eastAsia="Arial" w:hAnsi="Arial"/>
          <w:sz w:val="17"/>
          <w:szCs w:val="17"/>
          <w:color w:val="auto"/>
        </w:rPr>
        <w:t>) that any funds (as set forth in such notice from Agent) received by such Payment Recipient from Agent or any of its Affiliates were erroneously or mistakenly transmitted to, or otherwise erroneously or mistakenly received by, such Payment Recipient (whether or not known to such Lender or other Payment Recipient on its behalf) (any such funds, whether transmitted or received as a payment, prepayment or repayment of principal, interest, fees, distribution or otherwise, individually and collectively, an “</w:t>
      </w:r>
      <w:r>
        <w:rPr>
          <w:rFonts w:ascii="Arial" w:cs="Arial" w:eastAsia="Arial" w:hAnsi="Arial"/>
          <w:sz w:val="17"/>
          <w:szCs w:val="17"/>
          <w:b w:val="1"/>
          <w:bCs w:val="1"/>
          <w:i w:val="1"/>
          <w:iCs w:val="1"/>
          <w:color w:val="auto"/>
        </w:rPr>
        <w:t>Erroneous Payment</w:t>
      </w:r>
      <w:r>
        <w:rPr>
          <w:rFonts w:ascii="Arial" w:cs="Arial" w:eastAsia="Arial" w:hAnsi="Arial"/>
          <w:sz w:val="17"/>
          <w:szCs w:val="17"/>
          <w:color w:val="auto"/>
        </w:rPr>
        <w:t xml:space="preserve">”) and (ii) demands in writing the return of such Erroneous Payment (or a portion thereof), such Erroneous Payment shall at all times remain the property of Agent pending its return or repayment as contemplated below in this </w:t>
      </w:r>
      <w:r>
        <w:rPr>
          <w:rFonts w:ascii="Arial" w:cs="Arial" w:eastAsia="Arial" w:hAnsi="Arial"/>
          <w:sz w:val="17"/>
          <w:szCs w:val="17"/>
          <w:u w:val="single" w:color="auto"/>
          <w:color w:val="auto"/>
        </w:rPr>
        <w:t>Section 9.12</w:t>
      </w:r>
      <w:r>
        <w:rPr>
          <w:rFonts w:ascii="Arial" w:cs="Arial" w:eastAsia="Arial" w:hAnsi="Arial"/>
          <w:sz w:val="17"/>
          <w:szCs w:val="17"/>
          <w:color w:val="auto"/>
        </w:rPr>
        <w:t xml:space="preserve"> and held in trust for the benefit of Agent, and such Lender shall (or, with respect to any Payment Recipient who received such funds on its behalf, shall cause such Payment Recipient to) promptly, but in no event later than two (2) Business Days thereafter (or such later date as Agent may, in its sole discretion, specify in writing), return to Agent the amount of any such Erroneous Payment (or portion thereof) as to which such a demand was made, in same day funds. A notice of Agent to any Payment Recipient under this </w:t>
      </w:r>
      <w:r>
        <w:rPr>
          <w:rFonts w:ascii="Arial" w:cs="Arial" w:eastAsia="Arial" w:hAnsi="Arial"/>
          <w:sz w:val="17"/>
          <w:szCs w:val="17"/>
          <w:u w:val="single" w:color="auto"/>
          <w:color w:val="auto"/>
        </w:rPr>
        <w:t>clause (a)</w:t>
      </w:r>
      <w:r>
        <w:rPr>
          <w:rFonts w:ascii="Arial" w:cs="Arial" w:eastAsia="Arial" w:hAnsi="Arial"/>
          <w:sz w:val="17"/>
          <w:szCs w:val="17"/>
          <w:color w:val="auto"/>
        </w:rPr>
        <w:t xml:space="preserve"> shall be conclusive, absent manifest error.</w:t>
      </w:r>
    </w:p>
    <w:p>
      <w:pPr>
        <w:spacing w:after="0" w:line="178" w:lineRule="exact"/>
        <w:rPr>
          <w:rFonts w:ascii="Arial" w:cs="Arial" w:eastAsia="Arial" w:hAnsi="Arial"/>
          <w:sz w:val="17"/>
          <w:szCs w:val="17"/>
          <w:color w:val="auto"/>
        </w:rPr>
      </w:pPr>
    </w:p>
    <w:p>
      <w:pPr>
        <w:jc w:val="both"/>
        <w:ind w:firstLine="656"/>
        <w:spacing w:after="0" w:line="254" w:lineRule="auto"/>
        <w:tabs>
          <w:tab w:leader="none" w:pos="902" w:val="left"/>
        </w:tabs>
        <w:numPr>
          <w:ilvl w:val="0"/>
          <w:numId w:val="156"/>
        </w:numPr>
        <w:rPr>
          <w:rFonts w:ascii="Arial" w:cs="Arial" w:eastAsia="Arial" w:hAnsi="Arial"/>
          <w:sz w:val="18"/>
          <w:szCs w:val="18"/>
          <w:color w:val="auto"/>
        </w:rPr>
      </w:pPr>
      <w:r>
        <w:rPr>
          <w:rFonts w:ascii="Arial" w:cs="Arial" w:eastAsia="Arial" w:hAnsi="Arial"/>
          <w:sz w:val="18"/>
          <w:szCs w:val="18"/>
          <w:color w:val="auto"/>
        </w:rPr>
        <w:t xml:space="preserve">Without limiting immediately preceding </w:t>
      </w:r>
      <w:r>
        <w:rPr>
          <w:rFonts w:ascii="Arial" w:cs="Arial" w:eastAsia="Arial" w:hAnsi="Arial"/>
          <w:sz w:val="18"/>
          <w:szCs w:val="18"/>
          <w:u w:val="single" w:color="auto"/>
          <w:color w:val="auto"/>
        </w:rPr>
        <w:t>clause (a)</w:t>
      </w:r>
      <w:r>
        <w:rPr>
          <w:rFonts w:ascii="Arial" w:cs="Arial" w:eastAsia="Arial" w:hAnsi="Arial"/>
          <w:sz w:val="18"/>
          <w:szCs w:val="18"/>
          <w:color w:val="auto"/>
        </w:rPr>
        <w:t>, each Lender or any Person who has received funds on behalf of a Lender (and each of their respective successors and assigns), agrees that if it receives a payment, prepayment or repayment (whether received as a payment, prepayment or repayment of principal, interest, fees, distribution or otherwise) from Agent (or any of its Affiliates) (x) that is in a different amount than, or on a different date from, that specified in this Agreement or in a notice of payment, prepayment or repayment sent by Agent (or any of its Affiliates) with respect to such payment, prepayment or repayment, (y) that was not preceded or accompanied by a notice of payment, prepayment or repayment sent by Agent (or any of its Affiliates), or (z) that such Lender or other such recipient, otherwise becomes aware was transmitted, or received, in error or by mistake (in whole or in part), then in each such case:</w:t>
      </w:r>
    </w:p>
    <w:p>
      <w:pPr>
        <w:spacing w:after="0" w:line="194" w:lineRule="exact"/>
        <w:rPr>
          <w:rFonts w:ascii="Arial" w:cs="Arial" w:eastAsia="Arial" w:hAnsi="Arial"/>
          <w:sz w:val="18"/>
          <w:szCs w:val="18"/>
          <w:color w:val="auto"/>
        </w:rPr>
      </w:pPr>
    </w:p>
    <w:p>
      <w:pPr>
        <w:jc w:val="both"/>
        <w:ind w:left="660" w:firstLine="644"/>
        <w:spacing w:after="0" w:line="263" w:lineRule="auto"/>
        <w:tabs>
          <w:tab w:leader="none" w:pos="1526" w:val="left"/>
        </w:tabs>
        <w:numPr>
          <w:ilvl w:val="1"/>
          <w:numId w:val="156"/>
        </w:numPr>
        <w:rPr>
          <w:rFonts w:ascii="Arial" w:cs="Arial" w:eastAsia="Arial" w:hAnsi="Arial"/>
          <w:sz w:val="18"/>
          <w:szCs w:val="18"/>
          <w:color w:val="auto"/>
        </w:rPr>
      </w:pPr>
      <w:r>
        <w:rPr>
          <w:rFonts w:ascii="Arial" w:cs="Arial" w:eastAsia="Arial" w:hAnsi="Arial"/>
          <w:sz w:val="18"/>
          <w:szCs w:val="18"/>
          <w:color w:val="auto"/>
        </w:rPr>
        <w:t xml:space="preserve">it acknowledges and agrees that (A) in the case of immediately preceding </w:t>
      </w:r>
      <w:r>
        <w:rPr>
          <w:rFonts w:ascii="Arial" w:cs="Arial" w:eastAsia="Arial" w:hAnsi="Arial"/>
          <w:sz w:val="18"/>
          <w:szCs w:val="18"/>
          <w:u w:val="single" w:color="auto"/>
          <w:color w:val="auto"/>
        </w:rPr>
        <w:t>clauses (x)</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(y)</w:t>
      </w:r>
      <w:r>
        <w:rPr>
          <w:rFonts w:ascii="Arial" w:cs="Arial" w:eastAsia="Arial" w:hAnsi="Arial"/>
          <w:sz w:val="18"/>
          <w:szCs w:val="18"/>
          <w:color w:val="auto"/>
        </w:rPr>
        <w:t xml:space="preserve">, an error and mistake shall be presumed to have been made (absent written confirmation from Agent to the contrary) or (B) an error and mistake has been made (in the case of immediately preceding </w:t>
      </w:r>
      <w:r>
        <w:rPr>
          <w:rFonts w:ascii="Arial" w:cs="Arial" w:eastAsia="Arial" w:hAnsi="Arial"/>
          <w:sz w:val="18"/>
          <w:szCs w:val="18"/>
          <w:u w:val="single" w:color="auto"/>
          <w:color w:val="auto"/>
        </w:rPr>
        <w:t>clause (z)</w:t>
      </w:r>
      <w:r>
        <w:rPr>
          <w:rFonts w:ascii="Arial" w:cs="Arial" w:eastAsia="Arial" w:hAnsi="Arial"/>
          <w:sz w:val="18"/>
          <w:szCs w:val="18"/>
          <w:color w:val="auto"/>
        </w:rPr>
        <w:t>), in each case, with respect to such payment, prepayment or repayment; and</w:t>
      </w:r>
    </w:p>
    <w:p>
      <w:pPr>
        <w:spacing w:after="0" w:line="183" w:lineRule="exact"/>
        <w:rPr>
          <w:rFonts w:ascii="Arial" w:cs="Arial" w:eastAsia="Arial" w:hAnsi="Arial"/>
          <w:sz w:val="18"/>
          <w:szCs w:val="18"/>
          <w:color w:val="auto"/>
        </w:rPr>
      </w:pPr>
    </w:p>
    <w:p>
      <w:pPr>
        <w:jc w:val="both"/>
        <w:ind w:left="660" w:firstLine="644"/>
        <w:spacing w:after="0" w:line="259" w:lineRule="auto"/>
        <w:tabs>
          <w:tab w:leader="none" w:pos="1591" w:val="left"/>
        </w:tabs>
        <w:numPr>
          <w:ilvl w:val="1"/>
          <w:numId w:val="156"/>
        </w:numPr>
        <w:rPr>
          <w:rFonts w:ascii="Arial" w:cs="Arial" w:eastAsia="Arial" w:hAnsi="Arial"/>
          <w:sz w:val="18"/>
          <w:szCs w:val="18"/>
          <w:color w:val="auto"/>
        </w:rPr>
      </w:pPr>
      <w:r>
        <w:rPr>
          <w:rFonts w:ascii="Arial" w:cs="Arial" w:eastAsia="Arial" w:hAnsi="Arial"/>
          <w:sz w:val="18"/>
          <w:szCs w:val="18"/>
          <w:color w:val="auto"/>
        </w:rPr>
        <w:t xml:space="preserve">such Lender shall (and shall cause any other recipient that receives funds on its respective behalf to) promptly (and, in all events, within one (1) Business Day of its knowledge of the occurrence of any of the circumstances described in immediately preceding </w:t>
      </w:r>
      <w:r>
        <w:rPr>
          <w:rFonts w:ascii="Arial" w:cs="Arial" w:eastAsia="Arial" w:hAnsi="Arial"/>
          <w:sz w:val="18"/>
          <w:szCs w:val="18"/>
          <w:u w:val="single" w:color="auto"/>
          <w:color w:val="auto"/>
        </w:rPr>
        <w:t>clauses (x)</w:t>
      </w:r>
      <w:r>
        <w:rPr>
          <w:rFonts w:ascii="Arial" w:cs="Arial" w:eastAsia="Arial" w:hAnsi="Arial"/>
          <w:sz w:val="18"/>
          <w:szCs w:val="18"/>
          <w:color w:val="auto"/>
        </w:rPr>
        <w:t xml:space="preserve">, </w:t>
      </w:r>
      <w:r>
        <w:rPr>
          <w:rFonts w:ascii="Arial" w:cs="Arial" w:eastAsia="Arial" w:hAnsi="Arial"/>
          <w:sz w:val="18"/>
          <w:szCs w:val="18"/>
          <w:u w:val="single" w:color="auto"/>
          <w:color w:val="auto"/>
        </w:rPr>
        <w:t>(y)</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(z)</w:t>
      </w:r>
      <w:r>
        <w:rPr>
          <w:rFonts w:ascii="Arial" w:cs="Arial" w:eastAsia="Arial" w:hAnsi="Arial"/>
          <w:sz w:val="18"/>
          <w:szCs w:val="18"/>
          <w:color w:val="auto"/>
        </w:rPr>
        <w:t xml:space="preserve">) notify Agent of its receipt of such payment, prepayment or repayment, the details thereof (in reasonable detail) and that it is so notifying Agent pursuant to this </w:t>
      </w:r>
      <w:r>
        <w:rPr>
          <w:rFonts w:ascii="Arial" w:cs="Arial" w:eastAsia="Arial" w:hAnsi="Arial"/>
          <w:sz w:val="18"/>
          <w:szCs w:val="18"/>
          <w:u w:val="single" w:color="auto"/>
          <w:color w:val="auto"/>
        </w:rPr>
        <w:t>Section 9.12(b)</w:t>
      </w:r>
      <w:r>
        <w:rPr>
          <w:rFonts w:ascii="Arial" w:cs="Arial" w:eastAsia="Arial" w:hAnsi="Arial"/>
          <w:sz w:val="18"/>
          <w:szCs w:val="18"/>
          <w:color w:val="auto"/>
        </w:rPr>
        <w:t>.</w:t>
      </w:r>
    </w:p>
    <w:p>
      <w:pPr>
        <w:spacing w:after="0" w:line="187"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 xml:space="preserve">For the avoidance of doubt, the failure to deliver a notice to Agent pursuant to this </w:t>
      </w:r>
      <w:r>
        <w:rPr>
          <w:rFonts w:ascii="Arial" w:cs="Arial" w:eastAsia="Arial" w:hAnsi="Arial"/>
          <w:sz w:val="18"/>
          <w:szCs w:val="18"/>
          <w:u w:val="single" w:color="auto"/>
          <w:color w:val="auto"/>
        </w:rPr>
        <w:t>Section 9.12(b)</w:t>
      </w:r>
      <w:r>
        <w:rPr>
          <w:rFonts w:ascii="Arial" w:cs="Arial" w:eastAsia="Arial" w:hAnsi="Arial"/>
          <w:sz w:val="18"/>
          <w:szCs w:val="18"/>
          <w:color w:val="auto"/>
        </w:rPr>
        <w:t xml:space="preserve"> shall not have any effect on a Payment Recipient’s obligations pursuant to </w:t>
      </w:r>
      <w:r>
        <w:rPr>
          <w:rFonts w:ascii="Arial" w:cs="Arial" w:eastAsia="Arial" w:hAnsi="Arial"/>
          <w:sz w:val="18"/>
          <w:szCs w:val="18"/>
          <w:u w:val="single" w:color="auto"/>
          <w:color w:val="auto"/>
        </w:rPr>
        <w:t>Section 9.12(a)</w:t>
      </w:r>
      <w:r>
        <w:rPr>
          <w:rFonts w:ascii="Arial" w:cs="Arial" w:eastAsia="Arial" w:hAnsi="Arial"/>
          <w:sz w:val="18"/>
          <w:szCs w:val="18"/>
          <w:color w:val="auto"/>
        </w:rPr>
        <w:t xml:space="preserve"> or on whether or not an Erroneous Payment has been made.</w:t>
      </w:r>
    </w:p>
    <w:p>
      <w:pPr>
        <w:spacing w:after="0" w:line="170" w:lineRule="exact"/>
        <w:rPr>
          <w:sz w:val="20"/>
          <w:szCs w:val="20"/>
          <w:color w:val="auto"/>
        </w:rPr>
      </w:pPr>
    </w:p>
    <w:p>
      <w:pPr>
        <w:jc w:val="both"/>
        <w:ind w:firstLine="656"/>
        <w:spacing w:after="0" w:line="286" w:lineRule="auto"/>
        <w:tabs>
          <w:tab w:leader="none" w:pos="924" w:val="left"/>
        </w:tabs>
        <w:numPr>
          <w:ilvl w:val="0"/>
          <w:numId w:val="157"/>
        </w:numPr>
        <w:rPr>
          <w:rFonts w:ascii="Arial" w:cs="Arial" w:eastAsia="Arial" w:hAnsi="Arial"/>
          <w:sz w:val="17"/>
          <w:szCs w:val="17"/>
          <w:color w:val="auto"/>
        </w:rPr>
      </w:pPr>
      <w:r>
        <w:rPr>
          <w:rFonts w:ascii="Arial" w:cs="Arial" w:eastAsia="Arial" w:hAnsi="Arial"/>
          <w:sz w:val="17"/>
          <w:szCs w:val="17"/>
          <w:color w:val="auto"/>
        </w:rPr>
        <w:t xml:space="preserve">Each Lender hereby authorizes Agent to set off, net and apply any and all amounts at any time owing to such Lender under any Loan Document, or otherwise payable or distributable by Agent to such Lender under any Loan Document with respect to any payment of principal, interest, fees or other amounts, against any amount that Agent has demanded to be returned under immediately preceding </w:t>
      </w:r>
      <w:r>
        <w:rPr>
          <w:rFonts w:ascii="Arial" w:cs="Arial" w:eastAsia="Arial" w:hAnsi="Arial"/>
          <w:sz w:val="17"/>
          <w:szCs w:val="17"/>
          <w:u w:val="single" w:color="auto"/>
          <w:color w:val="auto"/>
        </w:rPr>
        <w:t>clause (a)</w:t>
      </w:r>
      <w:r>
        <w:rPr>
          <w:rFonts w:ascii="Arial" w:cs="Arial" w:eastAsia="Arial" w:hAnsi="Arial"/>
          <w:sz w:val="17"/>
          <w:szCs w:val="17"/>
          <w:color w:val="auto"/>
        </w:rPr>
        <w:t>.</w:t>
      </w:r>
    </w:p>
    <w:p>
      <w:pPr>
        <w:spacing w:after="0" w:line="381"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36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Presto Credit Agreement</w:t>
            </w:r>
          </w:p>
        </w:tc>
        <w:tc>
          <w:tcPr>
            <w:tcW w:w="7580" w:type="dxa"/>
            <w:vAlign w:val="bottom"/>
            <w:tcBorders>
              <w:bottom w:val="single" w:sz="8" w:color="auto"/>
            </w:tcBorders>
          </w:tcPr>
          <w:p>
            <w:pPr>
              <w:jc w:val="right"/>
              <w:ind w:right="5430"/>
              <w:spacing w:after="0"/>
              <w:rPr>
                <w:sz w:val="20"/>
                <w:szCs w:val="20"/>
                <w:color w:val="auto"/>
              </w:rPr>
            </w:pPr>
            <w:r>
              <w:rPr>
                <w:rFonts w:ascii="Arial" w:cs="Arial" w:eastAsia="Arial" w:hAnsi="Arial"/>
                <w:sz w:val="18"/>
                <w:szCs w:val="18"/>
                <w:color w:val="auto"/>
              </w:rPr>
              <w:t>67</w:t>
            </w:r>
          </w:p>
        </w:tc>
      </w:tr>
    </w:tbl>
    <w:p>
      <w:pPr>
        <w:sectPr>
          <w:pgSz w:w="11900" w:h="16838" w:orient="portrait"/>
          <w:cols w:equalWidth="0" w:num="1">
            <w:col w:w="11240"/>
          </w:cols>
          <w:pgMar w:left="320" w:top="904" w:right="339" w:bottom="1440" w:gutter="0" w:footer="0" w:header="0"/>
        </w:sectPr>
      </w:pPr>
    </w:p>
    <w:bookmarkStart w:id="154" w:name="page155"/>
    <w:bookmarkEnd w:id="154"/>
    <w:p>
      <w:pPr>
        <w:jc w:val="both"/>
        <w:ind w:firstLine="656"/>
        <w:spacing w:after="0" w:line="283" w:lineRule="auto"/>
        <w:tabs>
          <w:tab w:leader="none" w:pos="911" w:val="left"/>
        </w:tabs>
        <w:numPr>
          <w:ilvl w:val="1"/>
          <w:numId w:val="158"/>
        </w:numPr>
        <w:rPr>
          <w:rFonts w:ascii="Arial" w:cs="Arial" w:eastAsia="Arial" w:hAnsi="Arial"/>
          <w:sz w:val="16"/>
          <w:szCs w:val="16"/>
          <w:color w:val="auto"/>
        </w:rPr>
      </w:pPr>
      <w:r>
        <w:rPr>
          <w:rFonts w:ascii="Arial" w:cs="Arial" w:eastAsia="Arial" w:hAnsi="Arial"/>
          <w:sz w:val="16"/>
          <w:szCs w:val="16"/>
          <w:color w:val="auto"/>
        </w:rPr>
        <w:t xml:space="preserve">(i) In the event that an Erroneous Payment (or portion thereof) is not recovered by Agent for any reason, after demand therefor in accordance with immediately preceding </w:t>
      </w:r>
      <w:r>
        <w:rPr>
          <w:rFonts w:ascii="Arial" w:cs="Arial" w:eastAsia="Arial" w:hAnsi="Arial"/>
          <w:sz w:val="16"/>
          <w:szCs w:val="16"/>
          <w:u w:val="single" w:color="auto"/>
          <w:color w:val="auto"/>
        </w:rPr>
        <w:t>clause (a)</w:t>
      </w:r>
      <w:r>
        <w:rPr>
          <w:rFonts w:ascii="Arial" w:cs="Arial" w:eastAsia="Arial" w:hAnsi="Arial"/>
          <w:sz w:val="16"/>
          <w:szCs w:val="16"/>
          <w:color w:val="auto"/>
        </w:rPr>
        <w:t>, from any Lender that has received such Erroneous Payment (or portion thereof) (and/or from any Payment Recipient who received such Erroneous Payment (or portion thereof) on its respective behalf) (such unrecovered amount, an “</w:t>
      </w:r>
      <w:r>
        <w:rPr>
          <w:rFonts w:ascii="Arial" w:cs="Arial" w:eastAsia="Arial" w:hAnsi="Arial"/>
          <w:sz w:val="16"/>
          <w:szCs w:val="16"/>
          <w:b w:val="1"/>
          <w:bCs w:val="1"/>
          <w:i w:val="1"/>
          <w:iCs w:val="1"/>
          <w:color w:val="auto"/>
        </w:rPr>
        <w:t>Erroneous Payment Return</w:t>
      </w:r>
      <w:r>
        <w:rPr>
          <w:rFonts w:ascii="Arial" w:cs="Arial" w:eastAsia="Arial" w:hAnsi="Arial"/>
          <w:sz w:val="16"/>
          <w:szCs w:val="16"/>
          <w:color w:val="auto"/>
        </w:rPr>
        <w:t xml:space="preserve"> </w:t>
      </w:r>
      <w:r>
        <w:rPr>
          <w:rFonts w:ascii="Arial" w:cs="Arial" w:eastAsia="Arial" w:hAnsi="Arial"/>
          <w:sz w:val="16"/>
          <w:szCs w:val="16"/>
          <w:b w:val="1"/>
          <w:bCs w:val="1"/>
          <w:i w:val="1"/>
          <w:iCs w:val="1"/>
          <w:color w:val="auto"/>
        </w:rPr>
        <w:t>Deficiency</w:t>
      </w:r>
      <w:r>
        <w:rPr>
          <w:rFonts w:ascii="Arial" w:cs="Arial" w:eastAsia="Arial" w:hAnsi="Arial"/>
          <w:sz w:val="16"/>
          <w:szCs w:val="16"/>
          <w:color w:val="auto"/>
        </w:rPr>
        <w:t>”), upon Agent’s notice to such Lender at any time, then effective immediately (with the consideration therefor being acknowledged by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parties hereto), (A) such Lender shall be deemed to have assigned its Term Loan (but not its Term Loan Commitments) with respect to which such Erroneous Payment was made in an amount equal to the Erroneous Payment Return Deficiency (or such lesser amount as Agent may specify) (such assignment of the Term Loan (but not Term Loan Commitments), the “</w:t>
      </w:r>
      <w:r>
        <w:rPr>
          <w:rFonts w:ascii="Arial" w:cs="Arial" w:eastAsia="Arial" w:hAnsi="Arial"/>
          <w:sz w:val="16"/>
          <w:szCs w:val="16"/>
          <w:b w:val="1"/>
          <w:bCs w:val="1"/>
          <w:i w:val="1"/>
          <w:iCs w:val="1"/>
          <w:color w:val="auto"/>
        </w:rPr>
        <w:t>Erroneous Payment Deficiency Assignment</w:t>
      </w:r>
      <w:r>
        <w:rPr>
          <w:rFonts w:ascii="Arial" w:cs="Arial" w:eastAsia="Arial" w:hAnsi="Arial"/>
          <w:sz w:val="16"/>
          <w:szCs w:val="16"/>
          <w:color w:val="auto"/>
        </w:rPr>
        <w:t>”) (on a cashless basis and such amount calculated at par plus any accrued and unpaid interest), and is hereby (together with Borrowers) deemed to execute and deliver an assignment and assumption with respect to such Erroneous Payment Deficiency Assignment, and such Lender shall deliver any Notes evidencing the such portion of the Term Loan to Borrower or Agent (but the failure of such Person to deliver any such Notes shall not affect the effectiveness of the foregoing assignment),</w:t>
      </w:r>
    </w:p>
    <w:p>
      <w:pPr>
        <w:spacing w:after="0" w:line="4" w:lineRule="exact"/>
        <w:rPr>
          <w:rFonts w:ascii="Arial" w:cs="Arial" w:eastAsia="Arial" w:hAnsi="Arial"/>
          <w:sz w:val="16"/>
          <w:szCs w:val="16"/>
          <w:color w:val="auto"/>
        </w:rPr>
      </w:pPr>
    </w:p>
    <w:p>
      <w:pPr>
        <w:jc w:val="both"/>
        <w:ind w:firstLine="8"/>
        <w:spacing w:after="0" w:line="287" w:lineRule="auto"/>
        <w:tabs>
          <w:tab w:leader="none" w:pos="292" w:val="left"/>
        </w:tabs>
        <w:numPr>
          <w:ilvl w:val="0"/>
          <w:numId w:val="159"/>
        </w:numPr>
        <w:rPr>
          <w:rFonts w:ascii="Arial" w:cs="Arial" w:eastAsia="Arial" w:hAnsi="Arial"/>
          <w:sz w:val="16"/>
          <w:szCs w:val="16"/>
          <w:color w:val="auto"/>
        </w:rPr>
      </w:pPr>
      <w:r>
        <w:rPr>
          <w:rFonts w:ascii="Arial" w:cs="Arial" w:eastAsia="Arial" w:hAnsi="Arial"/>
          <w:sz w:val="16"/>
          <w:szCs w:val="16"/>
          <w:color w:val="auto"/>
        </w:rPr>
        <w:t>Agent as the assignee Lender shall be deemed to have acquired the Erroneous Payment Deficiency Assignment, (C) upon such deemed acquisition, Agent as the assignee Lender shall become a Lender, as applicable, hereunder with respect to such Erroneous Payment Deficiency Assignment and the assigning Lender shall cease to be a Lender, as applicable, hereunder with respect to such Erroneous Payment Deficiency Assignment, excluding, for the avoidance of doubt, its obligations under the indemnification provisions of this Agreement and its applicable Term Loan Commitments which shall survive as to such assigning Lender, (D) Agent and Borrowers shall each be deemed to have waived any consents required under this Agreement to any such Erroneous Payment Deficiency Assignment, and (E) Agent will reflect in the Register its ownership interest in the Term Loan subject to the Erroneous Payment Deficiency Assignment. For the avoidance of doubt, no Erroneous Payment Deficiency Assignment will reduce the Term Loan Commitments of any Lender and such Term Loan Commitments shall remain available in accordance with the terms of this Agreement.</w:t>
      </w:r>
    </w:p>
    <w:p>
      <w:pPr>
        <w:spacing w:after="0" w:line="169" w:lineRule="exact"/>
        <w:rPr>
          <w:rFonts w:ascii="Arial" w:cs="Arial" w:eastAsia="Arial" w:hAnsi="Arial"/>
          <w:sz w:val="16"/>
          <w:szCs w:val="16"/>
          <w:color w:val="auto"/>
        </w:rPr>
      </w:pPr>
    </w:p>
    <w:p>
      <w:pPr>
        <w:jc w:val="both"/>
        <w:ind w:left="660" w:firstLine="644"/>
        <w:spacing w:after="0" w:line="289" w:lineRule="auto"/>
        <w:tabs>
          <w:tab w:leader="none" w:pos="1593" w:val="left"/>
        </w:tabs>
        <w:numPr>
          <w:ilvl w:val="2"/>
          <w:numId w:val="159"/>
        </w:numPr>
        <w:rPr>
          <w:rFonts w:ascii="Arial" w:cs="Arial" w:eastAsia="Arial" w:hAnsi="Arial"/>
          <w:sz w:val="16"/>
          <w:szCs w:val="16"/>
          <w:color w:val="auto"/>
        </w:rPr>
      </w:pPr>
      <w:r>
        <w:rPr>
          <w:rFonts w:ascii="Arial" w:cs="Arial" w:eastAsia="Arial" w:hAnsi="Arial"/>
          <w:sz w:val="16"/>
          <w:szCs w:val="16"/>
          <w:color w:val="auto"/>
        </w:rPr>
        <w:t xml:space="preserve">Subject to </w:t>
      </w:r>
      <w:r>
        <w:rPr>
          <w:rFonts w:ascii="Arial" w:cs="Arial" w:eastAsia="Arial" w:hAnsi="Arial"/>
          <w:sz w:val="16"/>
          <w:szCs w:val="16"/>
          <w:u w:val="single" w:color="auto"/>
          <w:color w:val="auto"/>
        </w:rPr>
        <w:t>Section 8.6</w:t>
      </w:r>
      <w:r>
        <w:rPr>
          <w:rFonts w:ascii="Arial" w:cs="Arial" w:eastAsia="Arial" w:hAnsi="Arial"/>
          <w:sz w:val="16"/>
          <w:szCs w:val="16"/>
          <w:color w:val="auto"/>
        </w:rPr>
        <w:t xml:space="preserve"> (but excluding, in all events, any assignment consent or approval requirements (whether from Borrower or otherwise)), Agent may, in its discretion, sell any portion of the Term Loan acquired pursuant to an Erroneous Payment Deficiency Assignment and upon receipt of the proceeds of such sale, the Erroneous Payment Return Deficiency owing by the applicable Lender shall be reduced by the net proceeds of the sale of such Term Loan (or portion thereof), and Agent shall retain all other rights, remedies and claims against such Lender (and/or against any recipient that receives funds on its respective behalf). In addition, an Erroneous Payment Return Deficiency owing by the applicable Lender (x) shall be reduced by the proceeds of prepayments or repayments of principal and interest, or other distribution in respect of principal and interest, received by Agent on or with respect to such portion of the Term Loan acquired from such Lender pursuant to an Erroneous Payment Deficiency Assignment (to the extent that such Term Loan is then owned by Agent) and (y) may, in the sole discretion of Agent, be reduced by any amount specified by Agent in writing to the applicable Lender from time to time.</w:t>
      </w:r>
    </w:p>
    <w:p>
      <w:pPr>
        <w:spacing w:after="0" w:line="166" w:lineRule="exact"/>
        <w:rPr>
          <w:rFonts w:ascii="Arial" w:cs="Arial" w:eastAsia="Arial" w:hAnsi="Arial"/>
          <w:sz w:val="16"/>
          <w:szCs w:val="16"/>
          <w:color w:val="auto"/>
        </w:rPr>
      </w:pPr>
    </w:p>
    <w:p>
      <w:pPr>
        <w:jc w:val="both"/>
        <w:ind w:firstLine="656"/>
        <w:spacing w:after="0" w:line="269" w:lineRule="auto"/>
        <w:tabs>
          <w:tab w:leader="none" w:pos="890" w:val="left"/>
        </w:tabs>
        <w:numPr>
          <w:ilvl w:val="1"/>
          <w:numId w:val="159"/>
        </w:numPr>
        <w:rPr>
          <w:rFonts w:ascii="Arial" w:cs="Arial" w:eastAsia="Arial" w:hAnsi="Arial"/>
          <w:sz w:val="17"/>
          <w:szCs w:val="17"/>
          <w:color w:val="auto"/>
        </w:rPr>
      </w:pPr>
      <w:r>
        <w:rPr>
          <w:rFonts w:ascii="Arial" w:cs="Arial" w:eastAsia="Arial" w:hAnsi="Arial"/>
          <w:sz w:val="17"/>
          <w:szCs w:val="17"/>
          <w:color w:val="auto"/>
        </w:rPr>
        <w:t>The parties hereto agree that (x) irrespective of whether Agent may be equitably subrogated, in the event that an Erroneous Payment (or portion thereof) is not recovered from any Payment Recipient that has received such Erroneous Payment (or portion thereof) for any reason, Agent shall be subrogated to all the rights and interests of such Payment Recipient (and, in the case of any Payment Recipient who has received funds on behalf of a Lender to the rights and interests of such Lender) under the Loan Documents with respect to such amount (the “</w:t>
      </w:r>
      <w:r>
        <w:rPr>
          <w:rFonts w:ascii="Arial" w:cs="Arial" w:eastAsia="Arial" w:hAnsi="Arial"/>
          <w:sz w:val="17"/>
          <w:szCs w:val="17"/>
          <w:b w:val="1"/>
          <w:bCs w:val="1"/>
          <w:i w:val="1"/>
          <w:iCs w:val="1"/>
          <w:color w:val="auto"/>
        </w:rPr>
        <w:t>Erroneous Payment Subrogation Rights</w:t>
      </w:r>
      <w:r>
        <w:rPr>
          <w:rFonts w:ascii="Arial" w:cs="Arial" w:eastAsia="Arial" w:hAnsi="Arial"/>
          <w:sz w:val="17"/>
          <w:szCs w:val="17"/>
          <w:color w:val="auto"/>
        </w:rPr>
        <w:t>”)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the Loan Parties’ Obligations under the Loan Documents in respect of the Erroneous Payment Subrogation Rights shall not be duplicative of such Obligations in respect of any portion of the Term Loan that have been assigned to Agent under an Erroneous Payment Deficiency Assignment) and (y) an Erroneous Payment shall not pay, prepay, repay, discharge or otherwise satisfy any Obligations owed by Borrowers or any other Loan Party;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this </w:t>
      </w:r>
      <w:r>
        <w:rPr>
          <w:rFonts w:ascii="Arial" w:cs="Arial" w:eastAsia="Arial" w:hAnsi="Arial"/>
          <w:sz w:val="17"/>
          <w:szCs w:val="17"/>
          <w:u w:val="single" w:color="auto"/>
          <w:color w:val="auto"/>
        </w:rPr>
        <w:t>Section 9.12</w:t>
      </w:r>
      <w:r>
        <w:rPr>
          <w:rFonts w:ascii="Arial" w:cs="Arial" w:eastAsia="Arial" w:hAnsi="Arial"/>
          <w:sz w:val="17"/>
          <w:szCs w:val="17"/>
          <w:color w:val="auto"/>
        </w:rPr>
        <w:t xml:space="preserve"> shall not be interpreted to increase (or accelerate the due date for), or have the effect of increasing (or accelerating the due date for), the Obligations of Borrowers relative to the amount (and/or timing for payment) of the Obligations that would have been payable had such Erroneous Payment not been made by Agent;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further</w:t>
      </w:r>
      <w:r>
        <w:rPr>
          <w:rFonts w:ascii="Arial" w:cs="Arial" w:eastAsia="Arial" w:hAnsi="Arial"/>
          <w:sz w:val="17"/>
          <w:szCs w:val="17"/>
          <w:color w:val="auto"/>
        </w:rPr>
        <w:t xml:space="preserve">, that for the avoidance of doubt, immediately preceding </w:t>
      </w:r>
      <w:r>
        <w:rPr>
          <w:rFonts w:ascii="Arial" w:cs="Arial" w:eastAsia="Arial" w:hAnsi="Arial"/>
          <w:sz w:val="17"/>
          <w:szCs w:val="17"/>
          <w:u w:val="single" w:color="auto"/>
          <w:color w:val="auto"/>
        </w:rPr>
        <w:t>clauses (x)</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(y)</w:t>
      </w:r>
      <w:r>
        <w:rPr>
          <w:rFonts w:ascii="Arial" w:cs="Arial" w:eastAsia="Arial" w:hAnsi="Arial"/>
          <w:sz w:val="17"/>
          <w:szCs w:val="17"/>
          <w:color w:val="auto"/>
        </w:rPr>
        <w:t xml:space="preserve"> shall not apply to the extent any such Erroneous Payment is, and solely with respect to the amount of such Erroneous Payment that is, comprised of funds received by Agent from Borrowers for the purpose of making such Erroneous Payment.</w:t>
      </w:r>
    </w:p>
    <w:p>
      <w:pPr>
        <w:spacing w:after="0" w:line="178" w:lineRule="exact"/>
        <w:rPr>
          <w:rFonts w:ascii="Arial" w:cs="Arial" w:eastAsia="Arial" w:hAnsi="Arial"/>
          <w:sz w:val="17"/>
          <w:szCs w:val="17"/>
          <w:color w:val="auto"/>
        </w:rPr>
      </w:pPr>
    </w:p>
    <w:p>
      <w:pPr>
        <w:jc w:val="both"/>
        <w:ind w:firstLine="656"/>
        <w:spacing w:after="0" w:line="311" w:lineRule="auto"/>
        <w:tabs>
          <w:tab w:leader="none" w:pos="879" w:val="left"/>
        </w:tabs>
        <w:numPr>
          <w:ilvl w:val="1"/>
          <w:numId w:val="159"/>
        </w:numPr>
        <w:rPr>
          <w:rFonts w:ascii="Arial" w:cs="Arial" w:eastAsia="Arial" w:hAnsi="Arial"/>
          <w:sz w:val="16"/>
          <w:szCs w:val="16"/>
          <w:color w:val="auto"/>
        </w:rPr>
      </w:pPr>
      <w:r>
        <w:rPr>
          <w:rFonts w:ascii="Arial" w:cs="Arial" w:eastAsia="Arial" w:hAnsi="Arial"/>
          <w:sz w:val="16"/>
          <w:szCs w:val="16"/>
          <w:color w:val="auto"/>
        </w:rPr>
        <w:t>To the extent permitted by applicable law, no Payment Recipient shall assert any right or claim to an Erroneous Payment, and hereby waives, and is deemed to waive, any claim, counterclaim, defense or right of set-off or recoupment with respect to any demand, claim or counterclaim by Agent for the return of any Erroneous Payment received, including, without limitation, any defense based on “discharge for value” or any similar doctrine.</w:t>
      </w:r>
    </w:p>
    <w:p>
      <w:pPr>
        <w:spacing w:after="0" w:line="148" w:lineRule="exact"/>
        <w:rPr>
          <w:rFonts w:ascii="Arial" w:cs="Arial" w:eastAsia="Arial" w:hAnsi="Arial"/>
          <w:sz w:val="16"/>
          <w:szCs w:val="16"/>
          <w:color w:val="auto"/>
        </w:rPr>
      </w:pPr>
    </w:p>
    <w:p>
      <w:pPr>
        <w:jc w:val="both"/>
        <w:ind w:firstLine="656"/>
        <w:spacing w:after="0" w:line="263" w:lineRule="auto"/>
        <w:tabs>
          <w:tab w:leader="none" w:pos="906" w:val="left"/>
        </w:tabs>
        <w:numPr>
          <w:ilvl w:val="1"/>
          <w:numId w:val="159"/>
        </w:numPr>
        <w:rPr>
          <w:rFonts w:ascii="Arial" w:cs="Arial" w:eastAsia="Arial" w:hAnsi="Arial"/>
          <w:sz w:val="18"/>
          <w:szCs w:val="18"/>
          <w:color w:val="auto"/>
        </w:rPr>
      </w:pPr>
      <w:r>
        <w:rPr>
          <w:rFonts w:ascii="Arial" w:cs="Arial" w:eastAsia="Arial" w:hAnsi="Arial"/>
          <w:sz w:val="18"/>
          <w:szCs w:val="18"/>
          <w:color w:val="auto"/>
        </w:rPr>
        <w:t xml:space="preserve">Each party’s obligations, agreements and waivers under this </w:t>
      </w:r>
      <w:r>
        <w:rPr>
          <w:rFonts w:ascii="Arial" w:cs="Arial" w:eastAsia="Arial" w:hAnsi="Arial"/>
          <w:sz w:val="18"/>
          <w:szCs w:val="18"/>
          <w:u w:val="single" w:color="auto"/>
          <w:color w:val="auto"/>
        </w:rPr>
        <w:t>Section 9.12</w:t>
      </w:r>
      <w:r>
        <w:rPr>
          <w:rFonts w:ascii="Arial" w:cs="Arial" w:eastAsia="Arial" w:hAnsi="Arial"/>
          <w:sz w:val="18"/>
          <w:szCs w:val="18"/>
          <w:color w:val="auto"/>
        </w:rPr>
        <w:t xml:space="preserve"> shall survive the resignation or replacement of Agent, any transfer of rights or obligations by, or the replacement of, a Lender, the termination of the Term Loan Commitments and/or the repayment, satisfaction or discharge of all Obligations (or any portion thereof) under any Loan Document.</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Remainder of page left blank intentionally</w:t>
      </w:r>
      <w:r>
        <w:rPr>
          <w:rFonts w:ascii="Arial" w:cs="Arial" w:eastAsia="Arial" w:hAnsi="Arial"/>
          <w:sz w:val="18"/>
          <w:szCs w:val="18"/>
          <w:color w:val="auto"/>
        </w:rPr>
        <w:t>]</w:t>
      </w:r>
    </w:p>
    <w:p>
      <w:pPr>
        <w:spacing w:after="0" w:line="200" w:lineRule="exact"/>
        <w:rPr>
          <w:sz w:val="20"/>
          <w:szCs w:val="20"/>
          <w:color w:val="auto"/>
        </w:rPr>
      </w:pP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36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Presto Credit Agreement</w:t>
            </w:r>
          </w:p>
        </w:tc>
        <w:tc>
          <w:tcPr>
            <w:tcW w:w="7580" w:type="dxa"/>
            <w:vAlign w:val="bottom"/>
            <w:tcBorders>
              <w:bottom w:val="single" w:sz="8" w:color="auto"/>
            </w:tcBorders>
          </w:tcPr>
          <w:p>
            <w:pPr>
              <w:jc w:val="right"/>
              <w:ind w:right="5430"/>
              <w:spacing w:after="0"/>
              <w:rPr>
                <w:sz w:val="20"/>
                <w:szCs w:val="20"/>
                <w:color w:val="auto"/>
              </w:rPr>
            </w:pPr>
            <w:r>
              <w:rPr>
                <w:rFonts w:ascii="Arial" w:cs="Arial" w:eastAsia="Arial" w:hAnsi="Arial"/>
                <w:sz w:val="18"/>
                <w:szCs w:val="18"/>
                <w:color w:val="auto"/>
              </w:rPr>
              <w:t>68</w:t>
            </w:r>
          </w:p>
        </w:tc>
      </w:tr>
    </w:tbl>
    <w:p>
      <w:pPr>
        <w:sectPr>
          <w:pgSz w:w="11900" w:h="16838" w:orient="portrait"/>
          <w:cols w:equalWidth="0" w:num="1">
            <w:col w:w="11240"/>
          </w:cols>
          <w:pgMar w:left="320" w:top="908" w:right="339" w:bottom="1440" w:gutter="0" w:footer="0" w:header="0"/>
        </w:sectPr>
      </w:pPr>
    </w:p>
    <w:bookmarkStart w:id="155" w:name="page156"/>
    <w:bookmarkEnd w:id="155"/>
    <w:p>
      <w:pPr>
        <w:ind w:firstLine="648"/>
        <w:spacing w:after="0" w:line="282" w:lineRule="auto"/>
        <w:rPr>
          <w:sz w:val="20"/>
          <w:szCs w:val="20"/>
          <w:color w:val="auto"/>
        </w:rPr>
      </w:pPr>
      <w:r>
        <w:rPr>
          <w:rFonts w:ascii="Arial" w:cs="Arial" w:eastAsia="Arial" w:hAnsi="Arial"/>
          <w:sz w:val="18"/>
          <w:szCs w:val="18"/>
          <w:b w:val="1"/>
          <w:bCs w:val="1"/>
          <w:color w:val="auto"/>
        </w:rPr>
        <w:t>IN WITNESS WHEREOF</w:t>
      </w:r>
      <w:r>
        <w:rPr>
          <w:rFonts w:ascii="Arial" w:cs="Arial" w:eastAsia="Arial" w:hAnsi="Arial"/>
          <w:sz w:val="18"/>
          <w:szCs w:val="18"/>
          <w:color w:val="auto"/>
        </w:rPr>
        <w:t>, the parties hereto have caused this Agreement to be duly executed and delivered by their proper and duly authorized</w:t>
      </w:r>
      <w:r>
        <w:rPr>
          <w:rFonts w:ascii="Arial" w:cs="Arial" w:eastAsia="Arial" w:hAnsi="Arial"/>
          <w:sz w:val="18"/>
          <w:szCs w:val="18"/>
          <w:b w:val="1"/>
          <w:bCs w:val="1"/>
          <w:color w:val="auto"/>
        </w:rPr>
        <w:t xml:space="preserve"> </w:t>
      </w:r>
      <w:r>
        <w:rPr>
          <w:rFonts w:ascii="Arial" w:cs="Arial" w:eastAsia="Arial" w:hAnsi="Arial"/>
          <w:sz w:val="18"/>
          <w:szCs w:val="18"/>
          <w:color w:val="auto"/>
        </w:rPr>
        <w:t>officers as of the day and year first above written.</w:t>
      </w:r>
    </w:p>
    <w:p>
      <w:pPr>
        <w:spacing w:after="0" w:line="162" w:lineRule="exact"/>
        <w:rPr>
          <w:sz w:val="20"/>
          <w:szCs w:val="20"/>
          <w:color w:val="auto"/>
        </w:rPr>
      </w:pPr>
    </w:p>
    <w:p>
      <w:pPr>
        <w:ind w:left="6740"/>
        <w:spacing w:after="0"/>
        <w:rPr>
          <w:sz w:val="20"/>
          <w:szCs w:val="20"/>
          <w:color w:val="auto"/>
        </w:rPr>
      </w:pPr>
      <w:r>
        <w:rPr>
          <w:rFonts w:ascii="Arial" w:cs="Arial" w:eastAsia="Arial" w:hAnsi="Arial"/>
          <w:sz w:val="18"/>
          <w:szCs w:val="18"/>
          <w:b w:val="1"/>
          <w:bCs w:val="1"/>
          <w:color w:val="auto"/>
        </w:rPr>
        <w:t>BORROWER:</w:t>
      </w:r>
    </w:p>
    <w:p>
      <w:pPr>
        <w:spacing w:after="0" w:line="229"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E LA CARTE, LLC</w:t>
      </w:r>
    </w:p>
    <w:p>
      <w:pPr>
        <w:spacing w:after="0" w:line="23"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(F/K/A VENTOUX MERGER SUB II LLC)</w:t>
      </w:r>
    </w:p>
    <w:p>
      <w:pPr>
        <w:spacing w:after="0" w:line="211"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14605</wp:posOffset>
            </wp:positionV>
            <wp:extent cx="2494915" cy="171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3">
                      <a:extLst>
                        <a:ext uri="{28A0092B-C50C-407E-A947-70E740481C1C}"/>
                      </a:extLst>
                    </a:blip>
                    <a:srcRect/>
                    <a:stretch>
                      <a:fillRect/>
                    </a:stretch>
                  </pic:blipFill>
                  <pic:spPr bwMode="auto">
                    <a:xfrm>
                      <a:off x="0" y="0"/>
                      <a:ext cx="2494915" cy="17145"/>
                    </a:xfrm>
                    <a:prstGeom prst="rect">
                      <a:avLst/>
                    </a:prstGeom>
                    <a:noFill/>
                  </pic:spPr>
                </pic:pic>
              </a:graphicData>
            </a:graphic>
          </wp:anchor>
        </w:drawing>
      </w:r>
    </w:p>
    <w:p>
      <w:pPr>
        <w:spacing w:after="0" w:line="3"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Name:</w:t>
      </w:r>
    </w:p>
    <w:p>
      <w:pPr>
        <w:spacing w:after="0" w:line="35"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-130175</wp:posOffset>
            </wp:positionV>
            <wp:extent cx="2494915" cy="171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4">
                      <a:extLst>
                        <a:ext uri="{28A0092B-C50C-407E-A947-70E740481C1C}"/>
                      </a:extLst>
                    </a:blip>
                    <a:srcRect/>
                    <a:stretch>
                      <a:fillRect/>
                    </a:stretch>
                  </pic:blipFill>
                  <pic:spPr bwMode="auto">
                    <a:xfrm>
                      <a:off x="0" y="0"/>
                      <a:ext cx="2494915" cy="17145"/>
                    </a:xfrm>
                    <a:prstGeom prst="rect">
                      <a:avLst/>
                    </a:prstGeom>
                    <a:noFill/>
                  </pic:spPr>
                </pic:pic>
              </a:graphicData>
            </a:graphic>
          </wp:anchor>
        </w:drawing>
        <w:drawing>
          <wp:anchor simplePos="0" relativeHeight="251657728" behindDoc="1" locked="0" layoutInCell="0" allowOverlap="1">
            <wp:simplePos x="0" y="0"/>
            <wp:positionH relativeFrom="column">
              <wp:posOffset>4642485</wp:posOffset>
            </wp:positionH>
            <wp:positionV relativeFrom="paragraph">
              <wp:posOffset>23495</wp:posOffset>
            </wp:positionV>
            <wp:extent cx="2494915" cy="171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5">
                      <a:extLst>
                        <a:ext uri="{28A0092B-C50C-407E-A947-70E740481C1C}"/>
                      </a:extLst>
                    </a:blip>
                    <a:srcRect/>
                    <a:stretch>
                      <a:fillRect/>
                    </a:stretch>
                  </pic:blipFill>
                  <pic:spPr bwMode="auto">
                    <a:xfrm>
                      <a:off x="0" y="0"/>
                      <a:ext cx="2494915" cy="17145"/>
                    </a:xfrm>
                    <a:prstGeom prst="rect">
                      <a:avLst/>
                    </a:prstGeom>
                    <a:noFill/>
                  </pic:spPr>
                </pic:pic>
              </a:graphicData>
            </a:graphic>
          </wp:anchor>
        </w:drawing>
      </w:r>
    </w:p>
    <w:p>
      <w:pPr>
        <w:spacing w:after="0" w:line="242" w:lineRule="exact"/>
        <w:rPr>
          <w:sz w:val="20"/>
          <w:szCs w:val="20"/>
          <w:color w:val="auto"/>
        </w:rPr>
      </w:pPr>
    </w:p>
    <w:p>
      <w:pPr>
        <w:ind w:left="6740"/>
        <w:spacing w:after="0"/>
        <w:rPr>
          <w:sz w:val="20"/>
          <w:szCs w:val="20"/>
          <w:color w:val="auto"/>
        </w:rPr>
      </w:pPr>
      <w:r>
        <w:rPr>
          <w:rFonts w:ascii="Arial" w:cs="Arial" w:eastAsia="Arial" w:hAnsi="Arial"/>
          <w:sz w:val="18"/>
          <w:szCs w:val="18"/>
          <w:b w:val="1"/>
          <w:bCs w:val="1"/>
          <w:color w:val="auto"/>
        </w:rPr>
        <w:t>PARENT:</w:t>
      </w:r>
    </w:p>
    <w:p>
      <w:pPr>
        <w:spacing w:after="0" w:line="229"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PRESTO AUTOMATION INC.</w:t>
      </w:r>
    </w:p>
    <w:p>
      <w:pPr>
        <w:spacing w:after="0" w:line="23"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(F/K/A VENTOUX CCM ACQUISITION CORP.)</w:t>
      </w:r>
    </w:p>
    <w:p>
      <w:pPr>
        <w:spacing w:after="0" w:line="211"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14605</wp:posOffset>
            </wp:positionV>
            <wp:extent cx="2494915" cy="171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6">
                      <a:extLst>
                        <a:ext uri="{28A0092B-C50C-407E-A947-70E740481C1C}"/>
                      </a:extLst>
                    </a:blip>
                    <a:srcRect/>
                    <a:stretch>
                      <a:fillRect/>
                    </a:stretch>
                  </pic:blipFill>
                  <pic:spPr bwMode="auto">
                    <a:xfrm>
                      <a:off x="0" y="0"/>
                      <a:ext cx="2494915" cy="17145"/>
                    </a:xfrm>
                    <a:prstGeom prst="rect">
                      <a:avLst/>
                    </a:prstGeom>
                    <a:noFill/>
                  </pic:spPr>
                </pic:pic>
              </a:graphicData>
            </a:graphic>
          </wp:anchor>
        </w:drawing>
      </w:r>
    </w:p>
    <w:p>
      <w:pPr>
        <w:spacing w:after="0" w:line="3"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Name:</w:t>
      </w:r>
    </w:p>
    <w:p>
      <w:pPr>
        <w:spacing w:after="0" w:line="35"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-130175</wp:posOffset>
            </wp:positionV>
            <wp:extent cx="2494915" cy="171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7">
                      <a:extLst>
                        <a:ext uri="{28A0092B-C50C-407E-A947-70E740481C1C}"/>
                      </a:extLst>
                    </a:blip>
                    <a:srcRect/>
                    <a:stretch>
                      <a:fillRect/>
                    </a:stretch>
                  </pic:blipFill>
                  <pic:spPr bwMode="auto">
                    <a:xfrm>
                      <a:off x="0" y="0"/>
                      <a:ext cx="2494915" cy="17145"/>
                    </a:xfrm>
                    <a:prstGeom prst="rect">
                      <a:avLst/>
                    </a:prstGeom>
                    <a:noFill/>
                  </pic:spPr>
                </pic:pic>
              </a:graphicData>
            </a:graphic>
          </wp:anchor>
        </w:drawing>
        <w:drawing>
          <wp:anchor simplePos="0" relativeHeight="251657728" behindDoc="1" locked="0" layoutInCell="0" allowOverlap="1">
            <wp:simplePos x="0" y="0"/>
            <wp:positionH relativeFrom="column">
              <wp:posOffset>4642485</wp:posOffset>
            </wp:positionH>
            <wp:positionV relativeFrom="paragraph">
              <wp:posOffset>23495</wp:posOffset>
            </wp:positionV>
            <wp:extent cx="2494915" cy="171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8">
                      <a:extLst>
                        <a:ext uri="{28A0092B-C50C-407E-A947-70E740481C1C}"/>
                      </a:extLst>
                    </a:blip>
                    <a:srcRect/>
                    <a:stretch>
                      <a:fillRect/>
                    </a:stretch>
                  </pic:blipFill>
                  <pic:spPr bwMode="auto">
                    <a:xfrm>
                      <a:off x="0" y="0"/>
                      <a:ext cx="2494915"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469265</wp:posOffset>
            </wp:positionV>
            <wp:extent cx="7132320" cy="171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56" w:name="page157"/>
    <w:bookmarkEnd w:id="156"/>
    <w:p>
      <w:pPr>
        <w:ind w:left="5620"/>
        <w:spacing w:after="0"/>
        <w:rPr>
          <w:sz w:val="20"/>
          <w:szCs w:val="20"/>
          <w:color w:val="auto"/>
        </w:rPr>
      </w:pPr>
      <w:r>
        <w:rPr>
          <w:rFonts w:ascii="Arial" w:cs="Arial" w:eastAsia="Arial" w:hAnsi="Arial"/>
          <w:sz w:val="18"/>
          <w:szCs w:val="18"/>
          <w:b w:val="1"/>
          <w:bCs w:val="1"/>
          <w:color w:val="auto"/>
        </w:rPr>
        <w:t>AGENT:</w:t>
      </w:r>
    </w:p>
    <w:p>
      <w:pPr>
        <w:spacing w:after="0" w:line="229" w:lineRule="exact"/>
        <w:rPr>
          <w:sz w:val="20"/>
          <w:szCs w:val="20"/>
          <w:color w:val="auto"/>
        </w:rPr>
      </w:pPr>
    </w:p>
    <w:p>
      <w:pPr>
        <w:ind w:left="5620"/>
        <w:spacing w:after="0"/>
        <w:rPr>
          <w:sz w:val="20"/>
          <w:szCs w:val="20"/>
          <w:color w:val="auto"/>
        </w:rPr>
      </w:pPr>
      <w:r>
        <w:rPr>
          <w:rFonts w:ascii="Arial" w:cs="Arial" w:eastAsia="Arial" w:hAnsi="Arial"/>
          <w:sz w:val="16"/>
          <w:szCs w:val="16"/>
          <w:color w:val="auto"/>
        </w:rPr>
        <w:t>METROPOLITAN PARTNERS GROUP</w:t>
      </w:r>
    </w:p>
    <w:p>
      <w:pPr>
        <w:spacing w:after="0" w:line="4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ADMINISTRATION, LLC</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2494915" cy="171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40">
                      <a:extLst>
                        <a:ext uri="{28A0092B-C50C-407E-A947-70E740481C1C}"/>
                      </a:extLst>
                    </a:blip>
                    <a:srcRect/>
                    <a:stretch>
                      <a:fillRect/>
                    </a:stretch>
                  </pic:blipFill>
                  <pic:spPr bwMode="auto">
                    <a:xfrm>
                      <a:off x="0" y="0"/>
                      <a:ext cx="2494915" cy="17145"/>
                    </a:xfrm>
                    <a:prstGeom prst="rect">
                      <a:avLst/>
                    </a:prstGeom>
                    <a:noFill/>
                  </pic:spPr>
                </pic:pic>
              </a:graphicData>
            </a:graphic>
          </wp:anchor>
        </w:drawing>
      </w:r>
    </w:p>
    <w:p>
      <w:pPr>
        <w:spacing w:after="0" w:line="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443230</wp:posOffset>
            </wp:positionV>
            <wp:extent cx="7132320" cy="171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904" w:right="1440" w:bottom="1440" w:gutter="0" w:footer="0" w:header="0"/>
        </w:sectPr>
      </w:pPr>
    </w:p>
    <w:bookmarkStart w:id="157" w:name="page158"/>
    <w:bookmarkEnd w:id="157"/>
    <w:p>
      <w:pPr>
        <w:ind w:left="5620"/>
        <w:spacing w:after="0"/>
        <w:rPr>
          <w:sz w:val="20"/>
          <w:szCs w:val="20"/>
          <w:color w:val="auto"/>
        </w:rPr>
      </w:pPr>
      <w:r>
        <w:rPr>
          <w:rFonts w:ascii="Arial" w:cs="Arial" w:eastAsia="Arial" w:hAnsi="Arial"/>
          <w:sz w:val="18"/>
          <w:szCs w:val="18"/>
          <w:b w:val="1"/>
          <w:bCs w:val="1"/>
          <w:color w:val="auto"/>
        </w:rPr>
        <w:t>LENDERS:</w:t>
      </w:r>
    </w:p>
    <w:p>
      <w:pPr>
        <w:spacing w:after="0" w:line="229" w:lineRule="exact"/>
        <w:rPr>
          <w:sz w:val="20"/>
          <w:szCs w:val="20"/>
          <w:color w:val="auto"/>
        </w:rPr>
      </w:pPr>
    </w:p>
    <w:p>
      <w:pPr>
        <w:ind w:left="5620"/>
        <w:spacing w:after="0"/>
        <w:rPr>
          <w:sz w:val="20"/>
          <w:szCs w:val="20"/>
          <w:color w:val="auto"/>
        </w:rPr>
      </w:pPr>
      <w:r>
        <w:rPr>
          <w:rFonts w:ascii="Arial" w:cs="Arial" w:eastAsia="Arial" w:hAnsi="Arial"/>
          <w:sz w:val="17"/>
          <w:szCs w:val="17"/>
          <w:color w:val="auto"/>
        </w:rPr>
        <w:t>METROPOLITAN LEVERED PARTNERS FUND VII, LP</w:t>
      </w:r>
    </w:p>
    <w:p>
      <w:pPr>
        <w:spacing w:after="0" w:line="237"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2494915" cy="171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2">
                      <a:extLst>
                        <a:ext uri="{28A0092B-C50C-407E-A947-70E740481C1C}"/>
                      </a:extLst>
                    </a:blip>
                    <a:srcRect/>
                    <a:stretch>
                      <a:fillRect/>
                    </a:stretch>
                  </pic:blipFill>
                  <pic:spPr bwMode="auto">
                    <a:xfrm>
                      <a:off x="0" y="0"/>
                      <a:ext cx="2494915" cy="17145"/>
                    </a:xfrm>
                    <a:prstGeom prst="rect">
                      <a:avLst/>
                    </a:prstGeom>
                    <a:noFill/>
                  </pic:spPr>
                </pic:pic>
              </a:graphicData>
            </a:graphic>
          </wp:anchor>
        </w:drawing>
      </w:r>
    </w:p>
    <w:p>
      <w:pPr>
        <w:spacing w:after="0" w:line="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Title:</w:t>
      </w:r>
    </w:p>
    <w:p>
      <w:pPr>
        <w:spacing w:after="0" w:line="224"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METROPOLITAN PARTNERS FUND VII, LP</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2494915" cy="171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3">
                      <a:extLst>
                        <a:ext uri="{28A0092B-C50C-407E-A947-70E740481C1C}"/>
                      </a:extLst>
                    </a:blip>
                    <a:srcRect/>
                    <a:stretch>
                      <a:fillRect/>
                    </a:stretch>
                  </pic:blipFill>
                  <pic:spPr bwMode="auto">
                    <a:xfrm>
                      <a:off x="0" y="0"/>
                      <a:ext cx="2494915" cy="17145"/>
                    </a:xfrm>
                    <a:prstGeom prst="rect">
                      <a:avLst/>
                    </a:prstGeom>
                    <a:noFill/>
                  </pic:spPr>
                </pic:pic>
              </a:graphicData>
            </a:graphic>
          </wp:anchor>
        </w:drawing>
      </w:r>
    </w:p>
    <w:p>
      <w:pPr>
        <w:spacing w:after="0" w:line="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Title:</w:t>
      </w:r>
    </w:p>
    <w:p>
      <w:pPr>
        <w:spacing w:after="0" w:line="224"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CEOF HOLDINGS LP</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CORBIN CAPITAL PARTNERS, L.P., its</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Investment Manager:</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2494915" cy="171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4">
                      <a:extLst>
                        <a:ext uri="{28A0092B-C50C-407E-A947-70E740481C1C}"/>
                      </a:extLst>
                    </a:blip>
                    <a:srcRect/>
                    <a:stretch>
                      <a:fillRect/>
                    </a:stretch>
                  </pic:blipFill>
                  <pic:spPr bwMode="auto">
                    <a:xfrm>
                      <a:off x="0" y="0"/>
                      <a:ext cx="2494915" cy="17145"/>
                    </a:xfrm>
                    <a:prstGeom prst="rect">
                      <a:avLst/>
                    </a:prstGeom>
                    <a:noFill/>
                  </pic:spPr>
                </pic:pic>
              </a:graphicData>
            </a:graphic>
          </wp:anchor>
        </w:drawing>
      </w:r>
    </w:p>
    <w:p>
      <w:pPr>
        <w:spacing w:after="0" w:line="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426085</wp:posOffset>
            </wp:positionV>
            <wp:extent cx="7132320" cy="171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940"/>
          </w:cols>
          <w:pgMar w:left="1440" w:top="904" w:right="519" w:bottom="1440" w:gutter="0" w:footer="0" w:header="0"/>
        </w:sectPr>
      </w:pPr>
    </w:p>
    <w:bookmarkStart w:id="158" w:name="page159"/>
    <w:bookmarkEnd w:id="158"/>
    <w:p>
      <w:pPr>
        <w:jc w:val="center"/>
        <w:ind w:right="19"/>
        <w:spacing w:after="0"/>
        <w:rPr>
          <w:sz w:val="20"/>
          <w:szCs w:val="20"/>
          <w:color w:val="auto"/>
        </w:rPr>
      </w:pPr>
      <w:r>
        <w:rPr>
          <w:rFonts w:ascii="Arial" w:cs="Arial" w:eastAsia="Arial" w:hAnsi="Arial"/>
          <w:sz w:val="18"/>
          <w:szCs w:val="18"/>
          <w:b w:val="1"/>
          <w:bCs w:val="1"/>
          <w:u w:val="single" w:color="auto"/>
          <w:color w:val="auto"/>
        </w:rPr>
        <w:t>ANNEX II</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Restated Exhibits to Credit Agreement</w:t>
      </w: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See attached.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Annex II to Second Amendment to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440690</wp:posOffset>
            </wp:positionV>
            <wp:extent cx="7132320" cy="171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904" w:right="1440" w:bottom="1440" w:gutter="0" w:footer="0" w:header="0"/>
        </w:sectPr>
      </w:pPr>
    </w:p>
    <w:bookmarkStart w:id="159" w:name="page160"/>
    <w:bookmarkEnd w:id="159"/>
    <w:p>
      <w:pPr>
        <w:jc w:val="center"/>
        <w:spacing w:after="0"/>
        <w:rPr>
          <w:sz w:val="20"/>
          <w:szCs w:val="20"/>
          <w:color w:val="auto"/>
        </w:rPr>
      </w:pPr>
      <w:r>
        <w:rPr>
          <w:rFonts w:ascii="Arial" w:cs="Arial" w:eastAsia="Arial" w:hAnsi="Arial"/>
          <w:sz w:val="18"/>
          <w:szCs w:val="18"/>
          <w:b w:val="1"/>
          <w:bCs w:val="1"/>
          <w:color w:val="auto"/>
        </w:rPr>
        <w:t>EXHIBITS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200" w:type="dxa"/>
            <w:vAlign w:val="bottom"/>
          </w:tcPr>
          <w:p>
            <w:pPr>
              <w:spacing w:after="0"/>
              <w:rPr>
                <w:sz w:val="20"/>
                <w:szCs w:val="20"/>
                <w:color w:val="auto"/>
              </w:rPr>
            </w:pPr>
            <w:r>
              <w:rPr>
                <w:rFonts w:ascii="Arial" w:cs="Arial" w:eastAsia="Arial" w:hAnsi="Arial"/>
                <w:sz w:val="18"/>
                <w:szCs w:val="18"/>
                <w:color w:val="auto"/>
              </w:rPr>
              <w:t>Exhibit A</w:t>
            </w:r>
          </w:p>
        </w:tc>
        <w:tc>
          <w:tcPr>
            <w:tcW w:w="10040" w:type="dxa"/>
            <w:vAlign w:val="bottom"/>
          </w:tcPr>
          <w:p>
            <w:pPr>
              <w:ind w:left="500"/>
              <w:spacing w:after="0"/>
              <w:rPr>
                <w:sz w:val="20"/>
                <w:szCs w:val="20"/>
                <w:color w:val="auto"/>
              </w:rPr>
            </w:pPr>
            <w:r>
              <w:rPr>
                <w:rFonts w:ascii="Arial" w:cs="Arial" w:eastAsia="Arial" w:hAnsi="Arial"/>
                <w:sz w:val="18"/>
                <w:szCs w:val="18"/>
                <w:color w:val="auto"/>
              </w:rPr>
              <w:t>Form of Compliance Certificate</w:t>
            </w:r>
          </w:p>
        </w:tc>
      </w:tr>
      <w:tr>
        <w:trPr>
          <w:trHeight w:val="216"/>
        </w:trPr>
        <w:tc>
          <w:tcPr>
            <w:tcW w:w="1200" w:type="dxa"/>
            <w:vAlign w:val="bottom"/>
          </w:tcPr>
          <w:p>
            <w:pPr>
              <w:spacing w:after="0"/>
              <w:rPr>
                <w:sz w:val="20"/>
                <w:szCs w:val="20"/>
                <w:color w:val="auto"/>
              </w:rPr>
            </w:pPr>
            <w:r>
              <w:rPr>
                <w:rFonts w:ascii="Arial" w:cs="Arial" w:eastAsia="Arial" w:hAnsi="Arial"/>
                <w:sz w:val="18"/>
                <w:szCs w:val="18"/>
                <w:color w:val="auto"/>
              </w:rPr>
              <w:t>Exhibit B</w:t>
            </w:r>
          </w:p>
        </w:tc>
        <w:tc>
          <w:tcPr>
            <w:tcW w:w="10040" w:type="dxa"/>
            <w:vAlign w:val="bottom"/>
          </w:tcPr>
          <w:p>
            <w:pPr>
              <w:ind w:left="500"/>
              <w:spacing w:after="0"/>
              <w:rPr>
                <w:sz w:val="20"/>
                <w:szCs w:val="20"/>
                <w:color w:val="auto"/>
              </w:rPr>
            </w:pPr>
            <w:r>
              <w:rPr>
                <w:rFonts w:ascii="Arial" w:cs="Arial" w:eastAsia="Arial" w:hAnsi="Arial"/>
                <w:sz w:val="18"/>
                <w:szCs w:val="18"/>
                <w:color w:val="auto"/>
              </w:rPr>
              <w:t>Form of Notice of Borrowing</w:t>
            </w:r>
          </w:p>
        </w:tc>
      </w:tr>
      <w:tr>
        <w:trPr>
          <w:trHeight w:val="216"/>
        </w:trPr>
        <w:tc>
          <w:tcPr>
            <w:tcW w:w="1200" w:type="dxa"/>
            <w:vAlign w:val="bottom"/>
          </w:tcPr>
          <w:p>
            <w:pPr>
              <w:spacing w:after="0"/>
              <w:rPr>
                <w:sz w:val="20"/>
                <w:szCs w:val="20"/>
                <w:color w:val="auto"/>
              </w:rPr>
            </w:pPr>
            <w:r>
              <w:rPr>
                <w:rFonts w:ascii="Arial" w:cs="Arial" w:eastAsia="Arial" w:hAnsi="Arial"/>
                <w:sz w:val="18"/>
                <w:szCs w:val="18"/>
                <w:color w:val="auto"/>
              </w:rPr>
              <w:t>Exhibit C</w:t>
            </w:r>
          </w:p>
        </w:tc>
        <w:tc>
          <w:tcPr>
            <w:tcW w:w="10040" w:type="dxa"/>
            <w:vAlign w:val="bottom"/>
          </w:tcPr>
          <w:p>
            <w:pPr>
              <w:ind w:left="500"/>
              <w:spacing w:after="0"/>
              <w:rPr>
                <w:sz w:val="20"/>
                <w:szCs w:val="20"/>
                <w:color w:val="auto"/>
              </w:rPr>
            </w:pPr>
            <w:r>
              <w:rPr>
                <w:rFonts w:ascii="Arial" w:cs="Arial" w:eastAsia="Arial" w:hAnsi="Arial"/>
                <w:sz w:val="18"/>
                <w:szCs w:val="18"/>
                <w:color w:val="auto"/>
              </w:rPr>
              <w:t>Form of Payment Notice</w:t>
            </w:r>
          </w:p>
        </w:tc>
      </w:tr>
      <w:tr>
        <w:trPr>
          <w:trHeight w:val="216"/>
        </w:trPr>
        <w:tc>
          <w:tcPr>
            <w:tcW w:w="1200" w:type="dxa"/>
            <w:vAlign w:val="bottom"/>
          </w:tcPr>
          <w:p>
            <w:pPr>
              <w:spacing w:after="0"/>
              <w:rPr>
                <w:sz w:val="20"/>
                <w:szCs w:val="20"/>
                <w:color w:val="auto"/>
              </w:rPr>
            </w:pPr>
            <w:r>
              <w:rPr>
                <w:rFonts w:ascii="Arial" w:cs="Arial" w:eastAsia="Arial" w:hAnsi="Arial"/>
                <w:sz w:val="18"/>
                <w:szCs w:val="18"/>
                <w:color w:val="auto"/>
              </w:rPr>
              <w:t>Exhibit D</w:t>
            </w:r>
          </w:p>
        </w:tc>
        <w:tc>
          <w:tcPr>
            <w:tcW w:w="10040" w:type="dxa"/>
            <w:vAlign w:val="bottom"/>
          </w:tcPr>
          <w:p>
            <w:pPr>
              <w:ind w:left="500"/>
              <w:spacing w:after="0"/>
              <w:rPr>
                <w:sz w:val="20"/>
                <w:szCs w:val="20"/>
                <w:color w:val="auto"/>
              </w:rPr>
            </w:pPr>
            <w:r>
              <w:rPr>
                <w:rFonts w:ascii="Arial" w:cs="Arial" w:eastAsia="Arial" w:hAnsi="Arial"/>
                <w:sz w:val="18"/>
                <w:szCs w:val="18"/>
                <w:color w:val="auto"/>
              </w:rPr>
              <w:t>Form of Promissory Note</w:t>
            </w:r>
          </w:p>
        </w:tc>
      </w:tr>
      <w:tr>
        <w:trPr>
          <w:trHeight w:val="230"/>
        </w:trPr>
        <w:tc>
          <w:tcPr>
            <w:tcW w:w="1200" w:type="dxa"/>
            <w:vAlign w:val="bottom"/>
          </w:tcPr>
          <w:p>
            <w:pPr>
              <w:spacing w:after="0"/>
              <w:rPr>
                <w:sz w:val="20"/>
                <w:szCs w:val="20"/>
                <w:color w:val="auto"/>
              </w:rPr>
            </w:pPr>
            <w:r>
              <w:rPr>
                <w:rFonts w:ascii="Arial" w:cs="Arial" w:eastAsia="Arial" w:hAnsi="Arial"/>
                <w:sz w:val="18"/>
                <w:szCs w:val="18"/>
                <w:color w:val="auto"/>
              </w:rPr>
              <w:t>Exhibit E</w:t>
            </w:r>
          </w:p>
        </w:tc>
        <w:tc>
          <w:tcPr>
            <w:tcW w:w="10040" w:type="dxa"/>
            <w:vAlign w:val="bottom"/>
          </w:tcPr>
          <w:p>
            <w:pPr>
              <w:ind w:left="500"/>
              <w:spacing w:after="0"/>
              <w:rPr>
                <w:sz w:val="20"/>
                <w:szCs w:val="20"/>
                <w:color w:val="auto"/>
              </w:rPr>
            </w:pPr>
            <w:r>
              <w:rPr>
                <w:rFonts w:ascii="Arial" w:cs="Arial" w:eastAsia="Arial" w:hAnsi="Arial"/>
                <w:sz w:val="18"/>
                <w:szCs w:val="18"/>
                <w:color w:val="auto"/>
              </w:rPr>
              <w:t>Form of Financial Covenant Calculations</w:t>
            </w:r>
          </w:p>
        </w:tc>
      </w:tr>
      <w:tr>
        <w:trPr>
          <w:trHeight w:val="682"/>
        </w:trPr>
        <w:tc>
          <w:tcPr>
            <w:tcW w:w="1200" w:type="dxa"/>
            <w:vAlign w:val="bottom"/>
            <w:tcBorders>
              <w:bottom w:val="single" w:sz="8" w:color="auto"/>
            </w:tcBorders>
          </w:tcPr>
          <w:p>
            <w:pPr>
              <w:spacing w:after="0"/>
              <w:rPr>
                <w:sz w:val="24"/>
                <w:szCs w:val="24"/>
                <w:color w:val="auto"/>
              </w:rPr>
            </w:pPr>
          </w:p>
        </w:tc>
        <w:tc>
          <w:tcPr>
            <w:tcW w:w="100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4" w:right="339" w:bottom="1440" w:gutter="0" w:footer="0" w:header="0"/>
        </w:sectPr>
      </w:pPr>
    </w:p>
    <w:bookmarkStart w:id="160" w:name="page161"/>
    <w:bookmarkEnd w:id="160"/>
    <w:p>
      <w:pPr>
        <w:jc w:val="center"/>
        <w:spacing w:after="0"/>
        <w:rPr>
          <w:sz w:val="20"/>
          <w:szCs w:val="20"/>
          <w:color w:val="auto"/>
        </w:rPr>
      </w:pPr>
      <w:r>
        <w:rPr>
          <w:rFonts w:ascii="Arial" w:cs="Arial" w:eastAsia="Arial" w:hAnsi="Arial"/>
          <w:sz w:val="18"/>
          <w:szCs w:val="18"/>
          <w:b w:val="1"/>
          <w:bCs w:val="1"/>
          <w:u w:val="single" w:color="auto"/>
          <w:color w:val="auto"/>
        </w:rPr>
        <w:t>EXHIBIT 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FORM OF COMPLIANCE CERTIFICATE</w:t>
      </w:r>
    </w:p>
    <w:p>
      <w:pPr>
        <w:spacing w:after="0" w:line="225"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 xml:space="preserve">The undersigned hereby certifies that (a) he or she is a Responsible Officer of (i) </w:t>
      </w:r>
      <w:r>
        <w:rPr>
          <w:rFonts w:ascii="Arial" w:cs="Arial" w:eastAsia="Arial" w:hAnsi="Arial"/>
          <w:sz w:val="18"/>
          <w:szCs w:val="18"/>
          <w:b w:val="1"/>
          <w:bCs w:val="1"/>
          <w:color w:val="auto"/>
        </w:rPr>
        <w:t>E LA CARTE, LLC</w:t>
      </w:r>
      <w:r>
        <w:rPr>
          <w:rFonts w:ascii="Arial" w:cs="Arial" w:eastAsia="Arial" w:hAnsi="Arial"/>
          <w:sz w:val="18"/>
          <w:szCs w:val="18"/>
          <w:color w:val="auto"/>
        </w:rPr>
        <w:t>, a Delaware limited liability company (“</w:t>
      </w:r>
      <w:r>
        <w:rPr>
          <w:rFonts w:ascii="Arial" w:cs="Arial" w:eastAsia="Arial" w:hAnsi="Arial"/>
          <w:sz w:val="18"/>
          <w:szCs w:val="18"/>
          <w:b w:val="1"/>
          <w:bCs w:val="1"/>
          <w:i w:val="1"/>
          <w:iCs w:val="1"/>
          <w:color w:val="auto"/>
        </w:rPr>
        <w:t>Borrower</w:t>
      </w:r>
      <w:r>
        <w:rPr>
          <w:rFonts w:ascii="Arial" w:cs="Arial" w:eastAsia="Arial" w:hAnsi="Arial"/>
          <w:sz w:val="18"/>
          <w:szCs w:val="18"/>
          <w:color w:val="auto"/>
        </w:rPr>
        <w:t xml:space="preserve">”) and (ii) </w:t>
      </w:r>
      <w:r>
        <w:rPr>
          <w:rFonts w:ascii="Arial" w:cs="Arial" w:eastAsia="Arial" w:hAnsi="Arial"/>
          <w:sz w:val="18"/>
          <w:szCs w:val="18"/>
          <w:b w:val="1"/>
          <w:bCs w:val="1"/>
          <w:color w:val="auto"/>
        </w:rPr>
        <w:t>PRESTO AUTOMATION INC.</w:t>
      </w:r>
      <w:r>
        <w:rPr>
          <w:rFonts w:ascii="Arial" w:cs="Arial" w:eastAsia="Arial" w:hAnsi="Arial"/>
          <w:sz w:val="18"/>
          <w:szCs w:val="18"/>
          <w:color w:val="auto"/>
        </w:rPr>
        <w:t>, a Delaware corporation (“</w:t>
      </w:r>
      <w:r>
        <w:rPr>
          <w:rFonts w:ascii="Arial" w:cs="Arial" w:eastAsia="Arial" w:hAnsi="Arial"/>
          <w:sz w:val="18"/>
          <w:szCs w:val="18"/>
          <w:b w:val="1"/>
          <w:bCs w:val="1"/>
          <w:i w:val="1"/>
          <w:iCs w:val="1"/>
          <w:color w:val="auto"/>
        </w:rPr>
        <w:t>Parent</w:t>
      </w:r>
      <w:r>
        <w:rPr>
          <w:rFonts w:ascii="Arial" w:cs="Arial" w:eastAsia="Arial" w:hAnsi="Arial"/>
          <w:sz w:val="18"/>
          <w:szCs w:val="18"/>
          <w:color w:val="auto"/>
        </w:rPr>
        <w:t>”); (b) he or she is authorized in such capacity to execute this Compliance Certificate on behalf of the Borrower pursuant to Section 5.2(a) of the Credit Agreement dated as of September 21, 2022 (as may be amended, restated, amended and restated, supplemented or otherwise modified from time to time, the “</w:t>
      </w:r>
      <w:r>
        <w:rPr>
          <w:rFonts w:ascii="Arial" w:cs="Arial" w:eastAsia="Arial" w:hAnsi="Arial"/>
          <w:sz w:val="18"/>
          <w:szCs w:val="18"/>
          <w:b w:val="1"/>
          <w:bCs w:val="1"/>
          <w:i w:val="1"/>
          <w:iCs w:val="1"/>
          <w:color w:val="auto"/>
        </w:rPr>
        <w:t>Agreement</w:t>
      </w:r>
      <w:r>
        <w:rPr>
          <w:rFonts w:ascii="Arial" w:cs="Arial" w:eastAsia="Arial" w:hAnsi="Arial"/>
          <w:sz w:val="18"/>
          <w:szCs w:val="18"/>
          <w:color w:val="auto"/>
        </w:rPr>
        <w:t xml:space="preserve">”; each capitalized term used herein without definition shall have the meaning ascribed to such term in the Agreement), by and among Borrower, Parent, the Lenders from time to time party thereto, and </w:t>
      </w:r>
      <w:r>
        <w:rPr>
          <w:rFonts w:ascii="Arial" w:cs="Arial" w:eastAsia="Arial" w:hAnsi="Arial"/>
          <w:sz w:val="18"/>
          <w:szCs w:val="18"/>
          <w:b w:val="1"/>
          <w:bCs w:val="1"/>
          <w:color w:val="auto"/>
        </w:rPr>
        <w:t>METROPOLITAN PARTNERS GROUP ADMINISTRATION, LLC</w:t>
      </w:r>
      <w:r>
        <w:rPr>
          <w:rFonts w:ascii="Arial" w:cs="Arial" w:eastAsia="Arial" w:hAnsi="Arial"/>
          <w:sz w:val="18"/>
          <w:szCs w:val="18"/>
          <w:color w:val="auto"/>
        </w:rPr>
        <w:t>, a Delaware limited liability company, as administrative, payment, and collateral agent for itself, as a Lender, and for the other Lenders (in such capacities, the “</w:t>
      </w:r>
      <w:r>
        <w:rPr>
          <w:rFonts w:ascii="Arial" w:cs="Arial" w:eastAsia="Arial" w:hAnsi="Arial"/>
          <w:sz w:val="18"/>
          <w:szCs w:val="18"/>
          <w:b w:val="1"/>
          <w:bCs w:val="1"/>
          <w:i w:val="1"/>
          <w:iCs w:val="1"/>
          <w:color w:val="auto"/>
        </w:rPr>
        <w:t>Agent</w:t>
      </w:r>
      <w:r>
        <w:rPr>
          <w:rFonts w:ascii="Arial" w:cs="Arial" w:eastAsia="Arial" w:hAnsi="Arial"/>
          <w:sz w:val="18"/>
          <w:szCs w:val="18"/>
          <w:color w:val="auto"/>
        </w:rPr>
        <w:t>”) and (c) a review has been made under his or her supervision with a view to determining whether the Loan Parties have fulfilled all of their respective obligations under the Agreement and the other Loan Documents. The undersigned, in his or her capacity as a Responsible Officer of the Loan Parties, further certifies, represents and warrants that to his or her knowledge:</w:t>
      </w:r>
    </w:p>
    <w:p>
      <w:pPr>
        <w:spacing w:after="0" w:line="198" w:lineRule="exact"/>
        <w:rPr>
          <w:sz w:val="20"/>
          <w:szCs w:val="20"/>
          <w:color w:val="auto"/>
        </w:rPr>
      </w:pPr>
    </w:p>
    <w:p>
      <w:pPr>
        <w:jc w:val="both"/>
        <w:ind w:left="1300" w:hanging="644"/>
        <w:spacing w:after="0" w:line="286" w:lineRule="auto"/>
        <w:tabs>
          <w:tab w:leader="none" w:pos="1300" w:val="left"/>
        </w:tabs>
        <w:numPr>
          <w:ilvl w:val="0"/>
          <w:numId w:val="160"/>
        </w:numPr>
        <w:rPr>
          <w:rFonts w:ascii="Arial" w:cs="Arial" w:eastAsia="Arial" w:hAnsi="Arial"/>
          <w:sz w:val="17"/>
          <w:szCs w:val="17"/>
          <w:color w:val="auto"/>
        </w:rPr>
      </w:pPr>
      <w:r>
        <w:rPr>
          <w:rFonts w:ascii="Arial" w:cs="Arial" w:eastAsia="Arial" w:hAnsi="Arial"/>
          <w:sz w:val="17"/>
          <w:szCs w:val="17"/>
          <w:color w:val="auto"/>
        </w:rPr>
        <w:t>The financial statements delivered to the Agent concurrently with this Compliance Certificate have been prepared in accordance with GAAP consistently applied throughout the [calendar month][Fiscal Year] indicated and fairly present in all material respects the financial condition and results of operations of each Loan Party and its Subsidiaries as of the last day, and for, the period indicated.</w:t>
      </w:r>
    </w:p>
    <w:p>
      <w:pPr>
        <w:spacing w:after="0" w:line="165" w:lineRule="exact"/>
        <w:rPr>
          <w:rFonts w:ascii="Arial" w:cs="Arial" w:eastAsia="Arial" w:hAnsi="Arial"/>
          <w:sz w:val="17"/>
          <w:szCs w:val="17"/>
          <w:color w:val="auto"/>
        </w:rPr>
      </w:pPr>
    </w:p>
    <w:p>
      <w:pPr>
        <w:jc w:val="both"/>
        <w:ind w:left="1300" w:hanging="644"/>
        <w:spacing w:after="0" w:line="263" w:lineRule="auto"/>
        <w:tabs>
          <w:tab w:leader="none" w:pos="1300" w:val="left"/>
        </w:tabs>
        <w:numPr>
          <w:ilvl w:val="0"/>
          <w:numId w:val="160"/>
        </w:numPr>
        <w:rPr>
          <w:rFonts w:ascii="Arial" w:cs="Arial" w:eastAsia="Arial" w:hAnsi="Arial"/>
          <w:sz w:val="18"/>
          <w:szCs w:val="18"/>
          <w:color w:val="auto"/>
        </w:rPr>
      </w:pPr>
      <w:r>
        <w:rPr>
          <w:rFonts w:ascii="Arial" w:cs="Arial" w:eastAsia="Arial" w:hAnsi="Arial"/>
          <w:sz w:val="18"/>
          <w:szCs w:val="18"/>
          <w:color w:val="auto"/>
        </w:rPr>
        <w:t xml:space="preserve">No Default or Event of Default has occurred and is continuing. In this regard, the compliance with the provisions of </w:t>
      </w:r>
      <w:r>
        <w:rPr>
          <w:rFonts w:ascii="Arial" w:cs="Arial" w:eastAsia="Arial" w:hAnsi="Arial"/>
          <w:sz w:val="18"/>
          <w:szCs w:val="18"/>
          <w:u w:val="single" w:color="auto"/>
          <w:color w:val="auto"/>
        </w:rPr>
        <w:t>Sections 6.17(a)</w:t>
      </w:r>
      <w:r>
        <w:rPr>
          <w:rFonts w:ascii="Arial" w:cs="Arial" w:eastAsia="Arial" w:hAnsi="Arial"/>
          <w:sz w:val="18"/>
          <w:szCs w:val="18"/>
          <w:color w:val="auto"/>
        </w:rPr>
        <w:t xml:space="preserve">, </w:t>
      </w:r>
      <w:r>
        <w:rPr>
          <w:rFonts w:ascii="Arial" w:cs="Arial" w:eastAsia="Arial" w:hAnsi="Arial"/>
          <w:sz w:val="18"/>
          <w:szCs w:val="18"/>
          <w:u w:val="single" w:color="auto"/>
          <w:color w:val="auto"/>
        </w:rPr>
        <w:t>6.17(b)</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6.17(c)</w:t>
      </w:r>
      <w:r>
        <w:rPr>
          <w:rFonts w:ascii="Arial" w:cs="Arial" w:eastAsia="Arial" w:hAnsi="Arial"/>
          <w:sz w:val="18"/>
          <w:szCs w:val="18"/>
          <w:color w:val="auto"/>
        </w:rPr>
        <w:t xml:space="preserve"> of the Agreement as of the date of the financial statements delivered to the Agent concurrently with this Compliance Certificate is as set forth on </w:t>
      </w:r>
      <w:r>
        <w:rPr>
          <w:rFonts w:ascii="Arial" w:cs="Arial" w:eastAsia="Arial" w:hAnsi="Arial"/>
          <w:sz w:val="18"/>
          <w:szCs w:val="18"/>
          <w:u w:val="single" w:color="auto"/>
          <w:color w:val="auto"/>
        </w:rPr>
        <w:t>Schedule 1</w:t>
      </w:r>
      <w:r>
        <w:rPr>
          <w:rFonts w:ascii="Arial" w:cs="Arial" w:eastAsia="Arial" w:hAnsi="Arial"/>
          <w:sz w:val="18"/>
          <w:szCs w:val="18"/>
          <w:color w:val="auto"/>
        </w:rPr>
        <w:t xml:space="preserve"> hereto:</w:t>
      </w:r>
    </w:p>
    <w:p>
      <w:pPr>
        <w:spacing w:after="0" w:line="183" w:lineRule="exact"/>
        <w:rPr>
          <w:rFonts w:ascii="Arial" w:cs="Arial" w:eastAsia="Arial" w:hAnsi="Arial"/>
          <w:sz w:val="18"/>
          <w:szCs w:val="18"/>
          <w:color w:val="auto"/>
        </w:rPr>
      </w:pPr>
    </w:p>
    <w:p>
      <w:pPr>
        <w:ind w:left="1300" w:hanging="644"/>
        <w:spacing w:after="0" w:line="277" w:lineRule="auto"/>
        <w:tabs>
          <w:tab w:leader="none" w:pos="1300" w:val="left"/>
        </w:tabs>
        <w:numPr>
          <w:ilvl w:val="0"/>
          <w:numId w:val="160"/>
        </w:numPr>
        <w:rPr>
          <w:rFonts w:ascii="Arial" w:cs="Arial" w:eastAsia="Arial" w:hAnsi="Arial"/>
          <w:sz w:val="18"/>
          <w:szCs w:val="18"/>
          <w:color w:val="auto"/>
        </w:rPr>
      </w:pPr>
      <w:r>
        <w:rPr>
          <w:rFonts w:ascii="Arial" w:cs="Arial" w:eastAsia="Arial" w:hAnsi="Arial"/>
          <w:sz w:val="18"/>
          <w:szCs w:val="18"/>
          <w:color w:val="auto"/>
        </w:rPr>
        <w:t>Since [_____], there has been no change in the financial condition, operations, assets, business or properties of the Loan Parties which could reasonably be expected to result in a Material Adverse Effect.</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 FOLLOWS]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61" w:name="page162"/>
    <w:bookmarkEnd w:id="161"/>
    <w:p>
      <w:pPr>
        <w:spacing w:after="0"/>
        <w:rPr>
          <w:sz w:val="20"/>
          <w:szCs w:val="20"/>
          <w:color w:val="auto"/>
        </w:rPr>
      </w:pPr>
      <w:r>
        <w:rPr>
          <w:rFonts w:ascii="Arial" w:cs="Arial" w:eastAsia="Arial" w:hAnsi="Arial"/>
          <w:sz w:val="16"/>
          <w:szCs w:val="16"/>
          <w:color w:val="auto"/>
        </w:rPr>
        <w:t>IN WITNESS WHEREOF, the undersigned has executed this Compliance Certificate as of [__________________].</w:t>
      </w:r>
    </w:p>
    <w:p>
      <w:pPr>
        <w:spacing w:after="0" w:line="248"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BORROWER:</w:t>
      </w:r>
    </w:p>
    <w:p>
      <w:pPr>
        <w:spacing w:after="0" w:line="225"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E LA CARTE, LLC</w:t>
      </w:r>
    </w:p>
    <w:p>
      <w:pPr>
        <w:spacing w:after="0" w:line="225"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4223385</wp:posOffset>
            </wp:positionH>
            <wp:positionV relativeFrom="paragraph">
              <wp:posOffset>14605</wp:posOffset>
            </wp:positionV>
            <wp:extent cx="2494915" cy="171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8">
                      <a:extLst>
                        <a:ext uri="{28A0092B-C50C-407E-A947-70E740481C1C}"/>
                      </a:extLst>
                    </a:blip>
                    <a:srcRect/>
                    <a:stretch>
                      <a:fillRect/>
                    </a:stretch>
                  </pic:blipFill>
                  <pic:spPr bwMode="auto">
                    <a:xfrm>
                      <a:off x="0" y="0"/>
                      <a:ext cx="2494915" cy="17145"/>
                    </a:xfrm>
                    <a:prstGeom prst="rect">
                      <a:avLst/>
                    </a:prstGeom>
                    <a:noFill/>
                  </pic:spPr>
                </pic:pic>
              </a:graphicData>
            </a:graphic>
          </wp:anchor>
        </w:drawing>
      </w:r>
    </w:p>
    <w:p>
      <w:pPr>
        <w:spacing w:after="0" w:line="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40"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14605</wp:posOffset>
            </wp:positionV>
            <wp:extent cx="7132320" cy="171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479"/>
          </w:cols>
          <w:pgMar w:left="980" w:top="908" w:right="1440" w:bottom="1440" w:gutter="0" w:footer="0" w:header="0"/>
        </w:sectPr>
      </w:pPr>
    </w:p>
    <w:bookmarkStart w:id="162" w:name="page163"/>
    <w:bookmarkEnd w:id="162"/>
    <w:p>
      <w:pPr>
        <w:ind w:left="4200"/>
        <w:spacing w:after="0"/>
        <w:rPr>
          <w:sz w:val="20"/>
          <w:szCs w:val="20"/>
          <w:color w:val="auto"/>
        </w:rPr>
      </w:pPr>
      <w:r>
        <w:rPr>
          <w:rFonts w:ascii="Arial" w:cs="Arial" w:eastAsia="Arial" w:hAnsi="Arial"/>
          <w:sz w:val="18"/>
          <w:szCs w:val="18"/>
          <w:b w:val="1"/>
          <w:bCs w:val="1"/>
          <w:u w:val="single" w:color="auto"/>
          <w:color w:val="auto"/>
        </w:rPr>
        <w:t>Schedule I to Compliance Certificate</w:t>
      </w:r>
    </w:p>
    <w:p>
      <w:pPr>
        <w:spacing w:after="0" w:line="225" w:lineRule="exact"/>
        <w:rPr>
          <w:sz w:val="20"/>
          <w:szCs w:val="20"/>
          <w:color w:val="auto"/>
        </w:rPr>
      </w:pPr>
    </w:p>
    <w:p>
      <w:pPr>
        <w:ind w:left="3840"/>
        <w:spacing w:after="0"/>
        <w:rPr>
          <w:sz w:val="20"/>
          <w:szCs w:val="20"/>
          <w:color w:val="auto"/>
        </w:rPr>
      </w:pPr>
      <w:r>
        <w:rPr>
          <w:rFonts w:ascii="Arial" w:cs="Arial" w:eastAsia="Arial" w:hAnsi="Arial"/>
          <w:sz w:val="18"/>
          <w:szCs w:val="18"/>
          <w:b w:val="1"/>
          <w:bCs w:val="1"/>
          <w:u w:val="single" w:color="auto"/>
          <w:color w:val="auto"/>
        </w:rPr>
        <w:t>FINANCIAL COVENANT CALCULATIONS</w:t>
      </w:r>
    </w:p>
    <w:p>
      <w:pPr>
        <w:spacing w:after="0" w:line="225" w:lineRule="exact"/>
        <w:rPr>
          <w:sz w:val="20"/>
          <w:szCs w:val="20"/>
          <w:color w:val="auto"/>
        </w:rPr>
      </w:pPr>
    </w:p>
    <w:p>
      <w:pPr>
        <w:ind w:left="560"/>
        <w:spacing w:after="0"/>
        <w:tabs>
          <w:tab w:leader="none" w:pos="1120" w:val="left"/>
        </w:tabs>
        <w:rPr>
          <w:sz w:val="20"/>
          <w:szCs w:val="20"/>
          <w:color w:val="auto"/>
        </w:rPr>
      </w:pPr>
      <w:r>
        <w:rPr>
          <w:rFonts w:ascii="Arial" w:cs="Arial" w:eastAsia="Arial" w:hAnsi="Arial"/>
          <w:sz w:val="15"/>
          <w:szCs w:val="15"/>
          <w:b w:val="1"/>
          <w:bCs w:val="1"/>
          <w:color w:val="auto"/>
        </w:rPr>
        <w:t>(a)</w:t>
      </w:r>
      <w:r>
        <w:rPr>
          <w:sz w:val="20"/>
          <w:szCs w:val="20"/>
          <w:color w:val="auto"/>
        </w:rPr>
        <w:tab/>
      </w:r>
      <w:r>
        <w:rPr>
          <w:rFonts w:ascii="Arial" w:cs="Arial" w:eastAsia="Arial" w:hAnsi="Arial"/>
          <w:sz w:val="15"/>
          <w:szCs w:val="15"/>
          <w:b w:val="1"/>
          <w:bCs w:val="1"/>
          <w:color w:val="auto"/>
        </w:rPr>
        <w:t>Computer Vision Products Revenue for the three (3) consecutive month period ending as of such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-97155</wp:posOffset>
            </wp:positionV>
            <wp:extent cx="7132320" cy="13716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5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spacing w:after="0"/>
        <w:tabs>
          <w:tab w:leader="none" w:pos="360" w:val="left"/>
        </w:tabs>
        <w:rPr>
          <w:sz w:val="20"/>
          <w:szCs w:val="20"/>
          <w:color w:val="auto"/>
        </w:rPr>
      </w:pPr>
      <w:r>
        <w:rPr>
          <w:rFonts w:ascii="Arial" w:cs="Arial" w:eastAsia="Arial" w:hAnsi="Arial"/>
          <w:sz w:val="16"/>
          <w:szCs w:val="16"/>
          <w:b w:val="1"/>
          <w:bCs w:val="1"/>
          <w:color w:val="auto"/>
        </w:rPr>
        <w:t>$</w:t>
      </w:r>
      <w:r>
        <w:rPr>
          <w:sz w:val="20"/>
          <w:szCs w:val="20"/>
          <w:color w:val="auto"/>
        </w:rPr>
        <w:tab/>
      </w:r>
      <w:r>
        <w:rPr>
          <w:rFonts w:ascii="Arial" w:cs="Arial" w:eastAsia="Arial" w:hAnsi="Arial"/>
          <w:sz w:val="16"/>
          <w:szCs w:val="16"/>
          <w:b w:val="1"/>
          <w:bCs w:val="1"/>
          <w:color w:val="auto"/>
        </w:rPr>
        <w:t>[_______]</w:t>
      </w:r>
    </w:p>
    <w:p>
      <w:pPr>
        <w:spacing w:after="0" w:line="200" w:lineRule="exact"/>
        <w:rPr>
          <w:sz w:val="20"/>
          <w:szCs w:val="20"/>
          <w:color w:val="auto"/>
        </w:rPr>
      </w:pPr>
    </w:p>
    <w:p>
      <w:pPr>
        <w:sectPr>
          <w:pgSz w:w="11900" w:h="16838" w:orient="portrait"/>
          <w:cols w:equalWidth="0" w:num="2">
            <w:col w:w="9280" w:space="720"/>
            <w:col w:w="1240"/>
          </w:cols>
          <w:pgMar w:left="320" w:top="904" w:right="339" w:bottom="1440" w:gutter="0" w:footer="0" w:header="0"/>
        </w:sectPr>
      </w:pPr>
    </w:p>
    <w:p>
      <w:pPr>
        <w:spacing w:after="0" w:line="48" w:lineRule="exact"/>
        <w:rPr>
          <w:sz w:val="20"/>
          <w:szCs w:val="20"/>
          <w:color w:val="auto"/>
        </w:rPr>
      </w:pPr>
    </w:p>
    <w:p>
      <w:pPr>
        <w:ind w:left="1140" w:hanging="570"/>
        <w:spacing w:after="0"/>
        <w:tabs>
          <w:tab w:leader="none" w:pos="1140" w:val="left"/>
        </w:tabs>
        <w:numPr>
          <w:ilvl w:val="0"/>
          <w:numId w:val="161"/>
        </w:numPr>
        <w:rPr>
          <w:rFonts w:ascii="Arial" w:cs="Arial" w:eastAsia="Arial" w:hAnsi="Arial"/>
          <w:sz w:val="18"/>
          <w:szCs w:val="18"/>
          <w:b w:val="1"/>
          <w:bCs w:val="1"/>
          <w:color w:val="auto"/>
        </w:rPr>
      </w:pPr>
      <w:r>
        <w:rPr>
          <w:rFonts w:ascii="Arial" w:cs="Arial" w:eastAsia="Arial" w:hAnsi="Arial"/>
          <w:sz w:val="18"/>
          <w:szCs w:val="18"/>
          <w:b w:val="1"/>
          <w:bCs w:val="1"/>
          <w:color w:val="auto"/>
        </w:rPr>
        <w:t>Computer Vision Annual Platform Revenue: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27432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1">
                      <a:extLst>
                        <a:ext uri="{28A0092B-C50C-407E-A947-70E740481C1C}"/>
                      </a:extLst>
                    </a:blip>
                    <a:srcRect/>
                    <a:stretch>
                      <a:fillRect/>
                    </a:stretch>
                  </pic:blipFill>
                  <pic:spPr bwMode="auto">
                    <a:xfrm>
                      <a:off x="0" y="0"/>
                      <a:ext cx="7132320" cy="274320"/>
                    </a:xfrm>
                    <a:prstGeom prst="rect">
                      <a:avLst/>
                    </a:prstGeom>
                    <a:noFill/>
                  </pic:spPr>
                </pic:pic>
              </a:graphicData>
            </a:graphic>
          </wp:anchor>
        </w:drawing>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60" w:type="dxa"/>
            <w:vAlign w:val="bottom"/>
          </w:tcPr>
          <w:p>
            <w:pPr>
              <w:spacing w:after="0"/>
              <w:rPr>
                <w:sz w:val="20"/>
                <w:szCs w:val="20"/>
                <w:color w:val="auto"/>
              </w:rPr>
            </w:pPr>
          </w:p>
        </w:tc>
        <w:tc>
          <w:tcPr>
            <w:tcW w:w="8080" w:type="dxa"/>
            <w:vAlign w:val="bottom"/>
            <w:gridSpan w:val="4"/>
          </w:tcPr>
          <w:p>
            <w:pPr>
              <w:ind w:left="180"/>
              <w:spacing w:after="0"/>
              <w:rPr>
                <w:sz w:val="20"/>
                <w:szCs w:val="20"/>
                <w:color w:val="auto"/>
              </w:rPr>
            </w:pPr>
            <w:r>
              <w:rPr>
                <w:rFonts w:ascii="Arial" w:cs="Arial" w:eastAsia="Arial" w:hAnsi="Arial"/>
                <w:sz w:val="18"/>
                <w:szCs w:val="18"/>
                <w:b w:val="1"/>
                <w:bCs w:val="1"/>
                <w:color w:val="auto"/>
              </w:rPr>
              <w:t>Item (a) multiplied by four (4):</w:t>
            </w: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140" w:type="dxa"/>
            <w:vAlign w:val="bottom"/>
          </w:tcPr>
          <w:p>
            <w:pPr>
              <w:jc w:val="right"/>
              <w:ind w:right="30"/>
              <w:spacing w:after="0"/>
              <w:rPr>
                <w:sz w:val="20"/>
                <w:szCs w:val="20"/>
                <w:color w:val="auto"/>
              </w:rPr>
            </w:pPr>
            <w:r>
              <w:rPr>
                <w:rFonts w:ascii="Arial" w:cs="Arial" w:eastAsia="Arial" w:hAnsi="Arial"/>
                <w:sz w:val="18"/>
                <w:szCs w:val="18"/>
                <w:b w:val="1"/>
                <w:bCs w:val="1"/>
                <w:color w:val="auto"/>
              </w:rPr>
              <w:t>[_______]</w:t>
            </w:r>
          </w:p>
        </w:tc>
      </w:tr>
      <w:tr>
        <w:trPr>
          <w:trHeight w:val="198"/>
        </w:trPr>
        <w:tc>
          <w:tcPr>
            <w:tcW w:w="960" w:type="dxa"/>
            <w:vAlign w:val="bottom"/>
          </w:tcPr>
          <w:p>
            <w:pPr>
              <w:spacing w:after="0"/>
              <w:rPr>
                <w:sz w:val="17"/>
                <w:szCs w:val="17"/>
                <w:color w:val="auto"/>
              </w:rPr>
            </w:pPr>
          </w:p>
        </w:tc>
        <w:tc>
          <w:tcPr>
            <w:tcW w:w="2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7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16"/>
        </w:trPr>
        <w:tc>
          <w:tcPr>
            <w:tcW w:w="960" w:type="dxa"/>
            <w:vAlign w:val="bottom"/>
            <w:shd w:val="clear" w:color="auto" w:fill="CCEEFF"/>
          </w:tcPr>
          <w:p>
            <w:pPr>
              <w:ind w:left="560"/>
              <w:spacing w:after="0"/>
              <w:rPr>
                <w:sz w:val="20"/>
                <w:szCs w:val="20"/>
                <w:color w:val="auto"/>
              </w:rPr>
            </w:pPr>
            <w:r>
              <w:rPr>
                <w:rFonts w:ascii="Arial" w:cs="Arial" w:eastAsia="Arial" w:hAnsi="Arial"/>
                <w:sz w:val="18"/>
                <w:szCs w:val="18"/>
                <w:b w:val="1"/>
                <w:bCs w:val="1"/>
                <w:color w:val="auto"/>
              </w:rPr>
              <w:t>(c)</w:t>
            </w:r>
          </w:p>
        </w:tc>
        <w:tc>
          <w:tcPr>
            <w:tcW w:w="8080" w:type="dxa"/>
            <w:vAlign w:val="bottom"/>
            <w:gridSpan w:val="4"/>
            <w:shd w:val="clear" w:color="auto" w:fill="CCEEFF"/>
          </w:tcPr>
          <w:p>
            <w:pPr>
              <w:ind w:left="180"/>
              <w:spacing w:after="0"/>
              <w:rPr>
                <w:sz w:val="20"/>
                <w:szCs w:val="20"/>
                <w:color w:val="auto"/>
              </w:rPr>
            </w:pPr>
            <w:r>
              <w:rPr>
                <w:rFonts w:ascii="Arial" w:cs="Arial" w:eastAsia="Arial" w:hAnsi="Arial"/>
                <w:sz w:val="18"/>
                <w:szCs w:val="18"/>
                <w:b w:val="1"/>
                <w:bCs w:val="1"/>
                <w:color w:val="auto"/>
              </w:rPr>
              <w:t>Touch Platform Revenue for the three (3) consecutive month period ending as of such date:</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14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[_______]</w:t>
            </w:r>
          </w:p>
        </w:tc>
      </w:tr>
      <w:tr>
        <w:trPr>
          <w:trHeight w:val="216"/>
        </w:trPr>
        <w:tc>
          <w:tcPr>
            <w:tcW w:w="96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7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960" w:type="dxa"/>
            <w:vAlign w:val="bottom"/>
            <w:shd w:val="clear" w:color="auto" w:fill="CCEEFF"/>
          </w:tcPr>
          <w:p>
            <w:pPr>
              <w:ind w:left="560"/>
              <w:spacing w:after="0"/>
              <w:rPr>
                <w:sz w:val="20"/>
                <w:szCs w:val="20"/>
                <w:color w:val="auto"/>
              </w:rPr>
            </w:pPr>
            <w:r>
              <w:rPr>
                <w:rFonts w:ascii="Arial" w:cs="Arial" w:eastAsia="Arial" w:hAnsi="Arial"/>
                <w:sz w:val="18"/>
                <w:szCs w:val="18"/>
                <w:b w:val="1"/>
                <w:bCs w:val="1"/>
                <w:color w:val="auto"/>
              </w:rPr>
              <w:t>(d)</w:t>
            </w:r>
          </w:p>
        </w:tc>
        <w:tc>
          <w:tcPr>
            <w:tcW w:w="8080" w:type="dxa"/>
            <w:vAlign w:val="bottom"/>
            <w:gridSpan w:val="4"/>
            <w:shd w:val="clear" w:color="auto" w:fill="CCEEFF"/>
          </w:tcPr>
          <w:p>
            <w:pPr>
              <w:ind w:left="180"/>
              <w:spacing w:after="0"/>
              <w:rPr>
                <w:sz w:val="20"/>
                <w:szCs w:val="20"/>
                <w:color w:val="auto"/>
              </w:rPr>
            </w:pPr>
            <w:r>
              <w:rPr>
                <w:rFonts w:ascii="Arial" w:cs="Arial" w:eastAsia="Arial" w:hAnsi="Arial"/>
                <w:sz w:val="18"/>
                <w:szCs w:val="18"/>
                <w:b w:val="1"/>
                <w:bCs w:val="1"/>
                <w:color w:val="auto"/>
              </w:rPr>
              <w:t>Touch Annual Platform Revenue: Item (c) multiplied by four (4):</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14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[_______]</w:t>
            </w:r>
          </w:p>
        </w:tc>
      </w:tr>
      <w:tr>
        <w:trPr>
          <w:trHeight w:val="216"/>
        </w:trPr>
        <w:tc>
          <w:tcPr>
            <w:tcW w:w="96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7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960" w:type="dxa"/>
            <w:vAlign w:val="bottom"/>
            <w:shd w:val="clear" w:color="auto" w:fill="CCEEFF"/>
          </w:tcPr>
          <w:p>
            <w:pPr>
              <w:ind w:left="560"/>
              <w:spacing w:after="0"/>
              <w:rPr>
                <w:sz w:val="20"/>
                <w:szCs w:val="20"/>
                <w:color w:val="auto"/>
              </w:rPr>
            </w:pPr>
            <w:r>
              <w:rPr>
                <w:rFonts w:ascii="Arial" w:cs="Arial" w:eastAsia="Arial" w:hAnsi="Arial"/>
                <w:sz w:val="18"/>
                <w:szCs w:val="18"/>
                <w:b w:val="1"/>
                <w:bCs w:val="1"/>
                <w:color w:val="auto"/>
              </w:rPr>
              <w:t>(e)</w:t>
            </w:r>
          </w:p>
        </w:tc>
        <w:tc>
          <w:tcPr>
            <w:tcW w:w="8080" w:type="dxa"/>
            <w:vAlign w:val="bottom"/>
            <w:gridSpan w:val="4"/>
            <w:shd w:val="clear" w:color="auto" w:fill="CCEEFF"/>
          </w:tcPr>
          <w:p>
            <w:pPr>
              <w:ind w:left="180"/>
              <w:spacing w:after="0"/>
              <w:rPr>
                <w:sz w:val="20"/>
                <w:szCs w:val="20"/>
                <w:color w:val="auto"/>
              </w:rPr>
            </w:pPr>
            <w:r>
              <w:rPr>
                <w:rFonts w:ascii="Arial" w:cs="Arial" w:eastAsia="Arial" w:hAnsi="Arial"/>
                <w:sz w:val="18"/>
                <w:szCs w:val="18"/>
                <w:b w:val="1"/>
                <w:bCs w:val="1"/>
                <w:color w:val="auto"/>
              </w:rPr>
              <w:t>Voice Platform Revenue for the three (3) consecutive month period ending as of such date:</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14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[_______]</w:t>
            </w:r>
          </w:p>
        </w:tc>
      </w:tr>
      <w:tr>
        <w:trPr>
          <w:trHeight w:val="216"/>
        </w:trPr>
        <w:tc>
          <w:tcPr>
            <w:tcW w:w="96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7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960" w:type="dxa"/>
            <w:vAlign w:val="bottom"/>
            <w:shd w:val="clear" w:color="auto" w:fill="CCEEFF"/>
          </w:tcPr>
          <w:p>
            <w:pPr>
              <w:ind w:left="560"/>
              <w:spacing w:after="0"/>
              <w:rPr>
                <w:sz w:val="20"/>
                <w:szCs w:val="20"/>
                <w:color w:val="auto"/>
              </w:rPr>
            </w:pPr>
            <w:r>
              <w:rPr>
                <w:rFonts w:ascii="Arial" w:cs="Arial" w:eastAsia="Arial" w:hAnsi="Arial"/>
                <w:sz w:val="18"/>
                <w:szCs w:val="18"/>
                <w:b w:val="1"/>
                <w:bCs w:val="1"/>
                <w:color w:val="auto"/>
              </w:rPr>
              <w:t>(f)</w:t>
            </w:r>
          </w:p>
        </w:tc>
        <w:tc>
          <w:tcPr>
            <w:tcW w:w="8080" w:type="dxa"/>
            <w:vAlign w:val="bottom"/>
            <w:gridSpan w:val="4"/>
            <w:shd w:val="clear" w:color="auto" w:fill="CCEEFF"/>
          </w:tcPr>
          <w:p>
            <w:pPr>
              <w:ind w:left="180"/>
              <w:spacing w:after="0"/>
              <w:rPr>
                <w:sz w:val="20"/>
                <w:szCs w:val="20"/>
                <w:color w:val="auto"/>
              </w:rPr>
            </w:pPr>
            <w:r>
              <w:rPr>
                <w:rFonts w:ascii="Arial" w:cs="Arial" w:eastAsia="Arial" w:hAnsi="Arial"/>
                <w:sz w:val="18"/>
                <w:szCs w:val="18"/>
                <w:b w:val="1"/>
                <w:bCs w:val="1"/>
                <w:color w:val="auto"/>
              </w:rPr>
              <w:t>Voice Annual Platform Revenue: item (e) multiplied by four (4):</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14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[_______]</w:t>
            </w:r>
          </w:p>
        </w:tc>
      </w:tr>
      <w:tr>
        <w:trPr>
          <w:trHeight w:val="216"/>
        </w:trPr>
        <w:tc>
          <w:tcPr>
            <w:tcW w:w="96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7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960" w:type="dxa"/>
            <w:vAlign w:val="bottom"/>
            <w:shd w:val="clear" w:color="auto" w:fill="CCEEFF"/>
          </w:tcPr>
          <w:p>
            <w:pPr>
              <w:ind w:left="560"/>
              <w:spacing w:after="0"/>
              <w:rPr>
                <w:sz w:val="20"/>
                <w:szCs w:val="20"/>
                <w:color w:val="auto"/>
              </w:rPr>
            </w:pPr>
            <w:r>
              <w:rPr>
                <w:rFonts w:ascii="Arial" w:cs="Arial" w:eastAsia="Arial" w:hAnsi="Arial"/>
                <w:sz w:val="18"/>
                <w:szCs w:val="18"/>
                <w:b w:val="1"/>
                <w:bCs w:val="1"/>
                <w:color w:val="auto"/>
              </w:rPr>
              <w:t>(g)</w:t>
            </w:r>
          </w:p>
        </w:tc>
        <w:tc>
          <w:tcPr>
            <w:tcW w:w="8080" w:type="dxa"/>
            <w:vAlign w:val="bottom"/>
            <w:gridSpan w:val="4"/>
            <w:shd w:val="clear" w:color="auto" w:fill="CCEEFF"/>
          </w:tcPr>
          <w:p>
            <w:pPr>
              <w:ind w:left="180"/>
              <w:spacing w:after="0"/>
              <w:rPr>
                <w:sz w:val="20"/>
                <w:szCs w:val="20"/>
                <w:color w:val="auto"/>
              </w:rPr>
            </w:pPr>
            <w:r>
              <w:rPr>
                <w:rFonts w:ascii="Arial" w:cs="Arial" w:eastAsia="Arial" w:hAnsi="Arial"/>
                <w:sz w:val="18"/>
                <w:szCs w:val="18"/>
                <w:b w:val="1"/>
                <w:bCs w:val="1"/>
                <w:color w:val="auto"/>
              </w:rPr>
              <w:t>Annual Platform Revenue: Sum of Items (b), (d) and (f):</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14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[_______]</w:t>
            </w:r>
          </w:p>
        </w:tc>
      </w:tr>
      <w:tr>
        <w:trPr>
          <w:trHeight w:val="216"/>
        </w:trPr>
        <w:tc>
          <w:tcPr>
            <w:tcW w:w="96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7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960" w:type="dxa"/>
            <w:vAlign w:val="bottom"/>
            <w:shd w:val="clear" w:color="auto" w:fill="CCEEFF"/>
          </w:tcPr>
          <w:p>
            <w:pPr>
              <w:ind w:left="560"/>
              <w:spacing w:after="0"/>
              <w:rPr>
                <w:sz w:val="20"/>
                <w:szCs w:val="20"/>
                <w:color w:val="auto"/>
              </w:rPr>
            </w:pPr>
            <w:r>
              <w:rPr>
                <w:rFonts w:ascii="Arial" w:cs="Arial" w:eastAsia="Arial" w:hAnsi="Arial"/>
                <w:sz w:val="18"/>
                <w:szCs w:val="18"/>
                <w:b w:val="1"/>
                <w:bCs w:val="1"/>
                <w:color w:val="auto"/>
              </w:rPr>
              <w:t>(h)</w:t>
            </w:r>
          </w:p>
        </w:tc>
        <w:tc>
          <w:tcPr>
            <w:tcW w:w="8080" w:type="dxa"/>
            <w:vAlign w:val="bottom"/>
            <w:gridSpan w:val="4"/>
            <w:shd w:val="clear" w:color="auto" w:fill="CCEEFF"/>
          </w:tcPr>
          <w:p>
            <w:pPr>
              <w:ind w:left="180"/>
              <w:spacing w:after="0"/>
              <w:rPr>
                <w:sz w:val="20"/>
                <w:szCs w:val="20"/>
                <w:color w:val="auto"/>
              </w:rPr>
            </w:pPr>
            <w:r>
              <w:rPr>
                <w:rFonts w:ascii="Arial" w:cs="Arial" w:eastAsia="Arial" w:hAnsi="Arial"/>
                <w:sz w:val="18"/>
                <w:szCs w:val="18"/>
                <w:b w:val="1"/>
                <w:bCs w:val="1"/>
                <w:color w:val="auto"/>
              </w:rPr>
              <w:t>Minimum Unrestricted Cash Amount: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14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[_______]</w:t>
            </w:r>
          </w:p>
        </w:tc>
      </w:tr>
      <w:tr>
        <w:trPr>
          <w:trHeight w:val="392"/>
        </w:trPr>
        <w:tc>
          <w:tcPr>
            <w:tcW w:w="9040" w:type="dxa"/>
            <w:vAlign w:val="bottom"/>
            <w:gridSpan w:val="5"/>
          </w:tcPr>
          <w:p>
            <w:pPr>
              <w:spacing w:after="0"/>
              <w:rPr>
                <w:sz w:val="20"/>
                <w:szCs w:val="20"/>
                <w:color w:val="auto"/>
              </w:rPr>
            </w:pPr>
            <w:r>
              <w:rPr>
                <w:rFonts w:ascii="Arial" w:cs="Arial" w:eastAsia="Arial" w:hAnsi="Arial"/>
                <w:sz w:val="18"/>
                <w:szCs w:val="18"/>
                <w:color w:val="auto"/>
              </w:rPr>
              <w:t>Section 6.17(a) – Minimum Unrestricted Cash</w:t>
            </w:r>
          </w:p>
        </w:tc>
        <w:tc>
          <w:tcPr>
            <w:tcW w:w="106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37"/>
        </w:trPr>
        <w:tc>
          <w:tcPr>
            <w:tcW w:w="960" w:type="dxa"/>
            <w:vAlign w:val="bottom"/>
            <w:tcBorders>
              <w:top w:val="single" w:sz="8" w:color="auto"/>
            </w:tcBorders>
          </w:tcPr>
          <w:p>
            <w:pPr>
              <w:spacing w:after="0"/>
              <w:rPr>
                <w:sz w:val="20"/>
                <w:szCs w:val="20"/>
                <w:color w:val="auto"/>
              </w:rPr>
            </w:pPr>
          </w:p>
        </w:tc>
        <w:tc>
          <w:tcPr>
            <w:tcW w:w="2380" w:type="dxa"/>
            <w:vAlign w:val="bottom"/>
            <w:tcBorders>
              <w:top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7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202"/>
        </w:trPr>
        <w:tc>
          <w:tcPr>
            <w:tcW w:w="960" w:type="dxa"/>
            <w:vAlign w:val="bottom"/>
            <w:shd w:val="clear" w:color="auto" w:fill="CCEEFF"/>
          </w:tcPr>
          <w:p>
            <w:pPr>
              <w:spacing w:after="0"/>
              <w:rPr>
                <w:sz w:val="17"/>
                <w:szCs w:val="17"/>
                <w:color w:val="auto"/>
              </w:rPr>
            </w:pPr>
          </w:p>
        </w:tc>
        <w:tc>
          <w:tcPr>
            <w:tcW w:w="8080" w:type="dxa"/>
            <w:vAlign w:val="bottom"/>
            <w:gridSpan w:val="4"/>
            <w:shd w:val="clear" w:color="auto" w:fill="CCEEFF"/>
          </w:tcPr>
          <w:p>
            <w:pPr>
              <w:ind w:left="180"/>
              <w:spacing w:after="0" w:line="201" w:lineRule="exact"/>
              <w:rPr>
                <w:sz w:val="20"/>
                <w:szCs w:val="20"/>
                <w:color w:val="auto"/>
              </w:rPr>
            </w:pPr>
            <w:r>
              <w:rPr>
                <w:rFonts w:ascii="Arial" w:cs="Arial" w:eastAsia="Arial" w:hAnsi="Arial"/>
                <w:sz w:val="18"/>
                <w:szCs w:val="18"/>
                <w:color w:val="auto"/>
              </w:rPr>
              <w:t>(1) Unrestricted</w:t>
            </w:r>
          </w:p>
        </w:tc>
        <w:tc>
          <w:tcPr>
            <w:tcW w:w="106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r>
      <w:tr>
        <w:trPr>
          <w:trHeight w:val="230"/>
        </w:trPr>
        <w:tc>
          <w:tcPr>
            <w:tcW w:w="960" w:type="dxa"/>
            <w:vAlign w:val="bottom"/>
            <w:shd w:val="clear" w:color="auto" w:fill="CCEEFF"/>
          </w:tcPr>
          <w:p>
            <w:pPr>
              <w:spacing w:after="0"/>
              <w:rPr>
                <w:sz w:val="20"/>
                <w:szCs w:val="20"/>
                <w:color w:val="auto"/>
              </w:rPr>
            </w:pPr>
          </w:p>
        </w:tc>
        <w:tc>
          <w:tcPr>
            <w:tcW w:w="8080" w:type="dxa"/>
            <w:vAlign w:val="bottom"/>
            <w:gridSpan w:val="4"/>
            <w:shd w:val="clear" w:color="auto" w:fill="CCEEFF"/>
          </w:tcPr>
          <w:p>
            <w:pPr>
              <w:ind w:left="180"/>
              <w:spacing w:after="0"/>
              <w:rPr>
                <w:sz w:val="20"/>
                <w:szCs w:val="20"/>
                <w:color w:val="auto"/>
              </w:rPr>
            </w:pPr>
            <w:r>
              <w:rPr>
                <w:rFonts w:ascii="Arial" w:cs="Arial" w:eastAsia="Arial" w:hAnsi="Arial"/>
                <w:sz w:val="18"/>
                <w:szCs w:val="18"/>
                <w:color w:val="auto"/>
              </w:rPr>
              <w:t>Cash:</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[_________]</w:t>
            </w:r>
          </w:p>
        </w:tc>
      </w:tr>
      <w:tr>
        <w:trPr>
          <w:trHeight w:val="216"/>
        </w:trPr>
        <w:tc>
          <w:tcPr>
            <w:tcW w:w="96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7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02"/>
        </w:trPr>
        <w:tc>
          <w:tcPr>
            <w:tcW w:w="960" w:type="dxa"/>
            <w:vAlign w:val="bottom"/>
            <w:shd w:val="clear" w:color="auto" w:fill="CCEEFF"/>
          </w:tcPr>
          <w:p>
            <w:pPr>
              <w:spacing w:after="0"/>
              <w:rPr>
                <w:sz w:val="17"/>
                <w:szCs w:val="17"/>
                <w:color w:val="auto"/>
              </w:rPr>
            </w:pPr>
          </w:p>
        </w:tc>
        <w:tc>
          <w:tcPr>
            <w:tcW w:w="8080" w:type="dxa"/>
            <w:vAlign w:val="bottom"/>
            <w:gridSpan w:val="4"/>
            <w:shd w:val="clear" w:color="auto" w:fill="CCEEFF"/>
          </w:tcPr>
          <w:p>
            <w:pPr>
              <w:ind w:left="180"/>
              <w:spacing w:after="0" w:line="201" w:lineRule="exact"/>
              <w:rPr>
                <w:sz w:val="20"/>
                <w:szCs w:val="20"/>
                <w:color w:val="auto"/>
              </w:rPr>
            </w:pPr>
            <w:r>
              <w:rPr>
                <w:rFonts w:ascii="Arial" w:cs="Arial" w:eastAsia="Arial" w:hAnsi="Arial"/>
                <w:sz w:val="18"/>
                <w:szCs w:val="18"/>
                <w:color w:val="auto"/>
              </w:rPr>
              <w:t>(2) Minimum Unrestricted Cash</w:t>
            </w:r>
          </w:p>
        </w:tc>
        <w:tc>
          <w:tcPr>
            <w:tcW w:w="106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r>
      <w:tr>
        <w:trPr>
          <w:trHeight w:val="230"/>
        </w:trPr>
        <w:tc>
          <w:tcPr>
            <w:tcW w:w="960" w:type="dxa"/>
            <w:vAlign w:val="bottom"/>
            <w:shd w:val="clear" w:color="auto" w:fill="CCEEFF"/>
          </w:tcPr>
          <w:p>
            <w:pPr>
              <w:spacing w:after="0"/>
              <w:rPr>
                <w:sz w:val="20"/>
                <w:szCs w:val="20"/>
                <w:color w:val="auto"/>
              </w:rPr>
            </w:pPr>
          </w:p>
        </w:tc>
        <w:tc>
          <w:tcPr>
            <w:tcW w:w="8080" w:type="dxa"/>
            <w:vAlign w:val="bottom"/>
            <w:gridSpan w:val="4"/>
            <w:shd w:val="clear" w:color="auto" w:fill="CCEEFF"/>
          </w:tcPr>
          <w:p>
            <w:pPr>
              <w:ind w:left="180"/>
              <w:spacing w:after="0"/>
              <w:rPr>
                <w:sz w:val="20"/>
                <w:szCs w:val="20"/>
                <w:color w:val="auto"/>
              </w:rPr>
            </w:pPr>
            <w:r>
              <w:rPr>
                <w:rFonts w:ascii="Arial" w:cs="Arial" w:eastAsia="Arial" w:hAnsi="Arial"/>
                <w:sz w:val="18"/>
                <w:szCs w:val="18"/>
                <w:color w:val="auto"/>
              </w:rPr>
              <w:t>Amount: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[_________]</w:t>
            </w:r>
          </w:p>
        </w:tc>
      </w:tr>
      <w:tr>
        <w:trPr>
          <w:trHeight w:val="391"/>
        </w:trPr>
        <w:tc>
          <w:tcPr>
            <w:tcW w:w="9040" w:type="dxa"/>
            <w:vAlign w:val="bottom"/>
            <w:gridSpan w:val="5"/>
          </w:tcPr>
          <w:p>
            <w:pPr>
              <w:spacing w:after="0"/>
              <w:rPr>
                <w:sz w:val="20"/>
                <w:szCs w:val="20"/>
                <w:color w:val="auto"/>
              </w:rPr>
            </w:pPr>
            <w:r>
              <w:rPr>
                <w:rFonts w:ascii="Arial" w:cs="Arial" w:eastAsia="Arial" w:hAnsi="Arial"/>
                <w:sz w:val="18"/>
                <w:szCs w:val="18"/>
                <w:color w:val="auto"/>
              </w:rPr>
              <w:t>Section 6.17(b) – Minimum Net Leverage Ratio</w:t>
            </w:r>
          </w:p>
        </w:tc>
        <w:tc>
          <w:tcPr>
            <w:tcW w:w="106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37"/>
        </w:trPr>
        <w:tc>
          <w:tcPr>
            <w:tcW w:w="960" w:type="dxa"/>
            <w:vAlign w:val="bottom"/>
            <w:tcBorders>
              <w:top w:val="single" w:sz="8" w:color="auto"/>
            </w:tcBorders>
          </w:tcPr>
          <w:p>
            <w:pPr>
              <w:spacing w:after="0"/>
              <w:rPr>
                <w:sz w:val="20"/>
                <w:szCs w:val="20"/>
                <w:color w:val="auto"/>
              </w:rPr>
            </w:pPr>
          </w:p>
        </w:tc>
        <w:tc>
          <w:tcPr>
            <w:tcW w:w="238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820" w:type="dxa"/>
            <w:vAlign w:val="bottom"/>
          </w:tcPr>
          <w:p>
            <w:pPr>
              <w:spacing w:after="0"/>
              <w:rPr>
                <w:sz w:val="20"/>
                <w:szCs w:val="20"/>
                <w:color w:val="auto"/>
              </w:rPr>
            </w:pPr>
          </w:p>
        </w:tc>
        <w:tc>
          <w:tcPr>
            <w:tcW w:w="47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202"/>
        </w:trPr>
        <w:tc>
          <w:tcPr>
            <w:tcW w:w="960" w:type="dxa"/>
            <w:vAlign w:val="bottom"/>
            <w:shd w:val="clear" w:color="auto" w:fill="CCEEFF"/>
          </w:tcPr>
          <w:p>
            <w:pPr>
              <w:spacing w:after="0"/>
              <w:rPr>
                <w:sz w:val="17"/>
                <w:szCs w:val="17"/>
                <w:color w:val="auto"/>
              </w:rPr>
            </w:pPr>
          </w:p>
        </w:tc>
        <w:tc>
          <w:tcPr>
            <w:tcW w:w="8080" w:type="dxa"/>
            <w:vAlign w:val="bottom"/>
            <w:gridSpan w:val="4"/>
            <w:shd w:val="clear" w:color="auto" w:fill="CCEEFF"/>
          </w:tcPr>
          <w:p>
            <w:pPr>
              <w:ind w:left="160"/>
              <w:spacing w:after="0" w:line="201" w:lineRule="exact"/>
              <w:rPr>
                <w:sz w:val="20"/>
                <w:szCs w:val="20"/>
                <w:color w:val="auto"/>
              </w:rPr>
            </w:pPr>
            <w:r>
              <w:rPr>
                <w:rFonts w:ascii="Arial" w:cs="Arial" w:eastAsia="Arial" w:hAnsi="Arial"/>
                <w:sz w:val="18"/>
                <w:szCs w:val="18"/>
                <w:color w:val="auto"/>
              </w:rPr>
              <w:t>(1) Outstanding Principal</w:t>
            </w:r>
          </w:p>
        </w:tc>
        <w:tc>
          <w:tcPr>
            <w:tcW w:w="106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r>
      <w:tr>
        <w:trPr>
          <w:trHeight w:val="230"/>
        </w:trPr>
        <w:tc>
          <w:tcPr>
            <w:tcW w:w="960" w:type="dxa"/>
            <w:vAlign w:val="bottom"/>
            <w:shd w:val="clear" w:color="auto" w:fill="CCEEFF"/>
          </w:tcPr>
          <w:p>
            <w:pPr>
              <w:spacing w:after="0"/>
              <w:rPr>
                <w:sz w:val="20"/>
                <w:szCs w:val="20"/>
                <w:color w:val="auto"/>
              </w:rPr>
            </w:pPr>
          </w:p>
        </w:tc>
        <w:tc>
          <w:tcPr>
            <w:tcW w:w="8080" w:type="dxa"/>
            <w:vAlign w:val="bottom"/>
            <w:gridSpan w:val="4"/>
            <w:shd w:val="clear" w:color="auto" w:fill="CCEEFF"/>
          </w:tcPr>
          <w:p>
            <w:pPr>
              <w:ind w:left="160"/>
              <w:spacing w:after="0"/>
              <w:rPr>
                <w:sz w:val="20"/>
                <w:szCs w:val="20"/>
                <w:color w:val="auto"/>
              </w:rPr>
            </w:pPr>
            <w:r>
              <w:rPr>
                <w:rFonts w:ascii="Arial" w:cs="Arial" w:eastAsia="Arial" w:hAnsi="Arial"/>
                <w:sz w:val="18"/>
                <w:szCs w:val="18"/>
                <w:color w:val="auto"/>
              </w:rPr>
              <w:t>Amount of Term Loan (including any capitalized and accrued PIK Interest):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[_________]</w:t>
            </w:r>
          </w:p>
        </w:tc>
      </w:tr>
      <w:tr>
        <w:trPr>
          <w:trHeight w:val="216"/>
        </w:trPr>
        <w:tc>
          <w:tcPr>
            <w:tcW w:w="96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7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02"/>
        </w:trPr>
        <w:tc>
          <w:tcPr>
            <w:tcW w:w="960" w:type="dxa"/>
            <w:vAlign w:val="bottom"/>
            <w:shd w:val="clear" w:color="auto" w:fill="CCEEFF"/>
          </w:tcPr>
          <w:p>
            <w:pPr>
              <w:spacing w:after="0"/>
              <w:rPr>
                <w:sz w:val="17"/>
                <w:szCs w:val="17"/>
                <w:color w:val="auto"/>
              </w:rPr>
            </w:pPr>
          </w:p>
        </w:tc>
        <w:tc>
          <w:tcPr>
            <w:tcW w:w="8080" w:type="dxa"/>
            <w:vAlign w:val="bottom"/>
            <w:gridSpan w:val="4"/>
            <w:shd w:val="clear" w:color="auto" w:fill="CCEEFF"/>
          </w:tcPr>
          <w:p>
            <w:pPr>
              <w:ind w:left="160"/>
              <w:spacing w:after="0" w:line="201" w:lineRule="exact"/>
              <w:rPr>
                <w:sz w:val="20"/>
                <w:szCs w:val="20"/>
                <w:color w:val="auto"/>
              </w:rPr>
            </w:pPr>
            <w:r>
              <w:rPr>
                <w:rFonts w:ascii="Arial" w:cs="Arial" w:eastAsia="Arial" w:hAnsi="Arial"/>
                <w:sz w:val="18"/>
                <w:szCs w:val="18"/>
                <w:color w:val="auto"/>
              </w:rPr>
              <w:t>(2) Unrestricted</w:t>
            </w:r>
          </w:p>
        </w:tc>
        <w:tc>
          <w:tcPr>
            <w:tcW w:w="106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r>
      <w:tr>
        <w:trPr>
          <w:trHeight w:val="230"/>
        </w:trPr>
        <w:tc>
          <w:tcPr>
            <w:tcW w:w="960" w:type="dxa"/>
            <w:vAlign w:val="bottom"/>
            <w:shd w:val="clear" w:color="auto" w:fill="CCEEFF"/>
          </w:tcPr>
          <w:p>
            <w:pPr>
              <w:spacing w:after="0"/>
              <w:rPr>
                <w:sz w:val="20"/>
                <w:szCs w:val="20"/>
                <w:color w:val="auto"/>
              </w:rPr>
            </w:pPr>
          </w:p>
        </w:tc>
        <w:tc>
          <w:tcPr>
            <w:tcW w:w="8080" w:type="dxa"/>
            <w:vAlign w:val="bottom"/>
            <w:gridSpan w:val="4"/>
            <w:shd w:val="clear" w:color="auto" w:fill="CCEEFF"/>
          </w:tcPr>
          <w:p>
            <w:pPr>
              <w:ind w:left="160"/>
              <w:spacing w:after="0"/>
              <w:rPr>
                <w:sz w:val="20"/>
                <w:szCs w:val="20"/>
                <w:color w:val="auto"/>
              </w:rPr>
            </w:pPr>
            <w:r>
              <w:rPr>
                <w:rFonts w:ascii="Arial" w:cs="Arial" w:eastAsia="Arial" w:hAnsi="Arial"/>
                <w:sz w:val="18"/>
                <w:szCs w:val="18"/>
                <w:color w:val="auto"/>
              </w:rPr>
              <w:t>Cash:</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[_________]</w:t>
            </w:r>
          </w:p>
        </w:tc>
      </w:tr>
      <w:tr>
        <w:trPr>
          <w:trHeight w:val="216"/>
        </w:trPr>
        <w:tc>
          <w:tcPr>
            <w:tcW w:w="96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7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02"/>
        </w:trPr>
        <w:tc>
          <w:tcPr>
            <w:tcW w:w="960" w:type="dxa"/>
            <w:vAlign w:val="bottom"/>
            <w:shd w:val="clear" w:color="auto" w:fill="CCEEFF"/>
          </w:tcPr>
          <w:p>
            <w:pPr>
              <w:spacing w:after="0"/>
              <w:rPr>
                <w:sz w:val="17"/>
                <w:szCs w:val="17"/>
                <w:color w:val="auto"/>
              </w:rPr>
            </w:pPr>
          </w:p>
        </w:tc>
        <w:tc>
          <w:tcPr>
            <w:tcW w:w="8080" w:type="dxa"/>
            <w:vAlign w:val="bottom"/>
            <w:gridSpan w:val="4"/>
            <w:shd w:val="clear" w:color="auto" w:fill="CCEEFF"/>
          </w:tcPr>
          <w:p>
            <w:pPr>
              <w:ind w:left="160"/>
              <w:spacing w:after="0" w:line="201" w:lineRule="exact"/>
              <w:rPr>
                <w:sz w:val="20"/>
                <w:szCs w:val="20"/>
                <w:color w:val="auto"/>
              </w:rPr>
            </w:pPr>
            <w:r>
              <w:rPr>
                <w:rFonts w:ascii="Arial" w:cs="Arial" w:eastAsia="Arial" w:hAnsi="Arial"/>
                <w:sz w:val="18"/>
                <w:szCs w:val="18"/>
                <w:color w:val="auto"/>
              </w:rPr>
              <w:t>(3) Item (1) minus Item(2)</w:t>
            </w:r>
          </w:p>
        </w:tc>
        <w:tc>
          <w:tcPr>
            <w:tcW w:w="106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r>
      <w:tr>
        <w:trPr>
          <w:trHeight w:val="230"/>
        </w:trPr>
        <w:tc>
          <w:tcPr>
            <w:tcW w:w="960" w:type="dxa"/>
            <w:vAlign w:val="bottom"/>
            <w:shd w:val="clear" w:color="auto" w:fill="CCEEFF"/>
          </w:tcPr>
          <w:p>
            <w:pPr>
              <w:spacing w:after="0"/>
              <w:rPr>
                <w:sz w:val="20"/>
                <w:szCs w:val="20"/>
                <w:color w:val="auto"/>
              </w:rPr>
            </w:pPr>
          </w:p>
        </w:tc>
        <w:tc>
          <w:tcPr>
            <w:tcW w:w="8080" w:type="dxa"/>
            <w:vAlign w:val="bottom"/>
            <w:gridSpan w:val="4"/>
            <w:shd w:val="clear" w:color="auto" w:fill="CCEEFF"/>
          </w:tcPr>
          <w:p>
            <w:pPr>
              <w:ind w:left="1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Net Leverage)</w:t>
            </w: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[_________]</w:t>
            </w:r>
          </w:p>
        </w:tc>
      </w:tr>
      <w:tr>
        <w:trPr>
          <w:trHeight w:val="216"/>
        </w:trPr>
        <w:tc>
          <w:tcPr>
            <w:tcW w:w="96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7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960" w:type="dxa"/>
            <w:vAlign w:val="bottom"/>
            <w:shd w:val="clear" w:color="auto" w:fill="CCEEFF"/>
          </w:tcPr>
          <w:p>
            <w:pPr>
              <w:spacing w:after="0"/>
              <w:rPr>
                <w:sz w:val="18"/>
                <w:szCs w:val="18"/>
                <w:color w:val="auto"/>
              </w:rPr>
            </w:pPr>
          </w:p>
        </w:tc>
        <w:tc>
          <w:tcPr>
            <w:tcW w:w="8080" w:type="dxa"/>
            <w:vAlign w:val="bottom"/>
            <w:gridSpan w:val="4"/>
            <w:shd w:val="clear" w:color="auto" w:fill="CCEEFF"/>
          </w:tcPr>
          <w:p>
            <w:pPr>
              <w:ind w:left="160"/>
              <w:spacing w:after="0"/>
              <w:rPr>
                <w:sz w:val="20"/>
                <w:szCs w:val="20"/>
                <w:color w:val="auto"/>
              </w:rPr>
            </w:pPr>
            <w:r>
              <w:rPr>
                <w:rFonts w:ascii="Arial" w:cs="Arial" w:eastAsia="Arial" w:hAnsi="Arial"/>
                <w:sz w:val="18"/>
                <w:szCs w:val="18"/>
                <w:color w:val="auto"/>
              </w:rPr>
              <w:t>(4) Annual Platform Revenue:</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[_________]</w:t>
            </w:r>
          </w:p>
        </w:tc>
      </w:tr>
      <w:tr>
        <w:trPr>
          <w:trHeight w:val="216"/>
        </w:trPr>
        <w:tc>
          <w:tcPr>
            <w:tcW w:w="96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7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960" w:type="dxa"/>
            <w:vAlign w:val="bottom"/>
            <w:shd w:val="clear" w:color="auto" w:fill="CCEEFF"/>
          </w:tcPr>
          <w:p>
            <w:pPr>
              <w:spacing w:after="0"/>
              <w:rPr>
                <w:sz w:val="18"/>
                <w:szCs w:val="18"/>
                <w:color w:val="auto"/>
              </w:rPr>
            </w:pPr>
          </w:p>
        </w:tc>
        <w:tc>
          <w:tcPr>
            <w:tcW w:w="8080" w:type="dxa"/>
            <w:vAlign w:val="bottom"/>
            <w:gridSpan w:val="4"/>
            <w:shd w:val="clear" w:color="auto" w:fill="CCEEFF"/>
          </w:tcPr>
          <w:p>
            <w:pPr>
              <w:ind w:left="160"/>
              <w:spacing w:after="0"/>
              <w:rPr>
                <w:sz w:val="20"/>
                <w:szCs w:val="20"/>
                <w:color w:val="auto"/>
              </w:rPr>
            </w:pPr>
            <w:r>
              <w:rPr>
                <w:rFonts w:ascii="Arial" w:cs="Arial" w:eastAsia="Arial" w:hAnsi="Arial"/>
                <w:sz w:val="18"/>
                <w:szCs w:val="18"/>
                <w:color w:val="auto"/>
              </w:rPr>
              <w:t>(5) Ratio of Item (3) to Item (4) (</w:t>
            </w:r>
            <w:r>
              <w:rPr>
                <w:rFonts w:ascii="Arial" w:cs="Arial" w:eastAsia="Arial" w:hAnsi="Arial"/>
                <w:sz w:val="18"/>
                <w:szCs w:val="18"/>
                <w:i w:val="1"/>
                <w:iCs w:val="1"/>
                <w:color w:val="auto"/>
              </w:rPr>
              <w:t>Net Leverage Ratio</w:t>
            </w:r>
            <w:r>
              <w:rPr>
                <w:rFonts w:ascii="Arial" w:cs="Arial" w:eastAsia="Arial" w:hAnsi="Arial"/>
                <w:sz w:val="18"/>
                <w:szCs w:val="18"/>
                <w:color w:val="auto"/>
              </w:rPr>
              <w:t>):</w:t>
            </w:r>
          </w:p>
        </w:tc>
        <w:tc>
          <w:tcPr>
            <w:tcW w:w="106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0"/>
              </w:rPr>
              <w:t>[____] to 1.00</w:t>
            </w:r>
          </w:p>
        </w:tc>
      </w:tr>
      <w:tr>
        <w:trPr>
          <w:trHeight w:val="392"/>
        </w:trPr>
        <w:tc>
          <w:tcPr>
            <w:tcW w:w="9040" w:type="dxa"/>
            <w:vAlign w:val="bottom"/>
            <w:gridSpan w:val="5"/>
          </w:tcPr>
          <w:p>
            <w:pPr>
              <w:spacing w:after="0"/>
              <w:rPr>
                <w:sz w:val="20"/>
                <w:szCs w:val="20"/>
                <w:color w:val="auto"/>
              </w:rPr>
            </w:pPr>
            <w:r>
              <w:rPr>
                <w:rFonts w:ascii="Arial" w:cs="Arial" w:eastAsia="Arial" w:hAnsi="Arial"/>
                <w:sz w:val="18"/>
                <w:szCs w:val="18"/>
                <w:color w:val="auto"/>
              </w:rPr>
              <w:t>Section 6.17(c) – Net Adjusted Decrease in Operating Cash</w:t>
            </w:r>
          </w:p>
        </w:tc>
        <w:tc>
          <w:tcPr>
            <w:tcW w:w="106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36"/>
        </w:trPr>
        <w:tc>
          <w:tcPr>
            <w:tcW w:w="960" w:type="dxa"/>
            <w:vAlign w:val="bottom"/>
            <w:tcBorders>
              <w:top w:val="single" w:sz="8" w:color="auto"/>
            </w:tcBorders>
          </w:tcPr>
          <w:p>
            <w:pPr>
              <w:spacing w:after="0"/>
              <w:rPr>
                <w:sz w:val="20"/>
                <w:szCs w:val="20"/>
                <w:color w:val="auto"/>
              </w:rPr>
            </w:pPr>
          </w:p>
        </w:tc>
        <w:tc>
          <w:tcPr>
            <w:tcW w:w="238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spacing w:after="0"/>
              <w:rPr>
                <w:sz w:val="20"/>
                <w:szCs w:val="20"/>
                <w:color w:val="auto"/>
              </w:rPr>
            </w:pPr>
          </w:p>
        </w:tc>
        <w:tc>
          <w:tcPr>
            <w:tcW w:w="47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216"/>
        </w:trPr>
        <w:tc>
          <w:tcPr>
            <w:tcW w:w="960" w:type="dxa"/>
            <w:vAlign w:val="bottom"/>
            <w:shd w:val="clear" w:color="auto" w:fill="CCEEFF"/>
          </w:tcPr>
          <w:p>
            <w:pPr>
              <w:spacing w:after="0"/>
              <w:rPr>
                <w:sz w:val="18"/>
                <w:szCs w:val="18"/>
                <w:color w:val="auto"/>
              </w:rPr>
            </w:pPr>
          </w:p>
        </w:tc>
        <w:tc>
          <w:tcPr>
            <w:tcW w:w="8080" w:type="dxa"/>
            <w:vAlign w:val="bottom"/>
            <w:gridSpan w:val="4"/>
            <w:shd w:val="clear" w:color="auto" w:fill="CCEEFF"/>
          </w:tcPr>
          <w:p>
            <w:pPr>
              <w:ind w:left="340"/>
              <w:spacing w:after="0"/>
              <w:rPr>
                <w:sz w:val="20"/>
                <w:szCs w:val="20"/>
                <w:color w:val="auto"/>
              </w:rPr>
            </w:pPr>
            <w:r>
              <w:rPr>
                <w:rFonts w:ascii="Arial" w:cs="Arial" w:eastAsia="Arial" w:hAnsi="Arial"/>
                <w:sz w:val="18"/>
                <w:szCs w:val="18"/>
                <w:color w:val="auto"/>
              </w:rPr>
              <w:t>Compliant</w:t>
            </w:r>
          </w:p>
        </w:tc>
        <w:tc>
          <w:tcPr>
            <w:tcW w:w="10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[Yes] or [No]</w:t>
            </w:r>
          </w:p>
        </w:tc>
      </w:tr>
      <w:tr>
        <w:trPr>
          <w:trHeight w:val="655"/>
        </w:trPr>
        <w:tc>
          <w:tcPr>
            <w:tcW w:w="960" w:type="dxa"/>
            <w:vAlign w:val="bottom"/>
            <w:tcBorders>
              <w:bottom w:val="single" w:sz="8" w:color="auto"/>
            </w:tcBorders>
          </w:tcPr>
          <w:p>
            <w:pPr>
              <w:spacing w:after="0"/>
              <w:rPr>
                <w:sz w:val="24"/>
                <w:szCs w:val="24"/>
                <w:color w:val="auto"/>
              </w:rPr>
            </w:pPr>
          </w:p>
        </w:tc>
        <w:tc>
          <w:tcPr>
            <w:tcW w:w="8080" w:type="dxa"/>
            <w:vAlign w:val="bottom"/>
            <w:tcBorders>
              <w:bottom w:val="single" w:sz="8" w:color="auto"/>
            </w:tcBorders>
            <w:gridSpan w:val="4"/>
          </w:tcPr>
          <w:p>
            <w:pPr>
              <w:ind w:left="4620"/>
              <w:spacing w:after="0"/>
              <w:rPr>
                <w:sz w:val="20"/>
                <w:szCs w:val="20"/>
                <w:color w:val="auto"/>
              </w:rPr>
            </w:pPr>
            <w:r>
              <w:rPr>
                <w:rFonts w:ascii="Arial" w:cs="Arial" w:eastAsia="Arial" w:hAnsi="Arial"/>
                <w:sz w:val="18"/>
                <w:szCs w:val="18"/>
                <w:color w:val="auto"/>
              </w:rPr>
              <w:t>4</w:t>
            </w:r>
          </w:p>
        </w:tc>
        <w:tc>
          <w:tcPr>
            <w:tcW w:w="106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4" w:right="339" w:bottom="1440" w:gutter="0" w:footer="0" w:header="0"/>
          <w:type w:val="continuous"/>
        </w:sectPr>
      </w:pPr>
    </w:p>
    <w:bookmarkStart w:id="163" w:name="page164"/>
    <w:bookmarkEnd w:id="163"/>
    <w:p>
      <w:pPr>
        <w:jc w:val="center"/>
        <w:spacing w:after="0"/>
        <w:rPr>
          <w:sz w:val="20"/>
          <w:szCs w:val="20"/>
          <w:color w:val="auto"/>
        </w:rPr>
      </w:pPr>
      <w:r>
        <w:rPr>
          <w:rFonts w:ascii="Arial" w:cs="Arial" w:eastAsia="Arial" w:hAnsi="Arial"/>
          <w:sz w:val="18"/>
          <w:szCs w:val="18"/>
          <w:b w:val="1"/>
          <w:bCs w:val="1"/>
          <w:u w:val="single" w:color="auto"/>
          <w:color w:val="auto"/>
        </w:rPr>
        <w:t>EXHIBIT B</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FORM OF NOTICE OF BORROWING</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Metropolitan Partners Group Administration,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850 Third Avenue 18th floor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10022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Attention: Paul Lisiak</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Telephone No.: (212) 561-1250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E-Mail: plisiak@metpg.com</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undersigned executes and delivers this Notice of Borrowing (“</w:t>
      </w:r>
      <w:r>
        <w:rPr>
          <w:rFonts w:ascii="Arial" w:cs="Arial" w:eastAsia="Arial" w:hAnsi="Arial"/>
          <w:sz w:val="17"/>
          <w:szCs w:val="17"/>
          <w:b w:val="1"/>
          <w:bCs w:val="1"/>
          <w:i w:val="1"/>
          <w:iCs w:val="1"/>
          <w:color w:val="auto"/>
        </w:rPr>
        <w:t>Notice</w:t>
      </w:r>
      <w:r>
        <w:rPr>
          <w:rFonts w:ascii="Arial" w:cs="Arial" w:eastAsia="Arial" w:hAnsi="Arial"/>
          <w:sz w:val="17"/>
          <w:szCs w:val="17"/>
          <w:color w:val="auto"/>
        </w:rPr>
        <w:t>”) as of [_____], 2022, in connection with the Credit Agreement (as</w:t>
      </w:r>
    </w:p>
    <w:p>
      <w:pPr>
        <w:spacing w:after="0" w:line="3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amended, restated or extended from time to time, the “</w:t>
      </w:r>
      <w:r>
        <w:rPr>
          <w:rFonts w:ascii="Arial" w:cs="Arial" w:eastAsia="Arial" w:hAnsi="Arial"/>
          <w:sz w:val="17"/>
          <w:szCs w:val="17"/>
          <w:b w:val="1"/>
          <w:bCs w:val="1"/>
          <w:i w:val="1"/>
          <w:iCs w:val="1"/>
          <w:color w:val="auto"/>
        </w:rPr>
        <w:t>Agreement</w:t>
      </w:r>
      <w:r>
        <w:rPr>
          <w:rFonts w:ascii="Arial" w:cs="Arial" w:eastAsia="Arial" w:hAnsi="Arial"/>
          <w:sz w:val="17"/>
          <w:szCs w:val="17"/>
          <w:color w:val="auto"/>
        </w:rPr>
        <w:t xml:space="preserve">”), dated as of September 21, 2022, by and among </w:t>
      </w:r>
      <w:r>
        <w:rPr>
          <w:rFonts w:ascii="Arial" w:cs="Arial" w:eastAsia="Arial" w:hAnsi="Arial"/>
          <w:sz w:val="17"/>
          <w:szCs w:val="17"/>
          <w:b w:val="1"/>
          <w:bCs w:val="1"/>
          <w:color w:val="auto"/>
        </w:rPr>
        <w:t>E LA CARTE, LLC</w:t>
      </w:r>
      <w:r>
        <w:rPr>
          <w:rFonts w:ascii="Arial" w:cs="Arial" w:eastAsia="Arial" w:hAnsi="Arial"/>
          <w:sz w:val="17"/>
          <w:szCs w:val="17"/>
          <w:color w:val="auto"/>
        </w:rPr>
        <w:t>, a Delaware limited liability company (“</w:t>
      </w:r>
      <w:r>
        <w:rPr>
          <w:rFonts w:ascii="Arial" w:cs="Arial" w:eastAsia="Arial" w:hAnsi="Arial"/>
          <w:sz w:val="17"/>
          <w:szCs w:val="17"/>
          <w:b w:val="1"/>
          <w:bCs w:val="1"/>
          <w:i w:val="1"/>
          <w:iCs w:val="1"/>
          <w:color w:val="auto"/>
        </w:rPr>
        <w:t>Borrower</w:t>
      </w:r>
      <w:r>
        <w:rPr>
          <w:rFonts w:ascii="Arial" w:cs="Arial" w:eastAsia="Arial" w:hAnsi="Arial"/>
          <w:sz w:val="17"/>
          <w:szCs w:val="17"/>
          <w:color w:val="auto"/>
        </w:rPr>
        <w:t xml:space="preserve">”), </w:t>
      </w:r>
      <w:r>
        <w:rPr>
          <w:rFonts w:ascii="Arial" w:cs="Arial" w:eastAsia="Arial" w:hAnsi="Arial"/>
          <w:sz w:val="17"/>
          <w:szCs w:val="17"/>
          <w:b w:val="1"/>
          <w:bCs w:val="1"/>
          <w:color w:val="auto"/>
        </w:rPr>
        <w:t>PRESTO AUTOMATION INC.</w:t>
      </w:r>
      <w:r>
        <w:rPr>
          <w:rFonts w:ascii="Arial" w:cs="Arial" w:eastAsia="Arial" w:hAnsi="Arial"/>
          <w:sz w:val="17"/>
          <w:szCs w:val="17"/>
          <w:color w:val="auto"/>
        </w:rPr>
        <w:t>, a Delaware corporation (“</w:t>
      </w:r>
      <w:r>
        <w:rPr>
          <w:rFonts w:ascii="Arial" w:cs="Arial" w:eastAsia="Arial" w:hAnsi="Arial"/>
          <w:sz w:val="17"/>
          <w:szCs w:val="17"/>
          <w:b w:val="1"/>
          <w:bCs w:val="1"/>
          <w:i w:val="1"/>
          <w:iCs w:val="1"/>
          <w:color w:val="auto"/>
        </w:rPr>
        <w:t>Parent</w:t>
      </w:r>
      <w:r>
        <w:rPr>
          <w:rFonts w:ascii="Arial" w:cs="Arial" w:eastAsia="Arial" w:hAnsi="Arial"/>
          <w:sz w:val="17"/>
          <w:szCs w:val="17"/>
          <w:color w:val="auto"/>
        </w:rPr>
        <w:t>”), each of the other Guarantors from time to time party thereto, the lenders from time to time party thereto (the “</w:t>
      </w:r>
      <w:r>
        <w:rPr>
          <w:rFonts w:ascii="Arial" w:cs="Arial" w:eastAsia="Arial" w:hAnsi="Arial"/>
          <w:sz w:val="17"/>
          <w:szCs w:val="17"/>
          <w:b w:val="1"/>
          <w:bCs w:val="1"/>
          <w:i w:val="1"/>
          <w:iCs w:val="1"/>
          <w:color w:val="auto"/>
        </w:rPr>
        <w:t>Lenders</w:t>
      </w:r>
      <w:r>
        <w:rPr>
          <w:rFonts w:ascii="Arial" w:cs="Arial" w:eastAsia="Arial" w:hAnsi="Arial"/>
          <w:sz w:val="17"/>
          <w:szCs w:val="17"/>
          <w:color w:val="auto"/>
        </w:rPr>
        <w:t>” and each a “</w:t>
      </w:r>
      <w:r>
        <w:rPr>
          <w:rFonts w:ascii="Arial" w:cs="Arial" w:eastAsia="Arial" w:hAnsi="Arial"/>
          <w:sz w:val="17"/>
          <w:szCs w:val="17"/>
          <w:b w:val="1"/>
          <w:bCs w:val="1"/>
          <w:i w:val="1"/>
          <w:iCs w:val="1"/>
          <w:color w:val="auto"/>
        </w:rPr>
        <w:t>Lender</w:t>
      </w:r>
      <w:r>
        <w:rPr>
          <w:rFonts w:ascii="Arial" w:cs="Arial" w:eastAsia="Arial" w:hAnsi="Arial"/>
          <w:sz w:val="17"/>
          <w:szCs w:val="17"/>
          <w:color w:val="auto"/>
        </w:rPr>
        <w:t xml:space="preserve">”) and </w:t>
      </w:r>
      <w:r>
        <w:rPr>
          <w:rFonts w:ascii="Arial" w:cs="Arial" w:eastAsia="Arial" w:hAnsi="Arial"/>
          <w:sz w:val="17"/>
          <w:szCs w:val="17"/>
          <w:b w:val="1"/>
          <w:bCs w:val="1"/>
          <w:color w:val="auto"/>
        </w:rPr>
        <w:t>METROPOLITAN PARTNERS GROUP</w:t>
      </w:r>
      <w:r>
        <w:rPr>
          <w:rFonts w:ascii="Arial" w:cs="Arial" w:eastAsia="Arial" w:hAnsi="Arial"/>
          <w:sz w:val="17"/>
          <w:szCs w:val="17"/>
          <w:color w:val="auto"/>
        </w:rPr>
        <w:t xml:space="preserve"> </w:t>
      </w:r>
      <w:r>
        <w:rPr>
          <w:rFonts w:ascii="Arial" w:cs="Arial" w:eastAsia="Arial" w:hAnsi="Arial"/>
          <w:sz w:val="17"/>
          <w:szCs w:val="17"/>
          <w:b w:val="1"/>
          <w:bCs w:val="1"/>
          <w:color w:val="auto"/>
        </w:rPr>
        <w:t>ADMINISTRATION, LLC</w:t>
      </w:r>
      <w:r>
        <w:rPr>
          <w:rFonts w:ascii="Arial" w:cs="Arial" w:eastAsia="Arial" w:hAnsi="Arial"/>
          <w:sz w:val="17"/>
          <w:szCs w:val="17"/>
          <w:color w:val="auto"/>
        </w:rPr>
        <w:t>, as administrative, payment and collateral agent itself, as a Lender and for the other Lenders (in such capacities, the “</w:t>
      </w:r>
      <w:r>
        <w:rPr>
          <w:rFonts w:ascii="Arial" w:cs="Arial" w:eastAsia="Arial" w:hAnsi="Arial"/>
          <w:sz w:val="17"/>
          <w:szCs w:val="17"/>
          <w:b w:val="1"/>
          <w:bCs w:val="1"/>
          <w:i w:val="1"/>
          <w:iCs w:val="1"/>
          <w:color w:val="auto"/>
        </w:rPr>
        <w:t>Agent</w:t>
      </w:r>
      <w:r>
        <w:rPr>
          <w:rFonts w:ascii="Arial" w:cs="Arial" w:eastAsia="Arial" w:hAnsi="Arial"/>
          <w:sz w:val="17"/>
          <w:szCs w:val="17"/>
          <w:color w:val="auto"/>
        </w:rPr>
        <w:t>”).</w:t>
      </w:r>
      <w:r>
        <w:rPr>
          <w:rFonts w:ascii="Arial" w:cs="Arial" w:eastAsia="Arial" w:hAnsi="Arial"/>
          <w:sz w:val="17"/>
          <w:szCs w:val="17"/>
          <w:b w:val="1"/>
          <w:bCs w:val="1"/>
          <w:color w:val="auto"/>
        </w:rPr>
        <w:t xml:space="preserve"> </w:t>
      </w:r>
      <w:r>
        <w:rPr>
          <w:rFonts w:ascii="Arial" w:cs="Arial" w:eastAsia="Arial" w:hAnsi="Arial"/>
          <w:sz w:val="17"/>
          <w:szCs w:val="17"/>
          <w:color w:val="auto"/>
        </w:rPr>
        <w:t>Each capitalized term used in this Notice without definition shall have the meaning ascribed to it in the Agreement.</w:t>
      </w:r>
    </w:p>
    <w:p>
      <w:pPr>
        <w:spacing w:after="0" w:line="174"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 xml:space="preserve">Pursuant to </w:t>
      </w:r>
      <w:r>
        <w:rPr>
          <w:rFonts w:ascii="Arial" w:cs="Arial" w:eastAsia="Arial" w:hAnsi="Arial"/>
          <w:sz w:val="18"/>
          <w:szCs w:val="18"/>
          <w:u w:val="single" w:color="auto"/>
          <w:color w:val="auto"/>
        </w:rPr>
        <w:t>Section 2.2</w:t>
      </w:r>
      <w:r>
        <w:rPr>
          <w:rFonts w:ascii="Arial" w:cs="Arial" w:eastAsia="Arial" w:hAnsi="Arial"/>
          <w:sz w:val="18"/>
          <w:szCs w:val="18"/>
          <w:color w:val="auto"/>
        </w:rPr>
        <w:t xml:space="preserve"> of the Agreement, Borrower hereby requests the Term Loan from the Lenders in the aggregate amount of </w:t>
      </w:r>
      <w:r>
        <w:rPr>
          <w:rFonts w:ascii="Arial" w:cs="Arial" w:eastAsia="Arial" w:hAnsi="Arial"/>
          <w:sz w:val="18"/>
          <w:szCs w:val="18"/>
          <w:b w:val="1"/>
          <w:bCs w:val="1"/>
          <w:color w:val="auto"/>
        </w:rPr>
        <w:t>$55,000,000</w:t>
      </w:r>
      <w:r>
        <w:rPr>
          <w:rFonts w:ascii="Arial" w:cs="Arial" w:eastAsia="Arial" w:hAnsi="Arial"/>
          <w:sz w:val="18"/>
          <w:szCs w:val="18"/>
          <w:color w:val="auto"/>
        </w:rPr>
        <w:t xml:space="preserve"> be funded on September 21, 2022 to the following account:</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Wire Instructions: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Account Name: E La Carte Inc.</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Bank Name: Bridge Bank</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Bank Address: 55 Almaden Blvd, Suite 100, San Jose, CA 95113</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Telephone: (408) 423-8500</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Account Number: 0101677599</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ABA Number: 121143260</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Borrower hereby represents and certifies to Agent and the Lenders as follows:</w:t>
      </w:r>
    </w:p>
    <w:p>
      <w:pPr>
        <w:spacing w:after="0" w:line="225" w:lineRule="exact"/>
        <w:rPr>
          <w:sz w:val="20"/>
          <w:szCs w:val="20"/>
          <w:color w:val="auto"/>
        </w:rPr>
      </w:pPr>
    </w:p>
    <w:p>
      <w:pPr>
        <w:ind w:left="1300" w:hanging="644"/>
        <w:spacing w:after="0"/>
        <w:tabs>
          <w:tab w:leader="none" w:pos="1300" w:val="left"/>
        </w:tabs>
        <w:numPr>
          <w:ilvl w:val="0"/>
          <w:numId w:val="162"/>
        </w:numPr>
        <w:rPr>
          <w:rFonts w:ascii="Arial" w:cs="Arial" w:eastAsia="Arial" w:hAnsi="Arial"/>
          <w:sz w:val="18"/>
          <w:szCs w:val="18"/>
          <w:color w:val="auto"/>
        </w:rPr>
      </w:pPr>
      <w:r>
        <w:rPr>
          <w:rFonts w:ascii="Arial" w:cs="Arial" w:eastAsia="Arial" w:hAnsi="Arial"/>
          <w:sz w:val="18"/>
          <w:szCs w:val="18"/>
          <w:color w:val="auto"/>
        </w:rPr>
        <w:t xml:space="preserve">This Notice and the proposed Loans comply with </w:t>
      </w:r>
      <w:r>
        <w:rPr>
          <w:rFonts w:ascii="Arial" w:cs="Arial" w:eastAsia="Arial" w:hAnsi="Arial"/>
          <w:sz w:val="18"/>
          <w:szCs w:val="18"/>
          <w:u w:val="single" w:color="auto"/>
          <w:color w:val="auto"/>
        </w:rPr>
        <w:t>Sections 2.1</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2.2</w:t>
      </w:r>
      <w:r>
        <w:rPr>
          <w:rFonts w:ascii="Arial" w:cs="Arial" w:eastAsia="Arial" w:hAnsi="Arial"/>
          <w:sz w:val="18"/>
          <w:szCs w:val="18"/>
          <w:color w:val="auto"/>
        </w:rPr>
        <w:t xml:space="preserve"> of the Agreement.</w:t>
      </w:r>
    </w:p>
    <w:p>
      <w:pPr>
        <w:spacing w:after="0" w:line="225" w:lineRule="exact"/>
        <w:rPr>
          <w:rFonts w:ascii="Arial" w:cs="Arial" w:eastAsia="Arial" w:hAnsi="Arial"/>
          <w:sz w:val="18"/>
          <w:szCs w:val="18"/>
          <w:color w:val="auto"/>
        </w:rPr>
      </w:pPr>
    </w:p>
    <w:p>
      <w:pPr>
        <w:jc w:val="both"/>
        <w:ind w:left="1300" w:hanging="644"/>
        <w:spacing w:after="0" w:line="263" w:lineRule="auto"/>
        <w:tabs>
          <w:tab w:leader="none" w:pos="1300" w:val="left"/>
        </w:tabs>
        <w:numPr>
          <w:ilvl w:val="0"/>
          <w:numId w:val="162"/>
        </w:numPr>
        <w:rPr>
          <w:rFonts w:ascii="Arial" w:cs="Arial" w:eastAsia="Arial" w:hAnsi="Arial"/>
          <w:sz w:val="18"/>
          <w:szCs w:val="18"/>
          <w:color w:val="auto"/>
        </w:rPr>
      </w:pPr>
      <w:r>
        <w:rPr>
          <w:rFonts w:ascii="Arial" w:cs="Arial" w:eastAsia="Arial" w:hAnsi="Arial"/>
          <w:sz w:val="18"/>
          <w:szCs w:val="18"/>
          <w:color w:val="auto"/>
        </w:rPr>
        <w:t>After giving effect to the execution, delivery and performance of the Loan Documents, including without limitation the borrowing of the Term Loan, each of the representations and warranties made by each Loan Party in or pursuant to any Loan Document is true and correct in all respects.</w:t>
      </w:r>
    </w:p>
    <w:p>
      <w:pPr>
        <w:spacing w:after="0" w:line="183" w:lineRule="exact"/>
        <w:rPr>
          <w:rFonts w:ascii="Arial" w:cs="Arial" w:eastAsia="Arial" w:hAnsi="Arial"/>
          <w:sz w:val="18"/>
          <w:szCs w:val="18"/>
          <w:color w:val="auto"/>
        </w:rPr>
      </w:pPr>
    </w:p>
    <w:p>
      <w:pPr>
        <w:ind w:left="1300" w:hanging="644"/>
        <w:spacing w:after="0" w:line="308" w:lineRule="auto"/>
        <w:tabs>
          <w:tab w:leader="none" w:pos="1300" w:val="left"/>
        </w:tabs>
        <w:numPr>
          <w:ilvl w:val="0"/>
          <w:numId w:val="162"/>
        </w:numPr>
        <w:rPr>
          <w:rFonts w:ascii="Arial" w:cs="Arial" w:eastAsia="Arial" w:hAnsi="Arial"/>
          <w:sz w:val="17"/>
          <w:szCs w:val="17"/>
          <w:color w:val="auto"/>
        </w:rPr>
      </w:pPr>
      <w:r>
        <w:rPr>
          <w:rFonts w:ascii="Arial" w:cs="Arial" w:eastAsia="Arial" w:hAnsi="Arial"/>
          <w:sz w:val="17"/>
          <w:szCs w:val="17"/>
          <w:color w:val="auto"/>
        </w:rPr>
        <w:t>No Default or Event of Default has occurred and is continuing or would occur both before and after giving effect to the execution, delivery and performance of the Loan Documents, including without limitation the borrowing of the Term Loan on the Closing Date.</w:t>
      </w:r>
    </w:p>
    <w:p>
      <w:pPr>
        <w:spacing w:after="0" w:line="146" w:lineRule="exact"/>
        <w:rPr>
          <w:rFonts w:ascii="Arial" w:cs="Arial" w:eastAsia="Arial" w:hAnsi="Arial"/>
          <w:sz w:val="17"/>
          <w:szCs w:val="17"/>
          <w:color w:val="auto"/>
        </w:rPr>
      </w:pPr>
    </w:p>
    <w:p>
      <w:pPr>
        <w:ind w:left="1300" w:hanging="644"/>
        <w:spacing w:after="0" w:line="277" w:lineRule="auto"/>
        <w:tabs>
          <w:tab w:leader="none" w:pos="1300" w:val="left"/>
        </w:tabs>
        <w:numPr>
          <w:ilvl w:val="0"/>
          <w:numId w:val="162"/>
        </w:numPr>
        <w:rPr>
          <w:rFonts w:ascii="Arial" w:cs="Arial" w:eastAsia="Arial" w:hAnsi="Arial"/>
          <w:sz w:val="18"/>
          <w:szCs w:val="18"/>
          <w:color w:val="auto"/>
        </w:rPr>
      </w:pPr>
      <w:r>
        <w:rPr>
          <w:rFonts w:ascii="Arial" w:cs="Arial" w:eastAsia="Arial" w:hAnsi="Arial"/>
          <w:sz w:val="18"/>
          <w:szCs w:val="18"/>
          <w:color w:val="auto"/>
        </w:rPr>
        <w:t>There has not occurred since June 30, 2022 any event or circumstance that has had or could be reasonably expected to have, individually or in the aggregate, a Material Adverse Effect.</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[Signature Page Follows]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64" w:name="page165"/>
    <w:bookmarkEnd w:id="164"/>
    <w:p>
      <w:pPr>
        <w:spacing w:after="0"/>
        <w:rPr>
          <w:sz w:val="20"/>
          <w:szCs w:val="20"/>
          <w:color w:val="auto"/>
        </w:rPr>
      </w:pPr>
      <w:r>
        <w:rPr>
          <w:rFonts w:ascii="Arial" w:cs="Arial" w:eastAsia="Arial" w:hAnsi="Arial"/>
          <w:sz w:val="18"/>
          <w:szCs w:val="18"/>
          <w:color w:val="auto"/>
        </w:rPr>
        <w:t>EXECUTED as of the day and year first above written.</w:t>
      </w:r>
    </w:p>
    <w:p>
      <w:pPr>
        <w:spacing w:after="0" w:line="221" w:lineRule="exact"/>
        <w:rPr>
          <w:sz w:val="20"/>
          <w:szCs w:val="20"/>
          <w:color w:val="auto"/>
        </w:rPr>
      </w:pPr>
    </w:p>
    <w:p>
      <w:pPr>
        <w:ind w:left="6080"/>
        <w:spacing w:after="0"/>
        <w:rPr>
          <w:sz w:val="20"/>
          <w:szCs w:val="20"/>
          <w:color w:val="auto"/>
        </w:rPr>
      </w:pPr>
      <w:r>
        <w:rPr>
          <w:rFonts w:ascii="Arial" w:cs="Arial" w:eastAsia="Arial" w:hAnsi="Arial"/>
          <w:sz w:val="18"/>
          <w:szCs w:val="18"/>
          <w:b w:val="1"/>
          <w:bCs w:val="1"/>
          <w:color w:val="auto"/>
        </w:rPr>
        <w:t>E LA CARTE, LLC</w:t>
      </w:r>
    </w:p>
    <w:p>
      <w:pPr>
        <w:spacing w:after="0" w:line="229"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4223385</wp:posOffset>
            </wp:positionH>
            <wp:positionV relativeFrom="paragraph">
              <wp:posOffset>14605</wp:posOffset>
            </wp:positionV>
            <wp:extent cx="2494915" cy="171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3">
                      <a:extLst>
                        <a:ext uri="{28A0092B-C50C-407E-A947-70E740481C1C}"/>
                      </a:extLst>
                    </a:blip>
                    <a:srcRect/>
                    <a:stretch>
                      <a:fillRect/>
                    </a:stretch>
                  </pic:blipFill>
                  <pic:spPr bwMode="auto">
                    <a:xfrm>
                      <a:off x="0" y="0"/>
                      <a:ext cx="2494915" cy="17145"/>
                    </a:xfrm>
                    <a:prstGeom prst="rect">
                      <a:avLst/>
                    </a:prstGeom>
                    <a:noFill/>
                  </pic:spPr>
                </pic:pic>
              </a:graphicData>
            </a:graphic>
          </wp:anchor>
        </w:drawing>
      </w:r>
    </w:p>
    <w:p>
      <w:pPr>
        <w:spacing w:after="0" w:line="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Name:</w:t>
      </w:r>
    </w:p>
    <w:p>
      <w:pPr>
        <w:spacing w:after="0" w:line="49"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68"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14605</wp:posOffset>
            </wp:positionV>
            <wp:extent cx="7132320" cy="171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479"/>
          </w:cols>
          <w:pgMar w:left="980" w:top="908" w:right="1440" w:bottom="1440" w:gutter="0" w:footer="0" w:header="0"/>
        </w:sectPr>
      </w:pPr>
    </w:p>
    <w:bookmarkStart w:id="165" w:name="page166"/>
    <w:bookmarkEnd w:id="165"/>
    <w:p>
      <w:pPr>
        <w:jc w:val="center"/>
        <w:spacing w:after="0"/>
        <w:rPr>
          <w:sz w:val="20"/>
          <w:szCs w:val="20"/>
          <w:color w:val="auto"/>
        </w:rPr>
      </w:pPr>
      <w:r>
        <w:rPr>
          <w:rFonts w:ascii="Arial" w:cs="Arial" w:eastAsia="Arial" w:hAnsi="Arial"/>
          <w:sz w:val="18"/>
          <w:szCs w:val="18"/>
          <w:b w:val="1"/>
          <w:bCs w:val="1"/>
          <w:u w:val="single" w:color="auto"/>
          <w:color w:val="auto"/>
        </w:rPr>
        <w:t>EXHIBIT 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FORM OF PAYMENT NOTICE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Date:______________</w:t>
      </w:r>
    </w:p>
    <w:p>
      <w:pPr>
        <w:spacing w:after="0" w:line="221"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17"/>
          <w:szCs w:val="17"/>
          <w:color w:val="auto"/>
        </w:rPr>
        <w:t>This Payment Notice (the “</w:t>
      </w:r>
      <w:r>
        <w:rPr>
          <w:rFonts w:ascii="Arial" w:cs="Arial" w:eastAsia="Arial" w:hAnsi="Arial"/>
          <w:sz w:val="17"/>
          <w:szCs w:val="17"/>
          <w:b w:val="1"/>
          <w:bCs w:val="1"/>
          <w:i w:val="1"/>
          <w:iCs w:val="1"/>
          <w:color w:val="auto"/>
        </w:rPr>
        <w:t>Notice</w:t>
      </w:r>
      <w:r>
        <w:rPr>
          <w:rFonts w:ascii="Arial" w:cs="Arial" w:eastAsia="Arial" w:hAnsi="Arial"/>
          <w:sz w:val="17"/>
          <w:szCs w:val="17"/>
          <w:color w:val="auto"/>
        </w:rPr>
        <w:t xml:space="preserve">”) is being provided by </w:t>
      </w:r>
      <w:r>
        <w:rPr>
          <w:rFonts w:ascii="Arial" w:cs="Arial" w:eastAsia="Arial" w:hAnsi="Arial"/>
          <w:sz w:val="17"/>
          <w:szCs w:val="17"/>
          <w:b w:val="1"/>
          <w:bCs w:val="1"/>
          <w:color w:val="auto"/>
        </w:rPr>
        <w:t>E LA CARTE, LLC</w:t>
      </w:r>
      <w:r>
        <w:rPr>
          <w:rFonts w:ascii="Arial" w:cs="Arial" w:eastAsia="Arial" w:hAnsi="Arial"/>
          <w:sz w:val="17"/>
          <w:szCs w:val="17"/>
          <w:color w:val="auto"/>
        </w:rPr>
        <w:t>, a Delaware limited liability company (“</w:t>
      </w:r>
      <w:r>
        <w:rPr>
          <w:rFonts w:ascii="Arial" w:cs="Arial" w:eastAsia="Arial" w:hAnsi="Arial"/>
          <w:sz w:val="17"/>
          <w:szCs w:val="17"/>
          <w:b w:val="1"/>
          <w:bCs w:val="1"/>
          <w:i w:val="1"/>
          <w:iCs w:val="1"/>
          <w:color w:val="auto"/>
        </w:rPr>
        <w:t>Borrower</w:t>
      </w:r>
      <w:r>
        <w:rPr>
          <w:rFonts w:ascii="Arial" w:cs="Arial" w:eastAsia="Arial" w:hAnsi="Arial"/>
          <w:sz w:val="17"/>
          <w:szCs w:val="17"/>
          <w:color w:val="auto"/>
        </w:rPr>
        <w:t xml:space="preserve">”), pursuant to </w:t>
      </w:r>
      <w:r>
        <w:rPr>
          <w:rFonts w:ascii="Arial" w:cs="Arial" w:eastAsia="Arial" w:hAnsi="Arial"/>
          <w:sz w:val="17"/>
          <w:szCs w:val="17"/>
          <w:u w:val="single" w:color="auto"/>
          <w:color w:val="auto"/>
        </w:rPr>
        <w:t>Section 2.6</w:t>
      </w:r>
      <w:r>
        <w:rPr>
          <w:rFonts w:ascii="Arial" w:cs="Arial" w:eastAsia="Arial" w:hAnsi="Arial"/>
          <w:sz w:val="17"/>
          <w:szCs w:val="17"/>
          <w:color w:val="auto"/>
        </w:rPr>
        <w:t xml:space="preserve"> of the Credit Agreement dated as of September 21, 2022 (as may be amended, restated, amended and restated, supplemented or otherwise modified from time to time, the “</w:t>
      </w:r>
      <w:r>
        <w:rPr>
          <w:rFonts w:ascii="Arial" w:cs="Arial" w:eastAsia="Arial" w:hAnsi="Arial"/>
          <w:sz w:val="17"/>
          <w:szCs w:val="17"/>
          <w:b w:val="1"/>
          <w:bCs w:val="1"/>
          <w:i w:val="1"/>
          <w:iCs w:val="1"/>
          <w:color w:val="auto"/>
        </w:rPr>
        <w:t>Agreement</w:t>
      </w:r>
      <w:r>
        <w:rPr>
          <w:rFonts w:ascii="Arial" w:cs="Arial" w:eastAsia="Arial" w:hAnsi="Arial"/>
          <w:sz w:val="17"/>
          <w:szCs w:val="17"/>
          <w:color w:val="auto"/>
        </w:rPr>
        <w:t>”; each capitalized term used herein without definition shall have the meaning ascribed to such term in the Agreement), by and among the Borrower, the Parent, each of the other Guarantors from time to time party thereto, the lenders from time to time party thereto (the “</w:t>
      </w:r>
      <w:r>
        <w:rPr>
          <w:rFonts w:ascii="Arial" w:cs="Arial" w:eastAsia="Arial" w:hAnsi="Arial"/>
          <w:sz w:val="17"/>
          <w:szCs w:val="17"/>
          <w:b w:val="1"/>
          <w:bCs w:val="1"/>
          <w:i w:val="1"/>
          <w:iCs w:val="1"/>
          <w:color w:val="auto"/>
        </w:rPr>
        <w:t>Lenders</w:t>
      </w:r>
      <w:r>
        <w:rPr>
          <w:rFonts w:ascii="Arial" w:cs="Arial" w:eastAsia="Arial" w:hAnsi="Arial"/>
          <w:sz w:val="17"/>
          <w:szCs w:val="17"/>
          <w:color w:val="auto"/>
        </w:rPr>
        <w:t>” and each a “</w:t>
      </w:r>
      <w:r>
        <w:rPr>
          <w:rFonts w:ascii="Arial" w:cs="Arial" w:eastAsia="Arial" w:hAnsi="Arial"/>
          <w:sz w:val="17"/>
          <w:szCs w:val="17"/>
          <w:b w:val="1"/>
          <w:bCs w:val="1"/>
          <w:i w:val="1"/>
          <w:iCs w:val="1"/>
          <w:color w:val="auto"/>
        </w:rPr>
        <w:t>Lender</w:t>
      </w:r>
      <w:r>
        <w:rPr>
          <w:rFonts w:ascii="Arial" w:cs="Arial" w:eastAsia="Arial" w:hAnsi="Arial"/>
          <w:sz w:val="17"/>
          <w:szCs w:val="17"/>
          <w:color w:val="auto"/>
        </w:rPr>
        <w:t xml:space="preserve">”) and </w:t>
      </w:r>
      <w:r>
        <w:rPr>
          <w:rFonts w:ascii="Arial" w:cs="Arial" w:eastAsia="Arial" w:hAnsi="Arial"/>
          <w:sz w:val="17"/>
          <w:szCs w:val="17"/>
          <w:b w:val="1"/>
          <w:bCs w:val="1"/>
          <w:color w:val="auto"/>
        </w:rPr>
        <w:t>METROPOLITAN PARTNERS GROUP ADMINISTRATION, LLC</w:t>
      </w:r>
      <w:r>
        <w:rPr>
          <w:rFonts w:ascii="Arial" w:cs="Arial" w:eastAsia="Arial" w:hAnsi="Arial"/>
          <w:sz w:val="17"/>
          <w:szCs w:val="17"/>
          <w:color w:val="auto"/>
        </w:rPr>
        <w:t>, as administrative, payment and collateral agent (in such capacity, together with its successors and permitted assigns, “</w:t>
      </w:r>
      <w:r>
        <w:rPr>
          <w:rFonts w:ascii="Arial" w:cs="Arial" w:eastAsia="Arial" w:hAnsi="Arial"/>
          <w:sz w:val="17"/>
          <w:szCs w:val="17"/>
          <w:b w:val="1"/>
          <w:bCs w:val="1"/>
          <w:i w:val="1"/>
          <w:iCs w:val="1"/>
          <w:color w:val="auto"/>
        </w:rPr>
        <w:t>Agent</w:t>
      </w:r>
      <w:r>
        <w:rPr>
          <w:rFonts w:ascii="Arial" w:cs="Arial" w:eastAsia="Arial" w:hAnsi="Arial"/>
          <w:sz w:val="17"/>
          <w:szCs w:val="17"/>
          <w:color w:val="auto"/>
        </w:rPr>
        <w:t>”) for itself and the Lenders.</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17"/>
          <w:szCs w:val="17"/>
          <w:color w:val="auto"/>
        </w:rPr>
        <w:t>Pursuant to this Notice, on [_________], 20[__] (the “</w:t>
      </w:r>
      <w:r>
        <w:rPr>
          <w:rFonts w:ascii="Arial" w:cs="Arial" w:eastAsia="Arial" w:hAnsi="Arial"/>
          <w:sz w:val="17"/>
          <w:szCs w:val="17"/>
          <w:b w:val="1"/>
          <w:bCs w:val="1"/>
          <w:i w:val="1"/>
          <w:iCs w:val="1"/>
          <w:color w:val="auto"/>
        </w:rPr>
        <w:t>Payment Date</w:t>
      </w:r>
      <w:r>
        <w:rPr>
          <w:rFonts w:ascii="Arial" w:cs="Arial" w:eastAsia="Arial" w:hAnsi="Arial"/>
          <w:sz w:val="17"/>
          <w:szCs w:val="17"/>
          <w:color w:val="auto"/>
        </w:rPr>
        <w:t>”), the Borrower is hereby making a principal payment on the Term Loan</w:t>
      </w:r>
    </w:p>
    <w:p>
      <w:pPr>
        <w:spacing w:after="0" w:line="35" w:lineRule="exact"/>
        <w:rPr>
          <w:sz w:val="20"/>
          <w:szCs w:val="20"/>
          <w:color w:val="auto"/>
        </w:rPr>
      </w:pPr>
    </w:p>
    <w:p>
      <w:pPr>
        <w:jc w:val="both"/>
        <w:spacing w:after="0" w:line="281" w:lineRule="auto"/>
        <w:rPr>
          <w:sz w:val="20"/>
          <w:szCs w:val="20"/>
          <w:color w:val="auto"/>
        </w:rPr>
      </w:pPr>
      <w:r>
        <w:rPr>
          <w:rFonts w:ascii="Arial" w:cs="Arial" w:eastAsia="Arial" w:hAnsi="Arial"/>
          <w:sz w:val="16"/>
          <w:szCs w:val="16"/>
          <w:color w:val="auto"/>
        </w:rPr>
        <w:t xml:space="preserve">(which notice the Borrower acknowledges is irrevocable and binding unless the Borrower otherwise notifies Agent in writing) in accordance with </w:t>
      </w:r>
      <w:r>
        <w:rPr>
          <w:rFonts w:ascii="Arial" w:cs="Arial" w:eastAsia="Arial" w:hAnsi="Arial"/>
          <w:sz w:val="16"/>
          <w:szCs w:val="16"/>
          <w:b w:val="1"/>
          <w:bCs w:val="1"/>
          <w:color w:val="auto"/>
        </w:rPr>
        <w:t>[Section</w:t>
      </w:r>
      <w:r>
        <w:rPr>
          <w:rFonts w:ascii="Arial" w:cs="Arial" w:eastAsia="Arial" w:hAnsi="Arial"/>
          <w:sz w:val="16"/>
          <w:szCs w:val="16"/>
          <w:color w:val="auto"/>
        </w:rPr>
        <w:t xml:space="preserve"> </w:t>
      </w:r>
      <w:r>
        <w:rPr>
          <w:rFonts w:ascii="Arial" w:cs="Arial" w:eastAsia="Arial" w:hAnsi="Arial"/>
          <w:sz w:val="16"/>
          <w:szCs w:val="16"/>
          <w:b w:val="1"/>
          <w:bCs w:val="1"/>
          <w:color w:val="auto"/>
        </w:rPr>
        <w:t xml:space="preserve">2.1(c)][Section 2.1(d)] </w:t>
      </w:r>
      <w:r>
        <w:rPr>
          <w:rFonts w:ascii="Arial" w:cs="Arial" w:eastAsia="Arial" w:hAnsi="Arial"/>
          <w:sz w:val="16"/>
          <w:szCs w:val="16"/>
          <w:color w:val="auto"/>
        </w:rPr>
        <w:t>in an amount equal to $[__________] together with any accrued interest on such amount and any Make Whole Premium payable</w:t>
      </w:r>
    </w:p>
    <w:p>
      <w:pPr>
        <w:spacing w:after="0" w:line="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pursuant to Section 2.1(e) of the Credit Agreement (collectively, the “</w:t>
      </w:r>
      <w:r>
        <w:rPr>
          <w:rFonts w:ascii="Arial" w:cs="Arial" w:eastAsia="Arial" w:hAnsi="Arial"/>
          <w:sz w:val="18"/>
          <w:szCs w:val="18"/>
          <w:b w:val="1"/>
          <w:bCs w:val="1"/>
          <w:i w:val="1"/>
          <w:iCs w:val="1"/>
          <w:color w:val="auto"/>
        </w:rPr>
        <w:t>Payment Amount</w:t>
      </w:r>
      <w:r>
        <w:rPr>
          <w:rFonts w:ascii="Arial" w:cs="Arial" w:eastAsia="Arial" w:hAnsi="Arial"/>
          <w:sz w:val="18"/>
          <w:szCs w:val="18"/>
          <w:color w:val="auto"/>
        </w:rPr>
        <w:t>”). On the Payment Date, Borrower shall deliver the Payment Amount to Agent at the wiring instructions designated by Agent to Borrower and Agent shall apply the Payment Amount in accordance with the terms of the Agreement.</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[Signature Page Follows]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66" w:name="page167"/>
    <w:bookmarkEnd w:id="166"/>
    <w:p>
      <w:pPr>
        <w:spacing w:after="0"/>
        <w:rPr>
          <w:sz w:val="20"/>
          <w:szCs w:val="20"/>
          <w:color w:val="auto"/>
        </w:rPr>
      </w:pPr>
      <w:r>
        <w:rPr>
          <w:rFonts w:ascii="Arial" w:cs="Arial" w:eastAsia="Arial" w:hAnsi="Arial"/>
          <w:sz w:val="16"/>
          <w:szCs w:val="16"/>
          <w:color w:val="auto"/>
        </w:rPr>
        <w:t>IN WITNESS WHEREOF, the Borrower has caused this Notice to be duly executed and delivered as of the date written below.</w:t>
      </w:r>
    </w:p>
    <w:p>
      <w:pPr>
        <w:spacing w:after="0" w:line="244" w:lineRule="exact"/>
        <w:rPr>
          <w:sz w:val="20"/>
          <w:szCs w:val="20"/>
          <w:color w:val="auto"/>
        </w:rPr>
      </w:pPr>
    </w:p>
    <w:p>
      <w:pPr>
        <w:ind w:left="6080"/>
        <w:spacing w:after="0"/>
        <w:rPr>
          <w:sz w:val="20"/>
          <w:szCs w:val="20"/>
          <w:color w:val="auto"/>
        </w:rPr>
      </w:pPr>
      <w:r>
        <w:rPr>
          <w:rFonts w:ascii="Arial" w:cs="Arial" w:eastAsia="Arial" w:hAnsi="Arial"/>
          <w:sz w:val="18"/>
          <w:szCs w:val="18"/>
          <w:b w:val="1"/>
          <w:bCs w:val="1"/>
          <w:color w:val="auto"/>
        </w:rPr>
        <w:t>E LA CARTE, LLC</w:t>
      </w:r>
    </w:p>
    <w:p>
      <w:pPr>
        <w:spacing w:after="0" w:line="229"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4223385</wp:posOffset>
            </wp:positionH>
            <wp:positionV relativeFrom="paragraph">
              <wp:posOffset>14605</wp:posOffset>
            </wp:positionV>
            <wp:extent cx="2494915" cy="171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6">
                      <a:extLst>
                        <a:ext uri="{28A0092B-C50C-407E-A947-70E740481C1C}"/>
                      </a:extLst>
                    </a:blip>
                    <a:srcRect/>
                    <a:stretch>
                      <a:fillRect/>
                    </a:stretch>
                  </pic:blipFill>
                  <pic:spPr bwMode="auto">
                    <a:xfrm>
                      <a:off x="0" y="0"/>
                      <a:ext cx="2494915" cy="17145"/>
                    </a:xfrm>
                    <a:prstGeom prst="rect">
                      <a:avLst/>
                    </a:prstGeom>
                    <a:noFill/>
                  </pic:spPr>
                </pic:pic>
              </a:graphicData>
            </a:graphic>
          </wp:anchor>
        </w:drawing>
      </w:r>
    </w:p>
    <w:p>
      <w:pPr>
        <w:spacing w:after="0" w:line="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Name:</w:t>
      </w:r>
    </w:p>
    <w:p>
      <w:pPr>
        <w:spacing w:after="0" w:line="35"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4223385</wp:posOffset>
            </wp:positionH>
            <wp:positionV relativeFrom="paragraph">
              <wp:posOffset>-130175</wp:posOffset>
            </wp:positionV>
            <wp:extent cx="2494915" cy="171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7">
                      <a:extLst>
                        <a:ext uri="{28A0092B-C50C-407E-A947-70E740481C1C}"/>
                      </a:extLst>
                    </a:blip>
                    <a:srcRect/>
                    <a:stretch>
                      <a:fillRect/>
                    </a:stretch>
                  </pic:blipFill>
                  <pic:spPr bwMode="auto">
                    <a:xfrm>
                      <a:off x="0" y="0"/>
                      <a:ext cx="2494915" cy="17145"/>
                    </a:xfrm>
                    <a:prstGeom prst="rect">
                      <a:avLst/>
                    </a:prstGeom>
                    <a:noFill/>
                  </pic:spPr>
                </pic:pic>
              </a:graphicData>
            </a:graphic>
          </wp:anchor>
        </w:drawing>
        <w:drawing>
          <wp:anchor simplePos="0" relativeHeight="251657728" behindDoc="1" locked="0" layoutInCell="0" allowOverlap="1">
            <wp:simplePos x="0" y="0"/>
            <wp:positionH relativeFrom="column">
              <wp:posOffset>4223385</wp:posOffset>
            </wp:positionH>
            <wp:positionV relativeFrom="paragraph">
              <wp:posOffset>23495</wp:posOffset>
            </wp:positionV>
            <wp:extent cx="2494915" cy="171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8">
                      <a:extLst>
                        <a:ext uri="{28A0092B-C50C-407E-A947-70E740481C1C}"/>
                      </a:extLst>
                    </a:blip>
                    <a:srcRect/>
                    <a:stretch>
                      <a:fillRect/>
                    </a:stretch>
                  </pic:blipFill>
                  <pic:spPr bwMode="auto">
                    <a:xfrm>
                      <a:off x="0" y="0"/>
                      <a:ext cx="2494915" cy="17145"/>
                    </a:xfrm>
                    <a:prstGeom prst="rect">
                      <a:avLst/>
                    </a:prstGeom>
                    <a:noFill/>
                  </pic:spPr>
                </pic:pic>
              </a:graphicData>
            </a:graphic>
          </wp:anchor>
        </w:drawing>
      </w:r>
    </w:p>
    <w:p>
      <w:pPr>
        <w:spacing w:after="0" w:line="30"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Payment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4575175</wp:posOffset>
            </wp:positionH>
            <wp:positionV relativeFrom="paragraph">
              <wp:posOffset>14605</wp:posOffset>
            </wp:positionV>
            <wp:extent cx="2143125" cy="171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9">
                      <a:extLst>
                        <a:ext uri="{28A0092B-C50C-407E-A947-70E740481C1C}"/>
                      </a:extLst>
                    </a:blip>
                    <a:srcRect/>
                    <a:stretch>
                      <a:fillRect/>
                    </a:stretch>
                  </pic:blipFill>
                  <pic:spPr bwMode="auto">
                    <a:xfrm>
                      <a:off x="0" y="0"/>
                      <a:ext cx="2143125" cy="1714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14605</wp:posOffset>
            </wp:positionV>
            <wp:extent cx="7132320" cy="171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479"/>
          </w:cols>
          <w:pgMar w:left="980" w:top="908" w:right="1440" w:bottom="1440" w:gutter="0" w:footer="0" w:header="0"/>
        </w:sectPr>
      </w:pPr>
    </w:p>
    <w:bookmarkStart w:id="167" w:name="page168"/>
    <w:bookmarkEnd w:id="167"/>
    <w:p>
      <w:pPr>
        <w:jc w:val="center"/>
        <w:spacing w:after="0"/>
        <w:rPr>
          <w:sz w:val="20"/>
          <w:szCs w:val="20"/>
          <w:color w:val="auto"/>
        </w:rPr>
      </w:pPr>
      <w:r>
        <w:rPr>
          <w:rFonts w:ascii="Arial" w:cs="Arial" w:eastAsia="Arial" w:hAnsi="Arial"/>
          <w:sz w:val="18"/>
          <w:szCs w:val="18"/>
          <w:b w:val="1"/>
          <w:bCs w:val="1"/>
          <w:u w:val="single" w:color="auto"/>
          <w:color w:val="auto"/>
        </w:rPr>
        <w:t>EXHIBIT 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7"/>
          <w:szCs w:val="17"/>
          <w:b w:val="1"/>
          <w:bCs w:val="1"/>
          <w:u w:val="single" w:color="auto"/>
          <w:color w:val="auto"/>
        </w:rPr>
        <w:t>FORM OF PROMISSORY NOTE</w:t>
      </w:r>
    </w:p>
    <w:p>
      <w:pPr>
        <w:sectPr>
          <w:pgSz w:w="11900" w:h="16838" w:orient="portrait"/>
          <w:cols w:equalWidth="0" w:num="1">
            <w:col w:w="11240"/>
          </w:cols>
          <w:pgMar w:left="320" w:top="904" w:right="339" w:bottom="1440" w:gutter="0" w:footer="0" w:header="0"/>
        </w:sectPr>
      </w:pPr>
    </w:p>
    <w:p>
      <w:pPr>
        <w:spacing w:after="0" w:line="241" w:lineRule="exact"/>
        <w:rPr>
          <w:sz w:val="20"/>
          <w:szCs w:val="20"/>
          <w:color w:val="auto"/>
        </w:rPr>
      </w:pPr>
    </w:p>
    <w:p>
      <w:pPr>
        <w:spacing w:after="0"/>
        <w:rPr>
          <w:sz w:val="20"/>
          <w:szCs w:val="20"/>
          <w:color w:val="auto"/>
        </w:rPr>
      </w:pPr>
      <w:r>
        <w:rPr>
          <w:rFonts w:ascii="Arial" w:cs="Arial" w:eastAsia="Arial" w:hAnsi="Arial"/>
          <w:sz w:val="16"/>
          <w:szCs w:val="16"/>
          <w:color w:val="auto"/>
        </w:rPr>
        <w:t>Principal Amount: $[_____]</w:t>
      </w:r>
    </w:p>
    <w:p>
      <w:pPr>
        <w:spacing w:after="0" w:line="20" w:lineRule="exact"/>
        <w:rPr>
          <w:sz w:val="20"/>
          <w:szCs w:val="20"/>
          <w:color w:val="auto"/>
        </w:rPr>
      </w:pPr>
      <w:r>
        <w:rPr>
          <w:sz w:val="20"/>
          <w:szCs w:val="20"/>
          <w:color w:val="auto"/>
        </w:rPr>
        <w:br w:type="column"/>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color w:val="auto"/>
        </w:rPr>
        <w:t>[________], 2022</w:t>
      </w:r>
    </w:p>
    <w:p>
      <w:pPr>
        <w:spacing w:after="0" w:line="200" w:lineRule="exact"/>
        <w:rPr>
          <w:sz w:val="20"/>
          <w:szCs w:val="20"/>
          <w:color w:val="auto"/>
        </w:rPr>
      </w:pPr>
    </w:p>
    <w:p>
      <w:pPr>
        <w:sectPr>
          <w:pgSz w:w="11900" w:h="16838" w:orient="portrait"/>
          <w:cols w:equalWidth="0" w:num="2">
            <w:col w:w="9240" w:space="720"/>
            <w:col w:w="1280"/>
          </w:cols>
          <w:pgMar w:left="320" w:top="904" w:right="339" w:bottom="1440" w:gutter="0" w:footer="0" w:header="0"/>
          <w:type w:val="continuous"/>
        </w:sectPr>
      </w:pPr>
    </w:p>
    <w:p>
      <w:pPr>
        <w:spacing w:after="0" w:line="44"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 xml:space="preserve">FOR VALUE RECEIVED, </w:t>
      </w:r>
      <w:r>
        <w:rPr>
          <w:rFonts w:ascii="Arial" w:cs="Arial" w:eastAsia="Arial" w:hAnsi="Arial"/>
          <w:sz w:val="16"/>
          <w:szCs w:val="16"/>
          <w:b w:val="1"/>
          <w:bCs w:val="1"/>
          <w:color w:val="auto"/>
        </w:rPr>
        <w:t>E LA CARTE, LLC</w:t>
      </w:r>
      <w:r>
        <w:rPr>
          <w:rFonts w:ascii="Arial" w:cs="Arial" w:eastAsia="Arial" w:hAnsi="Arial"/>
          <w:sz w:val="16"/>
          <w:szCs w:val="16"/>
          <w:color w:val="auto"/>
        </w:rPr>
        <w:t>, a Delaware limited liability company (“</w:t>
      </w:r>
      <w:r>
        <w:rPr>
          <w:rFonts w:ascii="Arial" w:cs="Arial" w:eastAsia="Arial" w:hAnsi="Arial"/>
          <w:sz w:val="16"/>
          <w:szCs w:val="16"/>
          <w:b w:val="1"/>
          <w:bCs w:val="1"/>
          <w:i w:val="1"/>
          <w:iCs w:val="1"/>
          <w:color w:val="auto"/>
        </w:rPr>
        <w:t>Borrower</w:t>
      </w:r>
      <w:r>
        <w:rPr>
          <w:rFonts w:ascii="Arial" w:cs="Arial" w:eastAsia="Arial" w:hAnsi="Arial"/>
          <w:sz w:val="16"/>
          <w:szCs w:val="16"/>
          <w:color w:val="auto"/>
        </w:rPr>
        <w:t>”), hereby unconditionally promises to pay to the order of [_______________] (the “</w:t>
      </w:r>
      <w:r>
        <w:rPr>
          <w:rFonts w:ascii="Arial" w:cs="Arial" w:eastAsia="Arial" w:hAnsi="Arial"/>
          <w:sz w:val="16"/>
          <w:szCs w:val="16"/>
          <w:b w:val="1"/>
          <w:bCs w:val="1"/>
          <w:i w:val="1"/>
          <w:iCs w:val="1"/>
          <w:color w:val="auto"/>
        </w:rPr>
        <w:t>Lender</w:t>
      </w:r>
      <w:r>
        <w:rPr>
          <w:rFonts w:ascii="Arial" w:cs="Arial" w:eastAsia="Arial" w:hAnsi="Arial"/>
          <w:sz w:val="16"/>
          <w:szCs w:val="16"/>
          <w:color w:val="auto"/>
        </w:rPr>
        <w:t>”), the principal amount of [______________] and no/100 Dollars ($[________]), or, if less, the aggregate</w:t>
      </w:r>
    </w:p>
    <w:p>
      <w:pPr>
        <w:spacing w:after="0" w:line="1"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unpaid principal amount of the Term Loan of the Lender to the Borrower, payable at such times and in such amounts as are specified in the Agreement (as defined below).</w:t>
      </w:r>
    </w:p>
    <w:p>
      <w:pPr>
        <w:spacing w:after="0" w:line="18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Borrower promises to pay interest on the unpaid principal amount of the Loan from the date made until such principal amount is paid in full, payable at such times and at such interest rates as are specified in the Agreement. Demand, diligence, presentment, protest and notice of non-payment and protest are hereby waived by Borrower.</w:t>
      </w:r>
    </w:p>
    <w:p>
      <w:pPr>
        <w:spacing w:after="0" w:line="180"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 xml:space="preserve">Both principal and interest are payable in Dollars to </w:t>
      </w:r>
      <w:r>
        <w:rPr>
          <w:rFonts w:ascii="Arial" w:cs="Arial" w:eastAsia="Arial" w:hAnsi="Arial"/>
          <w:sz w:val="18"/>
          <w:szCs w:val="18"/>
          <w:b w:val="1"/>
          <w:bCs w:val="1"/>
          <w:color w:val="auto"/>
        </w:rPr>
        <w:t>METROPOLITAN PARTNERS GROUP ADMINISTRATION, LLC</w:t>
      </w:r>
      <w:r>
        <w:rPr>
          <w:rFonts w:ascii="Arial" w:cs="Arial" w:eastAsia="Arial" w:hAnsi="Arial"/>
          <w:sz w:val="18"/>
          <w:szCs w:val="18"/>
          <w:color w:val="auto"/>
        </w:rPr>
        <w:t>, as Agent, at the address set forth in the Agreement, in immediately available funds.</w:t>
      </w:r>
    </w:p>
    <w:p>
      <w:pPr>
        <w:spacing w:after="0" w:line="166"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This Promissory Note (this “</w:t>
      </w:r>
      <w:r>
        <w:rPr>
          <w:rFonts w:ascii="Arial" w:cs="Arial" w:eastAsia="Arial" w:hAnsi="Arial"/>
          <w:sz w:val="18"/>
          <w:szCs w:val="18"/>
          <w:b w:val="1"/>
          <w:bCs w:val="1"/>
          <w:i w:val="1"/>
          <w:iCs w:val="1"/>
          <w:color w:val="auto"/>
        </w:rPr>
        <w:t>Note</w:t>
      </w:r>
      <w:r>
        <w:rPr>
          <w:rFonts w:ascii="Arial" w:cs="Arial" w:eastAsia="Arial" w:hAnsi="Arial"/>
          <w:sz w:val="18"/>
          <w:szCs w:val="18"/>
          <w:color w:val="auto"/>
        </w:rPr>
        <w:t xml:space="preserve">”) is one of the Notes referred to in, and is entitled to the benefits of, that certain Credit Agreement, dated as of September 21, 2022, by and among the Borrower, </w:t>
      </w:r>
      <w:r>
        <w:rPr>
          <w:rFonts w:ascii="Arial" w:cs="Arial" w:eastAsia="Arial" w:hAnsi="Arial"/>
          <w:sz w:val="18"/>
          <w:szCs w:val="18"/>
          <w:b w:val="1"/>
          <w:bCs w:val="1"/>
          <w:color w:val="auto"/>
        </w:rPr>
        <w:t>PRESTO AUTOMATION INC.</w:t>
      </w:r>
      <w:r>
        <w:rPr>
          <w:rFonts w:ascii="Arial" w:cs="Arial" w:eastAsia="Arial" w:hAnsi="Arial"/>
          <w:sz w:val="18"/>
          <w:szCs w:val="18"/>
          <w:color w:val="auto"/>
        </w:rPr>
        <w:t>, a Delaware corporation (“</w:t>
      </w:r>
      <w:r>
        <w:rPr>
          <w:rFonts w:ascii="Arial" w:cs="Arial" w:eastAsia="Arial" w:hAnsi="Arial"/>
          <w:sz w:val="18"/>
          <w:szCs w:val="18"/>
          <w:b w:val="1"/>
          <w:bCs w:val="1"/>
          <w:i w:val="1"/>
          <w:iCs w:val="1"/>
          <w:color w:val="auto"/>
        </w:rPr>
        <w:t>Parent</w:t>
      </w:r>
      <w:r>
        <w:rPr>
          <w:rFonts w:ascii="Arial" w:cs="Arial" w:eastAsia="Arial" w:hAnsi="Arial"/>
          <w:sz w:val="18"/>
          <w:szCs w:val="18"/>
          <w:color w:val="auto"/>
        </w:rPr>
        <w:t xml:space="preserve">”), each of the other Guarantors from time to time party thereto, the financial institutions who are or hereafter become parties thereto as Lenders, and </w:t>
      </w:r>
      <w:r>
        <w:rPr>
          <w:rFonts w:ascii="Arial" w:cs="Arial" w:eastAsia="Arial" w:hAnsi="Arial"/>
          <w:sz w:val="18"/>
          <w:szCs w:val="18"/>
          <w:b w:val="1"/>
          <w:bCs w:val="1"/>
          <w:color w:val="auto"/>
        </w:rPr>
        <w:t>METROPOLITAN PARTNERS GROUP</w:t>
      </w:r>
      <w:r>
        <w:rPr>
          <w:rFonts w:ascii="Arial" w:cs="Arial" w:eastAsia="Arial" w:hAnsi="Arial"/>
          <w:sz w:val="18"/>
          <w:szCs w:val="18"/>
          <w:color w:val="auto"/>
        </w:rPr>
        <w:t xml:space="preserve"> </w:t>
      </w:r>
      <w:r>
        <w:rPr>
          <w:rFonts w:ascii="Arial" w:cs="Arial" w:eastAsia="Arial" w:hAnsi="Arial"/>
          <w:sz w:val="18"/>
          <w:szCs w:val="18"/>
          <w:b w:val="1"/>
          <w:bCs w:val="1"/>
          <w:color w:val="auto"/>
        </w:rPr>
        <w:t>ADMINISTRATION, LLC</w:t>
      </w:r>
      <w:r>
        <w:rPr>
          <w:rFonts w:ascii="Arial" w:cs="Arial" w:eastAsia="Arial" w:hAnsi="Arial"/>
          <w:sz w:val="18"/>
          <w:szCs w:val="18"/>
          <w:color w:val="auto"/>
        </w:rPr>
        <w:t>, as administrative, payment and collateral agent for itself, as a Lender, and for the other Lenders (in such capacities, the</w:t>
      </w:r>
      <w:r>
        <w:rPr>
          <w:rFonts w:ascii="Arial" w:cs="Arial" w:eastAsia="Arial" w:hAnsi="Arial"/>
          <w:sz w:val="18"/>
          <w:szCs w:val="18"/>
          <w:b w:val="1"/>
          <w:bCs w:val="1"/>
          <w:color w:val="auto"/>
        </w:rPr>
        <w:t xml:space="preserve"> </w:t>
      </w:r>
      <w:r>
        <w:rPr>
          <w:rFonts w:ascii="Arial" w:cs="Arial" w:eastAsia="Arial" w:hAnsi="Arial"/>
          <w:sz w:val="18"/>
          <w:szCs w:val="18"/>
          <w:color w:val="auto"/>
        </w:rPr>
        <w:t>“</w:t>
      </w:r>
      <w:r>
        <w:rPr>
          <w:rFonts w:ascii="Arial" w:cs="Arial" w:eastAsia="Arial" w:hAnsi="Arial"/>
          <w:sz w:val="18"/>
          <w:szCs w:val="18"/>
          <w:b w:val="1"/>
          <w:bCs w:val="1"/>
          <w:i w:val="1"/>
          <w:iCs w:val="1"/>
          <w:color w:val="auto"/>
        </w:rPr>
        <w:t>Agent</w:t>
      </w:r>
      <w:r>
        <w:rPr>
          <w:rFonts w:ascii="Arial" w:cs="Arial" w:eastAsia="Arial" w:hAnsi="Arial"/>
          <w:sz w:val="18"/>
          <w:szCs w:val="18"/>
          <w:color w:val="auto"/>
        </w:rPr>
        <w:t>”) (as the same may be amended, restated, supplemented or otherwise modified from time to time, the “</w:t>
      </w:r>
      <w:r>
        <w:rPr>
          <w:rFonts w:ascii="Arial" w:cs="Arial" w:eastAsia="Arial" w:hAnsi="Arial"/>
          <w:sz w:val="18"/>
          <w:szCs w:val="18"/>
          <w:b w:val="1"/>
          <w:bCs w:val="1"/>
          <w:i w:val="1"/>
          <w:iCs w:val="1"/>
          <w:color w:val="auto"/>
        </w:rPr>
        <w:t>Agreement</w:t>
      </w:r>
      <w:r>
        <w:rPr>
          <w:rFonts w:ascii="Arial" w:cs="Arial" w:eastAsia="Arial" w:hAnsi="Arial"/>
          <w:sz w:val="18"/>
          <w:szCs w:val="18"/>
          <w:color w:val="auto"/>
        </w:rPr>
        <w:t>”). Capitalized terms used herein without definition are used as defined in the Agreement.</w:t>
      </w:r>
    </w:p>
    <w:p>
      <w:pPr>
        <w:spacing w:after="0" w:line="192"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Agreement, among other things, (a) provides for the making of the Term Loan by the Lender to Borrower in an aggregate amount not to exceed the Lender’s Term Loan Commitment, the indebtedness of Borrower resulting from such Term Loan being evidenced by this Note and any other such Notes issued by Borrower, and (b) contains provisions for acceleration of the maturity of the unpaid principal amount of this Note upon the happening of certain stated events and also for prepayments on account of the principal hereof prior to the maturity hereof upon the terms and conditions specified therein.</w:t>
      </w:r>
    </w:p>
    <w:p>
      <w:pPr>
        <w:spacing w:after="0" w:line="188"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 xml:space="preserve">This Note is a Loan Document, is entitled to the benefits of the Loan Documents and is subject to all of the provisions of the Agreement, including, without limitation, </w:t>
      </w:r>
      <w:r>
        <w:rPr>
          <w:rFonts w:ascii="Arial" w:cs="Arial" w:eastAsia="Arial" w:hAnsi="Arial"/>
          <w:sz w:val="17"/>
          <w:szCs w:val="17"/>
          <w:u w:val="single" w:color="auto"/>
          <w:color w:val="auto"/>
        </w:rPr>
        <w:t>Sections 8.12</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8.13</w:t>
      </w:r>
      <w:r>
        <w:rPr>
          <w:rFonts w:ascii="Arial" w:cs="Arial" w:eastAsia="Arial" w:hAnsi="Arial"/>
          <w:sz w:val="17"/>
          <w:szCs w:val="17"/>
          <w:color w:val="auto"/>
        </w:rPr>
        <w:t xml:space="preserve"> thereof. The assignment, transfer or sale of this Note and the indebtedness evidenced hereby shall only be effective to the extent such assignment, transfer or sale is permitted by, and made in accordance with the terms of, the Agreement.</w:t>
      </w:r>
    </w:p>
    <w:p>
      <w:pPr>
        <w:spacing w:after="0" w:line="16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laws of the State of New York shall govern all matters arising out of, in connection with or relating to this Note, including its validity, interpretation, construction, performance and enforcement (including any claims sounding in contract or tort law arising out of the subject matter hereof and any determinations with respect to post-judgment interest).</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[Signature Page Follows]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type w:val="continuous"/>
        </w:sectPr>
      </w:pPr>
    </w:p>
    <w:bookmarkStart w:id="168" w:name="page169"/>
    <w:bookmarkEnd w:id="168"/>
    <w:p>
      <w:pPr>
        <w:ind w:firstLine="648"/>
        <w:spacing w:after="0" w:line="277" w:lineRule="auto"/>
        <w:rPr>
          <w:sz w:val="20"/>
          <w:szCs w:val="20"/>
          <w:color w:val="auto"/>
        </w:rPr>
      </w:pPr>
      <w:r>
        <w:rPr>
          <w:rFonts w:ascii="Arial" w:cs="Arial" w:eastAsia="Arial" w:hAnsi="Arial"/>
          <w:sz w:val="18"/>
          <w:szCs w:val="18"/>
          <w:color w:val="auto"/>
        </w:rPr>
        <w:t>IN WITNESS WHEREOF, the Borrower has caused this Promissory Note to be executed and delivered by its duly authorized officer as of the day and year set forth above.</w:t>
      </w:r>
    </w:p>
    <w:p>
      <w:pPr>
        <w:spacing w:after="0" w:line="166" w:lineRule="exact"/>
        <w:rPr>
          <w:sz w:val="20"/>
          <w:szCs w:val="20"/>
          <w:color w:val="auto"/>
        </w:rPr>
      </w:pPr>
    </w:p>
    <w:p>
      <w:pPr>
        <w:ind w:left="6740"/>
        <w:spacing w:after="0"/>
        <w:rPr>
          <w:sz w:val="20"/>
          <w:szCs w:val="20"/>
          <w:color w:val="auto"/>
        </w:rPr>
      </w:pPr>
      <w:r>
        <w:rPr>
          <w:rFonts w:ascii="Arial" w:cs="Arial" w:eastAsia="Arial" w:hAnsi="Arial"/>
          <w:sz w:val="18"/>
          <w:szCs w:val="18"/>
          <w:b w:val="1"/>
          <w:bCs w:val="1"/>
          <w:color w:val="auto"/>
        </w:rPr>
        <w:t>BORROWER:</w:t>
      </w:r>
    </w:p>
    <w:p>
      <w:pPr>
        <w:spacing w:after="0" w:line="225" w:lineRule="exact"/>
        <w:rPr>
          <w:sz w:val="20"/>
          <w:szCs w:val="20"/>
          <w:color w:val="auto"/>
        </w:rPr>
      </w:pPr>
    </w:p>
    <w:p>
      <w:pPr>
        <w:ind w:left="6740"/>
        <w:spacing w:after="0"/>
        <w:rPr>
          <w:sz w:val="20"/>
          <w:szCs w:val="20"/>
          <w:color w:val="auto"/>
        </w:rPr>
      </w:pPr>
      <w:r>
        <w:rPr>
          <w:rFonts w:ascii="Arial" w:cs="Arial" w:eastAsia="Arial" w:hAnsi="Arial"/>
          <w:sz w:val="18"/>
          <w:szCs w:val="18"/>
          <w:b w:val="1"/>
          <w:bCs w:val="1"/>
          <w:color w:val="auto"/>
        </w:rPr>
        <w:t>E LA CARTE, LLC</w:t>
      </w:r>
    </w:p>
    <w:p>
      <w:pPr>
        <w:spacing w:after="0" w:line="229"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14605</wp:posOffset>
            </wp:positionV>
            <wp:extent cx="2494915" cy="171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2">
                      <a:extLst>
                        <a:ext uri="{28A0092B-C50C-407E-A947-70E740481C1C}"/>
                      </a:extLst>
                    </a:blip>
                    <a:srcRect/>
                    <a:stretch>
                      <a:fillRect/>
                    </a:stretch>
                  </pic:blipFill>
                  <pic:spPr bwMode="auto">
                    <a:xfrm>
                      <a:off x="0" y="0"/>
                      <a:ext cx="2494915" cy="17145"/>
                    </a:xfrm>
                    <a:prstGeom prst="rect">
                      <a:avLst/>
                    </a:prstGeom>
                    <a:noFill/>
                  </pic:spPr>
                </pic:pic>
              </a:graphicData>
            </a:graphic>
          </wp:anchor>
        </w:drawing>
      </w:r>
    </w:p>
    <w:p>
      <w:pPr>
        <w:spacing w:after="0" w:line="3"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Name:</w:t>
      </w:r>
    </w:p>
    <w:p>
      <w:pPr>
        <w:spacing w:after="0" w:line="35"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-130175</wp:posOffset>
            </wp:positionV>
            <wp:extent cx="2494915" cy="171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3">
                      <a:extLst>
                        <a:ext uri="{28A0092B-C50C-407E-A947-70E740481C1C}"/>
                      </a:extLst>
                    </a:blip>
                    <a:srcRect/>
                    <a:stretch>
                      <a:fillRect/>
                    </a:stretch>
                  </pic:blipFill>
                  <pic:spPr bwMode="auto">
                    <a:xfrm>
                      <a:off x="0" y="0"/>
                      <a:ext cx="2494915" cy="17145"/>
                    </a:xfrm>
                    <a:prstGeom prst="rect">
                      <a:avLst/>
                    </a:prstGeom>
                    <a:noFill/>
                  </pic:spPr>
                </pic:pic>
              </a:graphicData>
            </a:graphic>
          </wp:anchor>
        </w:drawing>
        <w:drawing>
          <wp:anchor simplePos="0" relativeHeight="251657728" behindDoc="1" locked="0" layoutInCell="0" allowOverlap="1">
            <wp:simplePos x="0" y="0"/>
            <wp:positionH relativeFrom="column">
              <wp:posOffset>4642485</wp:posOffset>
            </wp:positionH>
            <wp:positionV relativeFrom="paragraph">
              <wp:posOffset>23495</wp:posOffset>
            </wp:positionV>
            <wp:extent cx="2494915" cy="171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4">
                      <a:extLst>
                        <a:ext uri="{28A0092B-C50C-407E-A947-70E740481C1C}"/>
                      </a:extLst>
                    </a:blip>
                    <a:srcRect/>
                    <a:stretch>
                      <a:fillRect/>
                    </a:stretch>
                  </pic:blipFill>
                  <pic:spPr bwMode="auto">
                    <a:xfrm>
                      <a:off x="0" y="0"/>
                      <a:ext cx="2494915" cy="17145"/>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69" w:name="page170"/>
    <w:bookmarkEnd w:id="169"/>
    <w:tbl>
      <w:tblPr>
        <w:tblLayout w:type="fixed"/>
        <w:tblInd w:w="680" w:type="dxa"/>
        <w:tblCellMar>
          <w:top w:w="0" w:type="dxa"/>
          <w:left w:w="0" w:type="dxa"/>
          <w:bottom w:w="0" w:type="dxa"/>
          <w:right w:w="0" w:type="dxa"/>
        </w:tblCellMar>
      </w:tblPr>
      <w:tr>
        <w:trPr>
          <w:trHeight w:val="234"/>
        </w:trPr>
        <w:tc>
          <w:tcPr>
            <w:tcW w:w="440" w:type="dxa"/>
            <w:vAlign w:val="bottom"/>
          </w:tcPr>
          <w:p>
            <w:pPr>
              <w:spacing w:after="0"/>
              <w:rPr>
                <w:sz w:val="20"/>
                <w:szCs w:val="20"/>
                <w:color w:val="auto"/>
              </w:rPr>
            </w:pPr>
          </w:p>
        </w:tc>
        <w:tc>
          <w:tcPr>
            <w:tcW w:w="8360" w:type="dxa"/>
            <w:vAlign w:val="bottom"/>
          </w:tcPr>
          <w:p>
            <w:pPr>
              <w:jc w:val="center"/>
              <w:ind w:left="550"/>
              <w:spacing w:after="0"/>
              <w:rPr>
                <w:sz w:val="20"/>
                <w:szCs w:val="20"/>
                <w:color w:val="auto"/>
              </w:rPr>
            </w:pPr>
            <w:r>
              <w:rPr>
                <w:rFonts w:ascii="Arial" w:cs="Arial" w:eastAsia="Arial" w:hAnsi="Arial"/>
                <w:sz w:val="18"/>
                <w:szCs w:val="18"/>
                <w:b w:val="1"/>
                <w:bCs w:val="1"/>
                <w:u w:val="single" w:color="auto"/>
                <w:color w:val="auto"/>
              </w:rPr>
              <w:t>EXHIBIT E</w:t>
            </w:r>
          </w:p>
        </w:tc>
        <w:tc>
          <w:tcPr>
            <w:tcW w:w="780" w:type="dxa"/>
            <w:vAlign w:val="bottom"/>
          </w:tcPr>
          <w:p>
            <w:pPr>
              <w:spacing w:after="0"/>
              <w:rPr>
                <w:sz w:val="20"/>
                <w:szCs w:val="20"/>
                <w:color w:val="auto"/>
              </w:rPr>
            </w:pPr>
          </w:p>
        </w:tc>
        <w:tc>
          <w:tcPr>
            <w:tcW w:w="860" w:type="dxa"/>
            <w:vAlign w:val="bottom"/>
          </w:tcPr>
          <w:p>
            <w:pPr>
              <w:spacing w:after="0"/>
              <w:rPr>
                <w:sz w:val="20"/>
                <w:szCs w:val="20"/>
                <w:color w:val="auto"/>
              </w:rPr>
            </w:pPr>
          </w:p>
        </w:tc>
      </w:tr>
      <w:tr>
        <w:trPr>
          <w:trHeight w:val="590"/>
        </w:trPr>
        <w:tc>
          <w:tcPr>
            <w:tcW w:w="440" w:type="dxa"/>
            <w:vAlign w:val="bottom"/>
          </w:tcPr>
          <w:p>
            <w:pPr>
              <w:spacing w:after="0"/>
              <w:rPr>
                <w:sz w:val="24"/>
                <w:szCs w:val="24"/>
                <w:color w:val="auto"/>
              </w:rPr>
            </w:pPr>
          </w:p>
        </w:tc>
        <w:tc>
          <w:tcPr>
            <w:tcW w:w="8360" w:type="dxa"/>
            <w:vAlign w:val="bottom"/>
          </w:tcPr>
          <w:p>
            <w:pPr>
              <w:jc w:val="center"/>
              <w:ind w:left="550"/>
              <w:spacing w:after="0"/>
              <w:rPr>
                <w:sz w:val="20"/>
                <w:szCs w:val="20"/>
                <w:color w:val="auto"/>
              </w:rPr>
            </w:pPr>
            <w:r>
              <w:rPr>
                <w:rFonts w:ascii="Arial" w:cs="Arial" w:eastAsia="Arial" w:hAnsi="Arial"/>
                <w:sz w:val="18"/>
                <w:szCs w:val="18"/>
                <w:b w:val="1"/>
                <w:bCs w:val="1"/>
                <w:u w:val="single" w:color="auto"/>
                <w:color w:val="auto"/>
              </w:rPr>
              <w:t>FORM OF FINANCIAL COVENANT CALCULATIONS</w:t>
            </w:r>
            <w:r>
              <w:rPr>
                <w:rFonts w:ascii="Arial" w:cs="Arial" w:eastAsia="Arial" w:hAnsi="Arial"/>
                <w:sz w:val="29"/>
                <w:szCs w:val="29"/>
                <w:b w:val="1"/>
                <w:bCs w:val="1"/>
                <w:color w:val="auto"/>
                <w:vertAlign w:val="superscript"/>
              </w:rPr>
              <w:t>1</w:t>
            </w:r>
          </w:p>
        </w:tc>
        <w:tc>
          <w:tcPr>
            <w:tcW w:w="78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261"/>
        </w:trPr>
        <w:tc>
          <w:tcPr>
            <w:tcW w:w="440" w:type="dxa"/>
            <w:vAlign w:val="bottom"/>
          </w:tcPr>
          <w:p>
            <w:pPr>
              <w:spacing w:after="0"/>
              <w:rPr>
                <w:sz w:val="20"/>
                <w:szCs w:val="20"/>
                <w:color w:val="auto"/>
              </w:rPr>
            </w:pPr>
            <w:r>
              <w:rPr>
                <w:rFonts w:ascii="Arial" w:cs="Arial" w:eastAsia="Arial" w:hAnsi="Arial"/>
                <w:sz w:val="18"/>
                <w:szCs w:val="18"/>
                <w:b w:val="1"/>
                <w:bCs w:val="1"/>
                <w:color w:val="auto"/>
              </w:rPr>
              <w:t>(a)</w:t>
            </w:r>
          </w:p>
        </w:tc>
        <w:tc>
          <w:tcPr>
            <w:tcW w:w="8360" w:type="dxa"/>
            <w:vAlign w:val="bottom"/>
          </w:tcPr>
          <w:p>
            <w:pPr>
              <w:ind w:left="240"/>
              <w:spacing w:after="0"/>
              <w:rPr>
                <w:sz w:val="20"/>
                <w:szCs w:val="20"/>
                <w:color w:val="auto"/>
              </w:rPr>
            </w:pPr>
            <w:r>
              <w:rPr>
                <w:rFonts w:ascii="Arial" w:cs="Arial" w:eastAsia="Arial" w:hAnsi="Arial"/>
                <w:sz w:val="18"/>
                <w:szCs w:val="18"/>
                <w:b w:val="1"/>
                <w:bCs w:val="1"/>
                <w:color w:val="auto"/>
                <w:w w:val="92"/>
              </w:rPr>
              <w:t>Computer Vision Products Revenue for the three (3) consecutive month period ending as of such date:</w:t>
            </w:r>
          </w:p>
        </w:tc>
        <w:tc>
          <w:tcPr>
            <w:tcW w:w="780" w:type="dxa"/>
            <w:vAlign w:val="bottom"/>
          </w:tcPr>
          <w:p>
            <w:pPr>
              <w:jc w:val="right"/>
              <w:ind w:right="310"/>
              <w:spacing w:after="0"/>
              <w:rPr>
                <w:sz w:val="20"/>
                <w:szCs w:val="20"/>
                <w:color w:val="auto"/>
              </w:rPr>
            </w:pPr>
            <w:r>
              <w:rPr>
                <w:rFonts w:ascii="Arial" w:cs="Arial" w:eastAsia="Arial" w:hAnsi="Arial"/>
                <w:sz w:val="18"/>
                <w:szCs w:val="18"/>
                <w:b w:val="1"/>
                <w:bCs w:val="1"/>
                <w:color w:val="auto"/>
              </w:rPr>
              <w:t>$</w:t>
            </w: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32,288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-136525</wp:posOffset>
            </wp:positionV>
            <wp:extent cx="7132320" cy="13716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6">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78" w:lineRule="exact"/>
        <w:rPr>
          <w:sz w:val="20"/>
          <w:szCs w:val="20"/>
          <w:color w:val="auto"/>
        </w:rPr>
      </w:pPr>
    </w:p>
    <w:p>
      <w:pPr>
        <w:ind w:left="1360" w:hanging="678"/>
        <w:spacing w:after="0"/>
        <w:tabs>
          <w:tab w:leader="none" w:pos="1360" w:val="left"/>
        </w:tabs>
        <w:numPr>
          <w:ilvl w:val="0"/>
          <w:numId w:val="163"/>
        </w:numPr>
        <w:rPr>
          <w:rFonts w:ascii="Arial" w:cs="Arial" w:eastAsia="Arial" w:hAnsi="Arial"/>
          <w:sz w:val="18"/>
          <w:szCs w:val="18"/>
          <w:b w:val="1"/>
          <w:bCs w:val="1"/>
          <w:color w:val="auto"/>
        </w:rPr>
      </w:pPr>
      <w:r>
        <w:rPr>
          <w:rFonts w:ascii="Arial" w:cs="Arial" w:eastAsia="Arial" w:hAnsi="Arial"/>
          <w:sz w:val="18"/>
          <w:szCs w:val="18"/>
          <w:b w:val="1"/>
          <w:bCs w:val="1"/>
          <w:color w:val="auto"/>
        </w:rPr>
        <w:t>Computer Vision Annual Platform Revenue: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27432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7">
                      <a:extLst>
                        <a:ext uri="{28A0092B-C50C-407E-A947-70E740481C1C}"/>
                      </a:extLst>
                    </a:blip>
                    <a:srcRect/>
                    <a:stretch>
                      <a:fillRect/>
                    </a:stretch>
                  </pic:blipFill>
                  <pic:spPr bwMode="auto">
                    <a:xfrm>
                      <a:off x="0" y="0"/>
                      <a:ext cx="7132320" cy="274320"/>
                    </a:xfrm>
                    <a:prstGeom prst="rect">
                      <a:avLst/>
                    </a:prstGeom>
                    <a:noFill/>
                  </pic:spPr>
                </pic:pic>
              </a:graphicData>
            </a:graphic>
          </wp:anchor>
        </w:drawing>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120" w:type="dxa"/>
            <w:vAlign w:val="bottom"/>
          </w:tcPr>
          <w:p>
            <w:pPr>
              <w:spacing w:after="0"/>
              <w:rPr>
                <w:sz w:val="20"/>
                <w:szCs w:val="20"/>
                <w:color w:val="auto"/>
              </w:rPr>
            </w:pPr>
          </w:p>
        </w:tc>
        <w:tc>
          <w:tcPr>
            <w:tcW w:w="7940" w:type="dxa"/>
            <w:vAlign w:val="bottom"/>
          </w:tcPr>
          <w:p>
            <w:pPr>
              <w:ind w:left="240"/>
              <w:spacing w:after="0"/>
              <w:rPr>
                <w:sz w:val="20"/>
                <w:szCs w:val="20"/>
                <w:color w:val="auto"/>
              </w:rPr>
            </w:pPr>
            <w:r>
              <w:rPr>
                <w:rFonts w:ascii="Arial" w:cs="Arial" w:eastAsia="Arial" w:hAnsi="Arial"/>
                <w:sz w:val="18"/>
                <w:szCs w:val="18"/>
                <w:b w:val="1"/>
                <w:bCs w:val="1"/>
                <w:color w:val="auto"/>
              </w:rPr>
              <w:t>Item (a) multiplied by four (4):</w:t>
            </w:r>
          </w:p>
        </w:tc>
        <w:tc>
          <w:tcPr>
            <w:tcW w:w="1040" w:type="dxa"/>
            <w:vAlign w:val="bottom"/>
          </w:tcPr>
          <w:p>
            <w:pPr>
              <w:jc w:val="right"/>
              <w:ind w:right="150"/>
              <w:spacing w:after="0"/>
              <w:rPr>
                <w:sz w:val="20"/>
                <w:szCs w:val="20"/>
                <w:color w:val="auto"/>
              </w:rPr>
            </w:pPr>
            <w:r>
              <w:rPr>
                <w:rFonts w:ascii="Arial" w:cs="Arial" w:eastAsia="Arial" w:hAnsi="Arial"/>
                <w:sz w:val="18"/>
                <w:szCs w:val="18"/>
                <w:b w:val="1"/>
                <w:bCs w:val="1"/>
                <w:color w:val="auto"/>
              </w:rPr>
              <w:t>$</w:t>
            </w:r>
          </w:p>
        </w:tc>
        <w:tc>
          <w:tcPr>
            <w:tcW w:w="1140" w:type="dxa"/>
            <w:vAlign w:val="bottom"/>
          </w:tcPr>
          <w:p>
            <w:pPr>
              <w:jc w:val="right"/>
              <w:ind w:right="30"/>
              <w:spacing w:after="0"/>
              <w:rPr>
                <w:sz w:val="20"/>
                <w:szCs w:val="20"/>
                <w:color w:val="auto"/>
              </w:rPr>
            </w:pPr>
            <w:r>
              <w:rPr>
                <w:rFonts w:ascii="Arial" w:cs="Arial" w:eastAsia="Arial" w:hAnsi="Arial"/>
                <w:sz w:val="18"/>
                <w:szCs w:val="18"/>
                <w:b w:val="1"/>
                <w:bCs w:val="1"/>
                <w:color w:val="auto"/>
              </w:rPr>
              <w:t>129,152</w:t>
            </w:r>
          </w:p>
        </w:tc>
      </w:tr>
      <w:tr>
        <w:trPr>
          <w:trHeight w:val="198"/>
        </w:trPr>
        <w:tc>
          <w:tcPr>
            <w:tcW w:w="1120" w:type="dxa"/>
            <w:vAlign w:val="bottom"/>
          </w:tcPr>
          <w:p>
            <w:pPr>
              <w:spacing w:after="0"/>
              <w:rPr>
                <w:sz w:val="17"/>
                <w:szCs w:val="17"/>
                <w:color w:val="auto"/>
              </w:rPr>
            </w:pPr>
          </w:p>
        </w:tc>
        <w:tc>
          <w:tcPr>
            <w:tcW w:w="79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16"/>
        </w:trPr>
        <w:tc>
          <w:tcPr>
            <w:tcW w:w="1120" w:type="dxa"/>
            <w:vAlign w:val="bottom"/>
            <w:shd w:val="clear" w:color="auto" w:fill="CCEEFF"/>
          </w:tcPr>
          <w:p>
            <w:pPr>
              <w:ind w:left="680"/>
              <w:spacing w:after="0"/>
              <w:rPr>
                <w:sz w:val="20"/>
                <w:szCs w:val="20"/>
                <w:color w:val="auto"/>
              </w:rPr>
            </w:pPr>
            <w:r>
              <w:rPr>
                <w:rFonts w:ascii="Arial" w:cs="Arial" w:eastAsia="Arial" w:hAnsi="Arial"/>
                <w:sz w:val="18"/>
                <w:szCs w:val="18"/>
                <w:b w:val="1"/>
                <w:bCs w:val="1"/>
                <w:color w:val="auto"/>
              </w:rPr>
              <w:t>(c)</w:t>
            </w:r>
          </w:p>
        </w:tc>
        <w:tc>
          <w:tcPr>
            <w:tcW w:w="7940" w:type="dxa"/>
            <w:vAlign w:val="bottom"/>
            <w:shd w:val="clear" w:color="auto" w:fill="CCEEFF"/>
          </w:tcPr>
          <w:p>
            <w:pPr>
              <w:ind w:left="240"/>
              <w:spacing w:after="0"/>
              <w:rPr>
                <w:sz w:val="20"/>
                <w:szCs w:val="20"/>
                <w:color w:val="auto"/>
              </w:rPr>
            </w:pPr>
            <w:r>
              <w:rPr>
                <w:rFonts w:ascii="Arial" w:cs="Arial" w:eastAsia="Arial" w:hAnsi="Arial"/>
                <w:sz w:val="18"/>
                <w:szCs w:val="18"/>
                <w:b w:val="1"/>
                <w:bCs w:val="1"/>
                <w:color w:val="auto"/>
                <w:w w:val="97"/>
              </w:rPr>
              <w:t>Touch Platform Revenue for the three (3) consecutive month period ending as of such date:</w:t>
            </w:r>
          </w:p>
        </w:tc>
        <w:tc>
          <w:tcPr>
            <w:tcW w:w="1040" w:type="dxa"/>
            <w:vAlign w:val="bottom"/>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w:t>
            </w:r>
          </w:p>
        </w:tc>
        <w:tc>
          <w:tcPr>
            <w:tcW w:w="114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5,037,873</w:t>
            </w:r>
          </w:p>
        </w:tc>
      </w:tr>
      <w:tr>
        <w:trPr>
          <w:trHeight w:val="216"/>
        </w:trPr>
        <w:tc>
          <w:tcPr>
            <w:tcW w:w="1120" w:type="dxa"/>
            <w:vAlign w:val="bottom"/>
          </w:tcPr>
          <w:p>
            <w:pPr>
              <w:spacing w:after="0"/>
              <w:rPr>
                <w:sz w:val="18"/>
                <w:szCs w:val="18"/>
                <w:color w:val="auto"/>
              </w:rPr>
            </w:pPr>
          </w:p>
        </w:tc>
        <w:tc>
          <w:tcPr>
            <w:tcW w:w="79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1120" w:type="dxa"/>
            <w:vAlign w:val="bottom"/>
            <w:shd w:val="clear" w:color="auto" w:fill="CCEEFF"/>
          </w:tcPr>
          <w:p>
            <w:pPr>
              <w:ind w:left="680"/>
              <w:spacing w:after="0"/>
              <w:rPr>
                <w:sz w:val="20"/>
                <w:szCs w:val="20"/>
                <w:color w:val="auto"/>
              </w:rPr>
            </w:pPr>
            <w:r>
              <w:rPr>
                <w:rFonts w:ascii="Arial" w:cs="Arial" w:eastAsia="Arial" w:hAnsi="Arial"/>
                <w:sz w:val="18"/>
                <w:szCs w:val="18"/>
                <w:b w:val="1"/>
                <w:bCs w:val="1"/>
                <w:color w:val="auto"/>
              </w:rPr>
              <w:t>(d)</w:t>
            </w:r>
          </w:p>
        </w:tc>
        <w:tc>
          <w:tcPr>
            <w:tcW w:w="7940" w:type="dxa"/>
            <w:vAlign w:val="bottom"/>
            <w:shd w:val="clear" w:color="auto" w:fill="CCEEFF"/>
          </w:tcPr>
          <w:p>
            <w:pPr>
              <w:ind w:left="240"/>
              <w:spacing w:after="0"/>
              <w:rPr>
                <w:sz w:val="20"/>
                <w:szCs w:val="20"/>
                <w:color w:val="auto"/>
              </w:rPr>
            </w:pPr>
            <w:r>
              <w:rPr>
                <w:rFonts w:ascii="Arial" w:cs="Arial" w:eastAsia="Arial" w:hAnsi="Arial"/>
                <w:sz w:val="18"/>
                <w:szCs w:val="18"/>
                <w:b w:val="1"/>
                <w:bCs w:val="1"/>
                <w:color w:val="auto"/>
              </w:rPr>
              <w:t>Touch Annual Platform Revenue: Item (c) multiplied by four (4):</w:t>
            </w:r>
          </w:p>
        </w:tc>
        <w:tc>
          <w:tcPr>
            <w:tcW w:w="1040" w:type="dxa"/>
            <w:vAlign w:val="bottom"/>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w:t>
            </w:r>
          </w:p>
        </w:tc>
        <w:tc>
          <w:tcPr>
            <w:tcW w:w="114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20,151,492</w:t>
            </w:r>
          </w:p>
        </w:tc>
      </w:tr>
      <w:tr>
        <w:trPr>
          <w:trHeight w:val="216"/>
        </w:trPr>
        <w:tc>
          <w:tcPr>
            <w:tcW w:w="1120" w:type="dxa"/>
            <w:vAlign w:val="bottom"/>
          </w:tcPr>
          <w:p>
            <w:pPr>
              <w:spacing w:after="0"/>
              <w:rPr>
                <w:sz w:val="18"/>
                <w:szCs w:val="18"/>
                <w:color w:val="auto"/>
              </w:rPr>
            </w:pPr>
          </w:p>
        </w:tc>
        <w:tc>
          <w:tcPr>
            <w:tcW w:w="79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1120" w:type="dxa"/>
            <w:vAlign w:val="bottom"/>
            <w:shd w:val="clear" w:color="auto" w:fill="CCEEFF"/>
          </w:tcPr>
          <w:p>
            <w:pPr>
              <w:ind w:left="680"/>
              <w:spacing w:after="0"/>
              <w:rPr>
                <w:sz w:val="20"/>
                <w:szCs w:val="20"/>
                <w:color w:val="auto"/>
              </w:rPr>
            </w:pPr>
            <w:r>
              <w:rPr>
                <w:rFonts w:ascii="Arial" w:cs="Arial" w:eastAsia="Arial" w:hAnsi="Arial"/>
                <w:sz w:val="18"/>
                <w:szCs w:val="18"/>
                <w:b w:val="1"/>
                <w:bCs w:val="1"/>
                <w:color w:val="auto"/>
              </w:rPr>
              <w:t>(e)</w:t>
            </w:r>
          </w:p>
        </w:tc>
        <w:tc>
          <w:tcPr>
            <w:tcW w:w="7940" w:type="dxa"/>
            <w:vAlign w:val="bottom"/>
            <w:shd w:val="clear" w:color="auto" w:fill="CCEEFF"/>
          </w:tcPr>
          <w:p>
            <w:pPr>
              <w:ind w:left="240"/>
              <w:spacing w:after="0"/>
              <w:rPr>
                <w:sz w:val="20"/>
                <w:szCs w:val="20"/>
                <w:color w:val="auto"/>
              </w:rPr>
            </w:pPr>
            <w:r>
              <w:rPr>
                <w:rFonts w:ascii="Arial" w:cs="Arial" w:eastAsia="Arial" w:hAnsi="Arial"/>
                <w:sz w:val="18"/>
                <w:szCs w:val="18"/>
                <w:b w:val="1"/>
                <w:bCs w:val="1"/>
                <w:color w:val="auto"/>
                <w:w w:val="99"/>
              </w:rPr>
              <w:t>voice platform revenue for the three (3) consecutive month period ending as of such date:</w:t>
            </w:r>
          </w:p>
        </w:tc>
        <w:tc>
          <w:tcPr>
            <w:tcW w:w="1040" w:type="dxa"/>
            <w:vAlign w:val="bottom"/>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w:t>
            </w:r>
          </w:p>
        </w:tc>
        <w:tc>
          <w:tcPr>
            <w:tcW w:w="114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201,211</w:t>
            </w:r>
          </w:p>
        </w:tc>
      </w:tr>
      <w:tr>
        <w:trPr>
          <w:trHeight w:val="216"/>
        </w:trPr>
        <w:tc>
          <w:tcPr>
            <w:tcW w:w="1120" w:type="dxa"/>
            <w:vAlign w:val="bottom"/>
          </w:tcPr>
          <w:p>
            <w:pPr>
              <w:spacing w:after="0"/>
              <w:rPr>
                <w:sz w:val="18"/>
                <w:szCs w:val="18"/>
                <w:color w:val="auto"/>
              </w:rPr>
            </w:pPr>
          </w:p>
        </w:tc>
        <w:tc>
          <w:tcPr>
            <w:tcW w:w="79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1120" w:type="dxa"/>
            <w:vAlign w:val="bottom"/>
            <w:shd w:val="clear" w:color="auto" w:fill="CCEEFF"/>
          </w:tcPr>
          <w:p>
            <w:pPr>
              <w:ind w:left="680"/>
              <w:spacing w:after="0"/>
              <w:rPr>
                <w:sz w:val="20"/>
                <w:szCs w:val="20"/>
                <w:color w:val="auto"/>
              </w:rPr>
            </w:pPr>
            <w:r>
              <w:rPr>
                <w:rFonts w:ascii="Arial" w:cs="Arial" w:eastAsia="Arial" w:hAnsi="Arial"/>
                <w:sz w:val="18"/>
                <w:szCs w:val="18"/>
                <w:b w:val="1"/>
                <w:bCs w:val="1"/>
                <w:color w:val="auto"/>
              </w:rPr>
              <w:t>(f)</w:t>
            </w:r>
          </w:p>
        </w:tc>
        <w:tc>
          <w:tcPr>
            <w:tcW w:w="7940" w:type="dxa"/>
            <w:vAlign w:val="bottom"/>
            <w:shd w:val="clear" w:color="auto" w:fill="CCEEFF"/>
          </w:tcPr>
          <w:p>
            <w:pPr>
              <w:ind w:left="240"/>
              <w:spacing w:after="0"/>
              <w:rPr>
                <w:sz w:val="20"/>
                <w:szCs w:val="20"/>
                <w:color w:val="auto"/>
              </w:rPr>
            </w:pPr>
            <w:r>
              <w:rPr>
                <w:rFonts w:ascii="Arial" w:cs="Arial" w:eastAsia="Arial" w:hAnsi="Arial"/>
                <w:sz w:val="18"/>
                <w:szCs w:val="18"/>
                <w:b w:val="1"/>
                <w:bCs w:val="1"/>
                <w:color w:val="auto"/>
              </w:rPr>
              <w:t>Voice Annual Platform Revenue: item (e) multiplied by four (4):</w:t>
            </w:r>
          </w:p>
        </w:tc>
        <w:tc>
          <w:tcPr>
            <w:tcW w:w="1040" w:type="dxa"/>
            <w:vAlign w:val="bottom"/>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w:t>
            </w:r>
          </w:p>
        </w:tc>
        <w:tc>
          <w:tcPr>
            <w:tcW w:w="114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804,844</w:t>
            </w:r>
          </w:p>
        </w:tc>
      </w:tr>
      <w:tr>
        <w:trPr>
          <w:trHeight w:val="216"/>
        </w:trPr>
        <w:tc>
          <w:tcPr>
            <w:tcW w:w="1120" w:type="dxa"/>
            <w:vAlign w:val="bottom"/>
          </w:tcPr>
          <w:p>
            <w:pPr>
              <w:spacing w:after="0"/>
              <w:rPr>
                <w:sz w:val="18"/>
                <w:szCs w:val="18"/>
                <w:color w:val="auto"/>
              </w:rPr>
            </w:pPr>
          </w:p>
        </w:tc>
        <w:tc>
          <w:tcPr>
            <w:tcW w:w="79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1120" w:type="dxa"/>
            <w:vAlign w:val="bottom"/>
            <w:shd w:val="clear" w:color="auto" w:fill="CCEEFF"/>
          </w:tcPr>
          <w:p>
            <w:pPr>
              <w:ind w:left="680"/>
              <w:spacing w:after="0"/>
              <w:rPr>
                <w:sz w:val="20"/>
                <w:szCs w:val="20"/>
                <w:color w:val="auto"/>
              </w:rPr>
            </w:pPr>
            <w:r>
              <w:rPr>
                <w:rFonts w:ascii="Arial" w:cs="Arial" w:eastAsia="Arial" w:hAnsi="Arial"/>
                <w:sz w:val="18"/>
                <w:szCs w:val="18"/>
                <w:b w:val="1"/>
                <w:bCs w:val="1"/>
                <w:color w:val="auto"/>
              </w:rPr>
              <w:t>(g)</w:t>
            </w:r>
          </w:p>
        </w:tc>
        <w:tc>
          <w:tcPr>
            <w:tcW w:w="7940" w:type="dxa"/>
            <w:vAlign w:val="bottom"/>
            <w:shd w:val="clear" w:color="auto" w:fill="CCEEFF"/>
          </w:tcPr>
          <w:p>
            <w:pPr>
              <w:ind w:left="240"/>
              <w:spacing w:after="0"/>
              <w:rPr>
                <w:sz w:val="20"/>
                <w:szCs w:val="20"/>
                <w:color w:val="auto"/>
              </w:rPr>
            </w:pPr>
            <w:r>
              <w:rPr>
                <w:rFonts w:ascii="Arial" w:cs="Arial" w:eastAsia="Arial" w:hAnsi="Arial"/>
                <w:sz w:val="18"/>
                <w:szCs w:val="18"/>
                <w:b w:val="1"/>
                <w:bCs w:val="1"/>
                <w:color w:val="auto"/>
              </w:rPr>
              <w:t>Annual Platform Revenue: Sum of Items (b), (d) and (f):</w:t>
            </w:r>
          </w:p>
        </w:tc>
        <w:tc>
          <w:tcPr>
            <w:tcW w:w="1040" w:type="dxa"/>
            <w:vAlign w:val="bottom"/>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w:t>
            </w:r>
          </w:p>
        </w:tc>
        <w:tc>
          <w:tcPr>
            <w:tcW w:w="114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21,085,488</w:t>
            </w:r>
          </w:p>
        </w:tc>
      </w:tr>
      <w:tr>
        <w:trPr>
          <w:trHeight w:val="216"/>
        </w:trPr>
        <w:tc>
          <w:tcPr>
            <w:tcW w:w="1120" w:type="dxa"/>
            <w:vAlign w:val="bottom"/>
          </w:tcPr>
          <w:p>
            <w:pPr>
              <w:spacing w:after="0"/>
              <w:rPr>
                <w:sz w:val="18"/>
                <w:szCs w:val="18"/>
                <w:color w:val="auto"/>
              </w:rPr>
            </w:pPr>
          </w:p>
        </w:tc>
        <w:tc>
          <w:tcPr>
            <w:tcW w:w="79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1120" w:type="dxa"/>
            <w:vAlign w:val="bottom"/>
            <w:shd w:val="clear" w:color="auto" w:fill="CCEEFF"/>
          </w:tcPr>
          <w:p>
            <w:pPr>
              <w:ind w:left="680"/>
              <w:spacing w:after="0"/>
              <w:rPr>
                <w:sz w:val="20"/>
                <w:szCs w:val="20"/>
                <w:color w:val="auto"/>
              </w:rPr>
            </w:pPr>
            <w:r>
              <w:rPr>
                <w:rFonts w:ascii="Arial" w:cs="Arial" w:eastAsia="Arial" w:hAnsi="Arial"/>
                <w:sz w:val="18"/>
                <w:szCs w:val="18"/>
                <w:b w:val="1"/>
                <w:bCs w:val="1"/>
                <w:color w:val="auto"/>
              </w:rPr>
              <w:t>(h)</w:t>
            </w:r>
          </w:p>
        </w:tc>
        <w:tc>
          <w:tcPr>
            <w:tcW w:w="7940" w:type="dxa"/>
            <w:vAlign w:val="bottom"/>
            <w:shd w:val="clear" w:color="auto" w:fill="CCEEFF"/>
          </w:tcPr>
          <w:p>
            <w:pPr>
              <w:ind w:left="240"/>
              <w:spacing w:after="0"/>
              <w:rPr>
                <w:sz w:val="20"/>
                <w:szCs w:val="20"/>
                <w:color w:val="auto"/>
              </w:rPr>
            </w:pPr>
            <w:r>
              <w:rPr>
                <w:rFonts w:ascii="Arial" w:cs="Arial" w:eastAsia="Arial" w:hAnsi="Arial"/>
                <w:sz w:val="18"/>
                <w:szCs w:val="18"/>
                <w:b w:val="1"/>
                <w:bCs w:val="1"/>
                <w:color w:val="auto"/>
              </w:rPr>
              <w:t>Minimum Unrestricted Cash Amount:</w:t>
            </w:r>
          </w:p>
        </w:tc>
        <w:tc>
          <w:tcPr>
            <w:tcW w:w="1040" w:type="dxa"/>
            <w:vAlign w:val="bottom"/>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w:t>
            </w:r>
          </w:p>
        </w:tc>
        <w:tc>
          <w:tcPr>
            <w:tcW w:w="114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19,718,701</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Section 6.17(a) – Minimum Unrestricted Cash</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480" w:type="dxa"/>
            <w:vAlign w:val="bottom"/>
            <w:shd w:val="clear" w:color="auto" w:fill="CCEEFF"/>
          </w:tcPr>
          <w:p>
            <w:pPr>
              <w:ind w:left="1240"/>
              <w:spacing w:after="0"/>
              <w:rPr>
                <w:sz w:val="20"/>
                <w:szCs w:val="20"/>
                <w:color w:val="auto"/>
              </w:rPr>
            </w:pPr>
            <w:r>
              <w:rPr>
                <w:rFonts w:ascii="Arial" w:cs="Arial" w:eastAsia="Arial" w:hAnsi="Arial"/>
                <w:sz w:val="18"/>
                <w:szCs w:val="18"/>
                <w:color w:val="auto"/>
                <w:w w:val="99"/>
              </w:rPr>
              <w:t>(1)</w:t>
            </w:r>
          </w:p>
        </w:tc>
        <w:tc>
          <w:tcPr>
            <w:tcW w:w="5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Unrestricted</w:t>
            </w:r>
          </w:p>
        </w:tc>
        <w:tc>
          <w:tcPr>
            <w:tcW w:w="34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r>
      <w:tr>
        <w:trPr>
          <w:trHeight w:val="230"/>
        </w:trPr>
        <w:tc>
          <w:tcPr>
            <w:tcW w:w="6660" w:type="dxa"/>
            <w:vAlign w:val="bottom"/>
            <w:gridSpan w:val="2"/>
            <w:shd w:val="clear" w:color="auto" w:fill="CCEEFF"/>
          </w:tcPr>
          <w:p>
            <w:pPr>
              <w:ind w:left="1240"/>
              <w:spacing w:after="0"/>
              <w:rPr>
                <w:sz w:val="20"/>
                <w:szCs w:val="20"/>
                <w:color w:val="auto"/>
              </w:rPr>
            </w:pPr>
            <w:r>
              <w:rPr>
                <w:rFonts w:ascii="Arial" w:cs="Arial" w:eastAsia="Arial" w:hAnsi="Arial"/>
                <w:sz w:val="18"/>
                <w:szCs w:val="18"/>
                <w:color w:val="auto"/>
              </w:rPr>
              <w:t>Cash:</w:t>
            </w:r>
          </w:p>
        </w:tc>
        <w:tc>
          <w:tcPr>
            <w:tcW w:w="34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65,056,373</w:t>
            </w:r>
          </w:p>
        </w:tc>
      </w:tr>
      <w:tr>
        <w:trPr>
          <w:trHeight w:val="216"/>
        </w:trPr>
        <w:tc>
          <w:tcPr>
            <w:tcW w:w="1480" w:type="dxa"/>
            <w:vAlign w:val="bottom"/>
          </w:tcPr>
          <w:p>
            <w:pPr>
              <w:spacing w:after="0"/>
              <w:rPr>
                <w:sz w:val="18"/>
                <w:szCs w:val="18"/>
                <w:color w:val="auto"/>
              </w:rPr>
            </w:pPr>
          </w:p>
        </w:tc>
        <w:tc>
          <w:tcPr>
            <w:tcW w:w="5180" w:type="dxa"/>
            <w:vAlign w:val="bottom"/>
          </w:tcPr>
          <w:p>
            <w:pPr>
              <w:spacing w:after="0"/>
              <w:rPr>
                <w:sz w:val="18"/>
                <w:szCs w:val="18"/>
                <w:color w:val="auto"/>
              </w:rPr>
            </w:pPr>
          </w:p>
        </w:tc>
        <w:tc>
          <w:tcPr>
            <w:tcW w:w="344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02"/>
        </w:trPr>
        <w:tc>
          <w:tcPr>
            <w:tcW w:w="1480" w:type="dxa"/>
            <w:vAlign w:val="bottom"/>
            <w:shd w:val="clear" w:color="auto" w:fill="CCEEFF"/>
          </w:tcPr>
          <w:p>
            <w:pPr>
              <w:ind w:left="1240"/>
              <w:spacing w:after="0" w:line="201" w:lineRule="exact"/>
              <w:rPr>
                <w:sz w:val="20"/>
                <w:szCs w:val="20"/>
                <w:color w:val="auto"/>
              </w:rPr>
            </w:pPr>
            <w:r>
              <w:rPr>
                <w:rFonts w:ascii="Arial" w:cs="Arial" w:eastAsia="Arial" w:hAnsi="Arial"/>
                <w:sz w:val="18"/>
                <w:szCs w:val="18"/>
                <w:color w:val="auto"/>
                <w:w w:val="99"/>
              </w:rPr>
              <w:t>(2)</w:t>
            </w:r>
          </w:p>
        </w:tc>
        <w:tc>
          <w:tcPr>
            <w:tcW w:w="5180" w:type="dxa"/>
            <w:vAlign w:val="bottom"/>
            <w:shd w:val="clear" w:color="auto" w:fill="CCEEFF"/>
          </w:tcPr>
          <w:p>
            <w:pPr>
              <w:ind w:left="20"/>
              <w:spacing w:after="0" w:line="201" w:lineRule="exact"/>
              <w:rPr>
                <w:sz w:val="20"/>
                <w:szCs w:val="20"/>
                <w:color w:val="auto"/>
              </w:rPr>
            </w:pPr>
            <w:r>
              <w:rPr>
                <w:rFonts w:ascii="Arial" w:cs="Arial" w:eastAsia="Arial" w:hAnsi="Arial"/>
                <w:sz w:val="18"/>
                <w:szCs w:val="18"/>
                <w:color w:val="auto"/>
              </w:rPr>
              <w:t>Minimum Unrestricted Cash</w:t>
            </w:r>
          </w:p>
        </w:tc>
        <w:tc>
          <w:tcPr>
            <w:tcW w:w="34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r>
      <w:tr>
        <w:trPr>
          <w:trHeight w:val="230"/>
        </w:trPr>
        <w:tc>
          <w:tcPr>
            <w:tcW w:w="6660" w:type="dxa"/>
            <w:vAlign w:val="bottom"/>
            <w:gridSpan w:val="2"/>
            <w:shd w:val="clear" w:color="auto" w:fill="CCEEFF"/>
          </w:tcPr>
          <w:p>
            <w:pPr>
              <w:ind w:left="1240"/>
              <w:spacing w:after="0"/>
              <w:rPr>
                <w:sz w:val="20"/>
                <w:szCs w:val="20"/>
                <w:color w:val="auto"/>
              </w:rPr>
            </w:pPr>
            <w:r>
              <w:rPr>
                <w:rFonts w:ascii="Arial" w:cs="Arial" w:eastAsia="Arial" w:hAnsi="Arial"/>
                <w:sz w:val="18"/>
                <w:szCs w:val="18"/>
                <w:color w:val="auto"/>
              </w:rPr>
              <w:t>Amount:</w:t>
            </w:r>
          </w:p>
        </w:tc>
        <w:tc>
          <w:tcPr>
            <w:tcW w:w="34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19,718,701</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Section 6.17(b) – Minimum Net Leverage Ratio</w:t>
      </w:r>
    </w:p>
    <w:p>
      <w:pPr>
        <w:spacing w:after="0" w:line="225" w:lineRule="exact"/>
        <w:rPr>
          <w:sz w:val="20"/>
          <w:szCs w:val="20"/>
          <w:color w:val="auto"/>
        </w:rPr>
      </w:pPr>
    </w:p>
    <w:p>
      <w:pPr>
        <w:ind w:left="1240" w:right="8160" w:firstLine="3"/>
        <w:spacing w:after="0" w:line="291" w:lineRule="auto"/>
        <w:tabs>
          <w:tab w:leader="none" w:pos="1495" w:val="left"/>
        </w:tabs>
        <w:numPr>
          <w:ilvl w:val="0"/>
          <w:numId w:val="164"/>
        </w:numPr>
        <w:rPr>
          <w:rFonts w:ascii="Arial" w:cs="Arial" w:eastAsia="Arial" w:hAnsi="Arial"/>
          <w:sz w:val="16"/>
          <w:szCs w:val="16"/>
          <w:color w:val="auto"/>
        </w:rPr>
      </w:pPr>
      <w:r>
        <w:rPr>
          <w:rFonts w:ascii="Arial" w:cs="Arial" w:eastAsia="Arial" w:hAnsi="Arial"/>
          <w:sz w:val="16"/>
          <w:szCs w:val="16"/>
          <w:color w:val="auto"/>
        </w:rPr>
        <w:t>Outstanding Principal Amount of Term Loan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-273685</wp:posOffset>
            </wp:positionV>
            <wp:extent cx="7132320" cy="41148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8">
                      <a:extLst>
                        <a:ext uri="{28A0092B-C50C-407E-A947-70E740481C1C}"/>
                      </a:extLst>
                    </a:blip>
                    <a:srcRect/>
                    <a:stretch>
                      <a:fillRect/>
                    </a:stretch>
                  </pic:blipFill>
                  <pic:spPr bwMode="auto">
                    <a:xfrm>
                      <a:off x="0" y="0"/>
                      <a:ext cx="7132320" cy="41148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30"/>
        </w:trPr>
        <w:tc>
          <w:tcPr>
            <w:tcW w:w="7440" w:type="dxa"/>
            <w:vAlign w:val="bottom"/>
            <w:gridSpan w:val="2"/>
          </w:tcPr>
          <w:p>
            <w:pPr>
              <w:ind w:left="1240"/>
              <w:spacing w:after="0"/>
              <w:rPr>
                <w:sz w:val="20"/>
                <w:szCs w:val="20"/>
                <w:color w:val="auto"/>
              </w:rPr>
            </w:pPr>
            <w:r>
              <w:rPr>
                <w:rFonts w:ascii="Arial" w:cs="Arial" w:eastAsia="Arial" w:hAnsi="Arial"/>
                <w:sz w:val="18"/>
                <w:szCs w:val="18"/>
                <w:color w:val="auto"/>
              </w:rPr>
              <w:t>(including any capitalized and accrued PIK Interest):</w:t>
            </w:r>
          </w:p>
        </w:tc>
        <w:tc>
          <w:tcPr>
            <w:tcW w:w="25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55,000,000</w:t>
            </w:r>
          </w:p>
        </w:tc>
      </w:tr>
      <w:tr>
        <w:trPr>
          <w:trHeight w:val="202"/>
        </w:trPr>
        <w:tc>
          <w:tcPr>
            <w:tcW w:w="1480" w:type="dxa"/>
            <w:vAlign w:val="bottom"/>
          </w:tcPr>
          <w:p>
            <w:pPr>
              <w:spacing w:after="0"/>
              <w:rPr>
                <w:sz w:val="17"/>
                <w:szCs w:val="17"/>
                <w:color w:val="auto"/>
              </w:rPr>
            </w:pPr>
          </w:p>
        </w:tc>
        <w:tc>
          <w:tcPr>
            <w:tcW w:w="5960" w:type="dxa"/>
            <w:vAlign w:val="bottom"/>
          </w:tcPr>
          <w:p>
            <w:pPr>
              <w:spacing w:after="0"/>
              <w:rPr>
                <w:sz w:val="17"/>
                <w:szCs w:val="17"/>
                <w:color w:val="auto"/>
              </w:rPr>
            </w:pPr>
          </w:p>
        </w:tc>
        <w:tc>
          <w:tcPr>
            <w:tcW w:w="2560" w:type="dxa"/>
            <w:vAlign w:val="bottom"/>
          </w:tcPr>
          <w:p>
            <w:pPr>
              <w:spacing w:after="0"/>
              <w:rPr>
                <w:sz w:val="17"/>
                <w:szCs w:val="17"/>
                <w:color w:val="auto"/>
              </w:rPr>
            </w:pPr>
          </w:p>
        </w:tc>
        <w:tc>
          <w:tcPr>
            <w:tcW w:w="1240" w:type="dxa"/>
            <w:vAlign w:val="bottom"/>
          </w:tcPr>
          <w:p>
            <w:pPr>
              <w:spacing w:after="0"/>
              <w:rPr>
                <w:sz w:val="17"/>
                <w:szCs w:val="17"/>
                <w:color w:val="auto"/>
              </w:rPr>
            </w:pPr>
          </w:p>
        </w:tc>
      </w:tr>
      <w:tr>
        <w:trPr>
          <w:trHeight w:val="202"/>
        </w:trPr>
        <w:tc>
          <w:tcPr>
            <w:tcW w:w="1480" w:type="dxa"/>
            <w:vAlign w:val="bottom"/>
            <w:shd w:val="clear" w:color="auto" w:fill="CCEEFF"/>
          </w:tcPr>
          <w:p>
            <w:pPr>
              <w:ind w:left="1240"/>
              <w:spacing w:after="0" w:line="201" w:lineRule="exact"/>
              <w:rPr>
                <w:sz w:val="20"/>
                <w:szCs w:val="20"/>
                <w:color w:val="auto"/>
              </w:rPr>
            </w:pPr>
            <w:r>
              <w:rPr>
                <w:rFonts w:ascii="Arial" w:cs="Arial" w:eastAsia="Arial" w:hAnsi="Arial"/>
                <w:sz w:val="18"/>
                <w:szCs w:val="18"/>
                <w:color w:val="auto"/>
                <w:w w:val="99"/>
              </w:rPr>
              <w:t>(2)</w:t>
            </w:r>
          </w:p>
        </w:tc>
        <w:tc>
          <w:tcPr>
            <w:tcW w:w="5960" w:type="dxa"/>
            <w:vAlign w:val="bottom"/>
            <w:shd w:val="clear" w:color="auto" w:fill="CCEEFF"/>
          </w:tcPr>
          <w:p>
            <w:pPr>
              <w:ind w:left="20"/>
              <w:spacing w:after="0" w:line="201" w:lineRule="exact"/>
              <w:rPr>
                <w:sz w:val="20"/>
                <w:szCs w:val="20"/>
                <w:color w:val="auto"/>
              </w:rPr>
            </w:pPr>
            <w:r>
              <w:rPr>
                <w:rFonts w:ascii="Arial" w:cs="Arial" w:eastAsia="Arial" w:hAnsi="Arial"/>
                <w:sz w:val="18"/>
                <w:szCs w:val="18"/>
                <w:color w:val="auto"/>
              </w:rPr>
              <w:t>Unrestricted</w:t>
            </w:r>
          </w:p>
        </w:tc>
        <w:tc>
          <w:tcPr>
            <w:tcW w:w="256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r>
      <w:tr>
        <w:trPr>
          <w:trHeight w:val="230"/>
        </w:trPr>
        <w:tc>
          <w:tcPr>
            <w:tcW w:w="7440" w:type="dxa"/>
            <w:vAlign w:val="bottom"/>
            <w:gridSpan w:val="2"/>
            <w:shd w:val="clear" w:color="auto" w:fill="CCEEFF"/>
          </w:tcPr>
          <w:p>
            <w:pPr>
              <w:ind w:left="1240"/>
              <w:spacing w:after="0"/>
              <w:rPr>
                <w:sz w:val="20"/>
                <w:szCs w:val="20"/>
                <w:color w:val="auto"/>
              </w:rPr>
            </w:pPr>
            <w:r>
              <w:rPr>
                <w:rFonts w:ascii="Arial" w:cs="Arial" w:eastAsia="Arial" w:hAnsi="Arial"/>
                <w:sz w:val="18"/>
                <w:szCs w:val="18"/>
                <w:color w:val="auto"/>
              </w:rPr>
              <w:t>Cash:</w:t>
            </w:r>
          </w:p>
        </w:tc>
        <w:tc>
          <w:tcPr>
            <w:tcW w:w="25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65,056,373</w:t>
            </w:r>
          </w:p>
        </w:tc>
      </w:tr>
      <w:tr>
        <w:trPr>
          <w:trHeight w:val="216"/>
        </w:trPr>
        <w:tc>
          <w:tcPr>
            <w:tcW w:w="1480" w:type="dxa"/>
            <w:vAlign w:val="bottom"/>
          </w:tcPr>
          <w:p>
            <w:pPr>
              <w:spacing w:after="0"/>
              <w:rPr>
                <w:sz w:val="18"/>
                <w:szCs w:val="18"/>
                <w:color w:val="auto"/>
              </w:rPr>
            </w:pPr>
          </w:p>
        </w:tc>
        <w:tc>
          <w:tcPr>
            <w:tcW w:w="596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02"/>
        </w:trPr>
        <w:tc>
          <w:tcPr>
            <w:tcW w:w="1480" w:type="dxa"/>
            <w:vAlign w:val="bottom"/>
            <w:shd w:val="clear" w:color="auto" w:fill="CCEEFF"/>
          </w:tcPr>
          <w:p>
            <w:pPr>
              <w:ind w:left="1240"/>
              <w:spacing w:after="0" w:line="201" w:lineRule="exact"/>
              <w:rPr>
                <w:sz w:val="20"/>
                <w:szCs w:val="20"/>
                <w:color w:val="auto"/>
              </w:rPr>
            </w:pPr>
            <w:r>
              <w:rPr>
                <w:rFonts w:ascii="Arial" w:cs="Arial" w:eastAsia="Arial" w:hAnsi="Arial"/>
                <w:sz w:val="18"/>
                <w:szCs w:val="18"/>
                <w:color w:val="auto"/>
                <w:w w:val="99"/>
              </w:rPr>
              <w:t>(3)</w:t>
            </w:r>
          </w:p>
        </w:tc>
        <w:tc>
          <w:tcPr>
            <w:tcW w:w="5960" w:type="dxa"/>
            <w:vAlign w:val="bottom"/>
            <w:shd w:val="clear" w:color="auto" w:fill="CCEEFF"/>
          </w:tcPr>
          <w:p>
            <w:pPr>
              <w:ind w:left="20"/>
              <w:spacing w:after="0" w:line="201" w:lineRule="exact"/>
              <w:rPr>
                <w:sz w:val="20"/>
                <w:szCs w:val="20"/>
                <w:color w:val="auto"/>
              </w:rPr>
            </w:pPr>
            <w:r>
              <w:rPr>
                <w:rFonts w:ascii="Arial" w:cs="Arial" w:eastAsia="Arial" w:hAnsi="Arial"/>
                <w:sz w:val="18"/>
                <w:szCs w:val="18"/>
                <w:color w:val="auto"/>
              </w:rPr>
              <w:t>Item (1) minus Item(2)</w:t>
            </w:r>
          </w:p>
        </w:tc>
        <w:tc>
          <w:tcPr>
            <w:tcW w:w="256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r>
      <w:tr>
        <w:trPr>
          <w:trHeight w:val="230"/>
        </w:trPr>
        <w:tc>
          <w:tcPr>
            <w:tcW w:w="7440" w:type="dxa"/>
            <w:vAlign w:val="bottom"/>
            <w:gridSpan w:val="2"/>
            <w:shd w:val="clear" w:color="auto" w:fill="CCEEFF"/>
          </w:tcPr>
          <w:p>
            <w:pPr>
              <w:ind w:left="12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Net Leverage)</w:t>
            </w:r>
            <w:r>
              <w:rPr>
                <w:rFonts w:ascii="Arial" w:cs="Arial" w:eastAsia="Arial" w:hAnsi="Arial"/>
                <w:sz w:val="18"/>
                <w:szCs w:val="18"/>
                <w:color w:val="auto"/>
              </w:rPr>
              <w:t>:</w:t>
            </w:r>
          </w:p>
        </w:tc>
        <w:tc>
          <w:tcPr>
            <w:tcW w:w="25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(10,056,373)</w:t>
            </w:r>
          </w:p>
        </w:tc>
      </w:tr>
      <w:tr>
        <w:trPr>
          <w:trHeight w:val="216"/>
        </w:trPr>
        <w:tc>
          <w:tcPr>
            <w:tcW w:w="7440" w:type="dxa"/>
            <w:vAlign w:val="bottom"/>
            <w:gridSpan w:val="2"/>
          </w:tcPr>
          <w:p>
            <w:pPr>
              <w:spacing w:after="0"/>
              <w:rPr>
                <w:sz w:val="18"/>
                <w:szCs w:val="18"/>
                <w:color w:val="auto"/>
              </w:rPr>
            </w:pPr>
          </w:p>
        </w:tc>
        <w:tc>
          <w:tcPr>
            <w:tcW w:w="256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16"/>
        </w:trPr>
        <w:tc>
          <w:tcPr>
            <w:tcW w:w="7440" w:type="dxa"/>
            <w:vAlign w:val="bottom"/>
            <w:gridSpan w:val="2"/>
            <w:shd w:val="clear" w:color="auto" w:fill="CCEEFF"/>
          </w:tcPr>
          <w:p>
            <w:pPr>
              <w:ind w:left="1240"/>
              <w:spacing w:after="0"/>
              <w:rPr>
                <w:sz w:val="20"/>
                <w:szCs w:val="20"/>
                <w:color w:val="auto"/>
              </w:rPr>
            </w:pPr>
            <w:r>
              <w:rPr>
                <w:rFonts w:ascii="Arial" w:cs="Arial" w:eastAsia="Arial" w:hAnsi="Arial"/>
                <w:sz w:val="18"/>
                <w:szCs w:val="18"/>
                <w:color w:val="auto"/>
              </w:rPr>
              <w:t>(4) Annual Platform Revenue:</w:t>
            </w:r>
          </w:p>
        </w:tc>
        <w:tc>
          <w:tcPr>
            <w:tcW w:w="25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21,085,488</w:t>
            </w:r>
          </w:p>
        </w:tc>
      </w:tr>
      <w:tr>
        <w:trPr>
          <w:trHeight w:val="216"/>
        </w:trPr>
        <w:tc>
          <w:tcPr>
            <w:tcW w:w="1480" w:type="dxa"/>
            <w:vAlign w:val="bottom"/>
          </w:tcPr>
          <w:p>
            <w:pPr>
              <w:spacing w:after="0"/>
              <w:rPr>
                <w:sz w:val="18"/>
                <w:szCs w:val="18"/>
                <w:color w:val="auto"/>
              </w:rPr>
            </w:pPr>
          </w:p>
        </w:tc>
        <w:tc>
          <w:tcPr>
            <w:tcW w:w="596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16"/>
        </w:trPr>
        <w:tc>
          <w:tcPr>
            <w:tcW w:w="1480" w:type="dxa"/>
            <w:vAlign w:val="bottom"/>
            <w:shd w:val="clear" w:color="auto" w:fill="CCEEFF"/>
          </w:tcPr>
          <w:p>
            <w:pPr>
              <w:ind w:left="1240"/>
              <w:spacing w:after="0"/>
              <w:rPr>
                <w:sz w:val="20"/>
                <w:szCs w:val="20"/>
                <w:color w:val="auto"/>
              </w:rPr>
            </w:pPr>
            <w:r>
              <w:rPr>
                <w:rFonts w:ascii="Arial" w:cs="Arial" w:eastAsia="Arial" w:hAnsi="Arial"/>
                <w:sz w:val="18"/>
                <w:szCs w:val="18"/>
                <w:i w:val="1"/>
                <w:iCs w:val="1"/>
                <w:color w:val="auto"/>
                <w:w w:val="99"/>
              </w:rPr>
              <w:t>(5)</w:t>
            </w:r>
          </w:p>
        </w:tc>
        <w:tc>
          <w:tcPr>
            <w:tcW w:w="5960" w:type="dxa"/>
            <w:vAlign w:val="bottom"/>
            <w:shd w:val="clear" w:color="auto" w:fill="CCEEFF"/>
          </w:tcPr>
          <w:p>
            <w:pPr>
              <w:ind w:left="20"/>
              <w:spacing w:after="0"/>
              <w:rPr>
                <w:sz w:val="20"/>
                <w:szCs w:val="20"/>
                <w:color w:val="auto"/>
              </w:rPr>
            </w:pPr>
            <w:r>
              <w:rPr>
                <w:rFonts w:ascii="Arial" w:cs="Arial" w:eastAsia="Arial" w:hAnsi="Arial"/>
                <w:sz w:val="18"/>
                <w:szCs w:val="18"/>
                <w:i w:val="1"/>
                <w:iCs w:val="1"/>
                <w:color w:val="auto"/>
              </w:rPr>
              <w:t>Ratio of Item (3) to Item (4) (Net Leverage Ratio):</w:t>
            </w:r>
          </w:p>
        </w:tc>
        <w:tc>
          <w:tcPr>
            <w:tcW w:w="256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(0.48) to 1.00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783080" cy="171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9">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22" w:lineRule="exact"/>
        <w:rPr>
          <w:sz w:val="20"/>
          <w:szCs w:val="20"/>
          <w:color w:val="auto"/>
        </w:rPr>
      </w:pPr>
    </w:p>
    <w:p>
      <w:pPr>
        <w:ind w:left="340" w:hanging="332"/>
        <w:spacing w:after="0" w:line="277" w:lineRule="auto"/>
        <w:tabs>
          <w:tab w:leader="none" w:pos="340" w:val="left"/>
        </w:tabs>
        <w:numPr>
          <w:ilvl w:val="0"/>
          <w:numId w:val="165"/>
        </w:numPr>
        <w:rPr>
          <w:rFonts w:ascii="Arial" w:cs="Arial" w:eastAsia="Arial" w:hAnsi="Arial"/>
          <w:sz w:val="15"/>
          <w:szCs w:val="15"/>
          <w:color w:val="auto"/>
        </w:rPr>
      </w:pPr>
      <w:r>
        <w:rPr>
          <w:rFonts w:ascii="Arial" w:cs="Arial" w:eastAsia="Arial" w:hAnsi="Arial"/>
          <w:sz w:val="18"/>
          <w:szCs w:val="18"/>
          <w:color w:val="auto"/>
        </w:rPr>
        <w:t>Note: This Exhibit E shows an illustrative calculation of the financial covenants in Section 6.17(a) and Section 6.17(b) of the Credit Agreement, as if such calculations were being made for the period ending as of June 30, 2022.</w:t>
      </w: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170" w:name="page171"/>
    <w:bookmarkEnd w:id="170"/>
    <w:p>
      <w:pPr>
        <w:jc w:val="right"/>
        <w:spacing w:after="0"/>
        <w:rPr>
          <w:sz w:val="20"/>
          <w:szCs w:val="20"/>
          <w:color w:val="auto"/>
        </w:rPr>
      </w:pPr>
      <w:r>
        <w:rPr>
          <w:rFonts w:ascii="Arial" w:cs="Arial" w:eastAsia="Arial" w:hAnsi="Arial"/>
          <w:sz w:val="18"/>
          <w:szCs w:val="18"/>
          <w:b w:val="1"/>
          <w:bCs w:val="1"/>
          <w:color w:val="auto"/>
        </w:rPr>
        <w:t>Exhibit 10.4</w:t>
      </w: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b w:val="1"/>
          <w:bCs w:val="1"/>
          <w:i w:val="1"/>
          <w:iCs w:val="1"/>
          <w:color w:val="auto"/>
        </w:rPr>
        <w:t>Execution Version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 La Carte, LLC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816 Hamilton St.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Redwood City, CA 94063</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SECOND AMENDED AND RESTATED FEE LETTER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May 22, 2023</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Metropolitan Partners Group Administration,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850 Third Avenue, 18th Floor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NY 10022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Attention: Paul Lisiak</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Re: Credit Agreement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jc w:val="both"/>
        <w:ind w:firstLine="1296"/>
        <w:spacing w:after="0" w:line="273" w:lineRule="auto"/>
        <w:rPr>
          <w:sz w:val="20"/>
          <w:szCs w:val="20"/>
          <w:color w:val="auto"/>
        </w:rPr>
      </w:pPr>
      <w:r>
        <w:rPr>
          <w:rFonts w:ascii="Arial" w:cs="Arial" w:eastAsia="Arial" w:hAnsi="Arial"/>
          <w:sz w:val="17"/>
          <w:szCs w:val="17"/>
          <w:color w:val="auto"/>
        </w:rPr>
        <w:t>Reference is hereby made to, and this fee letter (as amended, restated, supplemented or otherwise modified from time to time, the “</w:t>
      </w:r>
      <w:r>
        <w:rPr>
          <w:rFonts w:ascii="Arial" w:cs="Arial" w:eastAsia="Arial" w:hAnsi="Arial"/>
          <w:sz w:val="17"/>
          <w:szCs w:val="17"/>
          <w:b w:val="1"/>
          <w:bCs w:val="1"/>
          <w:i w:val="1"/>
          <w:iCs w:val="1"/>
          <w:color w:val="auto"/>
        </w:rPr>
        <w:t>Fee</w:t>
      </w:r>
      <w:r>
        <w:rPr>
          <w:rFonts w:ascii="Arial" w:cs="Arial" w:eastAsia="Arial" w:hAnsi="Arial"/>
          <w:sz w:val="17"/>
          <w:szCs w:val="17"/>
          <w:color w:val="auto"/>
        </w:rPr>
        <w:t xml:space="preserve"> </w:t>
      </w:r>
      <w:r>
        <w:rPr>
          <w:rFonts w:ascii="Arial" w:cs="Arial" w:eastAsia="Arial" w:hAnsi="Arial"/>
          <w:sz w:val="17"/>
          <w:szCs w:val="17"/>
          <w:b w:val="1"/>
          <w:bCs w:val="1"/>
          <w:i w:val="1"/>
          <w:iCs w:val="1"/>
          <w:color w:val="auto"/>
        </w:rPr>
        <w:t>Letter</w:t>
      </w:r>
      <w:r>
        <w:rPr>
          <w:rFonts w:ascii="Arial" w:cs="Arial" w:eastAsia="Arial" w:hAnsi="Arial"/>
          <w:sz w:val="17"/>
          <w:szCs w:val="17"/>
          <w:color w:val="auto"/>
        </w:rPr>
        <w:t>”) is hereby incorporated by reference into, the Credit Agreement, dated as of September 21, 2022 (as amended, restated, supplemented or otherwise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modified from time to time, the “</w:t>
      </w:r>
      <w:r>
        <w:rPr>
          <w:rFonts w:ascii="Arial" w:cs="Arial" w:eastAsia="Arial" w:hAnsi="Arial"/>
          <w:sz w:val="17"/>
          <w:szCs w:val="17"/>
          <w:b w:val="1"/>
          <w:bCs w:val="1"/>
          <w:i w:val="1"/>
          <w:iCs w:val="1"/>
          <w:color w:val="auto"/>
        </w:rPr>
        <w:t>Credit Agreement</w:t>
      </w:r>
      <w:r>
        <w:rPr>
          <w:rFonts w:ascii="Arial" w:cs="Arial" w:eastAsia="Arial" w:hAnsi="Arial"/>
          <w:sz w:val="17"/>
          <w:szCs w:val="17"/>
          <w:color w:val="auto"/>
        </w:rPr>
        <w:t>”), among E La Carte, LLC, a Delaware limited liability company (the “</w:t>
      </w:r>
      <w:r>
        <w:rPr>
          <w:rFonts w:ascii="Arial" w:cs="Arial" w:eastAsia="Arial" w:hAnsi="Arial"/>
          <w:sz w:val="17"/>
          <w:szCs w:val="17"/>
          <w:b w:val="1"/>
          <w:bCs w:val="1"/>
          <w:i w:val="1"/>
          <w:iCs w:val="1"/>
          <w:color w:val="auto"/>
        </w:rPr>
        <w:t>Borrower</w:t>
      </w:r>
      <w:r>
        <w:rPr>
          <w:rFonts w:ascii="Arial" w:cs="Arial" w:eastAsia="Arial" w:hAnsi="Arial"/>
          <w:sz w:val="17"/>
          <w:szCs w:val="17"/>
          <w:color w:val="auto"/>
        </w:rPr>
        <w:t>”), Presto Automation Inc., a Delaware corporation, the lenders from time to time party thereto (the “</w:t>
      </w:r>
      <w:r>
        <w:rPr>
          <w:rFonts w:ascii="Arial" w:cs="Arial" w:eastAsia="Arial" w:hAnsi="Arial"/>
          <w:sz w:val="17"/>
          <w:szCs w:val="17"/>
          <w:b w:val="1"/>
          <w:bCs w:val="1"/>
          <w:i w:val="1"/>
          <w:iCs w:val="1"/>
          <w:color w:val="auto"/>
        </w:rPr>
        <w:t>Lenders</w:t>
      </w:r>
      <w:r>
        <w:rPr>
          <w:rFonts w:ascii="Arial" w:cs="Arial" w:eastAsia="Arial" w:hAnsi="Arial"/>
          <w:sz w:val="17"/>
          <w:szCs w:val="17"/>
          <w:color w:val="auto"/>
        </w:rPr>
        <w:t>”), Metropolitan Partners Group Administration LLC, as administrative, payment and collateral agent for itself, as a Lender and for the other Lenders (the “</w:t>
      </w:r>
      <w:r>
        <w:rPr>
          <w:rFonts w:ascii="Arial" w:cs="Arial" w:eastAsia="Arial" w:hAnsi="Arial"/>
          <w:sz w:val="17"/>
          <w:szCs w:val="17"/>
          <w:b w:val="1"/>
          <w:bCs w:val="1"/>
          <w:i w:val="1"/>
          <w:iCs w:val="1"/>
          <w:color w:val="auto"/>
        </w:rPr>
        <w:t>Agent</w:t>
      </w:r>
      <w:r>
        <w:rPr>
          <w:rFonts w:ascii="Arial" w:cs="Arial" w:eastAsia="Arial" w:hAnsi="Arial"/>
          <w:sz w:val="17"/>
          <w:szCs w:val="17"/>
          <w:color w:val="auto"/>
        </w:rPr>
        <w:t>”). Any capitalized term used but not defined herein shall have the meaning assigned to such term in the Credit Agreement.</w:t>
      </w:r>
    </w:p>
    <w:p>
      <w:pPr>
        <w:spacing w:after="0" w:line="178" w:lineRule="exact"/>
        <w:rPr>
          <w:sz w:val="20"/>
          <w:szCs w:val="20"/>
          <w:color w:val="auto"/>
        </w:rPr>
      </w:pPr>
    </w:p>
    <w:p>
      <w:pPr>
        <w:jc w:val="both"/>
        <w:ind w:firstLine="1296"/>
        <w:spacing w:after="0" w:line="277" w:lineRule="auto"/>
        <w:rPr>
          <w:sz w:val="20"/>
          <w:szCs w:val="20"/>
          <w:color w:val="auto"/>
        </w:rPr>
      </w:pPr>
      <w:r>
        <w:rPr>
          <w:rFonts w:ascii="Arial" w:cs="Arial" w:eastAsia="Arial" w:hAnsi="Arial"/>
          <w:sz w:val="18"/>
          <w:szCs w:val="18"/>
          <w:color w:val="auto"/>
        </w:rPr>
        <w:t>WHEREAS, the parties hereto desire to set forth certain agreements and understandings with respect to payments to be made in connection with the Credit Agreement.</w:t>
      </w:r>
    </w:p>
    <w:p>
      <w:pPr>
        <w:spacing w:after="0" w:line="170" w:lineRule="exact"/>
        <w:rPr>
          <w:sz w:val="20"/>
          <w:szCs w:val="20"/>
          <w:color w:val="auto"/>
        </w:rPr>
      </w:pPr>
    </w:p>
    <w:p>
      <w:pPr>
        <w:jc w:val="both"/>
        <w:ind w:firstLine="1296"/>
        <w:spacing w:after="0" w:line="277" w:lineRule="auto"/>
        <w:rPr>
          <w:sz w:val="20"/>
          <w:szCs w:val="20"/>
          <w:color w:val="auto"/>
        </w:rPr>
      </w:pPr>
      <w:r>
        <w:rPr>
          <w:rFonts w:ascii="Arial" w:cs="Arial" w:eastAsia="Arial" w:hAnsi="Arial"/>
          <w:sz w:val="18"/>
          <w:szCs w:val="18"/>
          <w:color w:val="auto"/>
        </w:rPr>
        <w:t>NOW, THEREFORE, in consideration of the mutual agreements contained herein, and other good and valuable consideration, the receipt and sufficiency of which are hereby acknowledged, the parties hereto agree as follows:</w:t>
      </w:r>
    </w:p>
    <w:p>
      <w:pPr>
        <w:spacing w:after="0" w:line="170" w:lineRule="exact"/>
        <w:rPr>
          <w:sz w:val="20"/>
          <w:szCs w:val="20"/>
          <w:color w:val="auto"/>
        </w:rPr>
      </w:pPr>
    </w:p>
    <w:p>
      <w:pPr>
        <w:jc w:val="both"/>
        <w:ind w:firstLine="1296"/>
        <w:spacing w:after="0" w:line="257" w:lineRule="auto"/>
        <w:rPr>
          <w:sz w:val="20"/>
          <w:szCs w:val="20"/>
          <w:color w:val="auto"/>
        </w:rPr>
      </w:pPr>
      <w:r>
        <w:rPr>
          <w:rFonts w:ascii="Arial" w:cs="Arial" w:eastAsia="Arial" w:hAnsi="Arial"/>
          <w:sz w:val="18"/>
          <w:szCs w:val="18"/>
          <w:color w:val="auto"/>
        </w:rPr>
        <w:t xml:space="preserve">Section 1. </w:t>
      </w:r>
      <w:r>
        <w:rPr>
          <w:rFonts w:ascii="Arial" w:cs="Arial" w:eastAsia="Arial" w:hAnsi="Arial"/>
          <w:sz w:val="18"/>
          <w:szCs w:val="18"/>
          <w:u w:val="single" w:color="auto"/>
          <w:color w:val="auto"/>
        </w:rPr>
        <w:t>Onboarding Fee</w:t>
      </w:r>
      <w:r>
        <w:rPr>
          <w:rFonts w:ascii="Arial" w:cs="Arial" w:eastAsia="Arial" w:hAnsi="Arial"/>
          <w:sz w:val="18"/>
          <w:szCs w:val="18"/>
          <w:color w:val="auto"/>
        </w:rPr>
        <w:t>. In connection with and in consideration of entering into the Credit Agreement and related Loan Documents upon the terms set forth therein, the Borrower agrees to pay to the Agent on the Closing Date (for its own account) an onboarding fee equal to $500,000 (the “</w:t>
      </w:r>
      <w:r>
        <w:rPr>
          <w:rFonts w:ascii="Arial" w:cs="Arial" w:eastAsia="Arial" w:hAnsi="Arial"/>
          <w:sz w:val="18"/>
          <w:szCs w:val="18"/>
          <w:b w:val="1"/>
          <w:bCs w:val="1"/>
          <w:i w:val="1"/>
          <w:iCs w:val="1"/>
          <w:color w:val="auto"/>
        </w:rPr>
        <w:t>Onboarding Fee</w:t>
      </w:r>
      <w:r>
        <w:rPr>
          <w:rFonts w:ascii="Arial" w:cs="Arial" w:eastAsia="Arial" w:hAnsi="Arial"/>
          <w:sz w:val="18"/>
          <w:szCs w:val="18"/>
          <w:color w:val="auto"/>
        </w:rPr>
        <w:t>”), which Onboarding Fee shall be non-refundable for any reason and fully earned and paid on the Closing Date. Payment of the Onboarding Fee shall be made in Dollars, by wire transfer of immediately available funds, to the account designated by Agent in writing to Borrower, without deduction, set-off or counterclaim.</w:t>
      </w:r>
    </w:p>
    <w:p>
      <w:pPr>
        <w:spacing w:after="0" w:line="188" w:lineRule="exact"/>
        <w:rPr>
          <w:sz w:val="20"/>
          <w:szCs w:val="20"/>
          <w:color w:val="auto"/>
        </w:rPr>
      </w:pPr>
    </w:p>
    <w:p>
      <w:pPr>
        <w:jc w:val="both"/>
        <w:ind w:firstLine="1296"/>
        <w:spacing w:after="0" w:line="289" w:lineRule="auto"/>
        <w:rPr>
          <w:sz w:val="20"/>
          <w:szCs w:val="20"/>
          <w:color w:val="auto"/>
        </w:rPr>
      </w:pPr>
      <w:r>
        <w:rPr>
          <w:rFonts w:ascii="Arial" w:cs="Arial" w:eastAsia="Arial" w:hAnsi="Arial"/>
          <w:sz w:val="16"/>
          <w:szCs w:val="16"/>
          <w:color w:val="auto"/>
        </w:rPr>
        <w:t xml:space="preserve">Section 2. </w:t>
      </w:r>
      <w:r>
        <w:rPr>
          <w:rFonts w:ascii="Arial" w:cs="Arial" w:eastAsia="Arial" w:hAnsi="Arial"/>
          <w:sz w:val="16"/>
          <w:szCs w:val="16"/>
          <w:u w:val="single" w:color="auto"/>
          <w:color w:val="auto"/>
        </w:rPr>
        <w:t>Monitoring Fee</w:t>
      </w:r>
      <w:r>
        <w:rPr>
          <w:rFonts w:ascii="Arial" w:cs="Arial" w:eastAsia="Arial" w:hAnsi="Arial"/>
          <w:sz w:val="16"/>
          <w:szCs w:val="16"/>
          <w:color w:val="auto"/>
        </w:rPr>
        <w:t>. In connection with and in consideration of entering into the Credit Agreement and the related Loan Documents upon the terms set forth therein, Borrower shall pay Agent (for its own account), in immediately available funds, which shall be non-refundable and fully earned when paid, a quarterly fee (the “</w:t>
      </w:r>
      <w:r>
        <w:rPr>
          <w:rFonts w:ascii="Arial" w:cs="Arial" w:eastAsia="Arial" w:hAnsi="Arial"/>
          <w:sz w:val="16"/>
          <w:szCs w:val="16"/>
          <w:b w:val="1"/>
          <w:bCs w:val="1"/>
          <w:i w:val="1"/>
          <w:iCs w:val="1"/>
          <w:color w:val="auto"/>
        </w:rPr>
        <w:t>Monitoring Fee</w:t>
      </w:r>
      <w:r>
        <w:rPr>
          <w:rFonts w:ascii="Arial" w:cs="Arial" w:eastAsia="Arial" w:hAnsi="Arial"/>
          <w:sz w:val="16"/>
          <w:szCs w:val="16"/>
          <w:color w:val="auto"/>
        </w:rPr>
        <w:t>”) in the amount of $125,000, paid quarterly in arrears on the first day of each Fiscal Quarter of the Loan Parties in respect of the immediately preceding Fiscal Quarter, commencing on the first day of the first full Fiscal Quarter immediately following the Closing Date; provided, that, notwithstanding the foregoing, the Monitoring Fee for the first Fiscal Quarter shall be immediately earned and due and payable on the Closing Date and shall be non-refundable. Upon the occurrence and during the continuance of an Event of Default, the Monitoring Fee shall be increased to $187,500. The Borrower and Parent each acknowledge and agrees that the Monitoring Fee constitutes compensation for services rendered and does not constitute interest or a charge for the use of money. All payments of the Monitoring Fee shall be made in Dollars, by wire transfer of immediately available funds, to the account designated by Agent in writing to the Borrower without deduction, set off or counterclaim.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405765</wp:posOffset>
            </wp:positionV>
            <wp:extent cx="7132320" cy="171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1" w:name="page172"/>
    <w:bookmarkEnd w:id="171"/>
    <w:p>
      <w:pPr>
        <w:jc w:val="both"/>
        <w:ind w:firstLine="1296"/>
        <w:spacing w:after="0" w:line="257" w:lineRule="auto"/>
        <w:rPr>
          <w:sz w:val="20"/>
          <w:szCs w:val="20"/>
          <w:color w:val="auto"/>
        </w:rPr>
      </w:pPr>
      <w:r>
        <w:rPr>
          <w:rFonts w:ascii="Arial" w:cs="Arial" w:eastAsia="Arial" w:hAnsi="Arial"/>
          <w:sz w:val="18"/>
          <w:szCs w:val="18"/>
          <w:color w:val="auto"/>
        </w:rPr>
        <w:t xml:space="preserve">Section 3. </w:t>
      </w:r>
      <w:r>
        <w:rPr>
          <w:rFonts w:ascii="Arial" w:cs="Arial" w:eastAsia="Arial" w:hAnsi="Arial"/>
          <w:sz w:val="18"/>
          <w:szCs w:val="18"/>
          <w:u w:val="single" w:color="auto"/>
          <w:color w:val="auto"/>
        </w:rPr>
        <w:t>First Amendment Fee</w:t>
      </w:r>
      <w:r>
        <w:rPr>
          <w:rFonts w:ascii="Arial" w:cs="Arial" w:eastAsia="Arial" w:hAnsi="Arial"/>
          <w:sz w:val="18"/>
          <w:szCs w:val="18"/>
          <w:color w:val="auto"/>
        </w:rPr>
        <w:t>. In connection with and in consideration of entering into the First Amendment and the related Loan Documents upon the terms set forth therein, Borrower shall pay to the Agent on the First Amendment Effective Date (for its own account), an amendment fee equal to $200,000 (the “</w:t>
      </w:r>
      <w:r>
        <w:rPr>
          <w:rFonts w:ascii="Arial" w:cs="Arial" w:eastAsia="Arial" w:hAnsi="Arial"/>
          <w:sz w:val="18"/>
          <w:szCs w:val="18"/>
          <w:b w:val="1"/>
          <w:bCs w:val="1"/>
          <w:i w:val="1"/>
          <w:iCs w:val="1"/>
          <w:color w:val="auto"/>
        </w:rPr>
        <w:t>Amendment Fee</w:t>
      </w:r>
      <w:r>
        <w:rPr>
          <w:rFonts w:ascii="Arial" w:cs="Arial" w:eastAsia="Arial" w:hAnsi="Arial"/>
          <w:sz w:val="18"/>
          <w:szCs w:val="18"/>
          <w:color w:val="auto"/>
        </w:rPr>
        <w:t>”), which Amendment Fee shall be non-refundable for any reason and fully earned and paid on the First Amendment Effective Date. Payment of the Amendment Fee shall be made in Dollars, by wire transfer of immediately available funds, to the account designated by Agent in writing to Borrower, without deduction, set-off or counterclaim.</w:t>
      </w:r>
    </w:p>
    <w:p>
      <w:pPr>
        <w:spacing w:after="0" w:line="188" w:lineRule="exact"/>
        <w:rPr>
          <w:sz w:val="20"/>
          <w:szCs w:val="20"/>
          <w:color w:val="auto"/>
        </w:rPr>
      </w:pPr>
    </w:p>
    <w:p>
      <w:pPr>
        <w:jc w:val="both"/>
        <w:ind w:firstLine="1296"/>
        <w:spacing w:after="0" w:line="279" w:lineRule="auto"/>
        <w:rPr>
          <w:sz w:val="20"/>
          <w:szCs w:val="20"/>
          <w:color w:val="auto"/>
        </w:rPr>
      </w:pPr>
      <w:r>
        <w:rPr>
          <w:rFonts w:ascii="Arial" w:cs="Arial" w:eastAsia="Arial" w:hAnsi="Arial"/>
          <w:sz w:val="17"/>
          <w:szCs w:val="17"/>
          <w:color w:val="auto"/>
        </w:rPr>
        <w:t xml:space="preserve">Section 4. </w:t>
      </w:r>
      <w:r>
        <w:rPr>
          <w:rFonts w:ascii="Arial" w:cs="Arial" w:eastAsia="Arial" w:hAnsi="Arial"/>
          <w:sz w:val="17"/>
          <w:szCs w:val="17"/>
          <w:u w:val="single" w:color="auto"/>
          <w:color w:val="auto"/>
        </w:rPr>
        <w:t>First Amendment Warrants</w:t>
      </w:r>
      <w:r>
        <w:rPr>
          <w:rFonts w:ascii="Arial" w:cs="Arial" w:eastAsia="Arial" w:hAnsi="Arial"/>
          <w:sz w:val="17"/>
          <w:szCs w:val="17"/>
          <w:color w:val="auto"/>
        </w:rPr>
        <w:t>. In connection with and as additional consideration for entering into the First Amendment and the related Loan Documents upon the terms set forth therein, on the First Amendment Effect Date, Parent shall execute and deliver to each Lender in proportion to each Lender’s Term Loan Commitment as of the First Amendment Effective Date, the First Amendment Warrants. The First Amendment Warrants shall be non-refundable for any reason and fully earned on the First Amendment Effective Date.</w:t>
      </w:r>
    </w:p>
    <w:p>
      <w:pPr>
        <w:spacing w:after="0" w:line="171" w:lineRule="exact"/>
        <w:rPr>
          <w:sz w:val="20"/>
          <w:szCs w:val="20"/>
          <w:color w:val="auto"/>
        </w:rPr>
      </w:pPr>
    </w:p>
    <w:p>
      <w:pPr>
        <w:jc w:val="both"/>
        <w:ind w:firstLine="1296"/>
        <w:spacing w:after="0" w:line="279" w:lineRule="auto"/>
        <w:rPr>
          <w:sz w:val="20"/>
          <w:szCs w:val="20"/>
          <w:color w:val="auto"/>
        </w:rPr>
      </w:pPr>
      <w:r>
        <w:rPr>
          <w:rFonts w:ascii="Arial" w:cs="Arial" w:eastAsia="Arial" w:hAnsi="Arial"/>
          <w:sz w:val="17"/>
          <w:szCs w:val="17"/>
          <w:color w:val="auto"/>
        </w:rPr>
        <w:t xml:space="preserve">Section 5. </w:t>
      </w:r>
      <w:r>
        <w:rPr>
          <w:rFonts w:ascii="Arial" w:cs="Arial" w:eastAsia="Arial" w:hAnsi="Arial"/>
          <w:sz w:val="17"/>
          <w:szCs w:val="17"/>
          <w:u w:val="single" w:color="auto"/>
          <w:color w:val="auto"/>
        </w:rPr>
        <w:t>Second Amendment Warrants</w:t>
      </w:r>
      <w:r>
        <w:rPr>
          <w:rFonts w:ascii="Arial" w:cs="Arial" w:eastAsia="Arial" w:hAnsi="Arial"/>
          <w:sz w:val="17"/>
          <w:szCs w:val="17"/>
          <w:color w:val="auto"/>
        </w:rPr>
        <w:t>. In connection with and as additional consideration for entering into the Second Amendment and the related Loan Documents upon the terms set forth therein, on the Second Amendment Effective Date, Parent shall execute and deliver to each Lender in proportion to each Lender’s Term Loan Commitment as of the Second Amendment Effective Date, the Second Amendment Warrants. The Second Amendment Warrants shall be non-refundable for any reason and fully earned on the Second Amendment Effective Date.</w:t>
      </w:r>
    </w:p>
    <w:p>
      <w:pPr>
        <w:spacing w:after="0" w:line="171" w:lineRule="exact"/>
        <w:rPr>
          <w:sz w:val="20"/>
          <w:szCs w:val="20"/>
          <w:color w:val="auto"/>
        </w:rPr>
      </w:pPr>
    </w:p>
    <w:p>
      <w:pPr>
        <w:jc w:val="both"/>
        <w:ind w:firstLine="1296"/>
        <w:spacing w:after="0" w:line="277" w:lineRule="auto"/>
        <w:rPr>
          <w:sz w:val="20"/>
          <w:szCs w:val="20"/>
          <w:color w:val="auto"/>
        </w:rPr>
      </w:pPr>
      <w:r>
        <w:rPr>
          <w:rFonts w:ascii="Arial" w:cs="Arial" w:eastAsia="Arial" w:hAnsi="Arial"/>
          <w:sz w:val="18"/>
          <w:szCs w:val="18"/>
          <w:color w:val="auto"/>
        </w:rPr>
        <w:t xml:space="preserve">Section 6. </w:t>
      </w:r>
      <w:r>
        <w:rPr>
          <w:rFonts w:ascii="Arial" w:cs="Arial" w:eastAsia="Arial" w:hAnsi="Arial"/>
          <w:sz w:val="18"/>
          <w:szCs w:val="18"/>
          <w:u w:val="single" w:color="auto"/>
          <w:color w:val="auto"/>
        </w:rPr>
        <w:t>Severability</w:t>
      </w:r>
      <w:r>
        <w:rPr>
          <w:rFonts w:ascii="Arial" w:cs="Arial" w:eastAsia="Arial" w:hAnsi="Arial"/>
          <w:sz w:val="18"/>
          <w:szCs w:val="18"/>
          <w:color w:val="auto"/>
        </w:rPr>
        <w:t>. Each provision and agreement herein shall be treated as separate and independent from any other provision or agreement herein and shall be enforceable notwithstanding the unenforceability of any such other provision or agreement.</w:t>
      </w:r>
    </w:p>
    <w:p>
      <w:pPr>
        <w:spacing w:after="0" w:line="166" w:lineRule="exact"/>
        <w:rPr>
          <w:sz w:val="20"/>
          <w:szCs w:val="20"/>
          <w:color w:val="auto"/>
        </w:rPr>
      </w:pPr>
    </w:p>
    <w:p>
      <w:pPr>
        <w:jc w:val="both"/>
        <w:ind w:firstLine="1296"/>
        <w:spacing w:after="0" w:line="266" w:lineRule="auto"/>
        <w:rPr>
          <w:sz w:val="20"/>
          <w:szCs w:val="20"/>
          <w:color w:val="auto"/>
        </w:rPr>
      </w:pPr>
      <w:r>
        <w:rPr>
          <w:rFonts w:ascii="Arial" w:cs="Arial" w:eastAsia="Arial" w:hAnsi="Arial"/>
          <w:sz w:val="18"/>
          <w:szCs w:val="18"/>
          <w:color w:val="auto"/>
        </w:rPr>
        <w:t xml:space="preserve">Section 7. </w:t>
      </w:r>
      <w:r>
        <w:rPr>
          <w:rFonts w:ascii="Arial" w:cs="Arial" w:eastAsia="Arial" w:hAnsi="Arial"/>
          <w:sz w:val="18"/>
          <w:szCs w:val="18"/>
          <w:b w:val="1"/>
          <w:bCs w:val="1"/>
          <w:u w:val="single" w:color="auto"/>
          <w:color w:val="auto"/>
        </w:rPr>
        <w:t>GOVERNING LAW</w:t>
      </w:r>
      <w:r>
        <w:rPr>
          <w:rFonts w:ascii="Arial" w:cs="Arial" w:eastAsia="Arial" w:hAnsi="Arial"/>
          <w:sz w:val="18"/>
          <w:szCs w:val="18"/>
          <w:b w:val="1"/>
          <w:bCs w:val="1"/>
          <w:color w:val="auto"/>
        </w:rPr>
        <w:t>. THIS FEE LETTER SHALL BE GOVERNED BY, AND CONSTRUED AND INTERPRETED</w:t>
      </w:r>
      <w:r>
        <w:rPr>
          <w:rFonts w:ascii="Arial" w:cs="Arial" w:eastAsia="Arial" w:hAnsi="Arial"/>
          <w:sz w:val="18"/>
          <w:szCs w:val="18"/>
          <w:color w:val="auto"/>
        </w:rPr>
        <w:t xml:space="preserve"> </w:t>
      </w:r>
      <w:r>
        <w:rPr>
          <w:rFonts w:ascii="Arial" w:cs="Arial" w:eastAsia="Arial" w:hAnsi="Arial"/>
          <w:sz w:val="18"/>
          <w:szCs w:val="18"/>
          <w:b w:val="1"/>
          <w:bCs w:val="1"/>
          <w:color w:val="auto"/>
        </w:rPr>
        <w:t>IN ACCORDANCE WITH, THE LAW OF THE STATE OF NEW YORK WITHOUT REGARD TO CONFLICT OF LAWS PRINCIPLES (OTHER THAN SECTIONS 5-1401 AND 5-1402 OF THE NEW YORK GENERAL OBLIGATIONS LAW) THEREOF.</w:t>
      </w:r>
    </w:p>
    <w:p>
      <w:pPr>
        <w:spacing w:after="0" w:line="180" w:lineRule="exact"/>
        <w:rPr>
          <w:sz w:val="20"/>
          <w:szCs w:val="20"/>
          <w:color w:val="auto"/>
        </w:rPr>
      </w:pPr>
    </w:p>
    <w:p>
      <w:pPr>
        <w:jc w:val="both"/>
        <w:ind w:firstLine="1296"/>
        <w:spacing w:after="0" w:line="286" w:lineRule="auto"/>
        <w:rPr>
          <w:sz w:val="20"/>
          <w:szCs w:val="20"/>
          <w:color w:val="auto"/>
        </w:rPr>
      </w:pPr>
      <w:r>
        <w:rPr>
          <w:rFonts w:ascii="Arial" w:cs="Arial" w:eastAsia="Arial" w:hAnsi="Arial"/>
          <w:sz w:val="17"/>
          <w:szCs w:val="17"/>
          <w:color w:val="auto"/>
        </w:rPr>
        <w:t xml:space="preserve">Section 8. </w:t>
      </w:r>
      <w:r>
        <w:rPr>
          <w:rFonts w:ascii="Arial" w:cs="Arial" w:eastAsia="Arial" w:hAnsi="Arial"/>
          <w:sz w:val="17"/>
          <w:szCs w:val="17"/>
          <w:u w:val="single" w:color="auto"/>
          <w:color w:val="auto"/>
        </w:rPr>
        <w:t>Counterparts</w:t>
      </w:r>
      <w:r>
        <w:rPr>
          <w:rFonts w:ascii="Arial" w:cs="Arial" w:eastAsia="Arial" w:hAnsi="Arial"/>
          <w:sz w:val="17"/>
          <w:szCs w:val="17"/>
          <w:color w:val="auto"/>
        </w:rPr>
        <w:t>. This Fee Letter may be executed by one or more of the parties to this Fee Letter on any number of separate counterparts, and all of said counterparts taken together shall be deemed to constitute one and the same instrument. Delivery of an executed signature page of this Fee Letter by electronic mail transmission shall be effective as delivery of a manually executed counterpart hereof.</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[REMAINDER OF PAGE INTENTIONALLY LEFT BLANK]</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72" w:name="page173"/>
    <w:bookmarkEnd w:id="172"/>
    <w:p>
      <w:pPr>
        <w:spacing w:after="0"/>
        <w:rPr>
          <w:sz w:val="20"/>
          <w:szCs w:val="20"/>
          <w:color w:val="auto"/>
        </w:rPr>
      </w:pPr>
      <w:r>
        <w:rPr>
          <w:rFonts w:ascii="Arial" w:cs="Arial" w:eastAsia="Arial" w:hAnsi="Arial"/>
          <w:sz w:val="18"/>
          <w:szCs w:val="18"/>
          <w:color w:val="auto"/>
        </w:rPr>
        <w:t>IN WITNESS WHEREOF, the parties have entered into this Fee Letter as of the date set forth above.</w:t>
      </w:r>
    </w:p>
    <w:p>
      <w:pPr>
        <w:spacing w:after="0" w:line="225"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Sincerely,</w:t>
      </w:r>
    </w:p>
    <w:p>
      <w:pPr>
        <w:spacing w:after="0" w:line="221" w:lineRule="exact"/>
        <w:rPr>
          <w:sz w:val="20"/>
          <w:szCs w:val="20"/>
          <w:color w:val="auto"/>
        </w:rPr>
      </w:pPr>
    </w:p>
    <w:p>
      <w:pPr>
        <w:ind w:left="6400"/>
        <w:spacing w:after="0"/>
        <w:rPr>
          <w:sz w:val="20"/>
          <w:szCs w:val="20"/>
          <w:color w:val="auto"/>
        </w:rPr>
      </w:pPr>
      <w:r>
        <w:rPr>
          <w:rFonts w:ascii="Arial" w:cs="Arial" w:eastAsia="Arial" w:hAnsi="Arial"/>
          <w:sz w:val="18"/>
          <w:szCs w:val="18"/>
          <w:b w:val="1"/>
          <w:bCs w:val="1"/>
          <w:color w:val="auto"/>
        </w:rPr>
        <w:t>E LA CARTE, LLC</w:t>
      </w:r>
    </w:p>
    <w:p>
      <w:pPr>
        <w:spacing w:after="0" w:line="229"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4349750</wp:posOffset>
            </wp:positionH>
            <wp:positionV relativeFrom="paragraph">
              <wp:posOffset>14605</wp:posOffset>
            </wp:positionV>
            <wp:extent cx="2571750" cy="171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3">
                      <a:extLst>
                        <a:ext uri="{28A0092B-C50C-407E-A947-70E740481C1C}"/>
                      </a:extLst>
                    </a:blip>
                    <a:srcRect/>
                    <a:stretch>
                      <a:fillRect/>
                    </a:stretch>
                  </pic:blipFill>
                  <pic:spPr bwMode="auto">
                    <a:xfrm>
                      <a:off x="0" y="0"/>
                      <a:ext cx="2571750" cy="17145"/>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6860"/>
        <w:spacing w:after="0"/>
        <w:tabs>
          <w:tab w:leader="none" w:pos="74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7"/>
          <w:szCs w:val="17"/>
          <w:color w:val="auto"/>
        </w:rPr>
        <w:t>Chief Financial Officer</w:t>
      </w:r>
    </w:p>
    <w:p>
      <w:pPr>
        <w:spacing w:after="0" w:line="207" w:lineRule="exact"/>
        <w:rPr>
          <w:sz w:val="20"/>
          <w:szCs w:val="20"/>
          <w:color w:val="auto"/>
        </w:rPr>
      </w:pPr>
    </w:p>
    <w:p>
      <w:pPr>
        <w:ind w:left="6400"/>
        <w:spacing w:after="0"/>
        <w:rPr>
          <w:sz w:val="20"/>
          <w:szCs w:val="20"/>
          <w:color w:val="auto"/>
        </w:rPr>
      </w:pPr>
      <w:r>
        <w:rPr>
          <w:rFonts w:ascii="Arial" w:cs="Arial" w:eastAsia="Arial" w:hAnsi="Arial"/>
          <w:sz w:val="18"/>
          <w:szCs w:val="18"/>
          <w:b w:val="1"/>
          <w:bCs w:val="1"/>
          <w:color w:val="auto"/>
        </w:rPr>
        <w:t>PRESTO AUTOMATION INC.</w:t>
      </w:r>
    </w:p>
    <w:p>
      <w:pPr>
        <w:spacing w:after="0" w:line="229"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4349750</wp:posOffset>
            </wp:positionH>
            <wp:positionV relativeFrom="paragraph">
              <wp:posOffset>14605</wp:posOffset>
            </wp:positionV>
            <wp:extent cx="2571750" cy="171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4">
                      <a:extLst>
                        <a:ext uri="{28A0092B-C50C-407E-A947-70E740481C1C}"/>
                      </a:extLst>
                    </a:blip>
                    <a:srcRect/>
                    <a:stretch>
                      <a:fillRect/>
                    </a:stretch>
                  </pic:blipFill>
                  <pic:spPr bwMode="auto">
                    <a:xfrm>
                      <a:off x="0" y="0"/>
                      <a:ext cx="2571750" cy="17145"/>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jc w:val="right"/>
        <w:ind w:right="699"/>
        <w:spacing w:after="0"/>
        <w:tabs>
          <w:tab w:leader="none" w:pos="16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7"/>
          <w:szCs w:val="17"/>
          <w:color w:val="auto"/>
        </w:rPr>
        <w:t>Chief Financial Officer</w:t>
      </w:r>
    </w:p>
    <w:p>
      <w:pPr>
        <w:spacing w:after="0" w:line="211" w:lineRule="exact"/>
        <w:rPr>
          <w:sz w:val="20"/>
          <w:szCs w:val="20"/>
          <w:color w:val="auto"/>
        </w:rPr>
      </w:pPr>
    </w:p>
    <w:p>
      <w:pPr>
        <w:ind w:left="41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Fee Letter</w:t>
      </w:r>
      <w:r>
        <w:rPr>
          <w:rFonts w:ascii="Arial" w:cs="Arial" w:eastAsia="Arial" w:hAnsi="Arial"/>
          <w:sz w:val="18"/>
          <w:szCs w:val="18"/>
          <w:color w:val="auto"/>
        </w:rPr>
        <w:t>]</w:t>
      </w:r>
    </w:p>
    <w:p>
      <w:pPr>
        <w:spacing w:after="0" w:line="200" w:lineRule="exact"/>
        <w:rPr>
          <w:sz w:val="20"/>
          <w:szCs w:val="20"/>
          <w:color w:val="auto"/>
        </w:rPr>
      </w:pPr>
    </w:p>
    <w:p>
      <w:pPr>
        <w:spacing w:after="0" w:line="241"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-210185</wp:posOffset>
            </wp:positionH>
            <wp:positionV relativeFrom="paragraph">
              <wp:posOffset>14605</wp:posOffset>
            </wp:positionV>
            <wp:extent cx="7132320" cy="171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799"/>
          </w:cols>
          <w:pgMar w:left="660" w:top="908" w:right="1440" w:bottom="1440" w:gutter="0" w:footer="0" w:header="0"/>
        </w:sectPr>
      </w:pPr>
    </w:p>
    <w:bookmarkStart w:id="173" w:name="page174"/>
    <w:bookmarkEnd w:id="173"/>
    <w:p>
      <w:pPr>
        <w:spacing w:after="0"/>
        <w:rPr>
          <w:sz w:val="20"/>
          <w:szCs w:val="20"/>
          <w:color w:val="auto"/>
        </w:rPr>
      </w:pPr>
      <w:r>
        <w:rPr>
          <w:rFonts w:ascii="Arial" w:cs="Arial" w:eastAsia="Arial" w:hAnsi="Arial"/>
          <w:sz w:val="18"/>
          <w:szCs w:val="18"/>
          <w:color w:val="auto"/>
        </w:rPr>
        <w:t>Accepted and agreed to as of the date first above written:</w:t>
      </w:r>
    </w:p>
    <w:p>
      <w:pPr>
        <w:spacing w:after="0" w:line="221" w:lineRule="exact"/>
        <w:rPr>
          <w:sz w:val="20"/>
          <w:szCs w:val="20"/>
          <w:color w:val="auto"/>
        </w:rPr>
      </w:pPr>
    </w:p>
    <w:p>
      <w:pPr>
        <w:ind w:right="4799"/>
        <w:spacing w:after="0" w:line="282" w:lineRule="auto"/>
        <w:rPr>
          <w:sz w:val="20"/>
          <w:szCs w:val="20"/>
          <w:color w:val="auto"/>
        </w:rPr>
      </w:pPr>
      <w:r>
        <w:rPr>
          <w:rFonts w:ascii="Arial" w:cs="Arial" w:eastAsia="Arial" w:hAnsi="Arial"/>
          <w:sz w:val="18"/>
          <w:szCs w:val="18"/>
          <w:b w:val="1"/>
          <w:bCs w:val="1"/>
          <w:color w:val="auto"/>
        </w:rPr>
        <w:t xml:space="preserve">METROPOLITAN PARTNERS GROUP ADMINISTRATION, LLC, </w:t>
      </w:r>
      <w:r>
        <w:rPr>
          <w:rFonts w:ascii="Arial" w:cs="Arial" w:eastAsia="Arial" w:hAnsi="Arial"/>
          <w:sz w:val="18"/>
          <w:szCs w:val="18"/>
          <w:color w:val="auto"/>
        </w:rPr>
        <w:t>as Agent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287655</wp:posOffset>
            </wp:positionH>
            <wp:positionV relativeFrom="paragraph">
              <wp:posOffset>14605</wp:posOffset>
            </wp:positionV>
            <wp:extent cx="2571750" cy="171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6">
                      <a:extLst>
                        <a:ext uri="{28A0092B-C50C-407E-A947-70E740481C1C}"/>
                      </a:extLst>
                    </a:blip>
                    <a:srcRect/>
                    <a:stretch>
                      <a:fillRect/>
                    </a:stretch>
                  </pic:blipFill>
                  <pic:spPr bwMode="auto">
                    <a:xfrm>
                      <a:off x="0" y="0"/>
                      <a:ext cx="2571750" cy="17145"/>
                    </a:xfrm>
                    <a:prstGeom prst="rect">
                      <a:avLst/>
                    </a:prstGeom>
                    <a:noFill/>
                  </pic:spPr>
                </pic:pic>
              </a:graphicData>
            </a:graphic>
          </wp:anchor>
        </w:drawing>
      </w:r>
    </w:p>
    <w:p>
      <w:pPr>
        <w:spacing w:after="0" w:line="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Name: Paul K. Lisiak</w:t>
      </w:r>
    </w:p>
    <w:p>
      <w:pPr>
        <w:spacing w:after="0" w:line="23" w:lineRule="exact"/>
        <w:rPr>
          <w:sz w:val="20"/>
          <w:szCs w:val="20"/>
          <w:color w:val="auto"/>
        </w:rPr>
      </w:pPr>
    </w:p>
    <w:p>
      <w:pPr>
        <w:ind w:left="460"/>
        <w:spacing w:after="0"/>
        <w:tabs>
          <w:tab w:leader="none" w:pos="10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Managing Partner</w:t>
      </w:r>
    </w:p>
    <w:p>
      <w:pPr>
        <w:spacing w:after="0" w:line="211" w:lineRule="exact"/>
        <w:rPr>
          <w:sz w:val="20"/>
          <w:szCs w:val="20"/>
          <w:color w:val="auto"/>
        </w:rPr>
      </w:pPr>
    </w:p>
    <w:p>
      <w:pPr>
        <w:jc w:val="right"/>
        <w:ind w:right="341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Fee Letter</w:t>
      </w:r>
      <w:r>
        <w:rPr>
          <w:rFonts w:ascii="Arial" w:cs="Arial" w:eastAsia="Arial" w:hAnsi="Arial"/>
          <w:sz w:val="18"/>
          <w:szCs w:val="18"/>
          <w:color w:val="auto"/>
        </w:rPr>
        <w:t>]</w:t>
      </w:r>
    </w:p>
    <w:p>
      <w:pPr>
        <w:spacing w:after="0" w:line="200" w:lineRule="exact"/>
        <w:rPr>
          <w:sz w:val="20"/>
          <w:szCs w:val="20"/>
          <w:color w:val="auto"/>
        </w:rPr>
      </w:pPr>
    </w:p>
    <w:p>
      <w:pPr>
        <w:spacing w:after="0" w:line="241"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908" w:right="1440" w:bottom="1440" w:gutter="0" w:footer="0" w:header="0"/>
        </w:sectPr>
      </w:pPr>
    </w:p>
    <w:bookmarkStart w:id="174" w:name="page175"/>
    <w:bookmarkEnd w:id="174"/>
    <w:p>
      <w:pPr>
        <w:jc w:val="right"/>
        <w:spacing w:after="0"/>
        <w:rPr>
          <w:sz w:val="20"/>
          <w:szCs w:val="20"/>
          <w:color w:val="auto"/>
        </w:rPr>
      </w:pPr>
      <w:r>
        <w:rPr>
          <w:rFonts w:ascii="Arial" w:cs="Arial" w:eastAsia="Arial" w:hAnsi="Arial"/>
          <w:sz w:val="18"/>
          <w:szCs w:val="18"/>
          <w:b w:val="1"/>
          <w:bCs w:val="1"/>
          <w:color w:val="auto"/>
        </w:rPr>
        <w:t>Exhibit 10.5</w:t>
      </w:r>
    </w:p>
    <w:p>
      <w:pPr>
        <w:spacing w:after="0" w:line="229" w:lineRule="exact"/>
        <w:rPr>
          <w:sz w:val="20"/>
          <w:szCs w:val="20"/>
          <w:color w:val="auto"/>
        </w:rPr>
      </w:pPr>
    </w:p>
    <w:p>
      <w:pPr>
        <w:ind w:left="9880"/>
        <w:spacing w:after="0"/>
        <w:rPr>
          <w:sz w:val="20"/>
          <w:szCs w:val="20"/>
          <w:color w:val="auto"/>
        </w:rPr>
      </w:pPr>
      <w:r>
        <w:rPr>
          <w:rFonts w:ascii="Arial" w:cs="Arial" w:eastAsia="Arial" w:hAnsi="Arial"/>
          <w:sz w:val="15"/>
          <w:szCs w:val="15"/>
          <w:b w:val="1"/>
          <w:bCs w:val="1"/>
          <w:i w:val="1"/>
          <w:iCs w:val="1"/>
          <w:color w:val="auto"/>
        </w:rPr>
        <w:t>Execution Version</w:t>
      </w:r>
    </w:p>
    <w:p>
      <w:pPr>
        <w:spacing w:after="0" w:line="256" w:lineRule="exact"/>
        <w:rPr>
          <w:sz w:val="20"/>
          <w:szCs w:val="20"/>
          <w:color w:val="auto"/>
        </w:rPr>
      </w:pPr>
    </w:p>
    <w:p>
      <w:pPr>
        <w:jc w:val="both"/>
        <w:spacing w:after="0" w:line="253" w:lineRule="auto"/>
        <w:rPr>
          <w:sz w:val="20"/>
          <w:szCs w:val="20"/>
          <w:color w:val="auto"/>
        </w:rPr>
      </w:pPr>
      <w:r>
        <w:rPr>
          <w:rFonts w:ascii="Arial" w:cs="Arial" w:eastAsia="Arial" w:hAnsi="Arial"/>
          <w:sz w:val="18"/>
          <w:szCs w:val="18"/>
          <w:b w:val="1"/>
          <w:bCs w:val="1"/>
          <w:color w:val="auto"/>
        </w:rPr>
        <w:t>NEITHER THIS WARRANT, NOR THE SECURITIES ISSUABLE UPON EXERCISE OF THIS WARRANT (COLLECTIVELY, THE “SECURITIES”), HAVE BEEN REGISTERED UNDER THE SECURITIES ACT OF 1933, AS AMENDED (THE “SECURITIES ACT”), OR UNDER ANY STATE SECURITIES OR BLUE SKY LAWS. THE SECURITIES ARE SUBJECT TO RESTRICTIONS ON TRANSFERABILITY AND RESALE AND MAY NOT BE OFFERED, FOR SALE, SOLD, PLEDGED, HYPOTHECATED OR OTHERWISE TRANSFERRED OR ASSIGNED EXCEPT AS PERMITTED UNDER THE SECURITIES ACT AND APPLICABLE STATE SECURITIES OR BLUE SKY LAWS, PURSUANT TO REGISTRATION OR QUALIFICATION OR EXEMPTION THEREFROM. INVESTORS SHOULD BE AWARE THAT THEY MAY BE REQUIRED TO BEAR THE FINANCIAL RISKS OF THIS INVESTMENT FOR AN INDEFINITE PERIOD OF TIME. THE COMPANY MAY REQUIRE AN OPINION OF COUNSEL IN FORM AND SUBSTANCE REASONABLY SATISFACTORY TO THE COMPANY TO THE EFFECT THAT ANY PROPOSED TRANSFER IS IN COMPLIANCE WITH THE SECURITIES ACT AND ANY APPLICABLE STATE SECURITIES OR BLUE SKY LAWS.</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PRESTO AUTOMATION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w:t>
      </w:r>
      <w:r>
        <w:rPr>
          <w:rFonts w:ascii="Arial" w:cs="Arial" w:eastAsia="Arial" w:hAnsi="Arial"/>
          <w:sz w:val="12"/>
          <w:szCs w:val="12"/>
          <w:b w:val="1"/>
          <w:bCs w:val="1"/>
          <w:color w:val="auto"/>
        </w:rPr>
        <w:t>arrant</w:t>
      </w:r>
      <w:r>
        <w:rPr>
          <w:rFonts w:ascii="Arial" w:cs="Arial" w:eastAsia="Arial" w:hAnsi="Arial"/>
          <w:sz w:val="18"/>
          <w:szCs w:val="18"/>
          <w:b w:val="1"/>
          <w:bCs w:val="1"/>
          <w:color w:val="auto"/>
        </w:rPr>
        <w:t xml:space="preserve"> T</w:t>
      </w:r>
      <w:r>
        <w:rPr>
          <w:rFonts w:ascii="Arial" w:cs="Arial" w:eastAsia="Arial" w:hAnsi="Arial"/>
          <w:sz w:val="12"/>
          <w:szCs w:val="12"/>
          <w:b w:val="1"/>
          <w:bCs w:val="1"/>
          <w:color w:val="auto"/>
        </w:rPr>
        <w:t>o</w:t>
      </w:r>
      <w:r>
        <w:rPr>
          <w:rFonts w:ascii="Arial" w:cs="Arial" w:eastAsia="Arial" w:hAnsi="Arial"/>
          <w:sz w:val="18"/>
          <w:szCs w:val="18"/>
          <w:b w:val="1"/>
          <w:bCs w:val="1"/>
          <w:color w:val="auto"/>
        </w:rPr>
        <w:t xml:space="preserve"> P</w:t>
      </w:r>
      <w:r>
        <w:rPr>
          <w:rFonts w:ascii="Arial" w:cs="Arial" w:eastAsia="Arial" w:hAnsi="Arial"/>
          <w:sz w:val="12"/>
          <w:szCs w:val="12"/>
          <w:b w:val="1"/>
          <w:bCs w:val="1"/>
          <w:color w:val="auto"/>
        </w:rPr>
        <w:t>urchase</w:t>
      </w:r>
      <w:r>
        <w:rPr>
          <w:rFonts w:ascii="Arial" w:cs="Arial" w:eastAsia="Arial" w:hAnsi="Arial"/>
          <w:sz w:val="18"/>
          <w:szCs w:val="18"/>
          <w:b w:val="1"/>
          <w:bCs w:val="1"/>
          <w:color w:val="auto"/>
        </w:rPr>
        <w:t xml:space="preserve"> C</w:t>
      </w:r>
      <w:r>
        <w:rPr>
          <w:rFonts w:ascii="Arial" w:cs="Arial" w:eastAsia="Arial" w:hAnsi="Arial"/>
          <w:sz w:val="12"/>
          <w:szCs w:val="12"/>
          <w:b w:val="1"/>
          <w:bCs w:val="1"/>
          <w:color w:val="auto"/>
        </w:rPr>
        <w:t>ommon</w:t>
      </w:r>
      <w:r>
        <w:rPr>
          <w:rFonts w:ascii="Arial" w:cs="Arial" w:eastAsia="Arial" w:hAnsi="Arial"/>
          <w:sz w:val="18"/>
          <w:szCs w:val="18"/>
          <w:b w:val="1"/>
          <w:bCs w:val="1"/>
          <w:color w:val="auto"/>
        </w:rPr>
        <w:t xml:space="preserve"> S</w:t>
      </w:r>
      <w:r>
        <w:rPr>
          <w:rFonts w:ascii="Arial" w:cs="Arial" w:eastAsia="Arial" w:hAnsi="Arial"/>
          <w:sz w:val="12"/>
          <w:szCs w:val="12"/>
          <w:b w:val="1"/>
          <w:bCs w:val="1"/>
          <w:color w:val="auto"/>
        </w:rPr>
        <w:t>tock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Warrant No.: 2023-5</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Number of Shares of Common Stock: 801,789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Date of Issuance: May 22, 2023 (“</w:t>
      </w:r>
      <w:r>
        <w:rPr>
          <w:rFonts w:ascii="Arial" w:cs="Arial" w:eastAsia="Arial" w:hAnsi="Arial"/>
          <w:sz w:val="18"/>
          <w:szCs w:val="18"/>
          <w:b w:val="1"/>
          <w:bCs w:val="1"/>
          <w:color w:val="auto"/>
        </w:rPr>
        <w:t>Issuance Date</w:t>
      </w:r>
      <w:r>
        <w:rPr>
          <w:rFonts w:ascii="Arial" w:cs="Arial" w:eastAsia="Arial" w:hAnsi="Arial"/>
          <w:sz w:val="18"/>
          <w:szCs w:val="18"/>
          <w:color w:val="auto"/>
        </w:rPr>
        <w:t>”)</w:t>
      </w:r>
    </w:p>
    <w:p>
      <w:pPr>
        <w:spacing w:after="0" w:line="207" w:lineRule="exact"/>
        <w:rPr>
          <w:sz w:val="20"/>
          <w:szCs w:val="20"/>
          <w:color w:val="auto"/>
        </w:rPr>
      </w:pPr>
    </w:p>
    <w:p>
      <w:pPr>
        <w:jc w:val="both"/>
        <w:ind w:firstLine="1296"/>
        <w:spacing w:after="0" w:line="288" w:lineRule="auto"/>
        <w:rPr>
          <w:sz w:val="20"/>
          <w:szCs w:val="20"/>
          <w:color w:val="auto"/>
        </w:rPr>
      </w:pPr>
      <w:r>
        <w:rPr>
          <w:rFonts w:ascii="Arial" w:cs="Arial" w:eastAsia="Arial" w:hAnsi="Arial"/>
          <w:sz w:val="16"/>
          <w:szCs w:val="16"/>
          <w:color w:val="auto"/>
        </w:rPr>
        <w:t>Presto Automation Inc., a Delaware corporation (the “</w:t>
      </w:r>
      <w:r>
        <w:rPr>
          <w:rFonts w:ascii="Arial" w:cs="Arial" w:eastAsia="Arial" w:hAnsi="Arial"/>
          <w:sz w:val="16"/>
          <w:szCs w:val="16"/>
          <w:b w:val="1"/>
          <w:bCs w:val="1"/>
          <w:color w:val="auto"/>
        </w:rPr>
        <w:t>Company</w:t>
      </w:r>
      <w:r>
        <w:rPr>
          <w:rFonts w:ascii="Arial" w:cs="Arial" w:eastAsia="Arial" w:hAnsi="Arial"/>
          <w:sz w:val="16"/>
          <w:szCs w:val="16"/>
          <w:color w:val="auto"/>
        </w:rPr>
        <w:t>”), hereby certifies that, for good and valuable consideration, the receipt and sufficiency of which are hereby acknowledged, Metropolitan Levered Partners Fund VII, LP, the registered holder hereof or its permitted assigns (the “</w:t>
      </w:r>
      <w:r>
        <w:rPr>
          <w:rFonts w:ascii="Arial" w:cs="Arial" w:eastAsia="Arial" w:hAnsi="Arial"/>
          <w:sz w:val="16"/>
          <w:szCs w:val="16"/>
          <w:b w:val="1"/>
          <w:bCs w:val="1"/>
          <w:color w:val="auto"/>
        </w:rPr>
        <w:t>Holder</w:t>
      </w:r>
      <w:r>
        <w:rPr>
          <w:rFonts w:ascii="Arial" w:cs="Arial" w:eastAsia="Arial" w:hAnsi="Arial"/>
          <w:sz w:val="16"/>
          <w:szCs w:val="16"/>
          <w:color w:val="auto"/>
        </w:rPr>
        <w:t>”), is entitled, subject to the terms set forth below, to purchase from the Company, at the Exercise Price (as defined below) then in effect, at any time or times on or after the Issuance Date, but not after 11:59 p.m., New York time, on the Expiration Date, (as defined below), 801,789 duly authorized, validly issued, fully paid, nonassessable shares of Common Stock, subject to adjustment as provided herein (the “</w:t>
      </w:r>
      <w:r>
        <w:rPr>
          <w:rFonts w:ascii="Arial" w:cs="Arial" w:eastAsia="Arial" w:hAnsi="Arial"/>
          <w:sz w:val="16"/>
          <w:szCs w:val="16"/>
          <w:b w:val="1"/>
          <w:bCs w:val="1"/>
          <w:color w:val="auto"/>
        </w:rPr>
        <w:t>Warrant Shares</w:t>
      </w:r>
      <w:r>
        <w:rPr>
          <w:rFonts w:ascii="Arial" w:cs="Arial" w:eastAsia="Arial" w:hAnsi="Arial"/>
          <w:sz w:val="16"/>
          <w:szCs w:val="16"/>
          <w:color w:val="auto"/>
        </w:rPr>
        <w:t>”). Except as otherwise defined herein, capitalized terms in this Warrant to Purchase Common Stock (including any Warrants to Purchase Common Stock issued in exchange, transfer or replacement hereof, this “</w:t>
      </w:r>
      <w:r>
        <w:rPr>
          <w:rFonts w:ascii="Arial" w:cs="Arial" w:eastAsia="Arial" w:hAnsi="Arial"/>
          <w:sz w:val="16"/>
          <w:szCs w:val="16"/>
          <w:b w:val="1"/>
          <w:bCs w:val="1"/>
          <w:color w:val="auto"/>
        </w:rPr>
        <w:t>Warrant</w:t>
      </w:r>
      <w:r>
        <w:rPr>
          <w:rFonts w:ascii="Arial" w:cs="Arial" w:eastAsia="Arial" w:hAnsi="Arial"/>
          <w:sz w:val="16"/>
          <w:szCs w:val="16"/>
          <w:color w:val="auto"/>
        </w:rPr>
        <w:t>”) shall have the meanings set forth in Section 17. This Warrant is being issued pursuant to Section 2 of that certain Second Amendment to Credit Agreement, dated May 22, 2023, among E La Carte, LLC, the Company and Metropolitan Partners Group Administration, LLC, as agent (the “</w:t>
      </w:r>
      <w:r>
        <w:rPr>
          <w:rFonts w:ascii="Arial" w:cs="Arial" w:eastAsia="Arial" w:hAnsi="Arial"/>
          <w:sz w:val="16"/>
          <w:szCs w:val="16"/>
          <w:b w:val="1"/>
          <w:bCs w:val="1"/>
          <w:color w:val="auto"/>
        </w:rPr>
        <w:t>Second Amendment</w:t>
      </w:r>
      <w:r>
        <w:rPr>
          <w:rFonts w:ascii="Arial" w:cs="Arial" w:eastAsia="Arial" w:hAnsi="Arial"/>
          <w:sz w:val="16"/>
          <w:szCs w:val="16"/>
          <w:color w:val="auto"/>
        </w:rPr>
        <w:t>”), and to Section 5 of that certain Second Amended and Restated Fee Letter, dated May 22, 2023, among E La Carte, LLC, the Company and Metropolitan Partners Group Administration (the “</w:t>
      </w:r>
      <w:r>
        <w:rPr>
          <w:rFonts w:ascii="Arial" w:cs="Arial" w:eastAsia="Arial" w:hAnsi="Arial"/>
          <w:sz w:val="16"/>
          <w:szCs w:val="16"/>
          <w:b w:val="1"/>
          <w:bCs w:val="1"/>
          <w:color w:val="auto"/>
        </w:rPr>
        <w:t>Fee Letter</w:t>
      </w:r>
      <w:r>
        <w:rPr>
          <w:rFonts w:ascii="Arial" w:cs="Arial" w:eastAsia="Arial" w:hAnsi="Arial"/>
          <w:sz w:val="16"/>
          <w:szCs w:val="16"/>
          <w:color w:val="auto"/>
        </w:rPr>
        <w:t>”). Capitalized terms used herein and not otherwise defined shall have the definitions ascribed to such terms in the Credit Agreement (as defined in the Fee Letter).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252730</wp:posOffset>
            </wp:positionV>
            <wp:extent cx="7132320" cy="171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5" w:name="page176"/>
    <w:bookmarkEnd w:id="175"/>
    <w:p>
      <w:pPr>
        <w:ind w:left="1480" w:hanging="176"/>
        <w:spacing w:after="0"/>
        <w:tabs>
          <w:tab w:leader="none" w:pos="1480" w:val="left"/>
        </w:tabs>
        <w:numPr>
          <w:ilvl w:val="1"/>
          <w:numId w:val="166"/>
        </w:numPr>
        <w:rPr>
          <w:rFonts w:ascii="Arial" w:cs="Arial" w:eastAsia="Arial" w:hAnsi="Arial"/>
          <w:sz w:val="18"/>
          <w:szCs w:val="18"/>
          <w:color w:val="auto"/>
        </w:rPr>
      </w:pPr>
      <w:r>
        <w:rPr>
          <w:rFonts w:ascii="Arial" w:cs="Arial" w:eastAsia="Arial" w:hAnsi="Arial"/>
          <w:sz w:val="18"/>
          <w:szCs w:val="18"/>
          <w:color w:val="auto"/>
        </w:rPr>
        <w:t>EXERCISE OF WARRANT.</w:t>
      </w:r>
    </w:p>
    <w:p>
      <w:pPr>
        <w:spacing w:after="0" w:line="225" w:lineRule="exact"/>
        <w:rPr>
          <w:rFonts w:ascii="Arial" w:cs="Arial" w:eastAsia="Arial" w:hAnsi="Arial"/>
          <w:sz w:val="18"/>
          <w:szCs w:val="18"/>
          <w:color w:val="auto"/>
        </w:rPr>
      </w:pPr>
    </w:p>
    <w:p>
      <w:pPr>
        <w:jc w:val="both"/>
        <w:ind w:firstLine="1952"/>
        <w:spacing w:after="0" w:line="282" w:lineRule="auto"/>
        <w:tabs>
          <w:tab w:leader="none" w:pos="2198" w:val="left"/>
        </w:tabs>
        <w:numPr>
          <w:ilvl w:val="2"/>
          <w:numId w:val="166"/>
        </w:numPr>
        <w:rPr>
          <w:rFonts w:ascii="Arial" w:cs="Arial" w:eastAsia="Arial" w:hAnsi="Arial"/>
          <w:sz w:val="16"/>
          <w:szCs w:val="16"/>
          <w:color w:val="auto"/>
        </w:rPr>
      </w:pPr>
      <w:r>
        <w:rPr>
          <w:rFonts w:ascii="Arial" w:cs="Arial" w:eastAsia="Arial" w:hAnsi="Arial"/>
          <w:sz w:val="16"/>
          <w:szCs w:val="16"/>
          <w:u w:val="single" w:color="auto"/>
          <w:color w:val="auto"/>
        </w:rPr>
        <w:t>Mechanics of Exercise</w:t>
      </w:r>
      <w:r>
        <w:rPr>
          <w:rFonts w:ascii="Arial" w:cs="Arial" w:eastAsia="Arial" w:hAnsi="Arial"/>
          <w:sz w:val="16"/>
          <w:szCs w:val="16"/>
          <w:color w:val="auto"/>
        </w:rPr>
        <w:t xml:space="preserve">. Subject to the terms and conditions hereof (including, without limitation, the limitations set forth in Section 1(f)), this Warrant may be exercised by the Holder at any time or times on or after the Issuance Date, in whole or in part, by (i) delivery (whether via facsimile or otherwise) of a written notice, in the form attached hereto as </w:t>
      </w:r>
      <w:r>
        <w:rPr>
          <w:rFonts w:ascii="Arial" w:cs="Arial" w:eastAsia="Arial" w:hAnsi="Arial"/>
          <w:sz w:val="16"/>
          <w:szCs w:val="16"/>
          <w:u w:val="single" w:color="auto"/>
          <w:color w:val="auto"/>
        </w:rPr>
        <w:t>Exhibit A</w:t>
      </w:r>
      <w:r>
        <w:rPr>
          <w:rFonts w:ascii="Arial" w:cs="Arial" w:eastAsia="Arial" w:hAnsi="Arial"/>
          <w:sz w:val="16"/>
          <w:szCs w:val="16"/>
          <w:color w:val="auto"/>
        </w:rPr>
        <w:t xml:space="preserve"> (the “</w:t>
      </w:r>
      <w:r>
        <w:rPr>
          <w:rFonts w:ascii="Arial" w:cs="Arial" w:eastAsia="Arial" w:hAnsi="Arial"/>
          <w:sz w:val="16"/>
          <w:szCs w:val="16"/>
          <w:b w:val="1"/>
          <w:bCs w:val="1"/>
          <w:color w:val="auto"/>
        </w:rPr>
        <w:t>Exercise Notice</w:t>
      </w:r>
      <w:r>
        <w:rPr>
          <w:rFonts w:ascii="Arial" w:cs="Arial" w:eastAsia="Arial" w:hAnsi="Arial"/>
          <w:sz w:val="16"/>
          <w:szCs w:val="16"/>
          <w:color w:val="auto"/>
        </w:rPr>
        <w:t>”), of the Holder’s election to exercise this Warrant and (ii) (A) payment to the Company of an amount equal to the applicable Exercise Price multiplied by the number of Warrant Shares as to which this Warrant is being exercised (the “</w:t>
      </w:r>
      <w:r>
        <w:rPr>
          <w:rFonts w:ascii="Arial" w:cs="Arial" w:eastAsia="Arial" w:hAnsi="Arial"/>
          <w:sz w:val="16"/>
          <w:szCs w:val="16"/>
          <w:b w:val="1"/>
          <w:bCs w:val="1"/>
          <w:color w:val="auto"/>
        </w:rPr>
        <w:t>Aggregate Exercise Price</w:t>
      </w:r>
      <w:r>
        <w:rPr>
          <w:rFonts w:ascii="Arial" w:cs="Arial" w:eastAsia="Arial" w:hAnsi="Arial"/>
          <w:sz w:val="16"/>
          <w:szCs w:val="16"/>
          <w:color w:val="auto"/>
        </w:rPr>
        <w:t xml:space="preserve">”) in cash by wire transfer of immediately available funds or (B) if the provisions of Section 1(d) are applicable, by notifying the Company that this Warrant is being exercised pursuant to a Cashless Exercise. The Holder shall not be required to physically surrender this Warrant to the Company until the Holder has purchased all of the Warrant Shares available hereunder and the Warrant has been exercised in full, in which case the Holder shall surrender this Warrant to the Company for cancellation within three (3) Trading Days after the date the Warrant Shares which are the subject of the Exercise Notice being delivered to the Holder. Partial exercises of this Warrant resulting in purchases of a portion of the total number of Warrant Shares available hereunder shall have the effect of lowering the outstanding number of Warrant Shares purchasable hereunder in an amount equal to the applicable number of Warrant Shares purchased. The Holder and the Company shall maintain records showing the number of Warrant Shares purchased and the date of such purchases. </w:t>
      </w:r>
      <w:r>
        <w:rPr>
          <w:rFonts w:ascii="Arial" w:cs="Arial" w:eastAsia="Arial" w:hAnsi="Arial"/>
          <w:sz w:val="16"/>
          <w:szCs w:val="16"/>
          <w:b w:val="1"/>
          <w:bCs w:val="1"/>
          <w:color w:val="auto"/>
        </w:rPr>
        <w:t>The Holder and any assignee, by acceptance of this Warrant, acknowledge and</w:t>
      </w:r>
      <w:r>
        <w:rPr>
          <w:rFonts w:ascii="Arial" w:cs="Arial" w:eastAsia="Arial" w:hAnsi="Arial"/>
          <w:sz w:val="16"/>
          <w:szCs w:val="16"/>
          <w:color w:val="auto"/>
        </w:rPr>
        <w:t xml:space="preserve"> </w:t>
      </w:r>
      <w:r>
        <w:rPr>
          <w:rFonts w:ascii="Arial" w:cs="Arial" w:eastAsia="Arial" w:hAnsi="Arial"/>
          <w:sz w:val="16"/>
          <w:szCs w:val="16"/>
          <w:b w:val="1"/>
          <w:bCs w:val="1"/>
          <w:color w:val="auto"/>
        </w:rPr>
        <w:t xml:space="preserve">agree that, by reason of the provisions of this paragraph, following the purchase of a portion of the Warrant Shares hereunder, the number of Warrant Shares available for purchase hereunder at any given time may be less than the amount stated on the face hereof. </w:t>
      </w:r>
      <w:r>
        <w:rPr>
          <w:rFonts w:ascii="Arial" w:cs="Arial" w:eastAsia="Arial" w:hAnsi="Arial"/>
          <w:sz w:val="16"/>
          <w:szCs w:val="16"/>
          <w:color w:val="auto"/>
        </w:rPr>
        <w:t>On or before the third</w:t>
      </w:r>
      <w:r>
        <w:rPr>
          <w:rFonts w:ascii="Arial" w:cs="Arial" w:eastAsia="Arial" w:hAnsi="Arial"/>
          <w:sz w:val="16"/>
          <w:szCs w:val="16"/>
          <w:b w:val="1"/>
          <w:bCs w:val="1"/>
          <w:color w:val="auto"/>
        </w:rPr>
        <w:t xml:space="preserve"> </w:t>
      </w:r>
      <w:r>
        <w:rPr>
          <w:rFonts w:ascii="Arial" w:cs="Arial" w:eastAsia="Arial" w:hAnsi="Arial"/>
          <w:sz w:val="16"/>
          <w:szCs w:val="16"/>
          <w:color w:val="auto"/>
        </w:rPr>
        <w:t>(3rd) Trading Day following the date on which the Company has received the Exercise Notice (the “</w:t>
      </w:r>
      <w:r>
        <w:rPr>
          <w:rFonts w:ascii="Arial" w:cs="Arial" w:eastAsia="Arial" w:hAnsi="Arial"/>
          <w:sz w:val="16"/>
          <w:szCs w:val="16"/>
          <w:b w:val="1"/>
          <w:bCs w:val="1"/>
          <w:color w:val="auto"/>
        </w:rPr>
        <w:t>Share Delivery Date</w:t>
      </w:r>
      <w:r>
        <w:rPr>
          <w:rFonts w:ascii="Arial" w:cs="Arial" w:eastAsia="Arial" w:hAnsi="Arial"/>
          <w:sz w:val="16"/>
          <w:szCs w:val="16"/>
          <w:color w:val="auto"/>
        </w:rPr>
        <w:t>”), so long as the Holder delivers the Aggregate Exercise Price (or notice of a Cashless Exercise) on or prior to the second (2nd) Trading Day following the date on which the Company has received the Exercise Notice (provided that if the Aggregate Exercise Price (or notice of a Cashless Exercise) has not been delivered by such date, the Share Delivery Date shall be extended one (1) Trading Day after the Aggregate Exercise Price (or notice of a Cashless Exercise) is delivered), the Company shall</w:t>
      </w:r>
    </w:p>
    <w:p>
      <w:pPr>
        <w:spacing w:after="0" w:line="11" w:lineRule="exact"/>
        <w:rPr>
          <w:rFonts w:ascii="Arial" w:cs="Arial" w:eastAsia="Arial" w:hAnsi="Arial"/>
          <w:sz w:val="16"/>
          <w:szCs w:val="16"/>
          <w:color w:val="auto"/>
        </w:rPr>
      </w:pPr>
    </w:p>
    <w:p>
      <w:pPr>
        <w:jc w:val="both"/>
        <w:ind w:firstLine="8"/>
        <w:spacing w:after="0" w:line="283" w:lineRule="auto"/>
        <w:tabs>
          <w:tab w:leader="none" w:pos="299" w:val="left"/>
        </w:tabs>
        <w:numPr>
          <w:ilvl w:val="0"/>
          <w:numId w:val="167"/>
        </w:numPr>
        <w:rPr>
          <w:rFonts w:ascii="Arial" w:cs="Arial" w:eastAsia="Arial" w:hAnsi="Arial"/>
          <w:sz w:val="16"/>
          <w:szCs w:val="16"/>
          <w:color w:val="auto"/>
        </w:rPr>
      </w:pPr>
      <w:r>
        <w:rPr>
          <w:rFonts w:ascii="Arial" w:cs="Arial" w:eastAsia="Arial" w:hAnsi="Arial"/>
          <w:sz w:val="16"/>
          <w:szCs w:val="16"/>
          <w:color w:val="auto"/>
        </w:rPr>
        <w:t>provided that the Company’s transfer agent (“</w:t>
      </w:r>
      <w:r>
        <w:rPr>
          <w:rFonts w:ascii="Arial" w:cs="Arial" w:eastAsia="Arial" w:hAnsi="Arial"/>
          <w:sz w:val="16"/>
          <w:szCs w:val="16"/>
          <w:b w:val="1"/>
          <w:bCs w:val="1"/>
          <w:color w:val="auto"/>
        </w:rPr>
        <w:t>Transfer Agent</w:t>
      </w:r>
      <w:r>
        <w:rPr>
          <w:rFonts w:ascii="Arial" w:cs="Arial" w:eastAsia="Arial" w:hAnsi="Arial"/>
          <w:sz w:val="16"/>
          <w:szCs w:val="16"/>
          <w:color w:val="auto"/>
        </w:rPr>
        <w:t>”) is participating in The Depository Trust Company (“</w:t>
      </w:r>
      <w:r>
        <w:rPr>
          <w:rFonts w:ascii="Arial" w:cs="Arial" w:eastAsia="Arial" w:hAnsi="Arial"/>
          <w:sz w:val="16"/>
          <w:szCs w:val="16"/>
          <w:b w:val="1"/>
          <w:bCs w:val="1"/>
          <w:color w:val="auto"/>
        </w:rPr>
        <w:t>DTC</w:t>
      </w:r>
      <w:r>
        <w:rPr>
          <w:rFonts w:ascii="Arial" w:cs="Arial" w:eastAsia="Arial" w:hAnsi="Arial"/>
          <w:sz w:val="16"/>
          <w:szCs w:val="16"/>
          <w:color w:val="auto"/>
        </w:rPr>
        <w:t>”) Fast Automated Securities Transfer Program (“</w:t>
      </w:r>
      <w:r>
        <w:rPr>
          <w:rFonts w:ascii="Arial" w:cs="Arial" w:eastAsia="Arial" w:hAnsi="Arial"/>
          <w:sz w:val="16"/>
          <w:szCs w:val="16"/>
          <w:b w:val="1"/>
          <w:bCs w:val="1"/>
          <w:color w:val="auto"/>
        </w:rPr>
        <w:t>FAST</w:t>
      </w:r>
      <w:r>
        <w:rPr>
          <w:rFonts w:ascii="Arial" w:cs="Arial" w:eastAsia="Arial" w:hAnsi="Arial"/>
          <w:sz w:val="16"/>
          <w:szCs w:val="16"/>
          <w:color w:val="auto"/>
        </w:rPr>
        <w:t>”) and the Warrant Shares are eligible to be issued without a restrictive legend, credit such aggregate number of Warrant Shares to which the Holder is entitled pursuant to such exercise to the Holder’s or its designee’s balance account with DTC through its Deposit/Withdrawal At Custodian system, or (Y) if the Transfer Agent is not participating in FAST or the Warrant Shares are not eligible to be issued without a restrictive legend, issue and dispatch by overnight courier to the address as specified in the Exercise Notice, a certificate, registered in the Company’s share register in the name of the Holder or its designee, for the number of Warrant Shares to which the Holder is entitled pursuant to such exercise. The Company shall be responsible for all fees and expenses of the Transfer Agent and all fees and expenses with respect to the issuance of Warrant Shares via DTC, if any. Upon delivery of the Exercise Notice and the Aggregate Exercise Price (or notice of a Cashless Exercise), the Holder shall be deemed for all corporate purposes to have become the holder of record of the Warrant Shares with respect to which this Warrant has been exercised, irrespective of the date such Warrant Shares are credited to the Holder’s DTC account or the date of delivery of the certificates evidencing such Warrant Shares, as the case may be. If this Warrant is submitted in connection with any exercise pursuant to this Section 1(a) and the number of Warrant Shares represented by this Warrant submitted for exercise is greater than the number of Warrant Shares being acquired upon an exercise, then the Company shall as soon as reasonably practicable and in no event later than three (3) Trading Days after any exercise and at its own expense, issue a new Warrant (in accordance with Section 1(d)) representing the right to purchase the number of Warrant Shares issuable immediately prior to such exercise under this Warrant, less the number of Warrant Shares with respect to which this Warrant is exercised upon surrender of the Warrant so exercised. No fractional Warrant Shares are to be issued upon the exercise of this Warrant, but rather the number of Warrant Shares to be issued shall be rounded down to the nearest whole number. The Company shall pay any and all transfer, stamp, issuance and similar taxes (but not any United States federal, state or local income taxes) that may be payable with respect to the issuance and delivery of Warrant Shares upon exercise of this Warrant. The Company’s obligations to issue and deliver Warrant Shares in accordance with the terms and subject to the conditions hereof are absolute and unconditional, irrespective of any action or inaction by the Holder to enforce the same, any waiver or consent with respect to any provision hereof, the recovery of any judgment against any Person or any action to enforce the same, or any setoff, counterclaim, recoupment, limitation or termination.</w:t>
      </w:r>
    </w:p>
    <w:p>
      <w:pPr>
        <w:spacing w:after="0" w:line="177" w:lineRule="exact"/>
        <w:rPr>
          <w:rFonts w:ascii="Arial" w:cs="Arial" w:eastAsia="Arial" w:hAnsi="Arial"/>
          <w:sz w:val="16"/>
          <w:szCs w:val="16"/>
          <w:color w:val="auto"/>
        </w:rPr>
      </w:pPr>
    </w:p>
    <w:p>
      <w:pPr>
        <w:ind w:left="2200" w:hanging="248"/>
        <w:spacing w:after="0"/>
        <w:tabs>
          <w:tab w:leader="none" w:pos="2200" w:val="left"/>
        </w:tabs>
        <w:numPr>
          <w:ilvl w:val="2"/>
          <w:numId w:val="167"/>
        </w:numPr>
        <w:rPr>
          <w:rFonts w:ascii="Arial" w:cs="Arial" w:eastAsia="Arial" w:hAnsi="Arial"/>
          <w:sz w:val="17"/>
          <w:szCs w:val="17"/>
          <w:color w:val="auto"/>
        </w:rPr>
      </w:pPr>
      <w:r>
        <w:rPr>
          <w:rFonts w:ascii="Arial" w:cs="Arial" w:eastAsia="Arial" w:hAnsi="Arial"/>
          <w:sz w:val="17"/>
          <w:szCs w:val="17"/>
          <w:u w:val="single" w:color="auto"/>
          <w:color w:val="auto"/>
        </w:rPr>
        <w:t>Exercise Price</w:t>
      </w:r>
      <w:r>
        <w:rPr>
          <w:rFonts w:ascii="Arial" w:cs="Arial" w:eastAsia="Arial" w:hAnsi="Arial"/>
          <w:sz w:val="17"/>
          <w:szCs w:val="17"/>
          <w:color w:val="auto"/>
        </w:rPr>
        <w:t>. For purposes of this Warrant, “</w:t>
      </w:r>
      <w:r>
        <w:rPr>
          <w:rFonts w:ascii="Arial" w:cs="Arial" w:eastAsia="Arial" w:hAnsi="Arial"/>
          <w:sz w:val="17"/>
          <w:szCs w:val="17"/>
          <w:b w:val="1"/>
          <w:bCs w:val="1"/>
          <w:color w:val="auto"/>
        </w:rPr>
        <w:t>Exercise Price</w:t>
      </w:r>
      <w:r>
        <w:rPr>
          <w:rFonts w:ascii="Arial" w:cs="Arial" w:eastAsia="Arial" w:hAnsi="Arial"/>
          <w:sz w:val="17"/>
          <w:szCs w:val="17"/>
          <w:color w:val="auto"/>
        </w:rPr>
        <w:t>” means $0.01, subject to adjustment as provided herein.</w:t>
      </w: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76" w:name="page177"/>
    <w:bookmarkEnd w:id="176"/>
    <w:p>
      <w:pPr>
        <w:jc w:val="both"/>
        <w:ind w:firstLine="1952"/>
        <w:spacing w:after="0" w:line="283" w:lineRule="auto"/>
        <w:tabs>
          <w:tab w:leader="none" w:pos="2192" w:val="left"/>
        </w:tabs>
        <w:numPr>
          <w:ilvl w:val="0"/>
          <w:numId w:val="168"/>
        </w:numPr>
        <w:rPr>
          <w:rFonts w:ascii="Arial" w:cs="Arial" w:eastAsia="Arial" w:hAnsi="Arial"/>
          <w:sz w:val="16"/>
          <w:szCs w:val="16"/>
          <w:color w:val="auto"/>
        </w:rPr>
      </w:pPr>
      <w:r>
        <w:rPr>
          <w:rFonts w:ascii="Arial" w:cs="Arial" w:eastAsia="Arial" w:hAnsi="Arial"/>
          <w:sz w:val="16"/>
          <w:szCs w:val="16"/>
          <w:u w:val="single" w:color="auto"/>
          <w:color w:val="auto"/>
        </w:rPr>
        <w:t>Company’s Failure to Timely Deliver Securities</w:t>
      </w:r>
      <w:r>
        <w:rPr>
          <w:rFonts w:ascii="Arial" w:cs="Arial" w:eastAsia="Arial" w:hAnsi="Arial"/>
          <w:sz w:val="16"/>
          <w:szCs w:val="16"/>
          <w:color w:val="auto"/>
        </w:rPr>
        <w:t>. If the Company shall fail, for any reason or for no reason, on or prior to the Share Delivery Date, if the Transfer Agent is not participating in FAST or such shares of Common Stock may not be issued without legends under the Securities Act, to issue and deliver to the Holder (or its designee) a certificate for the number of Warrant Shares to which the Holder is entitled and register such Warrant Shares on the Company’s share register or, if the Transfer Agent is participating in FAST and such shares of Common Stock may not be issued without legends under the Securities Act, to credit the balance account of the Holder or the Holder’s designee with DTC for such number of Warrant Shares to which the Holder is entitled upon the Holder’s exercise of this Warrant (as the case may be) (a “</w:t>
      </w:r>
      <w:r>
        <w:rPr>
          <w:rFonts w:ascii="Arial" w:cs="Arial" w:eastAsia="Arial" w:hAnsi="Arial"/>
          <w:sz w:val="16"/>
          <w:szCs w:val="16"/>
          <w:b w:val="1"/>
          <w:bCs w:val="1"/>
          <w:color w:val="auto"/>
        </w:rPr>
        <w:t>Delivery Failure</w:t>
      </w:r>
      <w:r>
        <w:rPr>
          <w:rFonts w:ascii="Arial" w:cs="Arial" w:eastAsia="Arial" w:hAnsi="Arial"/>
          <w:sz w:val="16"/>
          <w:szCs w:val="16"/>
          <w:color w:val="auto"/>
        </w:rPr>
        <w:t>”), then, in addition to all other remedies available to the Holder, (X) the Company shall pay in cash to the Holder on each day after the Share Delivery Date and during such Delivery Failure an amount in cash, as liquidated damages and not as a penalty, equal to 2.0% of the product of (A) the sum of the number of shares of Common Stock not issued to the Holder on or prior to the Share Delivery Date and to which the Holder is entitled, and (B) any trading price of the Common Stock selected by the Holder in writing as in effect at any time during the period beginning on the applicable exercise date and ending on the applicable Share Delivery Date, and (Y) the Holder, upon written notice to the Company, may void its Exercise Notice with respect to, and retain or have returned, as the case may be, any portion of this Warrant that has not been exercised pursuant to such Exercise Notice; provided that the voiding of an Exercise Notice shall not affect the Company’s obligations to make any payments which have accrued prior to the date of such notice pursuant to this Section 1(c) or otherwise. In addition to the foregoing, if on or after such Share Delivery Date the Holder purchases (in an open market transaction or otherwise) shares of Common Stock to deliver in satisfaction of a sale by the Holder of all or any portion of the number of shares of Common Stock issuable upon such exercise that the Holder is entitled to receive from the Company (a “</w:t>
      </w:r>
      <w:r>
        <w:rPr>
          <w:rFonts w:ascii="Arial" w:cs="Arial" w:eastAsia="Arial" w:hAnsi="Arial"/>
          <w:sz w:val="16"/>
          <w:szCs w:val="16"/>
          <w:b w:val="1"/>
          <w:bCs w:val="1"/>
          <w:color w:val="auto"/>
        </w:rPr>
        <w:t>Buy-In</w:t>
      </w:r>
      <w:r>
        <w:rPr>
          <w:rFonts w:ascii="Arial" w:cs="Arial" w:eastAsia="Arial" w:hAnsi="Arial"/>
          <w:sz w:val="16"/>
          <w:szCs w:val="16"/>
          <w:color w:val="auto"/>
        </w:rPr>
        <w:t>”), then, in addition to all other remedies available to the Holder, the Company shall, within three (3) Business Days after the Holder’s request and in the Holder’s discretion, either (i) pay cash to the Holder in an amount equal to the Holder’s total purchase price (including brokerage commissions and other out-of-pocket expenses, if any) for the shares of Common Stock so purchased (including, without limitation, by any other Person in respect, or on behalf, of the Holder) (the “</w:t>
      </w:r>
      <w:r>
        <w:rPr>
          <w:rFonts w:ascii="Arial" w:cs="Arial" w:eastAsia="Arial" w:hAnsi="Arial"/>
          <w:sz w:val="16"/>
          <w:szCs w:val="16"/>
          <w:b w:val="1"/>
          <w:bCs w:val="1"/>
          <w:color w:val="auto"/>
        </w:rPr>
        <w:t>Buy-In Price</w:t>
      </w:r>
      <w:r>
        <w:rPr>
          <w:rFonts w:ascii="Arial" w:cs="Arial" w:eastAsia="Arial" w:hAnsi="Arial"/>
          <w:sz w:val="16"/>
          <w:szCs w:val="16"/>
          <w:color w:val="auto"/>
        </w:rPr>
        <w:t>”), at which point the Company’s obligation to so issue and deliver such certificate (and to issue such shares of Common Stock) or credit the balance account of such Holder or such Holder’s designee, as applicable, with DTC for the number of Warrant Shares to which the Holder is entitled upon the Holder’s exercise hereunder (as the case may be) (and to issue such Warrant Shares) shall terminate, or (ii) promptly honor its obligation to so issue and deliver to the Holder a certificate or certificates representing such Warrant Shares or credit the balance account of such Holder or such Holder’s designee, as applicable, with DTC for the number of Warrant Shares to which the Holder is entitled upon the Holder’s exercise hereunder (as the case may be) and pay cash to the Holder in an amount equal to the excess (if any) of the Buy-In Price over the product of (A) such number of Warrant Shares multiplied by (B) the Closing Sale Price of the Common Stock on the Share Delivery Date with respect to the related Exercise Notice (the “</w:t>
      </w:r>
      <w:r>
        <w:rPr>
          <w:rFonts w:ascii="Arial" w:cs="Arial" w:eastAsia="Arial" w:hAnsi="Arial"/>
          <w:sz w:val="16"/>
          <w:szCs w:val="16"/>
          <w:b w:val="1"/>
          <w:bCs w:val="1"/>
          <w:color w:val="auto"/>
        </w:rPr>
        <w:t>Buy-In Payment Amount</w:t>
      </w:r>
      <w:r>
        <w:rPr>
          <w:rFonts w:ascii="Arial" w:cs="Arial" w:eastAsia="Arial" w:hAnsi="Arial"/>
          <w:sz w:val="16"/>
          <w:szCs w:val="16"/>
          <w:color w:val="auto"/>
        </w:rPr>
        <w:t>”). The Holder shall provide the Company written notice indicating the amounts payable to the Holder in respect of the Buy-In and, upon request of the Company, evidence of the amount of such loss. Nothing shall limit the Holder’s right to pursue any other remedies available to it hereunder, at law or in equity, including, without limitation, a decree of specific performance and/or injunctive relief with respect to the Company’s failure to timely deliver certificates representing shares of Common Stock (or to electronically deliver such shares of Common Stock) upon the exercise of this Warrant as required pursuant to the terms hereof.</w:t>
      </w:r>
    </w:p>
    <w:p>
      <w:pPr>
        <w:spacing w:after="0" w:line="187" w:lineRule="exact"/>
        <w:rPr>
          <w:rFonts w:ascii="Arial" w:cs="Arial" w:eastAsia="Arial" w:hAnsi="Arial"/>
          <w:sz w:val="16"/>
          <w:szCs w:val="16"/>
          <w:color w:val="auto"/>
        </w:rPr>
      </w:pPr>
    </w:p>
    <w:p>
      <w:pPr>
        <w:jc w:val="both"/>
        <w:ind w:firstLine="1952"/>
        <w:spacing w:after="0" w:line="257" w:lineRule="auto"/>
        <w:tabs>
          <w:tab w:leader="none" w:pos="2218" w:val="left"/>
        </w:tabs>
        <w:numPr>
          <w:ilvl w:val="0"/>
          <w:numId w:val="168"/>
        </w:numPr>
        <w:rPr>
          <w:rFonts w:ascii="Arial" w:cs="Arial" w:eastAsia="Arial" w:hAnsi="Arial"/>
          <w:sz w:val="18"/>
          <w:szCs w:val="18"/>
          <w:color w:val="auto"/>
        </w:rPr>
      </w:pPr>
      <w:r>
        <w:rPr>
          <w:rFonts w:ascii="Arial" w:cs="Arial" w:eastAsia="Arial" w:hAnsi="Arial"/>
          <w:sz w:val="18"/>
          <w:szCs w:val="18"/>
          <w:u w:val="single" w:color="auto"/>
          <w:color w:val="auto"/>
        </w:rPr>
        <w:t>Cashless Exercise</w:t>
      </w:r>
      <w:r>
        <w:rPr>
          <w:rFonts w:ascii="Arial" w:cs="Arial" w:eastAsia="Arial" w:hAnsi="Arial"/>
          <w:sz w:val="18"/>
          <w:szCs w:val="18"/>
          <w:color w:val="auto"/>
        </w:rPr>
        <w:t>. Notwithstanding anything contained herein to the contrary (other than Section 1(f) below), the Holder may, in its sole discretion (and without limiting the Holder’s rights and remedies contained herein), exercise this Warrant in whole or in part and, subject to the provisions of Section 1(a), in lieu of making the cash payment otherwise contemplated to be made to the Company upon such exercise in payment of the Aggregate Exercise Price, elect instead to receive upon such exercise the “Net Number” of Warrant Shares determined according to the following formula:</w:t>
      </w:r>
    </w:p>
    <w:p>
      <w:pPr>
        <w:spacing w:after="0" w:line="188"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 xml:space="preserve">Net Number = </w:t>
      </w:r>
      <w:r>
        <w:rPr>
          <w:rFonts w:ascii="Arial" w:cs="Arial" w:eastAsia="Arial" w:hAnsi="Arial"/>
          <w:sz w:val="18"/>
          <w:szCs w:val="18"/>
          <w:u w:val="single" w:color="auto"/>
          <w:color w:val="auto"/>
        </w:rPr>
        <w:t>(A x B) - (A x C)</w:t>
      </w:r>
    </w:p>
    <w:p>
      <w:pPr>
        <w:spacing w:after="0" w:line="23" w:lineRule="exact"/>
        <w:rPr>
          <w:sz w:val="20"/>
          <w:szCs w:val="20"/>
          <w:color w:val="auto"/>
        </w:rPr>
      </w:pPr>
    </w:p>
    <w:p>
      <w:pPr>
        <w:ind w:left="2940"/>
        <w:spacing w:after="0"/>
        <w:rPr>
          <w:sz w:val="20"/>
          <w:szCs w:val="20"/>
          <w:color w:val="auto"/>
        </w:rPr>
      </w:pPr>
      <w:r>
        <w:rPr>
          <w:rFonts w:ascii="Arial" w:cs="Arial" w:eastAsia="Arial" w:hAnsi="Arial"/>
          <w:sz w:val="18"/>
          <w:szCs w:val="18"/>
          <w:color w:val="auto"/>
        </w:rPr>
        <w:t>B</w:t>
      </w:r>
    </w:p>
    <w:p>
      <w:pPr>
        <w:spacing w:after="0" w:line="224"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For purposes of the foregoing formula:</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 the total number of shares with respect to which this Warrant is then being exercised.</w:t>
      </w:r>
    </w:p>
    <w:p>
      <w:pPr>
        <w:spacing w:after="0" w:line="225" w:lineRule="exact"/>
        <w:rPr>
          <w:sz w:val="20"/>
          <w:szCs w:val="20"/>
          <w:color w:val="auto"/>
        </w:rPr>
      </w:pPr>
    </w:p>
    <w:p>
      <w:pPr>
        <w:ind w:left="1300"/>
        <w:spacing w:after="0" w:line="342" w:lineRule="auto"/>
        <w:rPr>
          <w:sz w:val="20"/>
          <w:szCs w:val="20"/>
          <w:color w:val="auto"/>
        </w:rPr>
      </w:pPr>
      <w:r>
        <w:rPr>
          <w:rFonts w:ascii="Arial" w:cs="Arial" w:eastAsia="Arial" w:hAnsi="Arial"/>
          <w:sz w:val="16"/>
          <w:szCs w:val="16"/>
          <w:color w:val="auto"/>
        </w:rPr>
        <w:t>B = the quotient of (x) the sum of the VWAP of the Common Stock of each of the five (5) Trading Days ending at the close of business on the Principal Market immediately prior to the time of exercise as set forth in the applicable Exercise Notice, divided by (y) five (5).</w:t>
      </w:r>
    </w:p>
    <w:p>
      <w:pPr>
        <w:spacing w:after="0" w:line="124"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C = the Exercise Price then in effect for the applicable Warrant Shares at the time of such exercise.</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For purposes of Rule 144(d) promulgated under the Securities Act, as in effect on the date hereof, it is intended that the Warrant Shares issued in a Cashless Exercise shall be deemed to have been acquired by the Holder, and the holding period for the Warrant Shares shall be deemed to have commenced, on the date this Warrant was originally issued pursuant to the Credit Agreement.</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77" w:name="page178"/>
    <w:bookmarkEnd w:id="177"/>
    <w:p>
      <w:pPr>
        <w:jc w:val="both"/>
        <w:ind w:firstLine="1952"/>
        <w:spacing w:after="0" w:line="263" w:lineRule="auto"/>
        <w:tabs>
          <w:tab w:leader="none" w:pos="2194" w:val="left"/>
        </w:tabs>
        <w:numPr>
          <w:ilvl w:val="1"/>
          <w:numId w:val="169"/>
        </w:numPr>
        <w:rPr>
          <w:rFonts w:ascii="Arial" w:cs="Arial" w:eastAsia="Arial" w:hAnsi="Arial"/>
          <w:sz w:val="18"/>
          <w:szCs w:val="18"/>
          <w:color w:val="auto"/>
        </w:rPr>
      </w:pPr>
      <w:r>
        <w:rPr>
          <w:rFonts w:ascii="Arial" w:cs="Arial" w:eastAsia="Arial" w:hAnsi="Arial"/>
          <w:sz w:val="18"/>
          <w:szCs w:val="18"/>
          <w:u w:val="single" w:color="auto"/>
          <w:color w:val="auto"/>
        </w:rPr>
        <w:t>Disputes</w:t>
      </w:r>
      <w:r>
        <w:rPr>
          <w:rFonts w:ascii="Arial" w:cs="Arial" w:eastAsia="Arial" w:hAnsi="Arial"/>
          <w:sz w:val="18"/>
          <w:szCs w:val="18"/>
          <w:color w:val="auto"/>
        </w:rPr>
        <w:t>. In the case of a dispute as to the determination of the Exercise Price or the arithmetic calculation of the number of Warrant Shares to be issued pursuant to the terms hereof, the Company shall promptly issue to the Holder the number of Warrant Shares that are not disputed and resolve such dispute in accordance with Section 12.</w:t>
      </w:r>
    </w:p>
    <w:p>
      <w:pPr>
        <w:spacing w:after="0" w:line="183" w:lineRule="exact"/>
        <w:rPr>
          <w:rFonts w:ascii="Arial" w:cs="Arial" w:eastAsia="Arial" w:hAnsi="Arial"/>
          <w:sz w:val="18"/>
          <w:szCs w:val="18"/>
          <w:color w:val="auto"/>
        </w:rPr>
      </w:pPr>
    </w:p>
    <w:p>
      <w:pPr>
        <w:jc w:val="both"/>
        <w:ind w:firstLine="1952"/>
        <w:spacing w:after="0" w:line="282" w:lineRule="auto"/>
        <w:tabs>
          <w:tab w:leader="none" w:pos="2203" w:val="left"/>
        </w:tabs>
        <w:numPr>
          <w:ilvl w:val="1"/>
          <w:numId w:val="169"/>
        </w:numPr>
        <w:rPr>
          <w:rFonts w:ascii="Arial" w:cs="Arial" w:eastAsia="Arial" w:hAnsi="Arial"/>
          <w:sz w:val="16"/>
          <w:szCs w:val="16"/>
          <w:color w:val="auto"/>
        </w:rPr>
      </w:pPr>
      <w:r>
        <w:rPr>
          <w:rFonts w:ascii="Arial" w:cs="Arial" w:eastAsia="Arial" w:hAnsi="Arial"/>
          <w:sz w:val="16"/>
          <w:szCs w:val="16"/>
          <w:u w:val="single" w:color="auto"/>
          <w:color w:val="auto"/>
        </w:rPr>
        <w:t>Limitations on Exercises</w:t>
      </w:r>
      <w:r>
        <w:rPr>
          <w:rFonts w:ascii="Arial" w:cs="Arial" w:eastAsia="Arial" w:hAnsi="Arial"/>
          <w:sz w:val="16"/>
          <w:szCs w:val="16"/>
          <w:color w:val="auto"/>
        </w:rPr>
        <w:t>. Notwithstanding anything to the contrary contained herein, the Company shall not effect the exercise of any portion of this Warrant, and the Holder shall not have the right to exercise any portion of this Warrant, pursuant to the terms and conditions of this Warrant and any such exercise shall be null and void and treated as if never made, to the extent that after giving effect to such exercise, the Holder together with the other Attribution Parties collectively would beneficially own in excess of 4.99% (the “</w:t>
      </w:r>
      <w:r>
        <w:rPr>
          <w:rFonts w:ascii="Arial" w:cs="Arial" w:eastAsia="Arial" w:hAnsi="Arial"/>
          <w:sz w:val="16"/>
          <w:szCs w:val="16"/>
          <w:b w:val="1"/>
          <w:bCs w:val="1"/>
          <w:color w:val="auto"/>
        </w:rPr>
        <w:t>Maximum Percentage</w:t>
      </w:r>
      <w:r>
        <w:rPr>
          <w:rFonts w:ascii="Arial" w:cs="Arial" w:eastAsia="Arial" w:hAnsi="Arial"/>
          <w:sz w:val="16"/>
          <w:szCs w:val="16"/>
          <w:color w:val="auto"/>
        </w:rPr>
        <w:t>”) of the number of shares of Common Stock outstanding immediately after giving effect to such exercise. For purposes of the foregoing sentence, the aggregate number of shares of Common Stock beneficially owned by the Holder and the other Attribution Parties shall include the number of shares of Common Stock held by the Holder and all other Attribution Parties plus the number of shares of Common Stock issuable upon exercise of this Warrant with respect to which the determination of such sentence is being made, but shall exclude the number of shares of Common Stock which would be issuable upon (A) exercise of the remaining, unexercised portion of this Warrant beneficially owned by the Holder or any of the other Attribution Parties and (B) exercise or conversion of the unexercised or unconverted portion of any other securities of the Company (including, without limitation, any convertible notes or convertible preferred stock or warrants) beneficially owned by the Holder or any other Attribution Party subject to a limitation on conversion or exercise analogous to the limitation contained in this Section 1(f). For purposes of this Section 1(f), beneficial ownership shall be calculated in accordance with Section 13(d) of the Securities Exchange Act of 1934, as amended (the “</w:t>
      </w:r>
      <w:r>
        <w:rPr>
          <w:rFonts w:ascii="Arial" w:cs="Arial" w:eastAsia="Arial" w:hAnsi="Arial"/>
          <w:sz w:val="16"/>
          <w:szCs w:val="16"/>
          <w:b w:val="1"/>
          <w:bCs w:val="1"/>
          <w:color w:val="auto"/>
        </w:rPr>
        <w:t>Exchange Act</w:t>
      </w:r>
      <w:r>
        <w:rPr>
          <w:rFonts w:ascii="Arial" w:cs="Arial" w:eastAsia="Arial" w:hAnsi="Arial"/>
          <w:sz w:val="16"/>
          <w:szCs w:val="16"/>
          <w:color w:val="auto"/>
        </w:rPr>
        <w:t>”). For purposes of this Warrant, in determining the number of outstanding shares of Common Stock the Holder may acquire upon the exercise of this Warrant without exceeding the Maximum Percentage, the Holder may rely on the number of outstanding shares of Common Stock as reflected in (x) the Company’s most recent Annual Report on Form 10-K, Quarterly Report on Form 10-Q, Current Report on Form 8-K or other public filing with the Securities and Exchange Commission (the “</w:t>
      </w:r>
      <w:r>
        <w:rPr>
          <w:rFonts w:ascii="Arial" w:cs="Arial" w:eastAsia="Arial" w:hAnsi="Arial"/>
          <w:sz w:val="16"/>
          <w:szCs w:val="16"/>
          <w:b w:val="1"/>
          <w:bCs w:val="1"/>
          <w:color w:val="auto"/>
        </w:rPr>
        <w:t>SEC</w:t>
      </w:r>
      <w:r>
        <w:rPr>
          <w:rFonts w:ascii="Arial" w:cs="Arial" w:eastAsia="Arial" w:hAnsi="Arial"/>
          <w:sz w:val="16"/>
          <w:szCs w:val="16"/>
          <w:color w:val="auto"/>
        </w:rPr>
        <w:t>”), as the case may be, (y) a more recent public announcement by the Company or (z) any other written notice by the Company or the Transfer Agent, if any, setting forth the number of shares of Common Stock outstanding (the “</w:t>
      </w:r>
      <w:r>
        <w:rPr>
          <w:rFonts w:ascii="Arial" w:cs="Arial" w:eastAsia="Arial" w:hAnsi="Arial"/>
          <w:sz w:val="16"/>
          <w:szCs w:val="16"/>
          <w:b w:val="1"/>
          <w:bCs w:val="1"/>
          <w:color w:val="auto"/>
        </w:rPr>
        <w:t>Reported Outstanding Share Number</w:t>
      </w:r>
      <w:r>
        <w:rPr>
          <w:rFonts w:ascii="Arial" w:cs="Arial" w:eastAsia="Arial" w:hAnsi="Arial"/>
          <w:sz w:val="16"/>
          <w:szCs w:val="16"/>
          <w:color w:val="auto"/>
        </w:rPr>
        <w:t>”). If the Company receives an Exercise Notice from the Holder at a time when the actual number of outstanding shares of Common Stock is less than the Reported Outstanding Share Number, the Company shall (i) notify the Holder in writing of the number of shares of Common Stock then outstanding and, to the extent that such Exercise Notice would otherwise cause the Holder’s beneficial ownership, as determined pursuant to this Section 1(f), to exceed the Maximum Percentage, the Holder must notify the Company of a reduced number of Warrant Shares to be purchased pursuant to such Exercise Notice (the number of shares by which such purchase is reduced, the “</w:t>
      </w:r>
      <w:r>
        <w:rPr>
          <w:rFonts w:ascii="Arial" w:cs="Arial" w:eastAsia="Arial" w:hAnsi="Arial"/>
          <w:sz w:val="16"/>
          <w:szCs w:val="16"/>
          <w:b w:val="1"/>
          <w:bCs w:val="1"/>
          <w:color w:val="auto"/>
        </w:rPr>
        <w:t>Reduction Shares</w:t>
      </w:r>
      <w:r>
        <w:rPr>
          <w:rFonts w:ascii="Arial" w:cs="Arial" w:eastAsia="Arial" w:hAnsi="Arial"/>
          <w:sz w:val="16"/>
          <w:szCs w:val="16"/>
          <w:color w:val="auto"/>
        </w:rPr>
        <w:t>”) and</w:t>
      </w:r>
    </w:p>
    <w:p>
      <w:pPr>
        <w:spacing w:after="0" w:line="10" w:lineRule="exact"/>
        <w:rPr>
          <w:rFonts w:ascii="Arial" w:cs="Arial" w:eastAsia="Arial" w:hAnsi="Arial"/>
          <w:sz w:val="16"/>
          <w:szCs w:val="16"/>
          <w:color w:val="auto"/>
        </w:rPr>
      </w:pPr>
    </w:p>
    <w:p>
      <w:pPr>
        <w:jc w:val="both"/>
        <w:ind w:firstLine="8"/>
        <w:spacing w:after="0" w:line="283" w:lineRule="auto"/>
        <w:tabs>
          <w:tab w:leader="none" w:pos="283" w:val="left"/>
        </w:tabs>
        <w:numPr>
          <w:ilvl w:val="0"/>
          <w:numId w:val="170"/>
        </w:numPr>
        <w:rPr>
          <w:rFonts w:ascii="Arial" w:cs="Arial" w:eastAsia="Arial" w:hAnsi="Arial"/>
          <w:sz w:val="16"/>
          <w:szCs w:val="16"/>
          <w:color w:val="auto"/>
        </w:rPr>
      </w:pPr>
      <w:r>
        <w:rPr>
          <w:rFonts w:ascii="Arial" w:cs="Arial" w:eastAsia="Arial" w:hAnsi="Arial"/>
          <w:sz w:val="16"/>
          <w:szCs w:val="16"/>
          <w:color w:val="auto"/>
        </w:rPr>
        <w:t>as soon as reasonably practicable, the Company shall return to the Holder any exercise price paid by the Holder for the Reduction Shares. For any reason at any time, upon the written or oral request of the Holder, the Company shall within one (1) Business Day confirm orally and in writing or by electronic mail to the Holder the number of shares of Common Stock then outstanding. In any case, the number of outstanding shares of Common Stock shall be determined after giving effect to the conversion or exercise of securities of the Company, including this Warrant, by the Holder and any other Attribution Party since the date as of which the Reported Outstanding Share Number was reported. In the event that the issuance of shares of Common Stock to the Holder upon exercise of this Warrant results in the Holder and the other Attribution Parties being deemed to beneficially own, in the aggregate, more than the Maximum Percentage of the number of outstanding shares of Common Stock (as determined under Section 13(d) of the Exchange Act), the number of shares so issued by which the Holder’s and the other Attribution Parties’ aggregate beneficial ownership exceeds the Maximum Percentage (the “</w:t>
      </w:r>
      <w:r>
        <w:rPr>
          <w:rFonts w:ascii="Arial" w:cs="Arial" w:eastAsia="Arial" w:hAnsi="Arial"/>
          <w:sz w:val="16"/>
          <w:szCs w:val="16"/>
          <w:b w:val="1"/>
          <w:bCs w:val="1"/>
          <w:color w:val="auto"/>
        </w:rPr>
        <w:t>Excess Shares</w:t>
      </w:r>
      <w:r>
        <w:rPr>
          <w:rFonts w:ascii="Arial" w:cs="Arial" w:eastAsia="Arial" w:hAnsi="Arial"/>
          <w:sz w:val="16"/>
          <w:szCs w:val="16"/>
          <w:color w:val="auto"/>
        </w:rPr>
        <w:t>”) shall be deemed null and void and shall be cancelled ab initio, and the Holder shall not have the power to vote or to transfer the Excess Shares. As soon as reasonably practicable after the issuance of the Excess Shares has been deemed null and void, the Company shall return to the Holder the exercise price paid by the Holder for the Excess Shares. Upon delivery of a written notice to the Company, the Holder may from time to time increase (with such increase not effective until the sixty-first (61st) day after delivery of such notice) or decrease the Maximum Percentage to any other percentage not in excess of 9.99% as specified in such notice; provided that (i) any such increase in the Maximum Percentage will not be effective until the sixty-first (61st) day after such notice is delivered to the Company and (ii) any such increase or decrease will apply only to the Holder and the other Attribution Parties and not to any other holder that is not an Attribution Party of the Holder. For purposes of clarity, the shares of Common Stock issuable pursuant to the terms of this Warrant in excess of the Maximum Percentage shall not be deemed to be beneficially owned by the Holder for any purpose including for purposes of Section 13(d) or Rule 16a-1(a)(1) of the Exchange Act. No prior inability to exercise this Warrant pursuant to this paragraph shall have any effect on the applicability of the provisions of this paragraph with respect to any subsequent determination of exercisability. The provisions of this paragraph shall be construed and implemented in a manner otherwise than in strict conformity with the terms of this Section 1(f) to the extent necessary to correct this paragraph or any portion of this paragraph which may be defective or inconsistent with the intended beneficial ownership limitation contained in this Section 1(f) or to make changes or supplements necessary or desirable to properly give effect to such limitation. The limitation contained in this paragraph may not be waived and shall apply to a successor holder of this Warrant.</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78" w:name="page179"/>
    <w:bookmarkEnd w:id="178"/>
    <w:p>
      <w:pPr>
        <w:jc w:val="both"/>
        <w:ind w:firstLine="1952"/>
        <w:spacing w:after="0" w:line="284" w:lineRule="auto"/>
        <w:tabs>
          <w:tab w:leader="none" w:pos="2200" w:val="left"/>
        </w:tabs>
        <w:numPr>
          <w:ilvl w:val="1"/>
          <w:numId w:val="171"/>
        </w:numPr>
        <w:rPr>
          <w:rFonts w:ascii="Arial" w:cs="Arial" w:eastAsia="Arial" w:hAnsi="Arial"/>
          <w:sz w:val="16"/>
          <w:szCs w:val="16"/>
          <w:color w:val="auto"/>
        </w:rPr>
      </w:pPr>
      <w:r>
        <w:rPr>
          <w:rFonts w:ascii="Arial" w:cs="Arial" w:eastAsia="Arial" w:hAnsi="Arial"/>
          <w:sz w:val="16"/>
          <w:szCs w:val="16"/>
          <w:u w:val="single" w:color="auto"/>
          <w:color w:val="auto"/>
        </w:rPr>
        <w:t>Insufficient Authorized Shares</w:t>
      </w:r>
      <w:r>
        <w:rPr>
          <w:rFonts w:ascii="Arial" w:cs="Arial" w:eastAsia="Arial" w:hAnsi="Arial"/>
          <w:sz w:val="16"/>
          <w:szCs w:val="16"/>
          <w:color w:val="auto"/>
        </w:rPr>
        <w:t>. If at any time while this Warrant remains outstanding the Company does not have a sufficient number of authorized and unreserved shares of Common Stock to satisfy its obligation to reserve for issuance upon exercise of this Warrant at least a number of shares of Common Stock equal to the number of shares of Common Stock as shall from time to time be necessary to effect the exercise of all of this Warrant then outstanding (the “</w:t>
      </w:r>
      <w:r>
        <w:rPr>
          <w:rFonts w:ascii="Arial" w:cs="Arial" w:eastAsia="Arial" w:hAnsi="Arial"/>
          <w:sz w:val="16"/>
          <w:szCs w:val="16"/>
          <w:b w:val="1"/>
          <w:bCs w:val="1"/>
          <w:color w:val="auto"/>
        </w:rPr>
        <w:t>Required Reserve Amount</w:t>
      </w:r>
      <w:r>
        <w:rPr>
          <w:rFonts w:ascii="Arial" w:cs="Arial" w:eastAsia="Arial" w:hAnsi="Arial"/>
          <w:sz w:val="16"/>
          <w:szCs w:val="16"/>
          <w:color w:val="auto"/>
        </w:rPr>
        <w:t>” and the failure to have such sufficient number of authorized and unreserved shares of Common Stock, an “</w:t>
      </w:r>
      <w:r>
        <w:rPr>
          <w:rFonts w:ascii="Arial" w:cs="Arial" w:eastAsia="Arial" w:hAnsi="Arial"/>
          <w:sz w:val="16"/>
          <w:szCs w:val="16"/>
          <w:b w:val="1"/>
          <w:bCs w:val="1"/>
          <w:color w:val="auto"/>
        </w:rPr>
        <w:t>Authorized Share Failure</w:t>
      </w:r>
      <w:r>
        <w:rPr>
          <w:rFonts w:ascii="Arial" w:cs="Arial" w:eastAsia="Arial" w:hAnsi="Arial"/>
          <w:sz w:val="16"/>
          <w:szCs w:val="16"/>
          <w:color w:val="auto"/>
        </w:rPr>
        <w:t>”), then the Company shall as soon as reasonably practicable take all action necessary to increase the Company’s authorized shares of Common Stock to an amount sufficient to allow the Company to reserve the Required Reserve Amount for this Warrant then outstanding. Without limiting the generality of the foregoing sentence, as soon as reasonably practicable after the date of the occurrence of an Authorized Share Failure, but in no event later than seventy-five (75) days after the occurrence of such Authorized Share Failure, the Company shall hold a meeting of its stockholders for the approval of an increase in the number of authorized shares of Common Stock. In connection with such meeting, the Company shall provide each stockholder with a proxy statement and shall use its reasonable best efforts to solicit its stockholders’ approval of such increase in authorized shares of Common Stock and to cause its board of directors to recommend to the stockholders that they approve such proposal. In the event that the Company is prohibited from issuing shares of Common Stock upon an exercise of this Warrant due to the failure by the Company to have sufficient shares of Common Stock available out of the authorized but unissued shares of Common Stock (such unavailable number of shares of Common Stock, the “</w:t>
      </w:r>
      <w:r>
        <w:rPr>
          <w:rFonts w:ascii="Arial" w:cs="Arial" w:eastAsia="Arial" w:hAnsi="Arial"/>
          <w:sz w:val="16"/>
          <w:szCs w:val="16"/>
          <w:b w:val="1"/>
          <w:bCs w:val="1"/>
          <w:color w:val="auto"/>
        </w:rPr>
        <w:t>Authorization Failure Shares</w:t>
      </w:r>
      <w:r>
        <w:rPr>
          <w:rFonts w:ascii="Arial" w:cs="Arial" w:eastAsia="Arial" w:hAnsi="Arial"/>
          <w:sz w:val="16"/>
          <w:szCs w:val="16"/>
          <w:color w:val="auto"/>
        </w:rPr>
        <w:t>”), in lieu of delivering such Authorization Failure Shares to the Holder, the Company shall pay cash in exchange for the cancellation of such portion of this Warrant exercisable into such Authorization Failure Shares at a price equal to the sum of (i) the product of (x) such number of Authorization Failure Shares and (y) the Closing Sale Price of the Common Stock on the date the Holder delivers the applicable Exercise Notice with respect to such Authorization Failure Shares to the Company; and (ii) to the extent the Holder purchases (in an open market transaction or otherwise) shares of Common Stock to deliver in satisfaction of a sale by the Holder of Authorization Failure Shares, any Buy-In Payment Amount, brokerage commissions and other out-of-pocket expenses, if any, of the Holder incurred in connection therewith. Nothing contained in this Section 1(g) shall limit any obligations of the Company under any provision of the Credit Agreement.</w:t>
      </w:r>
    </w:p>
    <w:p>
      <w:pPr>
        <w:spacing w:after="0" w:line="181" w:lineRule="exact"/>
        <w:rPr>
          <w:rFonts w:ascii="Arial" w:cs="Arial" w:eastAsia="Arial" w:hAnsi="Arial"/>
          <w:sz w:val="16"/>
          <w:szCs w:val="16"/>
          <w:color w:val="auto"/>
        </w:rPr>
      </w:pPr>
    </w:p>
    <w:p>
      <w:pPr>
        <w:ind w:firstLine="1304"/>
        <w:spacing w:after="0" w:line="277" w:lineRule="auto"/>
        <w:tabs>
          <w:tab w:leader="none" w:pos="1490" w:val="left"/>
        </w:tabs>
        <w:numPr>
          <w:ilvl w:val="0"/>
          <w:numId w:val="172"/>
        </w:numPr>
        <w:rPr>
          <w:rFonts w:ascii="Arial" w:cs="Arial" w:eastAsia="Arial" w:hAnsi="Arial"/>
          <w:sz w:val="18"/>
          <w:szCs w:val="18"/>
          <w:color w:val="auto"/>
        </w:rPr>
      </w:pPr>
      <w:r>
        <w:rPr>
          <w:rFonts w:ascii="Arial" w:cs="Arial" w:eastAsia="Arial" w:hAnsi="Arial"/>
          <w:sz w:val="18"/>
          <w:szCs w:val="18"/>
          <w:u w:val="single" w:color="auto"/>
          <w:color w:val="auto"/>
        </w:rPr>
        <w:t>ADJUSTMENT OF EXERCISE PRICE AND NUMBER OF WARRANT SHARES</w:t>
      </w:r>
      <w:r>
        <w:rPr>
          <w:rFonts w:ascii="Arial" w:cs="Arial" w:eastAsia="Arial" w:hAnsi="Arial"/>
          <w:sz w:val="18"/>
          <w:szCs w:val="18"/>
          <w:color w:val="auto"/>
        </w:rPr>
        <w:t>. The Exercise Price and the number of Warrant Shares issuable upon exercise of this Warrant are subject to adjustments from time to time as set forth in this Section 2.</w:t>
      </w:r>
    </w:p>
    <w:p>
      <w:pPr>
        <w:spacing w:after="0" w:line="170" w:lineRule="exact"/>
        <w:rPr>
          <w:rFonts w:ascii="Arial" w:cs="Arial" w:eastAsia="Arial" w:hAnsi="Arial"/>
          <w:sz w:val="18"/>
          <w:szCs w:val="18"/>
          <w:color w:val="auto"/>
        </w:rPr>
      </w:pPr>
    </w:p>
    <w:p>
      <w:pPr>
        <w:jc w:val="both"/>
        <w:ind w:firstLine="1952"/>
        <w:spacing w:after="0" w:line="272" w:lineRule="auto"/>
        <w:tabs>
          <w:tab w:leader="none" w:pos="2212" w:val="left"/>
        </w:tabs>
        <w:numPr>
          <w:ilvl w:val="1"/>
          <w:numId w:val="172"/>
        </w:numPr>
        <w:rPr>
          <w:rFonts w:ascii="Arial" w:cs="Arial" w:eastAsia="Arial" w:hAnsi="Arial"/>
          <w:sz w:val="17"/>
          <w:szCs w:val="17"/>
          <w:color w:val="auto"/>
        </w:rPr>
      </w:pPr>
      <w:r>
        <w:rPr>
          <w:rFonts w:ascii="Arial" w:cs="Arial" w:eastAsia="Arial" w:hAnsi="Arial"/>
          <w:sz w:val="17"/>
          <w:szCs w:val="17"/>
          <w:u w:val="single" w:color="auto"/>
          <w:color w:val="auto"/>
        </w:rPr>
        <w:t>Adjustment Upon Subdivision or Combination of Shares of Common Stock</w:t>
      </w:r>
      <w:r>
        <w:rPr>
          <w:rFonts w:ascii="Arial" w:cs="Arial" w:eastAsia="Arial" w:hAnsi="Arial"/>
          <w:sz w:val="17"/>
          <w:szCs w:val="17"/>
          <w:color w:val="auto"/>
        </w:rPr>
        <w:t>. If the Company at any time on or after the Issuance Date subdivides (by any stock split, stock dividend, recapitalization or otherwise) one or more classes of its outstanding shares of Common Stock into a greater number of shares, the Exercise Price in effect immediately prior to such subdivision will be proportionately reduced and the number of Warrant Shares will be proportionately increased. If the Company at any time on or after the Issuance Date combines (by combination, reverse stock split or otherwise) one or more classes of its outstanding shares of Common Stock into a smaller number of shares, the Exercise Price in effect immediately prior to such combination will be proportionately increased and the number of Warrant Shares will be proportionately decreased. Any adjustment under this Section 2(a) shall become effective at the close of business on the date the subdivision or combination becomes effective.</w:t>
      </w:r>
    </w:p>
    <w:p>
      <w:pPr>
        <w:spacing w:after="0" w:line="177" w:lineRule="exact"/>
        <w:rPr>
          <w:rFonts w:ascii="Arial" w:cs="Arial" w:eastAsia="Arial" w:hAnsi="Arial"/>
          <w:sz w:val="17"/>
          <w:szCs w:val="17"/>
          <w:color w:val="auto"/>
        </w:rPr>
      </w:pPr>
    </w:p>
    <w:p>
      <w:pPr>
        <w:jc w:val="both"/>
        <w:ind w:firstLine="1952"/>
        <w:spacing w:after="0" w:line="279" w:lineRule="auto"/>
        <w:tabs>
          <w:tab w:leader="none" w:pos="2209" w:val="left"/>
        </w:tabs>
        <w:numPr>
          <w:ilvl w:val="1"/>
          <w:numId w:val="172"/>
        </w:numPr>
        <w:rPr>
          <w:rFonts w:ascii="Arial" w:cs="Arial" w:eastAsia="Arial" w:hAnsi="Arial"/>
          <w:sz w:val="17"/>
          <w:szCs w:val="17"/>
          <w:color w:val="auto"/>
        </w:rPr>
      </w:pPr>
      <w:r>
        <w:rPr>
          <w:rFonts w:ascii="Arial" w:cs="Arial" w:eastAsia="Arial" w:hAnsi="Arial"/>
          <w:sz w:val="17"/>
          <w:szCs w:val="17"/>
          <w:u w:val="single" w:color="auto"/>
          <w:color w:val="auto"/>
        </w:rPr>
        <w:t>Adjustment to Number of Warrant Shares.</w:t>
      </w:r>
      <w:r>
        <w:rPr>
          <w:rFonts w:ascii="Arial" w:cs="Arial" w:eastAsia="Arial" w:hAnsi="Arial"/>
          <w:sz w:val="17"/>
          <w:szCs w:val="17"/>
          <w:color w:val="auto"/>
        </w:rPr>
        <w:t xml:space="preserve"> Simultaneously with any adjustment to the Exercise Price pursuant to Section 2, the number of Warrant Shares that may be purchased upon exercise of this Warrant shall be increased or decreased proportionately, so that after such adjustment the aggregate Exercise Price payable hereunder for the adjusted number of Warrant Shares shall be the same as the aggregate Exercise Price in effect immediately prior to such adjustment (without regard to any limitations on exercise contained herein).</w:t>
      </w:r>
    </w:p>
    <w:p>
      <w:pPr>
        <w:spacing w:after="0" w:line="171" w:lineRule="exact"/>
        <w:rPr>
          <w:rFonts w:ascii="Arial" w:cs="Arial" w:eastAsia="Arial" w:hAnsi="Arial"/>
          <w:sz w:val="17"/>
          <w:szCs w:val="17"/>
          <w:color w:val="auto"/>
        </w:rPr>
      </w:pPr>
    </w:p>
    <w:p>
      <w:pPr>
        <w:ind w:firstLine="1952"/>
        <w:spacing w:after="0" w:line="277" w:lineRule="auto"/>
        <w:tabs>
          <w:tab w:leader="none" w:pos="2202" w:val="left"/>
        </w:tabs>
        <w:numPr>
          <w:ilvl w:val="1"/>
          <w:numId w:val="172"/>
        </w:numPr>
        <w:rPr>
          <w:rFonts w:ascii="Arial" w:cs="Arial" w:eastAsia="Arial" w:hAnsi="Arial"/>
          <w:sz w:val="18"/>
          <w:szCs w:val="18"/>
          <w:color w:val="auto"/>
        </w:rPr>
      </w:pPr>
      <w:r>
        <w:rPr>
          <w:rFonts w:ascii="Arial" w:cs="Arial" w:eastAsia="Arial" w:hAnsi="Arial"/>
          <w:sz w:val="18"/>
          <w:szCs w:val="18"/>
          <w:u w:val="single" w:color="auto"/>
          <w:color w:val="auto"/>
        </w:rPr>
        <w:t>Par Value</w:t>
      </w:r>
      <w:r>
        <w:rPr>
          <w:rFonts w:ascii="Arial" w:cs="Arial" w:eastAsia="Arial" w:hAnsi="Arial"/>
          <w:sz w:val="18"/>
          <w:szCs w:val="18"/>
          <w:color w:val="auto"/>
        </w:rPr>
        <w:t>. Notwithstanding anything to the contrary in this Warrant, in no event shall the Exercise Price be reduced below the par value of the Company’s Common Stock.</w:t>
      </w:r>
    </w:p>
    <w:p>
      <w:pPr>
        <w:spacing w:after="0" w:line="170" w:lineRule="exact"/>
        <w:rPr>
          <w:rFonts w:ascii="Arial" w:cs="Arial" w:eastAsia="Arial" w:hAnsi="Arial"/>
          <w:sz w:val="18"/>
          <w:szCs w:val="18"/>
          <w:color w:val="auto"/>
        </w:rPr>
      </w:pPr>
    </w:p>
    <w:p>
      <w:pPr>
        <w:jc w:val="both"/>
        <w:ind w:firstLine="1952"/>
        <w:spacing w:after="0" w:line="263" w:lineRule="auto"/>
        <w:tabs>
          <w:tab w:leader="none" w:pos="2209" w:val="left"/>
        </w:tabs>
        <w:numPr>
          <w:ilvl w:val="1"/>
          <w:numId w:val="172"/>
        </w:numPr>
        <w:rPr>
          <w:rFonts w:ascii="Arial" w:cs="Arial" w:eastAsia="Arial" w:hAnsi="Arial"/>
          <w:sz w:val="18"/>
          <w:szCs w:val="18"/>
          <w:color w:val="auto"/>
        </w:rPr>
      </w:pPr>
      <w:r>
        <w:rPr>
          <w:rFonts w:ascii="Arial" w:cs="Arial" w:eastAsia="Arial" w:hAnsi="Arial"/>
          <w:sz w:val="18"/>
          <w:szCs w:val="18"/>
          <w:u w:val="single" w:color="auto"/>
          <w:color w:val="auto"/>
        </w:rPr>
        <w:t>Voluntary Adjustment by Company</w:t>
      </w:r>
      <w:r>
        <w:rPr>
          <w:rFonts w:ascii="Arial" w:cs="Arial" w:eastAsia="Arial" w:hAnsi="Arial"/>
          <w:sz w:val="18"/>
          <w:szCs w:val="18"/>
          <w:color w:val="auto"/>
        </w:rPr>
        <w:t>. Subject to Section 2(c), the Company may at any time during the term of this Warrant, with prior written notice to the Holder, reduce the then current Exercise Price to any amount and for any period of time deemed appropriate by the board of directors of the Company.</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79" w:name="page180"/>
    <w:bookmarkEnd w:id="179"/>
    <w:p>
      <w:pPr>
        <w:jc w:val="both"/>
        <w:ind w:firstLine="1304"/>
        <w:spacing w:after="0" w:line="268" w:lineRule="auto"/>
        <w:tabs>
          <w:tab w:leader="none" w:pos="1497" w:val="left"/>
        </w:tabs>
        <w:numPr>
          <w:ilvl w:val="0"/>
          <w:numId w:val="173"/>
        </w:numPr>
        <w:rPr>
          <w:rFonts w:ascii="Arial" w:cs="Arial" w:eastAsia="Arial" w:hAnsi="Arial"/>
          <w:sz w:val="17"/>
          <w:szCs w:val="17"/>
          <w:color w:val="auto"/>
        </w:rPr>
      </w:pPr>
      <w:r>
        <w:rPr>
          <w:rFonts w:ascii="Arial" w:cs="Arial" w:eastAsia="Arial" w:hAnsi="Arial"/>
          <w:sz w:val="17"/>
          <w:szCs w:val="17"/>
          <w:u w:val="single" w:color="auto"/>
          <w:color w:val="auto"/>
        </w:rPr>
        <w:t>RIGHTS UPON DISTRIBUTION OF ASSETS</w:t>
      </w:r>
      <w:r>
        <w:rPr>
          <w:rFonts w:ascii="Arial" w:cs="Arial" w:eastAsia="Arial" w:hAnsi="Arial"/>
          <w:sz w:val="17"/>
          <w:szCs w:val="17"/>
          <w:color w:val="auto"/>
        </w:rPr>
        <w:t>. In addition to any adjustments pursuant to Section 2 above, if the Company shall declare or make any dividend or other distribution of its assets (or rights to acquire its assets) to holders of shares of Common Stock, by way of return of capital or otherwise (including, without limitation, any distribution of cash, stock or other securities, property, options, evidence of indebtedness or any other assets by way of a dividend, spin off, reclassification, corporate rearrangement, scheme of arrangement or other similar transaction) (a “</w:t>
      </w:r>
      <w:r>
        <w:rPr>
          <w:rFonts w:ascii="Arial" w:cs="Arial" w:eastAsia="Arial" w:hAnsi="Arial"/>
          <w:sz w:val="17"/>
          <w:szCs w:val="17"/>
          <w:b w:val="1"/>
          <w:bCs w:val="1"/>
          <w:color w:val="auto"/>
        </w:rPr>
        <w:t>Distribution</w:t>
      </w:r>
      <w:r>
        <w:rPr>
          <w:rFonts w:ascii="Arial" w:cs="Arial" w:eastAsia="Arial" w:hAnsi="Arial"/>
          <w:sz w:val="17"/>
          <w:szCs w:val="17"/>
          <w:color w:val="auto"/>
        </w:rPr>
        <w:t>”), at any time after the issuance of this Warrant, then, in each such case, the Holder shall be entitled to participate in such Distribution to the same extent that the Holder would have participated therein if the Holder had held the number of shares of Common Stock acquirable upon complete exercise of this Warrant (without regard to any limitations or restrictions on exercise of this Warrant, including without limitation, the Maximum Percentage) immediately before the date on which a record is taken for such Distribution, or, if no such record is taken, the date as of which the record holders of shares of Common Stock are to be determined for the participation in such Distribution (provided, however, that to the extent that the Holder’s right to participate in any such Distribution would result in the Holder and the other Attribution Parties exceeding the Maximum Percentage, then the Holder shall not be entitled to participate in such Distribution to the extent of the Maximum Percentage (and shall not be entitled to beneficial ownership of such shares of Common Stock as a result of such Distribution (and beneficial ownership) to the extent of any such excess) and the portion of such Distribution shall be held in abeyance for the benefit of the Holder until such time or times, if ever, as its right thereto would not result in the Holder and the other Attribution Parties exceeding the Maximum Percentage, at which time or times the Holder shall be granted such Distribution (and any Distributions declared or made on such initial Distribution or on any subsequent Distribution held similarly in abeyance) to the same extent as if there had been no such limitation).</w:t>
      </w:r>
    </w:p>
    <w:p>
      <w:pPr>
        <w:spacing w:after="0" w:line="179" w:lineRule="exact"/>
        <w:rPr>
          <w:rFonts w:ascii="Arial" w:cs="Arial" w:eastAsia="Arial" w:hAnsi="Arial"/>
          <w:sz w:val="17"/>
          <w:szCs w:val="17"/>
          <w:color w:val="auto"/>
        </w:rPr>
      </w:pPr>
    </w:p>
    <w:p>
      <w:pPr>
        <w:ind w:left="1480" w:hanging="176"/>
        <w:spacing w:after="0"/>
        <w:tabs>
          <w:tab w:leader="none" w:pos="1480" w:val="left"/>
        </w:tabs>
        <w:numPr>
          <w:ilvl w:val="0"/>
          <w:numId w:val="173"/>
        </w:numPr>
        <w:rPr>
          <w:rFonts w:ascii="Arial" w:cs="Arial" w:eastAsia="Arial" w:hAnsi="Arial"/>
          <w:sz w:val="18"/>
          <w:szCs w:val="18"/>
          <w:color w:val="auto"/>
        </w:rPr>
      </w:pPr>
      <w:r>
        <w:rPr>
          <w:rFonts w:ascii="Arial" w:cs="Arial" w:eastAsia="Arial" w:hAnsi="Arial"/>
          <w:sz w:val="18"/>
          <w:szCs w:val="18"/>
          <w:u w:val="single" w:color="auto"/>
          <w:color w:val="auto"/>
        </w:rPr>
        <w:t>PURCHASE RIGHTS; FUNDAMENTAL TRANSACTIONS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firstLine="1952"/>
        <w:spacing w:after="0" w:line="268" w:lineRule="auto"/>
        <w:tabs>
          <w:tab w:leader="none" w:pos="2204" w:val="left"/>
        </w:tabs>
        <w:numPr>
          <w:ilvl w:val="1"/>
          <w:numId w:val="173"/>
        </w:numPr>
        <w:rPr>
          <w:rFonts w:ascii="Arial" w:cs="Arial" w:eastAsia="Arial" w:hAnsi="Arial"/>
          <w:sz w:val="17"/>
          <w:szCs w:val="17"/>
          <w:color w:val="auto"/>
        </w:rPr>
      </w:pPr>
      <w:r>
        <w:rPr>
          <w:rFonts w:ascii="Arial" w:cs="Arial" w:eastAsia="Arial" w:hAnsi="Arial"/>
          <w:sz w:val="17"/>
          <w:szCs w:val="17"/>
          <w:u w:val="single" w:color="auto"/>
          <w:color w:val="auto"/>
        </w:rPr>
        <w:t>Purchase Rights</w:t>
      </w:r>
      <w:r>
        <w:rPr>
          <w:rFonts w:ascii="Arial" w:cs="Arial" w:eastAsia="Arial" w:hAnsi="Arial"/>
          <w:sz w:val="17"/>
          <w:szCs w:val="17"/>
          <w:color w:val="auto"/>
        </w:rPr>
        <w:t>. In addition to any adjustments pursuant to Section 2 above, if at any time the Company grants, issues or sells any Options, Convertible Securities or rights to purchase stock, warrants, securities or other property pro rata to the record holders of any class of Common Stock (the “</w:t>
      </w:r>
      <w:r>
        <w:rPr>
          <w:rFonts w:ascii="Arial" w:cs="Arial" w:eastAsia="Arial" w:hAnsi="Arial"/>
          <w:sz w:val="17"/>
          <w:szCs w:val="17"/>
          <w:b w:val="1"/>
          <w:bCs w:val="1"/>
          <w:color w:val="auto"/>
        </w:rPr>
        <w:t>Purchase Rights</w:t>
      </w:r>
      <w:r>
        <w:rPr>
          <w:rFonts w:ascii="Arial" w:cs="Arial" w:eastAsia="Arial" w:hAnsi="Arial"/>
          <w:sz w:val="17"/>
          <w:szCs w:val="17"/>
          <w:color w:val="auto"/>
        </w:rPr>
        <w:t>”), then the Holder will be entitled to acquire, upon the terms applicable to such Purchase Rights, the aggregate Purchase Rights which the Holder could have acquired if the Holder had held the number of shares of Common Stock acquirable upon complete exercise of this Warrant (without regard to any limitations or restrictions on exercise of this Warrant, including without limitation, the Maximum Percentage) immediately before the date on which a record is taken for the grant, issuance or sale of such Purchase Rights, or, if no such record is taken, the date as of which the record holders of shares of Common Stock are to be determined for the grant, issuance or sale of such Purchase Rights (provided, however, that to the extent that the Holder’s right to participate in any such Purchase Right would result in the Holder and the other Attribution Parties exceeding the Maximum Percentage, then the Holder shall not be entitled to participate in such Purchase Right to the extent of the Maximum Percentage (and shall not be entitled to beneficial ownership of such shares of Common Stock as a result of such Purchase Right (and beneficial ownership) to the extent of any such excess) and such Purchase Right to such extent shall be held in abeyance for the benefit of the Holder until such time or times, if ever, as its right thereto would not result in the Holder and the other Attribution Parties exceeding the Maximum Percentage, at which time or times the Holder shall be granted such right (and any Purchase Right granted, issued or sold on such initial Purchase Right or on any subsequent Purchase Right held similarly in abeyance) to the same extent as if there had been no such limitation).</w:t>
      </w:r>
    </w:p>
    <w:p>
      <w:pPr>
        <w:spacing w:after="0" w:line="184" w:lineRule="exact"/>
        <w:rPr>
          <w:rFonts w:ascii="Arial" w:cs="Arial" w:eastAsia="Arial" w:hAnsi="Arial"/>
          <w:sz w:val="17"/>
          <w:szCs w:val="17"/>
          <w:color w:val="auto"/>
        </w:rPr>
      </w:pPr>
    </w:p>
    <w:p>
      <w:pPr>
        <w:ind w:left="2200" w:hanging="248"/>
        <w:spacing w:after="0"/>
        <w:tabs>
          <w:tab w:leader="none" w:pos="2200" w:val="left"/>
        </w:tabs>
        <w:numPr>
          <w:ilvl w:val="1"/>
          <w:numId w:val="173"/>
        </w:numPr>
        <w:rPr>
          <w:rFonts w:ascii="Arial" w:cs="Arial" w:eastAsia="Arial" w:hAnsi="Arial"/>
          <w:sz w:val="18"/>
          <w:szCs w:val="18"/>
          <w:color w:val="auto"/>
        </w:rPr>
      </w:pPr>
      <w:r>
        <w:rPr>
          <w:rFonts w:ascii="Arial" w:cs="Arial" w:eastAsia="Arial" w:hAnsi="Arial"/>
          <w:sz w:val="18"/>
          <w:szCs w:val="18"/>
          <w:u w:val="single" w:color="auto"/>
          <w:color w:val="auto"/>
        </w:rPr>
        <w:t>Fundamental Transactions</w:t>
      </w:r>
      <w:r>
        <w:rPr>
          <w:rFonts w:ascii="Arial" w:cs="Arial" w:eastAsia="Arial" w:hAnsi="Arial"/>
          <w:sz w:val="18"/>
          <w:szCs w:val="18"/>
          <w:color w:val="auto"/>
        </w:rPr>
        <w:t>. The Company shall not enter into or be party to a Fundamental Transaction unless:</w:t>
      </w:r>
    </w:p>
    <w:p>
      <w:pPr>
        <w:spacing w:after="0" w:line="225" w:lineRule="exact"/>
        <w:rPr>
          <w:rFonts w:ascii="Arial" w:cs="Arial" w:eastAsia="Arial" w:hAnsi="Arial"/>
          <w:sz w:val="18"/>
          <w:szCs w:val="18"/>
          <w:color w:val="auto"/>
        </w:rPr>
      </w:pPr>
    </w:p>
    <w:p>
      <w:pPr>
        <w:jc w:val="both"/>
        <w:ind w:firstLine="2600"/>
        <w:spacing w:after="0" w:line="273" w:lineRule="auto"/>
        <w:tabs>
          <w:tab w:leader="none" w:pos="2808" w:val="left"/>
        </w:tabs>
        <w:numPr>
          <w:ilvl w:val="2"/>
          <w:numId w:val="173"/>
        </w:numPr>
        <w:rPr>
          <w:rFonts w:ascii="Arial" w:cs="Arial" w:eastAsia="Arial" w:hAnsi="Arial"/>
          <w:sz w:val="17"/>
          <w:szCs w:val="17"/>
          <w:color w:val="auto"/>
        </w:rPr>
      </w:pPr>
      <w:r>
        <w:rPr>
          <w:rFonts w:ascii="Arial" w:cs="Arial" w:eastAsia="Arial" w:hAnsi="Arial"/>
          <w:sz w:val="17"/>
          <w:szCs w:val="17"/>
          <w:color w:val="auto"/>
        </w:rPr>
        <w:t>in the event that the Successor Entity (including its Parent Entity) is not a publicly traded entity with common equity quoted on or listed for trading on an Eligible Market and registered under the Exchange Act, the Company or the Successor Entity, as applicable, shall, on or prior to the date of consummation of such Fundamental Transaction, purchase this Warrant from the Holder by paying to the Holder cash in an amount equal to the Black Scholes Going Private Value (without regard to the limitation set forth in Section 1(f)) whereupon the Successor Entity shall have no obligation to assume the obligations of the Company under this Warrant and the other Loan Documents, including any obligation to deliver to the Holder in exchange for this Warrant any security of the Successor Entity, and</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80" w:name="page181"/>
    <w:bookmarkEnd w:id="180"/>
    <w:p>
      <w:pPr>
        <w:jc w:val="both"/>
        <w:ind w:firstLine="2600"/>
        <w:spacing w:after="0" w:line="284" w:lineRule="auto"/>
        <w:tabs>
          <w:tab w:leader="none" w:pos="2870" w:val="left"/>
        </w:tabs>
        <w:numPr>
          <w:ilvl w:val="0"/>
          <w:numId w:val="174"/>
        </w:numPr>
        <w:rPr>
          <w:rFonts w:ascii="Arial" w:cs="Arial" w:eastAsia="Arial" w:hAnsi="Arial"/>
          <w:sz w:val="16"/>
          <w:szCs w:val="16"/>
          <w:color w:val="auto"/>
        </w:rPr>
      </w:pPr>
      <w:r>
        <w:rPr>
          <w:rFonts w:ascii="Arial" w:cs="Arial" w:eastAsia="Arial" w:hAnsi="Arial"/>
          <w:sz w:val="16"/>
          <w:szCs w:val="16"/>
          <w:color w:val="auto"/>
        </w:rPr>
        <w:t>in the event that the Successor Entity (including its Parent Entity) is a publicly traded entity with common equity quoted on or listed for trading on an Eligible Market and registered under the Exchange Act, the Successor Entity assumes in writing all of the obligations of the Company under this Warrant and the other Loan Documents in accordance with the provisions of this Section 4(b)(ii) pursuant to written agreements in form and substance satisfactory to the Holder and approved by the Holder prior to such Fundamental Transaction, including agreements to deliver to the Holder in exchange for this Warrant a security of the Successor Entity evidenced by a written instrument substantially similar in form and substance to this Warrant, including, without limitation, which is exercisable for a corresponding number of shares of capital stock equivalent to the shares of Common Stock acquirable and receivable upon exercise of this Warrant (without regard to any limitations on the exercise of this Warrant) prior to such Fundamental Transaction, and with an exercise price which applies the exercise price hereunder to such shares of capital stock (but taking into account the relative value of the shares of Common Stock pursuant to such Fundamental Transaction and the value of such shares of capital stock, such adjustments to the number of shares of capital stock and such exercise price being for the purpose of protecting the economic value of this Warrant immediately prior to the consummation of such Fundamental Transaction). Upon the consummation of each Fundamental Transaction described in this Section 4(b)(ii) (each such Fundamental Transaction, a “</w:t>
      </w:r>
      <w:r>
        <w:rPr>
          <w:rFonts w:ascii="Arial" w:cs="Arial" w:eastAsia="Arial" w:hAnsi="Arial"/>
          <w:sz w:val="16"/>
          <w:szCs w:val="16"/>
          <w:b w:val="1"/>
          <w:bCs w:val="1"/>
          <w:color w:val="auto"/>
        </w:rPr>
        <w:t>Public Fundamental Transaction</w:t>
      </w:r>
      <w:r>
        <w:rPr>
          <w:rFonts w:ascii="Arial" w:cs="Arial" w:eastAsia="Arial" w:hAnsi="Arial"/>
          <w:sz w:val="16"/>
          <w:szCs w:val="16"/>
          <w:color w:val="auto"/>
        </w:rPr>
        <w:t>”), the Successor Entity shall (x) succeed to, and be substituted for (so that from and after the date of the applicable Public Fundamental Transaction, the provisions of this Warrant and the other Loan Documents referring to the “Company” or the “Borrower” shall refer instead to the Successor Entity), and may exercise every right and power of the Company and shall assume all of the obligations of the Company under this Warrant and the other Loan Documents with the same effect as if such Successor Entity had been named as the Company herein or therein, and (y) deliver to the Holder confirmation that there shall be issued upon exercise of this Warrant at any time after the consummation of the applicable Public Fundamental Transaction, in lieu of the shares of Common Stock (or other securities, cash, assets or other property (except such items still issuable under Sections 3 and 4(a) above, which shall continue to be receivable thereafter)) issuable upon the exercise of this Warrant prior to the applicable Public Fundamental Transaction, such shares of publicly traded common stock (or its equivalent) of the Successor Entity (including its Parent Entity) which the Holder would have been entitled to receive upon the happening of the applicable Public Fundamental Transaction had this Warrant been exercised immediately prior to the applicable Public Fundamental Transaction (without regard to any limitations on the exercise of this Warrant), as adjusted in accordance with the provisions of this Warrant. Notwithstanding the foregoing, and without limiting Section 1(f) hereof, the Holder may elect, at its sole option, by delivery of written notice to the Company to waive this Section 4(b)(ii) to permit the Public Fundamental Transaction without the assumption of this Warrant.</w:t>
      </w:r>
    </w:p>
    <w:p>
      <w:pPr>
        <w:spacing w:after="0" w:line="393"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In addition to and not in substitution for any other rights hereunder, prior to the consummation of each Fundamental Transaction pursuant to which holders of shares of Common Stock are entitled to receive securities or other assets with respect to or in exchange for shares of Common Stock (a “</w:t>
      </w:r>
      <w:r>
        <w:rPr>
          <w:rFonts w:ascii="Arial" w:cs="Arial" w:eastAsia="Arial" w:hAnsi="Arial"/>
          <w:sz w:val="17"/>
          <w:szCs w:val="17"/>
          <w:b w:val="1"/>
          <w:bCs w:val="1"/>
          <w:color w:val="auto"/>
        </w:rPr>
        <w:t>Corporate</w:t>
      </w:r>
      <w:r>
        <w:rPr>
          <w:rFonts w:ascii="Arial" w:cs="Arial" w:eastAsia="Arial" w:hAnsi="Arial"/>
          <w:sz w:val="17"/>
          <w:szCs w:val="17"/>
          <w:color w:val="auto"/>
        </w:rPr>
        <w:t xml:space="preserve"> </w:t>
      </w:r>
      <w:r>
        <w:rPr>
          <w:rFonts w:ascii="Arial" w:cs="Arial" w:eastAsia="Arial" w:hAnsi="Arial"/>
          <w:sz w:val="17"/>
          <w:szCs w:val="17"/>
          <w:b w:val="1"/>
          <w:bCs w:val="1"/>
          <w:color w:val="auto"/>
        </w:rPr>
        <w:t>Event</w:t>
      </w:r>
      <w:r>
        <w:rPr>
          <w:rFonts w:ascii="Arial" w:cs="Arial" w:eastAsia="Arial" w:hAnsi="Arial"/>
          <w:sz w:val="17"/>
          <w:szCs w:val="17"/>
          <w:color w:val="auto"/>
        </w:rPr>
        <w:t>”), the Company shall make appropriate provision to insure that the Holder will thereafter have the right to receive upon an exercise of this Warrant</w:t>
      </w:r>
      <w:r>
        <w:rPr>
          <w:rFonts w:ascii="Arial" w:cs="Arial" w:eastAsia="Arial" w:hAnsi="Arial"/>
          <w:sz w:val="17"/>
          <w:szCs w:val="17"/>
          <w:b w:val="1"/>
          <w:bCs w:val="1"/>
          <w:color w:val="auto"/>
        </w:rPr>
        <w:t xml:space="preserve"> </w:t>
      </w:r>
      <w:r>
        <w:rPr>
          <w:rFonts w:ascii="Arial" w:cs="Arial" w:eastAsia="Arial" w:hAnsi="Arial"/>
          <w:sz w:val="17"/>
          <w:szCs w:val="17"/>
          <w:color w:val="auto"/>
        </w:rPr>
        <w:t>at any time after the consummation of the applicable Fundamental Transaction but prior to the Expiration Date, in lieu of the shares of the Common Stock (or other securities, cash, assets or other property (except such items still issuable under Sections 3 and 4(a) above, which shall continue to be receivable thereafter)) issuable upon the exercise of the Warrant prior to such Fundamental Transaction, such shares of stock, securities, cash, assets or any other property whatsoever (including warrants or other purchase or subscription rights) which the Holder would have been entitled to receive upon the happening of the applicable Fundamental Transaction had this Warrant been exercised immediately prior to the applicable Fundamental Transaction (without regard to any limitations on the exercise of this Warrant). Provision made pursuant to the preceding sentence shall be in a form and substance reasonably satisfactory to the Holder.</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81" w:name="page182"/>
    <w:bookmarkEnd w:id="181"/>
    <w:p>
      <w:pPr>
        <w:jc w:val="both"/>
        <w:ind w:firstLine="1952"/>
        <w:spacing w:after="0" w:line="271" w:lineRule="auto"/>
        <w:tabs>
          <w:tab w:leader="none" w:pos="2198" w:val="left"/>
        </w:tabs>
        <w:numPr>
          <w:ilvl w:val="1"/>
          <w:numId w:val="175"/>
        </w:numPr>
        <w:rPr>
          <w:rFonts w:ascii="Arial" w:cs="Arial" w:eastAsia="Arial" w:hAnsi="Arial"/>
          <w:sz w:val="17"/>
          <w:szCs w:val="17"/>
          <w:color w:val="auto"/>
        </w:rPr>
      </w:pPr>
      <w:r>
        <w:rPr>
          <w:rFonts w:ascii="Arial" w:cs="Arial" w:eastAsia="Arial" w:hAnsi="Arial"/>
          <w:sz w:val="17"/>
          <w:szCs w:val="17"/>
          <w:u w:val="single" w:color="auto"/>
          <w:color w:val="auto"/>
        </w:rPr>
        <w:t>Holder Optional Redemptions</w:t>
      </w:r>
      <w:r>
        <w:rPr>
          <w:rFonts w:ascii="Arial" w:cs="Arial" w:eastAsia="Arial" w:hAnsi="Arial"/>
          <w:sz w:val="17"/>
          <w:szCs w:val="17"/>
          <w:color w:val="auto"/>
        </w:rPr>
        <w:t>. Notwithstanding the foregoing and the provisions of Section 4(b)(ii) above, at the request of the Holder delivered at any time commencing on the earliest to occur of (x) the public disclosure of any Public Fundamental Transaction, (y) the consummation of any Public Fundamental Transaction and (z) the Holder first becoming aware of any Public Fundamental Transaction through the date that is ninety (90) days after the public disclosure of the consummation of such Public Fundamental Transaction by the Company pursuant to a Current Report on Form 8-K filed with the SEC, the Company or the Successor Entity (as the case may be) shall purchase this Warrant from the Holder on the date of such request by paying to the Holder cash in an amount equal to the Black Scholes Value. Payment of such amounts shall be made by the Company (or at the Company’s direction) to the Holder on or prior to the later of (x) the second (2nd) Trading Day after the date of such request and (y) the date of consummation of such Public Fundamental Transaction.</w:t>
      </w:r>
    </w:p>
    <w:p>
      <w:pPr>
        <w:spacing w:after="0" w:line="178" w:lineRule="exact"/>
        <w:rPr>
          <w:rFonts w:ascii="Arial" w:cs="Arial" w:eastAsia="Arial" w:hAnsi="Arial"/>
          <w:sz w:val="17"/>
          <w:szCs w:val="17"/>
          <w:color w:val="auto"/>
        </w:rPr>
      </w:pPr>
    </w:p>
    <w:p>
      <w:pPr>
        <w:jc w:val="both"/>
        <w:ind w:firstLine="1952"/>
        <w:spacing w:after="0" w:line="301" w:lineRule="auto"/>
        <w:tabs>
          <w:tab w:leader="none" w:pos="2209" w:val="left"/>
        </w:tabs>
        <w:numPr>
          <w:ilvl w:val="1"/>
          <w:numId w:val="175"/>
        </w:numPr>
        <w:rPr>
          <w:rFonts w:ascii="Arial" w:cs="Arial" w:eastAsia="Arial" w:hAnsi="Arial"/>
          <w:sz w:val="16"/>
          <w:szCs w:val="16"/>
          <w:color w:val="auto"/>
        </w:rPr>
      </w:pPr>
      <w:r>
        <w:rPr>
          <w:rFonts w:ascii="Arial" w:cs="Arial" w:eastAsia="Arial" w:hAnsi="Arial"/>
          <w:sz w:val="16"/>
          <w:szCs w:val="16"/>
          <w:u w:val="single" w:color="auto"/>
          <w:color w:val="auto"/>
        </w:rPr>
        <w:t>Application</w:t>
      </w:r>
      <w:r>
        <w:rPr>
          <w:rFonts w:ascii="Arial" w:cs="Arial" w:eastAsia="Arial" w:hAnsi="Arial"/>
          <w:sz w:val="16"/>
          <w:szCs w:val="16"/>
          <w:color w:val="auto"/>
        </w:rPr>
        <w:t>. The provisions of this Section 4 shall apply similarly and equally to successive Fundamental Transactions and Corporate Events and shall be applied as if this Warrant (and any such subsequent warrants) were fully exercisable and without regard to any limitations on the exercise of this Warrant (provided that the Holder shall continue to be entitled to the benefit of the Maximum Percentage, applied however with respect to shares of capital stock registered under the Exchange Act and thereafter receivable upon exercise of this Warrant (or any such other warrant)).</w:t>
      </w:r>
    </w:p>
    <w:p>
      <w:pPr>
        <w:spacing w:after="0" w:line="157" w:lineRule="exact"/>
        <w:rPr>
          <w:rFonts w:ascii="Arial" w:cs="Arial" w:eastAsia="Arial" w:hAnsi="Arial"/>
          <w:sz w:val="16"/>
          <w:szCs w:val="16"/>
          <w:color w:val="auto"/>
        </w:rPr>
      </w:pPr>
    </w:p>
    <w:p>
      <w:pPr>
        <w:jc w:val="both"/>
        <w:ind w:firstLine="1304"/>
        <w:spacing w:after="0" w:line="268" w:lineRule="auto"/>
        <w:tabs>
          <w:tab w:leader="none" w:pos="1484" w:val="left"/>
        </w:tabs>
        <w:numPr>
          <w:ilvl w:val="0"/>
          <w:numId w:val="176"/>
        </w:numPr>
        <w:rPr>
          <w:rFonts w:ascii="Arial" w:cs="Arial" w:eastAsia="Arial" w:hAnsi="Arial"/>
          <w:sz w:val="17"/>
          <w:szCs w:val="17"/>
          <w:color w:val="auto"/>
        </w:rPr>
      </w:pPr>
      <w:r>
        <w:rPr>
          <w:rFonts w:ascii="Arial" w:cs="Arial" w:eastAsia="Arial" w:hAnsi="Arial"/>
          <w:sz w:val="17"/>
          <w:szCs w:val="17"/>
          <w:u w:val="single" w:color="auto"/>
          <w:color w:val="auto"/>
        </w:rPr>
        <w:t>NONCIRCUMVENTION</w:t>
      </w:r>
      <w:r>
        <w:rPr>
          <w:rFonts w:ascii="Arial" w:cs="Arial" w:eastAsia="Arial" w:hAnsi="Arial"/>
          <w:sz w:val="17"/>
          <w:szCs w:val="17"/>
          <w:color w:val="auto"/>
        </w:rPr>
        <w:t>. The Company hereby covenants and agrees that the Company will not, by amendment of its Certificate of Incorporation or Bylaws, or through any reorganization, transfer of assets, consolidation, merger, scheme of arrangement, dissolution, issuance or sale of securities, or any other voluntary action, avoid or seek to avoid the observance or performance of any of the terms of this Warrant, and will at all times in good faith carry out all of the provisions of this Warrant and take all action as may be required to protect the rights of the Holder. Without limiting the generality of the foregoing, the Company (i) shall not increase the par value of any shares of Common Stock receivable upon the exercise of this Warrant above the Exercise Price then in effect, (ii) shall take all such actions as may be necessary or appropriate in order that the Company may validly and legally issue fully paid and nonassessable shares of Common Stock upon the proper exercise of this Warrant by the Holder, and (iii) shall, so long as this Warrant is outstanding, take all action necessary to reserve and keep available out of its authorized and unissued shares of Common Stock, solely for the purpose of effecting the exercise of this Warrant, the number of shares of Common Stock as shall from time to time be necessary to effect the exercise of this Warrant (without regard to any limitations on exercise). Notwithstanding anything herein to the contrary, if after the sixty (60) calendar day anniversary of the Issuance Date, the Holder is not permitted to exercise this Warrant in full for any reason (other than pursuant to restrictions set forth in Section 1(f) hereof), the Company shall use its reasonable best efforts to promptly remedy such failure, including, without limitation, obtaining such consents or approvals as necessary to permit such exercise into shares of Common Stock.</w:t>
      </w:r>
    </w:p>
    <w:p>
      <w:pPr>
        <w:spacing w:after="0" w:line="186" w:lineRule="exact"/>
        <w:rPr>
          <w:rFonts w:ascii="Arial" w:cs="Arial" w:eastAsia="Arial" w:hAnsi="Arial"/>
          <w:sz w:val="17"/>
          <w:szCs w:val="17"/>
          <w:color w:val="auto"/>
        </w:rPr>
      </w:pPr>
    </w:p>
    <w:p>
      <w:pPr>
        <w:jc w:val="both"/>
        <w:ind w:firstLine="1304"/>
        <w:spacing w:after="0" w:line="288" w:lineRule="auto"/>
        <w:tabs>
          <w:tab w:leader="none" w:pos="1491" w:val="left"/>
        </w:tabs>
        <w:numPr>
          <w:ilvl w:val="0"/>
          <w:numId w:val="176"/>
        </w:numPr>
        <w:rPr>
          <w:rFonts w:ascii="Arial" w:cs="Arial" w:eastAsia="Arial" w:hAnsi="Arial"/>
          <w:sz w:val="16"/>
          <w:szCs w:val="16"/>
          <w:color w:val="auto"/>
        </w:rPr>
      </w:pPr>
      <w:r>
        <w:rPr>
          <w:rFonts w:ascii="Arial" w:cs="Arial" w:eastAsia="Arial" w:hAnsi="Arial"/>
          <w:sz w:val="16"/>
          <w:szCs w:val="16"/>
          <w:u w:val="single" w:color="auto"/>
          <w:color w:val="auto"/>
        </w:rPr>
        <w:t>WARRANT HOLDER NOT DEEMED A STOCKHOLDER</w:t>
      </w:r>
      <w:r>
        <w:rPr>
          <w:rFonts w:ascii="Arial" w:cs="Arial" w:eastAsia="Arial" w:hAnsi="Arial"/>
          <w:sz w:val="16"/>
          <w:szCs w:val="16"/>
          <w:color w:val="auto"/>
        </w:rPr>
        <w:t>. Except as otherwise specifically provided herein, the Holder, solely in such Person’s capacity as a holder of this Warrant, shall not be entitled to vote or receive dividends or be deemed the holder of share capital of the Company for any purpose, nor shall anything contained in this Warrant be construed to confer upon the Holder, solely in such Person’s capacity as the Holder of this Warrant, any of the rights of a stockholder of the Company or any right to vote, give or withhold consent to any corporate action (whether any reorganization, issue of stock, reclassification of stock, consolidation, merger, conveyance or otherwise), receive notice of meetings, receive dividends or subscription rights, or otherwise, prior to the issuance to the Holder of the Warrant Shares which such Person is then entitled to receive upon the due exercise of this Warrant. In addition, nothing contained in this Warrant shall be construed as imposing any liabilities on the Holder to purchase any securities (upon exercise of this Warrant or otherwise) or as a stockholder of the Company, whether such liabilities are asserted by the Company or by creditors of the Company. Notwithstanding this Section 6, the Company shall provide the Holder with copies of the same notices and other information given to the stockholders of the Company generally, contemporaneously with the giving thereof to the stockholders.</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82" w:name="page183"/>
    <w:bookmarkEnd w:id="182"/>
    <w:p>
      <w:pPr>
        <w:ind w:left="1480" w:hanging="176"/>
        <w:spacing w:after="0"/>
        <w:tabs>
          <w:tab w:leader="none" w:pos="1480" w:val="left"/>
        </w:tabs>
        <w:numPr>
          <w:ilvl w:val="0"/>
          <w:numId w:val="177"/>
        </w:numPr>
        <w:rPr>
          <w:rFonts w:ascii="Arial" w:cs="Arial" w:eastAsia="Arial" w:hAnsi="Arial"/>
          <w:sz w:val="18"/>
          <w:szCs w:val="18"/>
          <w:color w:val="auto"/>
        </w:rPr>
      </w:pPr>
      <w:r>
        <w:rPr>
          <w:rFonts w:ascii="Arial" w:cs="Arial" w:eastAsia="Arial" w:hAnsi="Arial"/>
          <w:sz w:val="18"/>
          <w:szCs w:val="18"/>
          <w:u w:val="single" w:color="auto"/>
          <w:color w:val="auto"/>
        </w:rPr>
        <w:t>REISSUANCE OF WARRANTS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firstLine="1952"/>
        <w:spacing w:after="0" w:line="254" w:lineRule="auto"/>
        <w:tabs>
          <w:tab w:leader="none" w:pos="2192" w:val="left"/>
        </w:tabs>
        <w:numPr>
          <w:ilvl w:val="1"/>
          <w:numId w:val="177"/>
        </w:numPr>
        <w:rPr>
          <w:rFonts w:ascii="Arial" w:cs="Arial" w:eastAsia="Arial" w:hAnsi="Arial"/>
          <w:sz w:val="18"/>
          <w:szCs w:val="18"/>
          <w:color w:val="auto"/>
        </w:rPr>
      </w:pPr>
      <w:r>
        <w:rPr>
          <w:rFonts w:ascii="Arial" w:cs="Arial" w:eastAsia="Arial" w:hAnsi="Arial"/>
          <w:sz w:val="18"/>
          <w:szCs w:val="18"/>
          <w:u w:val="single" w:color="auto"/>
          <w:color w:val="auto"/>
        </w:rPr>
        <w:t>Transfer of Warrant</w:t>
      </w:r>
      <w:r>
        <w:rPr>
          <w:rFonts w:ascii="Arial" w:cs="Arial" w:eastAsia="Arial" w:hAnsi="Arial"/>
          <w:sz w:val="18"/>
          <w:szCs w:val="18"/>
          <w:color w:val="auto"/>
        </w:rPr>
        <w:t>. If this Warrant is to be transferred and reissued to the transferee, the Holder shall surrender this Warrant to the Company together with a written assignment of this Warrant substantially in the form attached hereto duly executed by the Holder or its agent or attorney and funds sufficient to pay any transfer taxes payable upon the making of such transfer, whereupon the Company will forthwith issue and deliver upon the order of the Holder a new Warrant (in accordance with Section 7(d)), registered as the Holder may request, representing the right to purchase the number of Warrant Shares being transferred by the Holder and, if less than the total number of Warrant Shares then underlying this Warrant is being transferred, a new Warrant (in accordance with Section 7(d)) to the Holder representing the right to purchase the number of Warrant Shares not being transferred. For the avoidance of doubt, this Section 7(a) will not apply to a sale, transfer, pledge or assignment of this Warrant that does not involve a reissuance of this Warrant.</w:t>
      </w:r>
    </w:p>
    <w:p>
      <w:pPr>
        <w:spacing w:after="0" w:line="191" w:lineRule="exact"/>
        <w:rPr>
          <w:rFonts w:ascii="Arial" w:cs="Arial" w:eastAsia="Arial" w:hAnsi="Arial"/>
          <w:sz w:val="18"/>
          <w:szCs w:val="18"/>
          <w:color w:val="auto"/>
        </w:rPr>
      </w:pPr>
    </w:p>
    <w:p>
      <w:pPr>
        <w:jc w:val="both"/>
        <w:ind w:firstLine="1952"/>
        <w:spacing w:after="0" w:line="275" w:lineRule="auto"/>
        <w:tabs>
          <w:tab w:leader="none" w:pos="2205" w:val="left"/>
        </w:tabs>
        <w:numPr>
          <w:ilvl w:val="1"/>
          <w:numId w:val="177"/>
        </w:numPr>
        <w:rPr>
          <w:rFonts w:ascii="Arial" w:cs="Arial" w:eastAsia="Arial" w:hAnsi="Arial"/>
          <w:sz w:val="17"/>
          <w:szCs w:val="17"/>
          <w:color w:val="auto"/>
        </w:rPr>
      </w:pPr>
      <w:r>
        <w:rPr>
          <w:rFonts w:ascii="Arial" w:cs="Arial" w:eastAsia="Arial" w:hAnsi="Arial"/>
          <w:sz w:val="17"/>
          <w:szCs w:val="17"/>
          <w:u w:val="single" w:color="auto"/>
          <w:color w:val="auto"/>
        </w:rPr>
        <w:t>Lost, Stolen or Mutilated Warrant</w:t>
      </w:r>
      <w:r>
        <w:rPr>
          <w:rFonts w:ascii="Arial" w:cs="Arial" w:eastAsia="Arial" w:hAnsi="Arial"/>
          <w:sz w:val="17"/>
          <w:szCs w:val="17"/>
          <w:color w:val="auto"/>
        </w:rPr>
        <w:t>. Upon receipt by the Company of evidence reasonably satisfactory to the Company of the loss, theft, destruction or mutilation of this Warrant (as to which a written certification and the indemnification contemplated below shall suffice as such evidence), and, in the case of loss, theft or destruction, of any indemnification undertaking by the Holder to the Company in customary and reasonable form and, in the case of mutilation, upon surrender and cancellation of this Warrant, the Company shall execute and deliver to the Holder a new Warrant (in accordance with Section 7(d)) representing the right to purchase the Warrant Shares then underlying this Warrant.</w:t>
      </w:r>
    </w:p>
    <w:p>
      <w:pPr>
        <w:spacing w:after="0" w:line="176" w:lineRule="exact"/>
        <w:rPr>
          <w:rFonts w:ascii="Arial" w:cs="Arial" w:eastAsia="Arial" w:hAnsi="Arial"/>
          <w:sz w:val="17"/>
          <w:szCs w:val="17"/>
          <w:color w:val="auto"/>
        </w:rPr>
      </w:pPr>
    </w:p>
    <w:p>
      <w:pPr>
        <w:jc w:val="both"/>
        <w:ind w:firstLine="1952"/>
        <w:spacing w:after="0" w:line="301" w:lineRule="auto"/>
        <w:tabs>
          <w:tab w:leader="none" w:pos="2195" w:val="left"/>
        </w:tabs>
        <w:numPr>
          <w:ilvl w:val="1"/>
          <w:numId w:val="177"/>
        </w:numPr>
        <w:rPr>
          <w:rFonts w:ascii="Arial" w:cs="Arial" w:eastAsia="Arial" w:hAnsi="Arial"/>
          <w:sz w:val="16"/>
          <w:szCs w:val="16"/>
          <w:color w:val="auto"/>
        </w:rPr>
      </w:pPr>
      <w:r>
        <w:rPr>
          <w:rFonts w:ascii="Arial" w:cs="Arial" w:eastAsia="Arial" w:hAnsi="Arial"/>
          <w:sz w:val="16"/>
          <w:szCs w:val="16"/>
          <w:u w:val="single" w:color="auto"/>
          <w:color w:val="auto"/>
        </w:rPr>
        <w:t>Exchangeable for Multiple Warrants</w:t>
      </w:r>
      <w:r>
        <w:rPr>
          <w:rFonts w:ascii="Arial" w:cs="Arial" w:eastAsia="Arial" w:hAnsi="Arial"/>
          <w:sz w:val="16"/>
          <w:szCs w:val="16"/>
          <w:color w:val="auto"/>
        </w:rPr>
        <w:t xml:space="preserve">. This Warrant is exchangeable, upon the surrender hereof by the Holder at the principal office of the Company, for a new Warrant or Warrants (in accordance with Section 7(d)) representing in the aggregate the right to purchase the number of Warrant Shares then underlying this Warrant, and each such new Warrant will represent the right to purchase such portion of such Warrant Shares as is designated by the Holder at the time of such surrender;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no warrants for fractional shares of Common Stock shall be given.</w:t>
      </w:r>
    </w:p>
    <w:p>
      <w:pPr>
        <w:spacing w:after="0" w:line="157" w:lineRule="exact"/>
        <w:rPr>
          <w:rFonts w:ascii="Arial" w:cs="Arial" w:eastAsia="Arial" w:hAnsi="Arial"/>
          <w:sz w:val="16"/>
          <w:szCs w:val="16"/>
          <w:color w:val="auto"/>
        </w:rPr>
      </w:pPr>
    </w:p>
    <w:p>
      <w:pPr>
        <w:jc w:val="both"/>
        <w:ind w:firstLine="1952"/>
        <w:spacing w:after="0" w:line="293" w:lineRule="auto"/>
        <w:tabs>
          <w:tab w:leader="none" w:pos="2204" w:val="left"/>
        </w:tabs>
        <w:numPr>
          <w:ilvl w:val="1"/>
          <w:numId w:val="177"/>
        </w:numPr>
        <w:rPr>
          <w:rFonts w:ascii="Arial" w:cs="Arial" w:eastAsia="Arial" w:hAnsi="Arial"/>
          <w:sz w:val="16"/>
          <w:szCs w:val="16"/>
          <w:color w:val="auto"/>
        </w:rPr>
      </w:pPr>
      <w:r>
        <w:rPr>
          <w:rFonts w:ascii="Arial" w:cs="Arial" w:eastAsia="Arial" w:hAnsi="Arial"/>
          <w:sz w:val="16"/>
          <w:szCs w:val="16"/>
          <w:u w:val="single" w:color="auto"/>
          <w:color w:val="auto"/>
        </w:rPr>
        <w:t>Issuance of New Warrants</w:t>
      </w:r>
      <w:r>
        <w:rPr>
          <w:rFonts w:ascii="Arial" w:cs="Arial" w:eastAsia="Arial" w:hAnsi="Arial"/>
          <w:sz w:val="16"/>
          <w:szCs w:val="16"/>
          <w:color w:val="auto"/>
        </w:rPr>
        <w:t>. Whenever the Company is required to issue a new Warrant pursuant to the terms of this Warrant, such new Warrant (i) shall be of like tenor with this Warrant, (ii) shall represent, as indicated on the face of such new Warrant, the right to purchase the Warrant Shares then underlying this Warrant (or in the case of a new Warrant being issued pursuant to Section 7(a) or Section 7(c), the Warrant Shares designated by the Holder which, when added to the number of shares of Common Stock underlying the other new Warrants issued in connection with such issuance, does not exceed the number of Warrant Shares then underlying this Warrant), (iii) shall have an issuance date, as indicated on the face of such new Warrant which is the same as the Issuance Date, and (iv) shall have the same rights and conditions as this Warrant.</w:t>
      </w:r>
    </w:p>
    <w:p>
      <w:pPr>
        <w:spacing w:after="0" w:line="164" w:lineRule="exact"/>
        <w:rPr>
          <w:rFonts w:ascii="Arial" w:cs="Arial" w:eastAsia="Arial" w:hAnsi="Arial"/>
          <w:sz w:val="16"/>
          <w:szCs w:val="16"/>
          <w:color w:val="auto"/>
        </w:rPr>
      </w:pPr>
    </w:p>
    <w:p>
      <w:pPr>
        <w:jc w:val="both"/>
        <w:ind w:firstLine="1304"/>
        <w:spacing w:after="0" w:line="296" w:lineRule="auto"/>
        <w:tabs>
          <w:tab w:leader="none" w:pos="1496" w:val="left"/>
        </w:tabs>
        <w:numPr>
          <w:ilvl w:val="0"/>
          <w:numId w:val="177"/>
        </w:numPr>
        <w:rPr>
          <w:rFonts w:ascii="Arial" w:cs="Arial" w:eastAsia="Arial" w:hAnsi="Arial"/>
          <w:sz w:val="16"/>
          <w:szCs w:val="16"/>
          <w:color w:val="auto"/>
        </w:rPr>
      </w:pPr>
      <w:r>
        <w:rPr>
          <w:rFonts w:ascii="Arial" w:cs="Arial" w:eastAsia="Arial" w:hAnsi="Arial"/>
          <w:sz w:val="16"/>
          <w:szCs w:val="16"/>
          <w:u w:val="single" w:color="auto"/>
          <w:color w:val="auto"/>
        </w:rPr>
        <w:t>NOTICES OF CHANGES IN WARRANT</w:t>
      </w:r>
      <w:r>
        <w:rPr>
          <w:rFonts w:ascii="Arial" w:cs="Arial" w:eastAsia="Arial" w:hAnsi="Arial"/>
          <w:sz w:val="16"/>
          <w:szCs w:val="16"/>
          <w:color w:val="auto"/>
        </w:rPr>
        <w:t>. Whenever notice is required to be given under this Warrant, unless otherwise provided herein, such notice shall be given in accordance with Section 8.2 of the Credit Agreement. Upon every adjustment of the Exercise Price or the number of shares of Common Stock issuable upon exercise of a Warrant, the Company shall give written notice thereof to the Holders, which notice shall state the Exercise Price resulting from such adjustment and the increase or decrease, if any, in the number of Warrant Shares purchasable at such price upon the exercise of a Warrant, setting forth in reasonable detail the method of calculation and the facts upon which such calculation is based.</w:t>
      </w:r>
    </w:p>
    <w:p>
      <w:pPr>
        <w:spacing w:after="0" w:line="161" w:lineRule="exact"/>
        <w:rPr>
          <w:rFonts w:ascii="Arial" w:cs="Arial" w:eastAsia="Arial" w:hAnsi="Arial"/>
          <w:sz w:val="16"/>
          <w:szCs w:val="16"/>
          <w:color w:val="auto"/>
        </w:rPr>
      </w:pPr>
    </w:p>
    <w:p>
      <w:pPr>
        <w:jc w:val="both"/>
        <w:ind w:firstLine="1304"/>
        <w:spacing w:after="0" w:line="301" w:lineRule="auto"/>
        <w:tabs>
          <w:tab w:leader="none" w:pos="1485" w:val="left"/>
        </w:tabs>
        <w:numPr>
          <w:ilvl w:val="0"/>
          <w:numId w:val="177"/>
        </w:numPr>
        <w:rPr>
          <w:rFonts w:ascii="Arial" w:cs="Arial" w:eastAsia="Arial" w:hAnsi="Arial"/>
          <w:sz w:val="16"/>
          <w:szCs w:val="16"/>
          <w:color w:val="auto"/>
        </w:rPr>
      </w:pPr>
      <w:r>
        <w:rPr>
          <w:rFonts w:ascii="Arial" w:cs="Arial" w:eastAsia="Arial" w:hAnsi="Arial"/>
          <w:sz w:val="16"/>
          <w:szCs w:val="16"/>
          <w:u w:val="single" w:color="auto"/>
          <w:color w:val="auto"/>
        </w:rPr>
        <w:t>AMENDMENT AND WAIVER</w:t>
      </w:r>
      <w:r>
        <w:rPr>
          <w:rFonts w:ascii="Arial" w:cs="Arial" w:eastAsia="Arial" w:hAnsi="Arial"/>
          <w:sz w:val="16"/>
          <w:szCs w:val="16"/>
          <w:color w:val="auto"/>
        </w:rPr>
        <w:t>. Except as otherwise provided herein, the provisions of this Warrant may be amended or waived and the Company may take any action herein prohibited, or omit to perform any act herein required to be performed by it, only if the Company has obtained the written consent of (i) the Holder, if there is one Holder, or (ii) the Holder or Holders of the Warrant or Warrants representing the majority of Warrant Shares if there is more than one Holder, and with respect to any amendment, the amendment is in writing and signed by the Company and the Holder.</w:t>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83" w:name="page184"/>
    <w:bookmarkEnd w:id="183"/>
    <w:p>
      <w:pPr>
        <w:jc w:val="both"/>
        <w:ind w:firstLine="1304"/>
        <w:spacing w:after="0" w:line="283" w:lineRule="auto"/>
        <w:tabs>
          <w:tab w:leader="none" w:pos="1573" w:val="left"/>
        </w:tabs>
        <w:numPr>
          <w:ilvl w:val="0"/>
          <w:numId w:val="178"/>
        </w:numPr>
        <w:rPr>
          <w:rFonts w:ascii="Arial" w:cs="Arial" w:eastAsia="Arial" w:hAnsi="Arial"/>
          <w:sz w:val="16"/>
          <w:szCs w:val="16"/>
          <w:color w:val="auto"/>
        </w:rPr>
      </w:pPr>
      <w:r>
        <w:rPr>
          <w:rFonts w:ascii="Arial" w:cs="Arial" w:eastAsia="Arial" w:hAnsi="Arial"/>
          <w:sz w:val="16"/>
          <w:szCs w:val="16"/>
          <w:u w:val="single" w:color="auto"/>
          <w:color w:val="auto"/>
        </w:rPr>
        <w:t>GOVERNING LAW; JURISDICTION; JURY TRIAL</w:t>
      </w:r>
      <w:r>
        <w:rPr>
          <w:rFonts w:ascii="Arial" w:cs="Arial" w:eastAsia="Arial" w:hAnsi="Arial"/>
          <w:sz w:val="16"/>
          <w:szCs w:val="16"/>
          <w:color w:val="auto"/>
        </w:rPr>
        <w:t xml:space="preserve">. This Warrant shall be governed by and construed and enforced in accordance with, and all questions concerning the construction, validity, interpretation and performance of this Warrant shall be governed by, the internal laws of the State of New York, without giving effect to any choice of law or conflict of law provision or rule (whether of the State of New York or any other jurisdictions) that would cause the application of the laws of any jurisdictions other than the State of New York. The Company and the Holder each hereby irrevocably submits to the exclusive jurisdiction of the state and federal courts sitting in The City of New York, Borough of Manhattan, for the adjudication of any dispute hereunder or in connection herewith or with any transaction contemplated hereby or discussed herein, and hereby irrevocably waives, and agrees not to assert in any suit, action or proceeding, any claim that it is not personally subject to the jurisdiction of any such court, that such suit, action or proceeding is brought in an inconvenient forum or that the venue of such suit, action or proceeding is improper. The Company and the Holder each hereby irrevocably waives personal service of process and consents to process being served in any such suit, action or proceeding by mailing a copy thereof to the Company or such Holder, as applicable at the address set forth in Section 8.2 of the Credit Agreement and agrees that such service shall constitute good and sufficient service of process and notice thereof. Nothing contained herein shall be deemed to limit in any way any right to serve process in any manner permitted by law. Nothing contained herein shall be deemed or operate to preclude the Holder from bringing suit or taking other legal action against the Company in any other jurisdiction to collect on the Company’s obligations to the Holder, to realize on any collateral or any other security for such obligations, or to enforce a judgment or other court ruling in favor of the Holder. </w:t>
      </w:r>
      <w:r>
        <w:rPr>
          <w:rFonts w:ascii="Arial" w:cs="Arial" w:eastAsia="Arial" w:hAnsi="Arial"/>
          <w:sz w:val="16"/>
          <w:szCs w:val="16"/>
          <w:b w:val="1"/>
          <w:bCs w:val="1"/>
          <w:color w:val="auto"/>
        </w:rPr>
        <w:t>THE COMPANY HEREBY AND THE HOLDER EACH</w:t>
      </w:r>
    </w:p>
    <w:p>
      <w:pPr>
        <w:spacing w:after="0" w:line="1" w:lineRule="exact"/>
        <w:rPr>
          <w:rFonts w:ascii="Arial" w:cs="Arial" w:eastAsia="Arial" w:hAnsi="Arial"/>
          <w:sz w:val="16"/>
          <w:szCs w:val="16"/>
          <w:color w:val="auto"/>
        </w:rPr>
      </w:pPr>
    </w:p>
    <w:p>
      <w:pPr>
        <w:jc w:val="both"/>
        <w:spacing w:after="0" w:line="255" w:lineRule="auto"/>
        <w:rPr>
          <w:rFonts w:ascii="Arial" w:cs="Arial" w:eastAsia="Arial" w:hAnsi="Arial"/>
          <w:sz w:val="16"/>
          <w:szCs w:val="16"/>
          <w:color w:val="auto"/>
        </w:rPr>
      </w:pPr>
      <w:r>
        <w:rPr>
          <w:rFonts w:ascii="Arial" w:cs="Arial" w:eastAsia="Arial" w:hAnsi="Arial"/>
          <w:sz w:val="18"/>
          <w:szCs w:val="18"/>
          <w:b w:val="1"/>
          <w:bCs w:val="1"/>
          <w:color w:val="auto"/>
        </w:rPr>
        <w:t>IRREVOCABLY WAIVES ANY RIGHT IT MAY HAVE, AND AGREES NOT TO REQUEST, A JURY TRIAL FOR THE ADJUDICATION OF ANY DISPUTE HEREUNDER OR IN CONNECTION WITH OR ARISING OUT OF THIS WARRANT OR ANY TRANSACTION CONTEMPLATED HEREBY.</w:t>
      </w:r>
    </w:p>
    <w:p>
      <w:pPr>
        <w:spacing w:after="0" w:line="189" w:lineRule="exact"/>
        <w:rPr>
          <w:rFonts w:ascii="Arial" w:cs="Arial" w:eastAsia="Arial" w:hAnsi="Arial"/>
          <w:sz w:val="16"/>
          <w:szCs w:val="16"/>
          <w:color w:val="auto"/>
        </w:rPr>
      </w:pPr>
    </w:p>
    <w:p>
      <w:pPr>
        <w:jc w:val="both"/>
        <w:ind w:firstLine="1304"/>
        <w:spacing w:after="0" w:line="301" w:lineRule="auto"/>
        <w:tabs>
          <w:tab w:leader="none" w:pos="1576" w:val="left"/>
        </w:tabs>
        <w:numPr>
          <w:ilvl w:val="0"/>
          <w:numId w:val="178"/>
        </w:numPr>
        <w:rPr>
          <w:rFonts w:ascii="Arial" w:cs="Arial" w:eastAsia="Arial" w:hAnsi="Arial"/>
          <w:sz w:val="16"/>
          <w:szCs w:val="16"/>
          <w:color w:val="auto"/>
        </w:rPr>
      </w:pPr>
      <w:r>
        <w:rPr>
          <w:rFonts w:ascii="Arial" w:cs="Arial" w:eastAsia="Arial" w:hAnsi="Arial"/>
          <w:sz w:val="16"/>
          <w:szCs w:val="16"/>
          <w:u w:val="single" w:color="auto"/>
          <w:color w:val="auto"/>
        </w:rPr>
        <w:t>CONSTRUCTION; HEADINGS; BUSINESS DAYS</w:t>
      </w:r>
      <w:r>
        <w:rPr>
          <w:rFonts w:ascii="Arial" w:cs="Arial" w:eastAsia="Arial" w:hAnsi="Arial"/>
          <w:sz w:val="16"/>
          <w:szCs w:val="16"/>
          <w:color w:val="auto"/>
        </w:rPr>
        <w:t>. This Warrant shall be deemed to be jointly drafted by the Company and the Holder and shall not be construed against any Person as the drafter hereof. The headings of this Warrant are for convenience of reference and shall not form part of, or affect the interpretation of, this Warrant. If the last or appointed day for the taking of any action or the expiration of any right required or granted herein shall not be a Business Day, then, such action may be taken or such right may be exercised on the next succeeding Business Day.</w:t>
      </w:r>
    </w:p>
    <w:p>
      <w:pPr>
        <w:spacing w:after="0" w:line="157" w:lineRule="exact"/>
        <w:rPr>
          <w:rFonts w:ascii="Arial" w:cs="Arial" w:eastAsia="Arial" w:hAnsi="Arial"/>
          <w:sz w:val="16"/>
          <w:szCs w:val="16"/>
          <w:color w:val="auto"/>
        </w:rPr>
      </w:pPr>
    </w:p>
    <w:p>
      <w:pPr>
        <w:jc w:val="both"/>
        <w:ind w:firstLine="1304"/>
        <w:spacing w:after="0" w:line="268" w:lineRule="auto"/>
        <w:tabs>
          <w:tab w:leader="none" w:pos="1577" w:val="left"/>
        </w:tabs>
        <w:numPr>
          <w:ilvl w:val="0"/>
          <w:numId w:val="178"/>
        </w:numPr>
        <w:rPr>
          <w:rFonts w:ascii="Arial" w:cs="Arial" w:eastAsia="Arial" w:hAnsi="Arial"/>
          <w:sz w:val="17"/>
          <w:szCs w:val="17"/>
          <w:color w:val="auto"/>
        </w:rPr>
      </w:pPr>
      <w:r>
        <w:rPr>
          <w:rFonts w:ascii="Arial" w:cs="Arial" w:eastAsia="Arial" w:hAnsi="Arial"/>
          <w:sz w:val="17"/>
          <w:szCs w:val="17"/>
          <w:u w:val="single" w:color="auto"/>
          <w:color w:val="auto"/>
        </w:rPr>
        <w:t>DISPUTE RESOLUTION</w:t>
      </w:r>
      <w:r>
        <w:rPr>
          <w:rFonts w:ascii="Arial" w:cs="Arial" w:eastAsia="Arial" w:hAnsi="Arial"/>
          <w:sz w:val="17"/>
          <w:szCs w:val="17"/>
          <w:color w:val="auto"/>
        </w:rPr>
        <w:t>. In the case of a dispute as to the determination of the Exercise Price or the arithmetic calculation of the Warrant Shares, the Company shall submit the disputed determinations or arithmetic calculations via facsimile or electronic mail within two (2) Business Days of receipt of the Exercise Notice giving rise to such dispute, as the case may be, to the Holder. If the Holder and the Company are unable to agree upon such determination or calculation of the Exercise Price or the Warrant Shares within three (3) Business Days of such disputed determination or arithmetic calculation being submitted to the Holder, then the Company shall, within two (2) Business Days submit via facsimile or electronic mail the dispute to a nationally recognized accounting firm selected by the Holder and reasonably satisfactory to the Company. If the Company does not object in writing to the selection of the accounting firm within two (2) Business Days of notice of the Holder’s selection, the Company will have deemed to have consented to such selection. If the Company does object, the Company shall provide the Holder its rationale for such rejection and five (5) acceptable alternative firms. The Company shall cause at its expense the accepted accounting firm to perform the determinations or calculations and notify the Company and the Holder of the results no later than three (3) Business Days from the time it receives the disputed determinations or calculations. Such accounting firm’s determination or calculation, as the case may be, shall be binding upon all parties absent demonstrable error. In the event that the accounting firm resolves the dispute in the Holder’s favor, a Delivery Failure will be deemed to have occurred and the Buy-In and other remedies available to the Holder under Section 1(c) will apply.</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84" w:name="page185"/>
    <w:bookmarkEnd w:id="184"/>
    <w:p>
      <w:pPr>
        <w:jc w:val="both"/>
        <w:ind w:firstLine="1304"/>
        <w:spacing w:after="0" w:line="272" w:lineRule="auto"/>
        <w:tabs>
          <w:tab w:leader="none" w:pos="1579" w:val="left"/>
        </w:tabs>
        <w:numPr>
          <w:ilvl w:val="0"/>
          <w:numId w:val="179"/>
        </w:numPr>
        <w:rPr>
          <w:rFonts w:ascii="Arial" w:cs="Arial" w:eastAsia="Arial" w:hAnsi="Arial"/>
          <w:sz w:val="17"/>
          <w:szCs w:val="17"/>
          <w:color w:val="auto"/>
        </w:rPr>
      </w:pPr>
      <w:r>
        <w:rPr>
          <w:rFonts w:ascii="Arial" w:cs="Arial" w:eastAsia="Arial" w:hAnsi="Arial"/>
          <w:sz w:val="17"/>
          <w:szCs w:val="17"/>
          <w:u w:val="single" w:color="auto"/>
          <w:color w:val="auto"/>
        </w:rPr>
        <w:t>REMEDIES, OTHER OBLIGATIONS, BREACHES AND INJUNCTIVE RELIEF</w:t>
      </w:r>
      <w:r>
        <w:rPr>
          <w:rFonts w:ascii="Arial" w:cs="Arial" w:eastAsia="Arial" w:hAnsi="Arial"/>
          <w:sz w:val="17"/>
          <w:szCs w:val="17"/>
          <w:color w:val="auto"/>
        </w:rPr>
        <w:t>. The remedies provided in this Warrant shall be cumulative and in addition to all other remedies available under this Warrant and the other Loan Documents, at law or in equity (including a decree of specific performance and/or other injunctive relief), and nothing herein shall limit the right of the Holder to pursue actual damages for any failure by the Company to comply with the terms of this Warrant. The Company acknowledges that a breach by it of its obligations hereunder will cause irreparable harm to the Holder and that the remedy at law for any such breach may be inadequate. The Company therefore agrees that, in the event of any such breach or threatened breach, the Holder shall be entitled, in addition to all other available remedies, to an injunction restraining any breach, without the necessity of showing economic loss and without any bond or other security being required.</w:t>
      </w:r>
    </w:p>
    <w:p>
      <w:pPr>
        <w:spacing w:after="0" w:line="177" w:lineRule="exact"/>
        <w:rPr>
          <w:rFonts w:ascii="Arial" w:cs="Arial" w:eastAsia="Arial" w:hAnsi="Arial"/>
          <w:sz w:val="17"/>
          <w:szCs w:val="17"/>
          <w:color w:val="auto"/>
        </w:rPr>
      </w:pPr>
    </w:p>
    <w:p>
      <w:pPr>
        <w:jc w:val="both"/>
        <w:ind w:firstLine="1304"/>
        <w:spacing w:after="0" w:line="259" w:lineRule="auto"/>
        <w:tabs>
          <w:tab w:leader="none" w:pos="1569" w:val="left"/>
        </w:tabs>
        <w:numPr>
          <w:ilvl w:val="0"/>
          <w:numId w:val="179"/>
        </w:numPr>
        <w:rPr>
          <w:rFonts w:ascii="Arial" w:cs="Arial" w:eastAsia="Arial" w:hAnsi="Arial"/>
          <w:sz w:val="18"/>
          <w:szCs w:val="18"/>
          <w:color w:val="auto"/>
        </w:rPr>
      </w:pPr>
      <w:r>
        <w:rPr>
          <w:rFonts w:ascii="Arial" w:cs="Arial" w:eastAsia="Arial" w:hAnsi="Arial"/>
          <w:sz w:val="18"/>
          <w:szCs w:val="18"/>
          <w:u w:val="single" w:color="auto"/>
          <w:color w:val="auto"/>
        </w:rPr>
        <w:t>TRANSFER</w:t>
      </w:r>
      <w:r>
        <w:rPr>
          <w:rFonts w:ascii="Arial" w:cs="Arial" w:eastAsia="Arial" w:hAnsi="Arial"/>
          <w:sz w:val="18"/>
          <w:szCs w:val="18"/>
          <w:color w:val="auto"/>
        </w:rPr>
        <w:t>. This Warrant and the Warrant Shares may be offered for sale, sold, transferred, pledged or assigned without the consent of the Company, subject to compliance with applicable state and federal securities laws. The Holder acknowledges that the Warrant Shares acquired upon the exercise of this Warrant, if not registered, and the Holder does not utilize cashless exercise, will have restrictions upon resale imposed by state and federal securities laws.</w:t>
      </w:r>
    </w:p>
    <w:p>
      <w:pPr>
        <w:spacing w:after="0" w:line="186" w:lineRule="exact"/>
        <w:rPr>
          <w:rFonts w:ascii="Arial" w:cs="Arial" w:eastAsia="Arial" w:hAnsi="Arial"/>
          <w:sz w:val="18"/>
          <w:szCs w:val="18"/>
          <w:color w:val="auto"/>
        </w:rPr>
      </w:pPr>
    </w:p>
    <w:p>
      <w:pPr>
        <w:jc w:val="both"/>
        <w:ind w:firstLine="1304"/>
        <w:spacing w:after="0" w:line="271" w:lineRule="auto"/>
        <w:tabs>
          <w:tab w:leader="none" w:pos="1576" w:val="left"/>
        </w:tabs>
        <w:numPr>
          <w:ilvl w:val="0"/>
          <w:numId w:val="179"/>
        </w:numPr>
        <w:rPr>
          <w:rFonts w:ascii="Arial" w:cs="Arial" w:eastAsia="Arial" w:hAnsi="Arial"/>
          <w:sz w:val="17"/>
          <w:szCs w:val="17"/>
          <w:color w:val="auto"/>
        </w:rPr>
      </w:pPr>
      <w:r>
        <w:rPr>
          <w:rFonts w:ascii="Arial" w:cs="Arial" w:eastAsia="Arial" w:hAnsi="Arial"/>
          <w:sz w:val="17"/>
          <w:szCs w:val="17"/>
          <w:u w:val="single" w:color="auto"/>
          <w:color w:val="auto"/>
        </w:rPr>
        <w:t>SEVERABILITY</w:t>
      </w:r>
      <w:r>
        <w:rPr>
          <w:rFonts w:ascii="Arial" w:cs="Arial" w:eastAsia="Arial" w:hAnsi="Arial"/>
          <w:sz w:val="17"/>
          <w:szCs w:val="17"/>
          <w:color w:val="auto"/>
        </w:rPr>
        <w:t>. If any provision of this Warrant is prohibited by law or otherwise determined to be invalid or unenforceable by a court of competent jurisdiction, the provision that would otherwise be prohibited, invalid or unenforceable shall be deemed amended to apply to the broadest extent that it would be valid and enforceable, and the invalidity or unenforceability of such provision shall not affect the validity of the remaining provisions of this Warrant so long as this Warrant as so modified continues to express, without material change, the original intentions of the parties as to the subject matter hereof and the prohibited nature, invalidity or unenforceability of the provision(s) in question does not substantially impair the respective expectations or reciprocal obligations of the parties or the practical realization of the benefits that would otherwise be conferred upon the parties. The parties will endeavor in good faith negotiations to replace the prohibited, invalid or unenforceable provision(s) with a valid provision(s), the effect of which comes as close as possible to that of the prohibited, invalid or unenforceable provision(s).</w:t>
      </w:r>
    </w:p>
    <w:p>
      <w:pPr>
        <w:spacing w:after="0" w:line="178" w:lineRule="exact"/>
        <w:rPr>
          <w:rFonts w:ascii="Arial" w:cs="Arial" w:eastAsia="Arial" w:hAnsi="Arial"/>
          <w:sz w:val="17"/>
          <w:szCs w:val="17"/>
          <w:color w:val="auto"/>
        </w:rPr>
      </w:pPr>
    </w:p>
    <w:p>
      <w:pPr>
        <w:ind w:firstLine="1304"/>
        <w:spacing w:after="0" w:line="277" w:lineRule="auto"/>
        <w:tabs>
          <w:tab w:leader="none" w:pos="1566" w:val="left"/>
        </w:tabs>
        <w:numPr>
          <w:ilvl w:val="0"/>
          <w:numId w:val="179"/>
        </w:numPr>
        <w:rPr>
          <w:rFonts w:ascii="Arial" w:cs="Arial" w:eastAsia="Arial" w:hAnsi="Arial"/>
          <w:sz w:val="18"/>
          <w:szCs w:val="18"/>
          <w:color w:val="auto"/>
        </w:rPr>
      </w:pPr>
      <w:r>
        <w:rPr>
          <w:rFonts w:ascii="Arial" w:cs="Arial" w:eastAsia="Arial" w:hAnsi="Arial"/>
          <w:sz w:val="18"/>
          <w:szCs w:val="18"/>
          <w:u w:val="single" w:color="auto"/>
          <w:color w:val="auto"/>
        </w:rPr>
        <w:t>NO DISCLOSURE</w:t>
      </w:r>
      <w:r>
        <w:rPr>
          <w:rFonts w:ascii="Arial" w:cs="Arial" w:eastAsia="Arial" w:hAnsi="Arial"/>
          <w:sz w:val="18"/>
          <w:szCs w:val="18"/>
          <w:color w:val="auto"/>
        </w:rPr>
        <w:t>. The Company shall not provide material, non-public information or confidential or proprietary information to the Holder without such Holder’s written consent.</w:t>
      </w:r>
    </w:p>
    <w:p>
      <w:pPr>
        <w:spacing w:after="0" w:line="170" w:lineRule="exact"/>
        <w:rPr>
          <w:rFonts w:ascii="Arial" w:cs="Arial" w:eastAsia="Arial" w:hAnsi="Arial"/>
          <w:sz w:val="18"/>
          <w:szCs w:val="18"/>
          <w:color w:val="auto"/>
        </w:rPr>
      </w:pPr>
    </w:p>
    <w:p>
      <w:pPr>
        <w:ind w:left="1580" w:hanging="276"/>
        <w:spacing w:after="0"/>
        <w:tabs>
          <w:tab w:leader="none" w:pos="1580" w:val="left"/>
        </w:tabs>
        <w:numPr>
          <w:ilvl w:val="0"/>
          <w:numId w:val="179"/>
        </w:numPr>
        <w:rPr>
          <w:rFonts w:ascii="Arial" w:cs="Arial" w:eastAsia="Arial" w:hAnsi="Arial"/>
          <w:sz w:val="18"/>
          <w:szCs w:val="18"/>
          <w:color w:val="auto"/>
        </w:rPr>
      </w:pPr>
      <w:r>
        <w:rPr>
          <w:rFonts w:ascii="Arial" w:cs="Arial" w:eastAsia="Arial" w:hAnsi="Arial"/>
          <w:sz w:val="18"/>
          <w:szCs w:val="18"/>
          <w:u w:val="single" w:color="auto"/>
          <w:color w:val="auto"/>
        </w:rPr>
        <w:t>REPRESENTATIONS OF HOLDERS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firstLine="1952"/>
        <w:spacing w:after="0" w:line="263" w:lineRule="auto"/>
        <w:tabs>
          <w:tab w:leader="none" w:pos="2193" w:val="left"/>
        </w:tabs>
        <w:numPr>
          <w:ilvl w:val="1"/>
          <w:numId w:val="179"/>
        </w:numPr>
        <w:rPr>
          <w:rFonts w:ascii="Arial" w:cs="Arial" w:eastAsia="Arial" w:hAnsi="Arial"/>
          <w:sz w:val="18"/>
          <w:szCs w:val="18"/>
          <w:color w:val="auto"/>
        </w:rPr>
      </w:pPr>
      <w:r>
        <w:rPr>
          <w:rFonts w:ascii="Arial" w:cs="Arial" w:eastAsia="Arial" w:hAnsi="Arial"/>
          <w:sz w:val="18"/>
          <w:szCs w:val="18"/>
          <w:u w:val="single" w:color="auto"/>
          <w:color w:val="auto"/>
        </w:rPr>
        <w:t>Investment Intent</w:t>
      </w:r>
      <w:r>
        <w:rPr>
          <w:rFonts w:ascii="Arial" w:cs="Arial" w:eastAsia="Arial" w:hAnsi="Arial"/>
          <w:sz w:val="18"/>
          <w:szCs w:val="18"/>
          <w:color w:val="auto"/>
        </w:rPr>
        <w:t>. Each Holder represents and warrants that it is acquiring this Warrant and the Warrant Shares (collectively, the “</w:t>
      </w:r>
      <w:r>
        <w:rPr>
          <w:rFonts w:ascii="Arial" w:cs="Arial" w:eastAsia="Arial" w:hAnsi="Arial"/>
          <w:sz w:val="18"/>
          <w:szCs w:val="18"/>
          <w:b w:val="1"/>
          <w:bCs w:val="1"/>
          <w:color w:val="auto"/>
        </w:rPr>
        <w:t>Securities</w:t>
      </w:r>
      <w:r>
        <w:rPr>
          <w:rFonts w:ascii="Arial" w:cs="Arial" w:eastAsia="Arial" w:hAnsi="Arial"/>
          <w:sz w:val="18"/>
          <w:szCs w:val="18"/>
          <w:color w:val="auto"/>
        </w:rPr>
        <w:t>”), solely for its beneficial account, for investment purposes, and not with a view to, or for resale in connection with, any distribution of the Securities in violation of applicable securities laws.</w:t>
      </w:r>
    </w:p>
    <w:p>
      <w:pPr>
        <w:spacing w:after="0" w:line="183" w:lineRule="exact"/>
        <w:rPr>
          <w:rFonts w:ascii="Arial" w:cs="Arial" w:eastAsia="Arial" w:hAnsi="Arial"/>
          <w:sz w:val="18"/>
          <w:szCs w:val="18"/>
          <w:color w:val="auto"/>
        </w:rPr>
      </w:pPr>
    </w:p>
    <w:p>
      <w:pPr>
        <w:jc w:val="both"/>
        <w:ind w:firstLine="1952"/>
        <w:spacing w:after="0" w:line="286" w:lineRule="auto"/>
        <w:tabs>
          <w:tab w:leader="none" w:pos="2206" w:val="left"/>
        </w:tabs>
        <w:numPr>
          <w:ilvl w:val="1"/>
          <w:numId w:val="179"/>
        </w:numPr>
        <w:rPr>
          <w:rFonts w:ascii="Arial" w:cs="Arial" w:eastAsia="Arial" w:hAnsi="Arial"/>
          <w:sz w:val="17"/>
          <w:szCs w:val="17"/>
          <w:color w:val="auto"/>
        </w:rPr>
      </w:pPr>
      <w:r>
        <w:rPr>
          <w:rFonts w:ascii="Arial" w:cs="Arial" w:eastAsia="Arial" w:hAnsi="Arial"/>
          <w:sz w:val="17"/>
          <w:szCs w:val="17"/>
          <w:u w:val="single" w:color="auto"/>
          <w:color w:val="auto"/>
        </w:rPr>
        <w:t>Unregistered Securities</w:t>
      </w:r>
      <w:r>
        <w:rPr>
          <w:rFonts w:ascii="Arial" w:cs="Arial" w:eastAsia="Arial" w:hAnsi="Arial"/>
          <w:sz w:val="17"/>
          <w:szCs w:val="17"/>
          <w:color w:val="auto"/>
        </w:rPr>
        <w:t>. Each Holder represents and warrants that it understands that the Securities have not been registered under the Securities Act or any state securities laws by reason of specific exemptions under the provisions thereof, the availability of which depend in part upon the bona fide nature of its investment intent and upon the accuracy of its representations made herein.</w:t>
      </w:r>
    </w:p>
    <w:p>
      <w:pPr>
        <w:spacing w:after="0" w:line="165" w:lineRule="exact"/>
        <w:rPr>
          <w:rFonts w:ascii="Arial" w:cs="Arial" w:eastAsia="Arial" w:hAnsi="Arial"/>
          <w:sz w:val="17"/>
          <w:szCs w:val="17"/>
          <w:color w:val="auto"/>
        </w:rPr>
      </w:pPr>
    </w:p>
    <w:p>
      <w:pPr>
        <w:jc w:val="both"/>
        <w:ind w:firstLine="1952"/>
        <w:spacing w:after="0" w:line="263" w:lineRule="auto"/>
        <w:tabs>
          <w:tab w:leader="none" w:pos="2249" w:val="left"/>
        </w:tabs>
        <w:numPr>
          <w:ilvl w:val="1"/>
          <w:numId w:val="179"/>
        </w:numPr>
        <w:rPr>
          <w:rFonts w:ascii="Arial" w:cs="Arial" w:eastAsia="Arial" w:hAnsi="Arial"/>
          <w:sz w:val="18"/>
          <w:szCs w:val="18"/>
          <w:color w:val="auto"/>
        </w:rPr>
      </w:pPr>
      <w:r>
        <w:rPr>
          <w:rFonts w:ascii="Arial" w:cs="Arial" w:eastAsia="Arial" w:hAnsi="Arial"/>
          <w:sz w:val="18"/>
          <w:szCs w:val="18"/>
          <w:u w:val="single" w:color="auto"/>
          <w:color w:val="auto"/>
        </w:rPr>
        <w:t>Reliance</w:t>
      </w:r>
      <w:r>
        <w:rPr>
          <w:rFonts w:ascii="Arial" w:cs="Arial" w:eastAsia="Arial" w:hAnsi="Arial"/>
          <w:sz w:val="18"/>
          <w:szCs w:val="18"/>
          <w:color w:val="auto"/>
        </w:rPr>
        <w:t>. Each Holder represents and warrants that it understands that the Company is relying in part upon the representations and agreements of the Holders contained herein for the purpose of determining whether the offer, sale and issuance of the Securities meet the requirements for such exemptions described in Section 17(b).</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85" w:name="page186"/>
    <w:bookmarkEnd w:id="185"/>
    <w:p>
      <w:pPr>
        <w:jc w:val="right"/>
        <w:spacing w:after="0"/>
        <w:rPr>
          <w:sz w:val="20"/>
          <w:szCs w:val="20"/>
          <w:color w:val="auto"/>
        </w:rPr>
      </w:pPr>
      <w:r>
        <w:rPr>
          <w:rFonts w:ascii="Arial" w:cs="Arial" w:eastAsia="Arial" w:hAnsi="Arial"/>
          <w:sz w:val="18"/>
          <w:szCs w:val="18"/>
          <w:color w:val="auto"/>
        </w:rPr>
        <w:t xml:space="preserve">(d) </w:t>
      </w:r>
      <w:r>
        <w:rPr>
          <w:rFonts w:ascii="Arial" w:cs="Arial" w:eastAsia="Arial" w:hAnsi="Arial"/>
          <w:sz w:val="18"/>
          <w:szCs w:val="18"/>
          <w:u w:val="single" w:color="auto"/>
          <w:color w:val="auto"/>
        </w:rPr>
        <w:t>Accredited Investor</w:t>
      </w:r>
      <w:r>
        <w:rPr>
          <w:rFonts w:ascii="Arial" w:cs="Arial" w:eastAsia="Arial" w:hAnsi="Arial"/>
          <w:sz w:val="18"/>
          <w:szCs w:val="18"/>
          <w:color w:val="auto"/>
        </w:rPr>
        <w:t>. Each Holder represents and warrants that it is an “accredited investor” as defined in Rule 501(a) under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the Securities Act.</w:t>
      </w:r>
    </w:p>
    <w:p>
      <w:pPr>
        <w:spacing w:after="0" w:line="211" w:lineRule="exact"/>
        <w:rPr>
          <w:sz w:val="20"/>
          <w:szCs w:val="20"/>
          <w:color w:val="auto"/>
        </w:rPr>
      </w:pPr>
    </w:p>
    <w:p>
      <w:pPr>
        <w:jc w:val="both"/>
        <w:ind w:firstLine="1952"/>
        <w:spacing w:after="0" w:line="263" w:lineRule="auto"/>
        <w:tabs>
          <w:tab w:leader="none" w:pos="2209" w:val="left"/>
        </w:tabs>
        <w:numPr>
          <w:ilvl w:val="2"/>
          <w:numId w:val="180"/>
        </w:numPr>
        <w:rPr>
          <w:rFonts w:ascii="Arial" w:cs="Arial" w:eastAsia="Arial" w:hAnsi="Arial"/>
          <w:sz w:val="18"/>
          <w:szCs w:val="18"/>
          <w:color w:val="auto"/>
        </w:rPr>
      </w:pPr>
      <w:r>
        <w:rPr>
          <w:rFonts w:ascii="Arial" w:cs="Arial" w:eastAsia="Arial" w:hAnsi="Arial"/>
          <w:sz w:val="18"/>
          <w:szCs w:val="18"/>
          <w:u w:val="single" w:color="auto"/>
          <w:color w:val="auto"/>
        </w:rPr>
        <w:t>Sophisticated Investor</w:t>
      </w:r>
      <w:r>
        <w:rPr>
          <w:rFonts w:ascii="Arial" w:cs="Arial" w:eastAsia="Arial" w:hAnsi="Arial"/>
          <w:sz w:val="18"/>
          <w:szCs w:val="18"/>
          <w:color w:val="auto"/>
        </w:rPr>
        <w:t>. Each Holder represents and warrants that it has such knowledge, skill and experience in business, financial and investment matters that it is capable of evaluating the merits and risks of an investment in the Securities, including experience in and knowledge of the industry in which the Company operates.</w:t>
      </w:r>
    </w:p>
    <w:p>
      <w:pPr>
        <w:spacing w:after="0" w:line="183" w:lineRule="exact"/>
        <w:rPr>
          <w:rFonts w:ascii="Arial" w:cs="Arial" w:eastAsia="Arial" w:hAnsi="Arial"/>
          <w:sz w:val="18"/>
          <w:szCs w:val="18"/>
          <w:color w:val="auto"/>
        </w:rPr>
      </w:pPr>
    </w:p>
    <w:p>
      <w:pPr>
        <w:jc w:val="both"/>
        <w:ind w:firstLine="1952"/>
        <w:spacing w:after="0" w:line="263" w:lineRule="auto"/>
        <w:tabs>
          <w:tab w:leader="none" w:pos="2173" w:val="left"/>
        </w:tabs>
        <w:numPr>
          <w:ilvl w:val="2"/>
          <w:numId w:val="180"/>
        </w:numPr>
        <w:rPr>
          <w:rFonts w:ascii="Arial" w:cs="Arial" w:eastAsia="Arial" w:hAnsi="Arial"/>
          <w:sz w:val="18"/>
          <w:szCs w:val="18"/>
          <w:color w:val="auto"/>
        </w:rPr>
      </w:pPr>
      <w:r>
        <w:rPr>
          <w:rFonts w:ascii="Arial" w:cs="Arial" w:eastAsia="Arial" w:hAnsi="Arial"/>
          <w:sz w:val="18"/>
          <w:szCs w:val="18"/>
          <w:u w:val="single" w:color="auto"/>
          <w:color w:val="auto"/>
        </w:rPr>
        <w:t>Restricted Securities</w:t>
      </w:r>
      <w:r>
        <w:rPr>
          <w:rFonts w:ascii="Arial" w:cs="Arial" w:eastAsia="Arial" w:hAnsi="Arial"/>
          <w:sz w:val="18"/>
          <w:szCs w:val="18"/>
          <w:color w:val="auto"/>
        </w:rPr>
        <w:t>. Each Holder represents and warrants that it understand that the Securities will be “restricted securities” under applicable federal securities laws and that the Securities Act and the rules of the SEC provide in substance that it may dispose of the Securities only pursuant to an effective registration statement under the Securities Act or an exemption therefrom.</w:t>
      </w:r>
    </w:p>
    <w:p>
      <w:pPr>
        <w:spacing w:after="0" w:line="183" w:lineRule="exact"/>
        <w:rPr>
          <w:rFonts w:ascii="Arial" w:cs="Arial" w:eastAsia="Arial" w:hAnsi="Arial"/>
          <w:sz w:val="18"/>
          <w:szCs w:val="18"/>
          <w:color w:val="auto"/>
        </w:rPr>
      </w:pPr>
    </w:p>
    <w:p>
      <w:pPr>
        <w:jc w:val="both"/>
        <w:ind w:firstLine="1952"/>
        <w:spacing w:after="0" w:line="270" w:lineRule="auto"/>
        <w:tabs>
          <w:tab w:leader="none" w:pos="2215" w:val="left"/>
        </w:tabs>
        <w:numPr>
          <w:ilvl w:val="2"/>
          <w:numId w:val="180"/>
        </w:numPr>
        <w:rPr>
          <w:rFonts w:ascii="Arial" w:cs="Arial" w:eastAsia="Arial" w:hAnsi="Arial"/>
          <w:sz w:val="17"/>
          <w:szCs w:val="17"/>
          <w:color w:val="auto"/>
        </w:rPr>
      </w:pPr>
      <w:r>
        <w:rPr>
          <w:rFonts w:ascii="Arial" w:cs="Arial" w:eastAsia="Arial" w:hAnsi="Arial"/>
          <w:sz w:val="17"/>
          <w:szCs w:val="17"/>
          <w:u w:val="single" w:color="auto"/>
          <w:color w:val="auto"/>
        </w:rPr>
        <w:t>Information</w:t>
      </w:r>
      <w:r>
        <w:rPr>
          <w:rFonts w:ascii="Arial" w:cs="Arial" w:eastAsia="Arial" w:hAnsi="Arial"/>
          <w:sz w:val="17"/>
          <w:szCs w:val="17"/>
          <w:color w:val="auto"/>
        </w:rPr>
        <w:t>. Each Holder represents and warrants that it has been furnished by the Company all information (or provided access to all information) regarding the business and financial condition of the Company, the attributes of the Securities, and the merits and risks of an investment in such Securities which it has requested or otherwise needs to evaluate the investment in such Securities; that in making the proposed investment decision, such Holder is relying solely on such information, the representations, warranties and agreements of the Company and the other Loan Parties contained herein and in the other Loan Documents and on investigations made by it and its representatives; that the offer to sell the Securities hereunder was communicated to such Holder in such a manner that it was able to ask questions of and receive answers from the management of the Company concerning the terms and conditions of the proposed transaction and that at no time was it presented with or solicited by or through any leaflet, public promotional meeting, television advertisement or any other form of general or public advertising or solicitation; and such Holder recognizes that an investment in the Securities involves risks and can result in a total loss of all funds invested.</w:t>
      </w:r>
    </w:p>
    <w:p>
      <w:pPr>
        <w:spacing w:after="0" w:line="180" w:lineRule="exact"/>
        <w:rPr>
          <w:rFonts w:ascii="Arial" w:cs="Arial" w:eastAsia="Arial" w:hAnsi="Arial"/>
          <w:sz w:val="17"/>
          <w:szCs w:val="17"/>
          <w:color w:val="auto"/>
        </w:rPr>
      </w:pPr>
    </w:p>
    <w:p>
      <w:pPr>
        <w:jc w:val="both"/>
        <w:ind w:firstLine="1952"/>
        <w:spacing w:after="0" w:line="287" w:lineRule="auto"/>
        <w:tabs>
          <w:tab w:leader="none" w:pos="2209" w:val="left"/>
        </w:tabs>
        <w:numPr>
          <w:ilvl w:val="2"/>
          <w:numId w:val="180"/>
        </w:numPr>
        <w:rPr>
          <w:rFonts w:ascii="Arial" w:cs="Arial" w:eastAsia="Arial" w:hAnsi="Arial"/>
          <w:sz w:val="16"/>
          <w:szCs w:val="16"/>
          <w:color w:val="auto"/>
        </w:rPr>
      </w:pPr>
      <w:r>
        <w:rPr>
          <w:rFonts w:ascii="Arial" w:cs="Arial" w:eastAsia="Arial" w:hAnsi="Arial"/>
          <w:sz w:val="16"/>
          <w:szCs w:val="16"/>
          <w:u w:val="single" w:color="auto"/>
          <w:color w:val="auto"/>
        </w:rPr>
        <w:t>Non-Reliance</w:t>
      </w:r>
      <w:r>
        <w:rPr>
          <w:rFonts w:ascii="Arial" w:cs="Arial" w:eastAsia="Arial" w:hAnsi="Arial"/>
          <w:sz w:val="16"/>
          <w:szCs w:val="16"/>
          <w:color w:val="auto"/>
        </w:rPr>
        <w:t xml:space="preserve">. Notwithstanding anything in this Warrant to the contrary, each Holder hereby acknowledges, with respect to itself, that the Company may possess material non-public information with respect to the Company and/or its securities not known to each Holder as of the date hereof or at a time when each Holder exercises its right to purchase Warrant Shares pursuant to this Warrant and that any such information may impact the value of the Warrant and the Warrant Shares. Each Holder with respect to itself irrevocably waives any claim, or potential claim, that it may have based on the failure of the Company or its Affiliates, officers, directors, employees, agents or other representatives to disclose such information in connection with the execution and delivery of this Warrant or the purchase of Warrant Shares hereunder;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notwithstanding anything in this Section 17(h) or otherwise to the contrary, each Holder does not and shall not be deemed to have waived or otherwise compromised any rights or claims based upon or arising out of (i) the Company’s disclosure obligations under the federal securities laws with respect to any untrue statement of a material fact or omission to state a material fact necessary in order to make the statements made, in the light of the circumstances under which they were made, not misleading in any public statement or filing made by the Company pursuant to the Exchange Act, or (ii) any breach or inaccuracy of any representation or warranty of the Company or any other Loan Party in the Credit Agreement or any other Loan Document. Each Holder with respect to itself acknowledges that the Company would not enter into this Warrant in the absence of the agreements set forth in this Section 17.</w:t>
      </w:r>
    </w:p>
    <w:p>
      <w:pPr>
        <w:spacing w:after="0" w:line="167" w:lineRule="exact"/>
        <w:rPr>
          <w:rFonts w:ascii="Arial" w:cs="Arial" w:eastAsia="Arial" w:hAnsi="Arial"/>
          <w:sz w:val="16"/>
          <w:szCs w:val="16"/>
          <w:color w:val="auto"/>
        </w:rPr>
      </w:pPr>
    </w:p>
    <w:p>
      <w:pPr>
        <w:ind w:left="1580" w:hanging="276"/>
        <w:spacing w:after="0"/>
        <w:tabs>
          <w:tab w:leader="none" w:pos="1580" w:val="left"/>
        </w:tabs>
        <w:numPr>
          <w:ilvl w:val="1"/>
          <w:numId w:val="181"/>
        </w:numPr>
        <w:rPr>
          <w:rFonts w:ascii="Arial" w:cs="Arial" w:eastAsia="Arial" w:hAnsi="Arial"/>
          <w:sz w:val="18"/>
          <w:szCs w:val="18"/>
          <w:color w:val="auto"/>
        </w:rPr>
      </w:pPr>
      <w:r>
        <w:rPr>
          <w:rFonts w:ascii="Arial" w:cs="Arial" w:eastAsia="Arial" w:hAnsi="Arial"/>
          <w:sz w:val="18"/>
          <w:szCs w:val="18"/>
          <w:u w:val="single" w:color="auto"/>
          <w:color w:val="auto"/>
        </w:rPr>
        <w:t>REPRESENTATIONS OF THE COMPANY</w:t>
      </w:r>
      <w:r>
        <w:rPr>
          <w:rFonts w:ascii="Arial" w:cs="Arial" w:eastAsia="Arial" w:hAnsi="Arial"/>
          <w:sz w:val="18"/>
          <w:szCs w:val="18"/>
          <w:color w:val="auto"/>
        </w:rPr>
        <w:t>. The Company represents and warrants to the Holder that:</w:t>
      </w:r>
    </w:p>
    <w:p>
      <w:pPr>
        <w:spacing w:after="0" w:line="225" w:lineRule="exact"/>
        <w:rPr>
          <w:rFonts w:ascii="Arial" w:cs="Arial" w:eastAsia="Arial" w:hAnsi="Arial"/>
          <w:sz w:val="18"/>
          <w:szCs w:val="18"/>
          <w:color w:val="auto"/>
        </w:rPr>
      </w:pPr>
    </w:p>
    <w:p>
      <w:pPr>
        <w:ind w:left="2200" w:hanging="248"/>
        <w:spacing w:after="0"/>
        <w:tabs>
          <w:tab w:leader="none" w:pos="2200" w:val="left"/>
        </w:tabs>
        <w:numPr>
          <w:ilvl w:val="2"/>
          <w:numId w:val="181"/>
        </w:numPr>
        <w:rPr>
          <w:rFonts w:ascii="Arial" w:cs="Arial" w:eastAsia="Arial" w:hAnsi="Arial"/>
          <w:sz w:val="16"/>
          <w:szCs w:val="16"/>
          <w:color w:val="auto"/>
        </w:rPr>
      </w:pPr>
      <w:r>
        <w:rPr>
          <w:rFonts w:ascii="Arial" w:cs="Arial" w:eastAsia="Arial" w:hAnsi="Arial"/>
          <w:sz w:val="16"/>
          <w:szCs w:val="16"/>
          <w:color w:val="auto"/>
        </w:rPr>
        <w:t>The Company (i) is duly organized, validly existing and in good standing under the laws of its jurisdiction of incorporation;</w:t>
      </w:r>
    </w:p>
    <w:p>
      <w:pPr>
        <w:spacing w:after="0" w:line="46" w:lineRule="exact"/>
        <w:rPr>
          <w:rFonts w:ascii="Arial" w:cs="Arial" w:eastAsia="Arial" w:hAnsi="Arial"/>
          <w:sz w:val="16"/>
          <w:szCs w:val="16"/>
          <w:color w:val="auto"/>
        </w:rPr>
      </w:pPr>
    </w:p>
    <w:p>
      <w:pPr>
        <w:jc w:val="both"/>
        <w:ind w:firstLine="8"/>
        <w:spacing w:after="0" w:line="286" w:lineRule="auto"/>
        <w:tabs>
          <w:tab w:leader="none" w:pos="278" w:val="left"/>
        </w:tabs>
        <w:numPr>
          <w:ilvl w:val="0"/>
          <w:numId w:val="182"/>
        </w:numPr>
        <w:rPr>
          <w:rFonts w:ascii="Arial" w:cs="Arial" w:eastAsia="Arial" w:hAnsi="Arial"/>
          <w:sz w:val="16"/>
          <w:szCs w:val="16"/>
          <w:color w:val="auto"/>
        </w:rPr>
      </w:pPr>
      <w:r>
        <w:rPr>
          <w:rFonts w:ascii="Arial" w:cs="Arial" w:eastAsia="Arial" w:hAnsi="Arial"/>
          <w:sz w:val="16"/>
          <w:szCs w:val="16"/>
          <w:color w:val="auto"/>
        </w:rPr>
        <w:t>has the requisite power and authority to own, lease and operate its properties, to carry on its business as it is now being conducted and to enter into, deliver and perform its obligations under this Warrant; and (iii) is duly licensed or qualified to conduct its business and, if applicable, is in good standing under the laws of each jurisdiction (other than its jurisdiction of incorporation) in which the conduct of its business or the ownership of its properties or assets requires such license or qualification, except, with respect to the foregoing clause (iii), where the failure to be in good standing would not reasonably be expected to have a Company Material Adverse Effect. For purposes of this Warrant, a “</w:t>
      </w:r>
      <w:r>
        <w:rPr>
          <w:rFonts w:ascii="Arial" w:cs="Arial" w:eastAsia="Arial" w:hAnsi="Arial"/>
          <w:sz w:val="16"/>
          <w:szCs w:val="16"/>
          <w:b w:val="1"/>
          <w:bCs w:val="1"/>
          <w:color w:val="auto"/>
        </w:rPr>
        <w:t>Company Material Adverse Effect</w:t>
      </w:r>
      <w:r>
        <w:rPr>
          <w:rFonts w:ascii="Arial" w:cs="Arial" w:eastAsia="Arial" w:hAnsi="Arial"/>
          <w:sz w:val="16"/>
          <w:szCs w:val="16"/>
          <w:color w:val="auto"/>
        </w:rPr>
        <w:t>” means an event, change, development, occurrence, condition or effect with respect to the Company and its subsidiaries, taken together as a whole (on a consolidated basis), that, individually or in the aggregate, (A) would reasonably be expected to have a material adverse effect on the business, financial condition or results of operations of the Company and its subsidiaries, taken together as a whole (on a consolidated basis) or (B) would prevent, materially delay or materially impede the performance by the Company or its subsidiaries of their respective obligations under this Warrant or the other Loan Documents.</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86" w:name="page187"/>
    <w:bookmarkEnd w:id="186"/>
    <w:p>
      <w:pPr>
        <w:jc w:val="both"/>
        <w:ind w:firstLine="1952"/>
        <w:spacing w:after="0" w:line="301" w:lineRule="auto"/>
        <w:tabs>
          <w:tab w:leader="none" w:pos="2242" w:val="left"/>
        </w:tabs>
        <w:numPr>
          <w:ilvl w:val="1"/>
          <w:numId w:val="183"/>
        </w:numPr>
        <w:rPr>
          <w:rFonts w:ascii="Arial" w:cs="Arial" w:eastAsia="Arial" w:hAnsi="Arial"/>
          <w:sz w:val="16"/>
          <w:szCs w:val="16"/>
          <w:color w:val="auto"/>
        </w:rPr>
      </w:pPr>
      <w:r>
        <w:rPr>
          <w:rFonts w:ascii="Arial" w:cs="Arial" w:eastAsia="Arial" w:hAnsi="Arial"/>
          <w:sz w:val="16"/>
          <w:szCs w:val="16"/>
          <w:color w:val="auto"/>
        </w:rPr>
        <w:t>This Warrant is duly authorized, validly issued and constitutes legal, valid and binding obligations of the Company, enforceable against the Company in accordance with its terms, except that the enforcement thereof may be subject to applicable bankruptcy, insolvency or similar laws affecting creditors’ rights generally or by equitable principles relating to enforceability (collectively, the “</w:t>
      </w:r>
      <w:r>
        <w:rPr>
          <w:rFonts w:ascii="Arial" w:cs="Arial" w:eastAsia="Arial" w:hAnsi="Arial"/>
          <w:sz w:val="16"/>
          <w:szCs w:val="16"/>
          <w:b w:val="1"/>
          <w:bCs w:val="1"/>
          <w:color w:val="auto"/>
        </w:rPr>
        <w:t>Enforceability Exceptions</w:t>
      </w:r>
      <w:r>
        <w:rPr>
          <w:rFonts w:ascii="Arial" w:cs="Arial" w:eastAsia="Arial" w:hAnsi="Arial"/>
          <w:sz w:val="16"/>
          <w:szCs w:val="16"/>
          <w:color w:val="auto"/>
        </w:rPr>
        <w:t>”), and has not been issued in violation of any preemptive rights created under the Company’s organizational documents or the laws of the State of Delaware.</w:t>
      </w:r>
    </w:p>
    <w:p>
      <w:pPr>
        <w:spacing w:after="0" w:line="157" w:lineRule="exact"/>
        <w:rPr>
          <w:rFonts w:ascii="Arial" w:cs="Arial" w:eastAsia="Arial" w:hAnsi="Arial"/>
          <w:sz w:val="16"/>
          <w:szCs w:val="16"/>
          <w:color w:val="auto"/>
        </w:rPr>
      </w:pPr>
    </w:p>
    <w:p>
      <w:pPr>
        <w:jc w:val="both"/>
        <w:ind w:firstLine="1952"/>
        <w:spacing w:after="0" w:line="263" w:lineRule="auto"/>
        <w:tabs>
          <w:tab w:leader="none" w:pos="2223" w:val="left"/>
        </w:tabs>
        <w:numPr>
          <w:ilvl w:val="1"/>
          <w:numId w:val="183"/>
        </w:numPr>
        <w:rPr>
          <w:rFonts w:ascii="Arial" w:cs="Arial" w:eastAsia="Arial" w:hAnsi="Arial"/>
          <w:sz w:val="18"/>
          <w:szCs w:val="18"/>
          <w:color w:val="auto"/>
        </w:rPr>
      </w:pPr>
      <w:r>
        <w:rPr>
          <w:rFonts w:ascii="Arial" w:cs="Arial" w:eastAsia="Arial" w:hAnsi="Arial"/>
          <w:sz w:val="18"/>
          <w:szCs w:val="18"/>
          <w:color w:val="auto"/>
        </w:rPr>
        <w:t>The Warrant Shares have been duly authorized and, when issued and delivered to the Holder upon conversion of this Warrant, will be validly issued, fully paid and nonassessable and will not have been issued in violation of any preemptive rights created under the Company’s organizational documents or the laws of the State of Delaware.</w:t>
      </w:r>
    </w:p>
    <w:p>
      <w:pPr>
        <w:spacing w:after="0" w:line="183" w:lineRule="exact"/>
        <w:rPr>
          <w:rFonts w:ascii="Arial" w:cs="Arial" w:eastAsia="Arial" w:hAnsi="Arial"/>
          <w:sz w:val="18"/>
          <w:szCs w:val="18"/>
          <w:color w:val="auto"/>
        </w:rPr>
      </w:pPr>
    </w:p>
    <w:p>
      <w:pPr>
        <w:jc w:val="both"/>
        <w:ind w:firstLine="1952"/>
        <w:spacing w:after="0" w:line="270" w:lineRule="auto"/>
        <w:tabs>
          <w:tab w:leader="none" w:pos="2216" w:val="left"/>
        </w:tabs>
        <w:numPr>
          <w:ilvl w:val="1"/>
          <w:numId w:val="183"/>
        </w:numPr>
        <w:rPr>
          <w:rFonts w:ascii="Arial" w:cs="Arial" w:eastAsia="Arial" w:hAnsi="Arial"/>
          <w:sz w:val="17"/>
          <w:szCs w:val="17"/>
          <w:color w:val="auto"/>
        </w:rPr>
      </w:pPr>
      <w:r>
        <w:rPr>
          <w:rFonts w:ascii="Arial" w:cs="Arial" w:eastAsia="Arial" w:hAnsi="Arial"/>
          <w:sz w:val="17"/>
          <w:szCs w:val="17"/>
          <w:color w:val="auto"/>
        </w:rPr>
        <w:t>The execution and delivery of this Warrant, the issuance and delivery of the Warrant Shares in accordance with the terms hereof and the compliance by the Company with all of the provisions of this Warrant and the consummation of the transactions contemplated herein will not conflict with or result in a breach or violation of any of the terms or provisions of, or constitute a default under, or result in the creation or imposition of any lien, charge or encumbrance upon any of the property or assets of the Company pursuant to the terms of (i) any indenture, mortgage, deed of trust, loan agreement, lease, license or other agreement or instrument to which the Company is a party or by which the Company is bound or to which any of the property or assets of the Company is subject; (ii) the organizational documents of the Company; or (iii) any statute or any judgment, order, rule or regulation of any court or governmental agency or body, domestic or foreign, having jurisdiction over the Company or any of its properties that, in the case of clauses (i) and (iii), would reasonably be expected to have a Company Material Adverse Effect or have a material adverse effect on the Company’s ability to consummate the transactions contemplated hereby.</w:t>
      </w:r>
    </w:p>
    <w:p>
      <w:pPr>
        <w:spacing w:after="0" w:line="180" w:lineRule="exact"/>
        <w:rPr>
          <w:rFonts w:ascii="Arial" w:cs="Arial" w:eastAsia="Arial" w:hAnsi="Arial"/>
          <w:sz w:val="17"/>
          <w:szCs w:val="17"/>
          <w:color w:val="auto"/>
        </w:rPr>
      </w:pPr>
    </w:p>
    <w:p>
      <w:pPr>
        <w:jc w:val="both"/>
        <w:ind w:firstLine="1952"/>
        <w:spacing w:after="0" w:line="285" w:lineRule="auto"/>
        <w:tabs>
          <w:tab w:leader="none" w:pos="2218" w:val="left"/>
        </w:tabs>
        <w:numPr>
          <w:ilvl w:val="1"/>
          <w:numId w:val="183"/>
        </w:numPr>
        <w:rPr>
          <w:rFonts w:ascii="Arial" w:cs="Arial" w:eastAsia="Arial" w:hAnsi="Arial"/>
          <w:sz w:val="16"/>
          <w:szCs w:val="16"/>
          <w:color w:val="auto"/>
        </w:rPr>
      </w:pPr>
      <w:r>
        <w:rPr>
          <w:rFonts w:ascii="Arial" w:cs="Arial" w:eastAsia="Arial" w:hAnsi="Arial"/>
          <w:sz w:val="16"/>
          <w:szCs w:val="16"/>
          <w:color w:val="auto"/>
        </w:rPr>
        <w:t>Assuming the accuracy of the representations and warranties of the Holder, the Company is not required to obtain any consent, waiver, authorization or order of, give any notice to, or make any filing or registration with, any court or other federal, state, local or other governmental authority, self-regulatory organization (including the Nasdaq Stock Market) or other person in connection with the execution, delivery and performance of this Warrant, other than (i) filings required by applicable state securities laws, (ii) the filing of the registration statement pursuant to the First Amendment Registration Rights Agreement, (iii) the filing of a Notice of Exempt Offering of Securities on Form D with the SEC, if applicable and</w:t>
      </w:r>
    </w:p>
    <w:p>
      <w:pPr>
        <w:spacing w:after="0" w:line="1" w:lineRule="exact"/>
        <w:rPr>
          <w:rFonts w:ascii="Arial" w:cs="Arial" w:eastAsia="Arial" w:hAnsi="Arial"/>
          <w:sz w:val="16"/>
          <w:szCs w:val="16"/>
          <w:color w:val="auto"/>
        </w:rPr>
      </w:pPr>
    </w:p>
    <w:p>
      <w:pPr>
        <w:ind w:firstLine="8"/>
        <w:spacing w:after="0" w:line="260" w:lineRule="auto"/>
        <w:tabs>
          <w:tab w:leader="none" w:pos="307" w:val="left"/>
        </w:tabs>
        <w:numPr>
          <w:ilvl w:val="0"/>
          <w:numId w:val="184"/>
        </w:numPr>
        <w:rPr>
          <w:rFonts w:ascii="Arial" w:cs="Arial" w:eastAsia="Arial" w:hAnsi="Arial"/>
          <w:sz w:val="18"/>
          <w:szCs w:val="18"/>
          <w:color w:val="auto"/>
        </w:rPr>
      </w:pPr>
      <w:r>
        <w:rPr>
          <w:rFonts w:ascii="Arial" w:cs="Arial" w:eastAsia="Arial" w:hAnsi="Arial"/>
          <w:sz w:val="18"/>
          <w:szCs w:val="18"/>
          <w:color w:val="auto"/>
        </w:rPr>
        <w:t>those the failure of which to obtain would not be reasonably likely to have a Company Material Adverse Effect or have a material adverse effect on the Company’s ability to consummate the transactions contemplated hereby.</w:t>
      </w:r>
    </w:p>
    <w:p>
      <w:pPr>
        <w:spacing w:after="0" w:line="185" w:lineRule="exact"/>
        <w:rPr>
          <w:rFonts w:ascii="Arial" w:cs="Arial" w:eastAsia="Arial" w:hAnsi="Arial"/>
          <w:sz w:val="18"/>
          <w:szCs w:val="18"/>
          <w:color w:val="auto"/>
        </w:rPr>
      </w:pPr>
    </w:p>
    <w:p>
      <w:pPr>
        <w:jc w:val="both"/>
        <w:ind w:firstLine="1952"/>
        <w:spacing w:after="0" w:line="291" w:lineRule="auto"/>
        <w:tabs>
          <w:tab w:leader="none" w:pos="2177" w:val="left"/>
        </w:tabs>
        <w:numPr>
          <w:ilvl w:val="1"/>
          <w:numId w:val="184"/>
        </w:numPr>
        <w:rPr>
          <w:rFonts w:ascii="Arial" w:cs="Arial" w:eastAsia="Arial" w:hAnsi="Arial"/>
          <w:sz w:val="16"/>
          <w:szCs w:val="16"/>
          <w:color w:val="auto"/>
        </w:rPr>
      </w:pPr>
      <w:r>
        <w:rPr>
          <w:rFonts w:ascii="Arial" w:cs="Arial" w:eastAsia="Arial" w:hAnsi="Arial"/>
          <w:sz w:val="16"/>
          <w:szCs w:val="16"/>
          <w:color w:val="auto"/>
        </w:rPr>
        <w:t>As of their respective dates, all reports required to be filed by the Company with the SEC (the “</w:t>
      </w:r>
      <w:r>
        <w:rPr>
          <w:rFonts w:ascii="Arial" w:cs="Arial" w:eastAsia="Arial" w:hAnsi="Arial"/>
          <w:sz w:val="16"/>
          <w:szCs w:val="16"/>
          <w:b w:val="1"/>
          <w:bCs w:val="1"/>
          <w:i w:val="1"/>
          <w:iCs w:val="1"/>
          <w:color w:val="auto"/>
        </w:rPr>
        <w:t>SEC Reports</w:t>
      </w:r>
      <w:r>
        <w:rPr>
          <w:rFonts w:ascii="Arial" w:cs="Arial" w:eastAsia="Arial" w:hAnsi="Arial"/>
          <w:sz w:val="16"/>
          <w:szCs w:val="16"/>
          <w:color w:val="auto"/>
        </w:rPr>
        <w:t>”) complied in all material respects with the requirements of the Exchange Act, and the rules and regulations of the SEC promulgated thereunder, and none of the SEC Reports, when filed, contained any untrue statement of a material fact or omitted to state a material fact required to be stated therein or necessary in order to make the statements therein, in the light of the circumstances under which they were made, not misleading. The financial statements of the Company included in the SEC Reports comply in all material respects with applicable accounting requirements and the rules and regulations of the SEC with respect thereto as in effect at the time of filing and fairly present in all material respects the financial position of the Company as of and for the dates thereof and the results of operations and cash flows for the periods then ended, subject, in the case of unaudited statements, to normal, year-end audit adjustments.</w:t>
      </w:r>
    </w:p>
    <w:p>
      <w:pPr>
        <w:spacing w:after="0" w:line="166" w:lineRule="exact"/>
        <w:rPr>
          <w:rFonts w:ascii="Arial" w:cs="Arial" w:eastAsia="Arial" w:hAnsi="Arial"/>
          <w:sz w:val="16"/>
          <w:szCs w:val="16"/>
          <w:color w:val="auto"/>
        </w:rPr>
      </w:pPr>
    </w:p>
    <w:p>
      <w:pPr>
        <w:jc w:val="both"/>
        <w:ind w:firstLine="1952"/>
        <w:spacing w:after="0" w:line="275" w:lineRule="auto"/>
        <w:tabs>
          <w:tab w:leader="none" w:pos="2208" w:val="left"/>
        </w:tabs>
        <w:numPr>
          <w:ilvl w:val="1"/>
          <w:numId w:val="184"/>
        </w:numPr>
        <w:rPr>
          <w:rFonts w:ascii="Arial" w:cs="Arial" w:eastAsia="Arial" w:hAnsi="Arial"/>
          <w:sz w:val="17"/>
          <w:szCs w:val="17"/>
          <w:color w:val="auto"/>
        </w:rPr>
      </w:pPr>
      <w:r>
        <w:rPr>
          <w:rFonts w:ascii="Arial" w:cs="Arial" w:eastAsia="Arial" w:hAnsi="Arial"/>
          <w:sz w:val="17"/>
          <w:szCs w:val="17"/>
          <w:color w:val="auto"/>
        </w:rPr>
        <w:t>Except for such matters as have not had and would not be reasonably likely to have a Company Material Adverse Effect or have a material adverse effect on the Company’s ability to consummate the transactions contemplated hereby, there is no (i) suit, action, investigation, proceeding or arbitration before a governmental authority or arbitrator pending, or, to the knowledge of the Company, threatened in writing against the Company or any of its directors or officers in their capacities as such or (ii) judgment, decree, injunction, ruling or order of any governmental authority or arbitrator outstanding against the Company or any of its directors or officers in their capacities as such.</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87" w:name="page188"/>
    <w:bookmarkEnd w:id="187"/>
    <w:p>
      <w:pPr>
        <w:jc w:val="both"/>
        <w:ind w:firstLine="1952"/>
        <w:spacing w:after="0" w:line="255" w:lineRule="auto"/>
        <w:tabs>
          <w:tab w:leader="none" w:pos="2208" w:val="left"/>
        </w:tabs>
        <w:numPr>
          <w:ilvl w:val="1"/>
          <w:numId w:val="185"/>
        </w:numPr>
        <w:rPr>
          <w:rFonts w:ascii="Arial" w:cs="Arial" w:eastAsia="Arial" w:hAnsi="Arial"/>
          <w:sz w:val="18"/>
          <w:szCs w:val="18"/>
          <w:color w:val="auto"/>
        </w:rPr>
      </w:pPr>
      <w:r>
        <w:rPr>
          <w:rFonts w:ascii="Arial" w:cs="Arial" w:eastAsia="Arial" w:hAnsi="Arial"/>
          <w:sz w:val="18"/>
          <w:szCs w:val="18"/>
          <w:color w:val="auto"/>
        </w:rPr>
        <w:t>Except for such matters as have not had and would not be reasonably likely to have a Company Material Adverse Effect or have a material adverse effect on the Company’s ability to consummate the transactions contemplated hereby, the Company is, and has been since its inception, in compliance with all laws applicable to the conduct of the business of the Company. The Company has not received any written, or to its knowledge, other communication from a governmental entity that alleges that the Company is not in compliance with or is in default or violation of any applicable law, except where such noncompliance, default or violation would not be reasonably expected to have, individually or in the aggregate, a Company Material Adverse Effect.</w:t>
      </w:r>
    </w:p>
    <w:p>
      <w:pPr>
        <w:spacing w:after="0" w:line="192" w:lineRule="exact"/>
        <w:rPr>
          <w:rFonts w:ascii="Arial" w:cs="Arial" w:eastAsia="Arial" w:hAnsi="Arial"/>
          <w:sz w:val="18"/>
          <w:szCs w:val="18"/>
          <w:color w:val="auto"/>
        </w:rPr>
      </w:pPr>
    </w:p>
    <w:p>
      <w:pPr>
        <w:jc w:val="both"/>
        <w:ind w:firstLine="1952"/>
        <w:spacing w:after="0" w:line="263" w:lineRule="auto"/>
        <w:tabs>
          <w:tab w:leader="none" w:pos="2165" w:val="left"/>
        </w:tabs>
        <w:numPr>
          <w:ilvl w:val="1"/>
          <w:numId w:val="185"/>
        </w:numPr>
        <w:rPr>
          <w:rFonts w:ascii="Arial" w:cs="Arial" w:eastAsia="Arial" w:hAnsi="Arial"/>
          <w:sz w:val="18"/>
          <w:szCs w:val="18"/>
          <w:color w:val="auto"/>
        </w:rPr>
      </w:pPr>
      <w:r>
        <w:rPr>
          <w:rFonts w:ascii="Arial" w:cs="Arial" w:eastAsia="Arial" w:hAnsi="Arial"/>
          <w:sz w:val="18"/>
          <w:szCs w:val="18"/>
          <w:color w:val="auto"/>
        </w:rPr>
        <w:t>The Company has all franchises, permits, licenses and any similar authority necessary for the conduct of its business as now being conducted by it, the lack of which would have a material adverse effect, and to the Company’s knowledge, the Company is not in default in any material respect under any of such franchises, permits, licenses or other authority.</w:t>
      </w:r>
    </w:p>
    <w:p>
      <w:pPr>
        <w:spacing w:after="0" w:line="183" w:lineRule="exact"/>
        <w:rPr>
          <w:rFonts w:ascii="Arial" w:cs="Arial" w:eastAsia="Arial" w:hAnsi="Arial"/>
          <w:sz w:val="18"/>
          <w:szCs w:val="18"/>
          <w:color w:val="auto"/>
        </w:rPr>
      </w:pPr>
    </w:p>
    <w:p>
      <w:pPr>
        <w:jc w:val="both"/>
        <w:ind w:firstLine="1952"/>
        <w:spacing w:after="0" w:line="259" w:lineRule="auto"/>
        <w:tabs>
          <w:tab w:leader="none" w:pos="2163" w:val="left"/>
        </w:tabs>
        <w:numPr>
          <w:ilvl w:val="1"/>
          <w:numId w:val="185"/>
        </w:numPr>
        <w:rPr>
          <w:rFonts w:ascii="Arial" w:cs="Arial" w:eastAsia="Arial" w:hAnsi="Arial"/>
          <w:sz w:val="18"/>
          <w:szCs w:val="18"/>
          <w:color w:val="auto"/>
        </w:rPr>
      </w:pPr>
      <w:r>
        <w:rPr>
          <w:rFonts w:ascii="Arial" w:cs="Arial" w:eastAsia="Arial" w:hAnsi="Arial"/>
          <w:sz w:val="18"/>
          <w:szCs w:val="18"/>
          <w:color w:val="auto"/>
        </w:rPr>
        <w:t>There is no action, suit, proceeding or investigation pending or, to the Company’s knowledge, currently threatened in writing against the Company that questions the validity of this Warrant or the right of the Company to enter into this Warrant, or to consummate the transactions contemplated hereby, or that might result, if determined adversely to the Company, in a material adverse effect, or in any material change in the current equity ownership of the Company.</w:t>
      </w:r>
    </w:p>
    <w:p>
      <w:pPr>
        <w:spacing w:after="0" w:line="186" w:lineRule="exact"/>
        <w:rPr>
          <w:rFonts w:ascii="Arial" w:cs="Arial" w:eastAsia="Arial" w:hAnsi="Arial"/>
          <w:sz w:val="18"/>
          <w:szCs w:val="18"/>
          <w:color w:val="auto"/>
        </w:rPr>
      </w:pPr>
    </w:p>
    <w:p>
      <w:pPr>
        <w:jc w:val="both"/>
        <w:ind w:firstLine="1952"/>
        <w:spacing w:after="0" w:line="291" w:lineRule="auto"/>
        <w:tabs>
          <w:tab w:leader="none" w:pos="2213" w:val="left"/>
        </w:tabs>
        <w:numPr>
          <w:ilvl w:val="1"/>
          <w:numId w:val="185"/>
        </w:numPr>
        <w:rPr>
          <w:rFonts w:ascii="Arial" w:cs="Arial" w:eastAsia="Arial" w:hAnsi="Arial"/>
          <w:sz w:val="16"/>
          <w:szCs w:val="16"/>
          <w:color w:val="auto"/>
        </w:rPr>
      </w:pPr>
      <w:r>
        <w:rPr>
          <w:rFonts w:ascii="Arial" w:cs="Arial" w:eastAsia="Arial" w:hAnsi="Arial"/>
          <w:sz w:val="16"/>
          <w:szCs w:val="16"/>
          <w:color w:val="auto"/>
        </w:rPr>
        <w:t>To the Company’s knowledge, the Company owns or possesses sufficient legal rights to all (a) patents, patent applications and inventions; (b) trademarks, service marks, trade names, trade dress, logos, domain names or corporate names and registrations and applications for registration thereof, together with all of the goodwill associated therewith; (c) copyrights (registered or unregistered) and copyrightable works and registrations and applications for registrations thereof; (d) computer software, data, and databases and documentation thereof; (e) trade secrets and other confidential information; and (f) licenses, information and proprietary rights and processes necessary for its business as now conducted. The Company has not received any written communications alleging that the Company has violated or, by conducting its business as proposed, would violate any of the patents, trademarks, service marks, trade names, copyrights or trade secrets or other proprietary rights of any other person or entity.</w:t>
      </w:r>
    </w:p>
    <w:p>
      <w:pPr>
        <w:spacing w:after="0" w:line="166" w:lineRule="exact"/>
        <w:rPr>
          <w:rFonts w:ascii="Arial" w:cs="Arial" w:eastAsia="Arial" w:hAnsi="Arial"/>
          <w:sz w:val="16"/>
          <w:szCs w:val="16"/>
          <w:color w:val="auto"/>
        </w:rPr>
      </w:pPr>
    </w:p>
    <w:p>
      <w:pPr>
        <w:ind w:left="1580" w:hanging="276"/>
        <w:spacing w:after="0"/>
        <w:tabs>
          <w:tab w:leader="none" w:pos="1580" w:val="left"/>
        </w:tabs>
        <w:numPr>
          <w:ilvl w:val="0"/>
          <w:numId w:val="186"/>
        </w:numPr>
        <w:rPr>
          <w:rFonts w:ascii="Arial" w:cs="Arial" w:eastAsia="Arial" w:hAnsi="Arial"/>
          <w:sz w:val="18"/>
          <w:szCs w:val="18"/>
          <w:color w:val="auto"/>
        </w:rPr>
      </w:pPr>
      <w:r>
        <w:rPr>
          <w:rFonts w:ascii="Arial" w:cs="Arial" w:eastAsia="Arial" w:hAnsi="Arial"/>
          <w:sz w:val="18"/>
          <w:szCs w:val="18"/>
          <w:u w:val="single" w:color="auto"/>
          <w:color w:val="auto"/>
        </w:rPr>
        <w:t>CERTAIN DEFINITIONS</w:t>
      </w:r>
      <w:r>
        <w:rPr>
          <w:rFonts w:ascii="Arial" w:cs="Arial" w:eastAsia="Arial" w:hAnsi="Arial"/>
          <w:sz w:val="18"/>
          <w:szCs w:val="18"/>
          <w:color w:val="auto"/>
        </w:rPr>
        <w:t>. For purposes of this Warrant, the following terms shall have the following meanings:</w:t>
      </w:r>
    </w:p>
    <w:p>
      <w:pPr>
        <w:spacing w:after="0" w:line="221" w:lineRule="exact"/>
        <w:rPr>
          <w:rFonts w:ascii="Arial" w:cs="Arial" w:eastAsia="Arial" w:hAnsi="Arial"/>
          <w:sz w:val="18"/>
          <w:szCs w:val="18"/>
          <w:color w:val="auto"/>
        </w:rPr>
      </w:pPr>
    </w:p>
    <w:p>
      <w:pPr>
        <w:ind w:firstLine="1952"/>
        <w:spacing w:after="0" w:line="282" w:lineRule="auto"/>
        <w:tabs>
          <w:tab w:leader="none" w:pos="2191" w:val="left"/>
        </w:tabs>
        <w:numPr>
          <w:ilvl w:val="1"/>
          <w:numId w:val="18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Affiliate</w:t>
      </w:r>
      <w:r>
        <w:rPr>
          <w:rFonts w:ascii="Arial" w:cs="Arial" w:eastAsia="Arial" w:hAnsi="Arial"/>
          <w:sz w:val="18"/>
          <w:szCs w:val="18"/>
          <w:color w:val="auto"/>
        </w:rPr>
        <w:t>” means any Person that, directly or indirectly through one or more intermediaries, controls or is controlled by or is under common control with a Person, as such terms are used in and construed under Rule 405 under the Securities Act.</w:t>
      </w:r>
    </w:p>
    <w:p>
      <w:pPr>
        <w:spacing w:after="0" w:line="161" w:lineRule="exact"/>
        <w:rPr>
          <w:rFonts w:ascii="Arial" w:cs="Arial" w:eastAsia="Arial" w:hAnsi="Arial"/>
          <w:sz w:val="18"/>
          <w:szCs w:val="18"/>
          <w:color w:val="auto"/>
        </w:rPr>
      </w:pPr>
    </w:p>
    <w:p>
      <w:pPr>
        <w:jc w:val="both"/>
        <w:ind w:firstLine="1952"/>
        <w:spacing w:after="0" w:line="294" w:lineRule="auto"/>
        <w:tabs>
          <w:tab w:leader="none" w:pos="2223" w:val="left"/>
        </w:tabs>
        <w:numPr>
          <w:ilvl w:val="1"/>
          <w:numId w:val="186"/>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Attribution Parties</w:t>
      </w:r>
      <w:r>
        <w:rPr>
          <w:rFonts w:ascii="Arial" w:cs="Arial" w:eastAsia="Arial" w:hAnsi="Arial"/>
          <w:sz w:val="16"/>
          <w:szCs w:val="16"/>
          <w:color w:val="auto"/>
        </w:rPr>
        <w:t>” means, collectively, the following Persons and entities: (i) any investment vehicle, including, any funds, feeder funds or managed accounts, currently, or from time to time after the Issuance Date, directly or indirectly managed or advised by the Holder’s investment manager or any of its Affiliates or principals, (ii) any direct or indirect Affiliates of the Holder or any of the foregoing, (iii) any Person acting or who could be deemed to be acting as a Group together with the Holder or any of the foregoing and (iv) any other Persons whose beneficial ownership of the Company’s Common Stock would or could be aggregated with the Holder’s and the other Attribution Parties for purposes of Section 13(d) of the Exchange Act. For clarity, the purpose of the foregoing is to subject collectively the Holder and all other Attribution Parties to the Maximum Percentage.</w:t>
      </w:r>
    </w:p>
    <w:p>
      <w:pPr>
        <w:spacing w:after="0" w:line="159" w:lineRule="exact"/>
        <w:rPr>
          <w:rFonts w:ascii="Arial" w:cs="Arial" w:eastAsia="Arial" w:hAnsi="Arial"/>
          <w:sz w:val="16"/>
          <w:szCs w:val="16"/>
          <w:color w:val="auto"/>
        </w:rPr>
      </w:pPr>
    </w:p>
    <w:p>
      <w:pPr>
        <w:jc w:val="both"/>
        <w:ind w:firstLine="1952"/>
        <w:spacing w:after="0" w:line="269" w:lineRule="auto"/>
        <w:tabs>
          <w:tab w:leader="none" w:pos="2198" w:val="left"/>
        </w:tabs>
        <w:numPr>
          <w:ilvl w:val="1"/>
          <w:numId w:val="186"/>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Black Scholes Going Private Value</w:t>
      </w:r>
      <w:r>
        <w:rPr>
          <w:rFonts w:ascii="Arial" w:cs="Arial" w:eastAsia="Arial" w:hAnsi="Arial"/>
          <w:sz w:val="17"/>
          <w:szCs w:val="17"/>
          <w:color w:val="auto"/>
        </w:rPr>
        <w:t>” means the value of the unexercised portion of this Warrant remaining on the date of the consummation of the Fundamental Transaction referred to in Section 4(b)(i), which value is calculated using the Black Scholes Option Pricing Model obtained from the “OV” function on Bloomberg utilizing (i) an underlying price per share equal to the greater of (1) the highest Closing Sale Price of the Common Stock during the period beginning on the Trading Day immediately preceding the announcement of the applicable Fundamental Transaction (or the consummation of the applicable Fundamental Transaction, if earlier) and ending on the date of consummation of the applicable Fundamental Transaction and (2) the sum of the price per share being offered in cash in the applicable Fundamental Transaction (if any) plus the value of the non-cash consideration being offered in the applicable Fundamental Transaction (if any), (ii) a strike price equal to the Exercise Price in effect on the date of consummation of the applicable Fundamental Transaction, (iii) a risk-free interest rate corresponding to the U.S. Treasury rate for a period equal to the greater of (1) the remaining term of this Warrant as of the date of consummation of the applicable Fundamental Transaction and (2) the remaining term of this Warrant as of the date of consummation of the applicable Fundamental Transaction, (iv) a zero cost of borrow and (v) an expected volatility equal to the greater of 100% and the 60 day volatility obtained from the “HVT” function on Bloomberg (determined utilizing a 365 day annualization factor) as of the Trading Day immediately following the earliest to occur of (A) the public disclosure of the applicable Fundamental Transaction, and (B) the consummation of the applicable Fundamental Transaction.</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88" w:name="page189"/>
    <w:bookmarkEnd w:id="188"/>
    <w:p>
      <w:pPr>
        <w:jc w:val="both"/>
        <w:ind w:firstLine="1952"/>
        <w:spacing w:after="0" w:line="268" w:lineRule="auto"/>
        <w:tabs>
          <w:tab w:leader="none" w:pos="2217" w:val="left"/>
        </w:tabs>
        <w:numPr>
          <w:ilvl w:val="0"/>
          <w:numId w:val="187"/>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Black Scholes Value</w:t>
      </w:r>
      <w:r>
        <w:rPr>
          <w:rFonts w:ascii="Arial" w:cs="Arial" w:eastAsia="Arial" w:hAnsi="Arial"/>
          <w:sz w:val="17"/>
          <w:szCs w:val="17"/>
          <w:color w:val="auto"/>
        </w:rPr>
        <w:t>” means the value of the unexercised portion of this Warrant remaining on the date of the Holder’s request pursuant to Section 4(c), which value is calculated using the Black Scholes Option Pricing Model obtained from the “OV” function on Bloomberg utilizing (i) an underlying price per share equal to the greater of (1) the highest Closing Sale Price of the Common Stock during the period beginning on the Trading Day immediately preceding the announcement of the applicable Fundamental Transaction (or the consummation of the applicable Fundamental Transaction, if earlier) and ending on the Trading Day of the Holder’s request pursuant to Section 4(c) and (2) the sum of the price per share being offered in cash in the applicable Fundamental Transaction (if any) plus the value of the non-cash consideration being offered in the applicable Fundamental Transaction (if any), (ii) a strike price equal to the Exercise Price in effect on the date of the Holder’s request pursuant to Section 4(c), (iii) a risk-free interest rate corresponding to the U.S. Treasury rate for a period equal to the greater of (1) the remaining term of this Warrant as of the date of the Holder’s request pursuant to Section 4(c) and (2) the remaining term of this Warrant as of the date of consummation of the applicable Fundamental Transaction or as of the date of the Holder’s request pursuant to Section 4(c) if such request is prior to the date of the consummation of the applicable Fundamental Transaction, (iv) a zero cost of borrow and (v) an expected volatility equal to the greater of 100% and the 60 day volatility obtained from the “HVT” function on Bloomberg (determined utilizing a 365 day annualization factor) as of the Trading Day immediately following the earliest to occur of (A) the public disclosure of the applicable Fundamental Transaction, (B) the consummation of the applicable Fundamental Transaction and (C) the date on which the Holder first became aware of the applicable Fundamental Transaction.</w:t>
      </w:r>
    </w:p>
    <w:p>
      <w:pPr>
        <w:spacing w:after="0" w:line="184" w:lineRule="exact"/>
        <w:rPr>
          <w:rFonts w:ascii="Arial" w:cs="Arial" w:eastAsia="Arial" w:hAnsi="Arial"/>
          <w:sz w:val="17"/>
          <w:szCs w:val="17"/>
          <w:color w:val="auto"/>
        </w:rPr>
      </w:pPr>
    </w:p>
    <w:p>
      <w:pPr>
        <w:ind w:left="2200" w:hanging="248"/>
        <w:spacing w:after="0"/>
        <w:tabs>
          <w:tab w:leader="none" w:pos="2200" w:val="left"/>
        </w:tabs>
        <w:numPr>
          <w:ilvl w:val="0"/>
          <w:numId w:val="18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Bloomberg</w:t>
      </w:r>
      <w:r>
        <w:rPr>
          <w:rFonts w:ascii="Arial" w:cs="Arial" w:eastAsia="Arial" w:hAnsi="Arial"/>
          <w:sz w:val="18"/>
          <w:szCs w:val="18"/>
          <w:color w:val="auto"/>
        </w:rPr>
        <w:t>” means Bloomberg, L.P.</w:t>
      </w:r>
    </w:p>
    <w:p>
      <w:pPr>
        <w:spacing w:after="0" w:line="225" w:lineRule="exact"/>
        <w:rPr>
          <w:rFonts w:ascii="Arial" w:cs="Arial" w:eastAsia="Arial" w:hAnsi="Arial"/>
          <w:sz w:val="18"/>
          <w:szCs w:val="18"/>
          <w:color w:val="auto"/>
        </w:rPr>
      </w:pPr>
    </w:p>
    <w:p>
      <w:pPr>
        <w:ind w:firstLine="1952"/>
        <w:spacing w:after="0" w:line="347" w:lineRule="auto"/>
        <w:tabs>
          <w:tab w:leader="none" w:pos="2189" w:val="left"/>
        </w:tabs>
        <w:numPr>
          <w:ilvl w:val="0"/>
          <w:numId w:val="187"/>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Business Day</w:t>
      </w:r>
      <w:r>
        <w:rPr>
          <w:rFonts w:ascii="Arial" w:cs="Arial" w:eastAsia="Arial" w:hAnsi="Arial"/>
          <w:sz w:val="16"/>
          <w:szCs w:val="16"/>
          <w:color w:val="auto"/>
        </w:rPr>
        <w:t>” means any day except any Saturday, any Sunday, any day which is a federal legal holiday in the United States or any day on which banking institutions in the State of New York are authorized or required by law or other governmental action to close.</w:t>
      </w:r>
    </w:p>
    <w:p>
      <w:pPr>
        <w:spacing w:after="0" w:line="115" w:lineRule="exact"/>
        <w:rPr>
          <w:rFonts w:ascii="Arial" w:cs="Arial" w:eastAsia="Arial" w:hAnsi="Arial"/>
          <w:sz w:val="16"/>
          <w:szCs w:val="16"/>
          <w:color w:val="auto"/>
        </w:rPr>
      </w:pPr>
    </w:p>
    <w:p>
      <w:pPr>
        <w:jc w:val="both"/>
        <w:ind w:firstLine="1952"/>
        <w:spacing w:after="0" w:line="268" w:lineRule="auto"/>
        <w:tabs>
          <w:tab w:leader="none" w:pos="2218" w:val="left"/>
        </w:tabs>
        <w:numPr>
          <w:ilvl w:val="0"/>
          <w:numId w:val="187"/>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Closing Bid Price</w:t>
      </w:r>
      <w:r>
        <w:rPr>
          <w:rFonts w:ascii="Arial" w:cs="Arial" w:eastAsia="Arial" w:hAnsi="Arial"/>
          <w:sz w:val="17"/>
          <w:szCs w:val="17"/>
          <w:color w:val="auto"/>
        </w:rPr>
        <w:t>” and “</w:t>
      </w:r>
      <w:r>
        <w:rPr>
          <w:rFonts w:ascii="Arial" w:cs="Arial" w:eastAsia="Arial" w:hAnsi="Arial"/>
          <w:sz w:val="17"/>
          <w:szCs w:val="17"/>
          <w:b w:val="1"/>
          <w:bCs w:val="1"/>
          <w:color w:val="auto"/>
        </w:rPr>
        <w:t>Closing Sale Price</w:t>
      </w:r>
      <w:r>
        <w:rPr>
          <w:rFonts w:ascii="Arial" w:cs="Arial" w:eastAsia="Arial" w:hAnsi="Arial"/>
          <w:sz w:val="17"/>
          <w:szCs w:val="17"/>
          <w:color w:val="auto"/>
        </w:rPr>
        <w:t>” means, for any security as of any date, the last closing bid price and last closing trade price, respectively, for such security on the Principal Market, as reported by Bloomberg, or, if the Principal Market begins to operate on an extended hours basis and does not designate the closing bid price or the closing trade price, as the case may be, then the last bid price or the last trade price, respectively, of such security prior to 4:00:00 p.m., New York time, as reported by Bloomberg, or, if the Principal Market is not the principal securities exchange or trading market for such security, the last closing bid price or last trade price, respectively, of such security on the principal securities exchange or trading market where such security is listed or traded as reported by Bloomberg, or if the foregoing do not apply, the last closing bid price or last trade price, respectively, of such security in the over-the-counter market on the electronic bulletin board for such security as reported by Bloomberg, or, if no closing bid price or last trade price, respectively, is reported for such security by Bloomberg, the average of the bid prices, or the ask prices, respectively, of any market makers for such security as reported in the OTC Link or “pink sheets” by OTC Markets Group Inc. (formerly Pink OTC Markets Inc.). If the Closing Bid Price or the Closing Sale Price cannot be calculated for a security on a particular date on any of the foregoing bases, the Closing Bid Price or the Closing Sale Price, as the case may be, of such security on such date shall be the fair market value as mutually determined by the Company and the Holder. If the Company and the Holder are unable to agree upon the fair market value of such security, then such dispute shall be resolved pursuant to Section 12. All such determinations to be appropriately adjusted for any stock dividend, stock split, stock combination, reclassification or other similar transaction during the applicable calculation period.</w:t>
      </w:r>
    </w:p>
    <w:p>
      <w:pPr>
        <w:spacing w:after="0" w:line="184" w:lineRule="exact"/>
        <w:rPr>
          <w:rFonts w:ascii="Arial" w:cs="Arial" w:eastAsia="Arial" w:hAnsi="Arial"/>
          <w:sz w:val="17"/>
          <w:szCs w:val="17"/>
          <w:color w:val="auto"/>
        </w:rPr>
      </w:pPr>
    </w:p>
    <w:p>
      <w:pPr>
        <w:ind w:firstLine="1952"/>
        <w:spacing w:after="0" w:line="312" w:lineRule="auto"/>
        <w:tabs>
          <w:tab w:leader="none" w:pos="2204" w:val="left"/>
        </w:tabs>
        <w:numPr>
          <w:ilvl w:val="0"/>
          <w:numId w:val="187"/>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Common Stock</w:t>
      </w:r>
      <w:r>
        <w:rPr>
          <w:rFonts w:ascii="Arial" w:cs="Arial" w:eastAsia="Arial" w:hAnsi="Arial"/>
          <w:sz w:val="17"/>
          <w:szCs w:val="17"/>
          <w:color w:val="auto"/>
        </w:rPr>
        <w:t>” means (i) the Company’s shares of common stock, par value $0.0001 per share, and (ii) any share capital into which such common stock shall have been changed or any share capital resulting from a reclassification of such common stock.</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89" w:name="page190"/>
    <w:bookmarkEnd w:id="189"/>
    <w:p>
      <w:pPr>
        <w:ind w:firstLine="1952"/>
        <w:spacing w:after="0" w:line="282" w:lineRule="auto"/>
        <w:tabs>
          <w:tab w:leader="none" w:pos="2200" w:val="left"/>
        </w:tabs>
        <w:numPr>
          <w:ilvl w:val="0"/>
          <w:numId w:val="18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Convertible Securities</w:t>
      </w:r>
      <w:r>
        <w:rPr>
          <w:rFonts w:ascii="Arial" w:cs="Arial" w:eastAsia="Arial" w:hAnsi="Arial"/>
          <w:sz w:val="18"/>
          <w:szCs w:val="18"/>
          <w:color w:val="auto"/>
        </w:rPr>
        <w:t>” means any stock or securities (other than Options) directly or indirectly convertible into or exercisable or exchangeable for shares of Common Stock.</w:t>
      </w:r>
    </w:p>
    <w:p>
      <w:pPr>
        <w:spacing w:after="0" w:line="161" w:lineRule="exact"/>
        <w:rPr>
          <w:rFonts w:ascii="Arial" w:cs="Arial" w:eastAsia="Arial" w:hAnsi="Arial"/>
          <w:sz w:val="18"/>
          <w:szCs w:val="18"/>
          <w:color w:val="auto"/>
        </w:rPr>
      </w:pPr>
    </w:p>
    <w:p>
      <w:pPr>
        <w:ind w:firstLine="1952"/>
        <w:spacing w:after="0" w:line="282" w:lineRule="auto"/>
        <w:tabs>
          <w:tab w:leader="none" w:pos="2174" w:val="left"/>
        </w:tabs>
        <w:numPr>
          <w:ilvl w:val="0"/>
          <w:numId w:val="18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Eligible Market</w:t>
      </w:r>
      <w:r>
        <w:rPr>
          <w:rFonts w:ascii="Arial" w:cs="Arial" w:eastAsia="Arial" w:hAnsi="Arial"/>
          <w:sz w:val="18"/>
          <w:szCs w:val="18"/>
          <w:color w:val="auto"/>
        </w:rPr>
        <w:t>” means The Nasdaq Capital Market, The Nasdaq Global Select Market, The Nasdaq Global Market, the NYSE American, or The New York Stock Exchange.</w:t>
      </w:r>
    </w:p>
    <w:p>
      <w:pPr>
        <w:spacing w:after="0" w:line="161" w:lineRule="exact"/>
        <w:rPr>
          <w:rFonts w:ascii="Arial" w:cs="Arial" w:eastAsia="Arial" w:hAnsi="Arial"/>
          <w:sz w:val="18"/>
          <w:szCs w:val="18"/>
          <w:color w:val="auto"/>
        </w:rPr>
      </w:pPr>
    </w:p>
    <w:p>
      <w:pPr>
        <w:ind w:firstLine="1952"/>
        <w:spacing w:after="0" w:line="312" w:lineRule="auto"/>
        <w:tabs>
          <w:tab w:leader="none" w:pos="2213" w:val="left"/>
        </w:tabs>
        <w:numPr>
          <w:ilvl w:val="0"/>
          <w:numId w:val="188"/>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Expiration Date</w:t>
      </w:r>
      <w:r>
        <w:rPr>
          <w:rFonts w:ascii="Arial" w:cs="Arial" w:eastAsia="Arial" w:hAnsi="Arial"/>
          <w:sz w:val="17"/>
          <w:szCs w:val="17"/>
          <w:color w:val="auto"/>
        </w:rPr>
        <w:t>” means the date that is the five (5) year anniversary of the Issuance Date or, if such date falls on a day other than a Trading Day or on which trading does not take place on the Principal Market (a “</w:t>
      </w:r>
      <w:r>
        <w:rPr>
          <w:rFonts w:ascii="Arial" w:cs="Arial" w:eastAsia="Arial" w:hAnsi="Arial"/>
          <w:sz w:val="17"/>
          <w:szCs w:val="17"/>
          <w:b w:val="1"/>
          <w:bCs w:val="1"/>
          <w:color w:val="auto"/>
        </w:rPr>
        <w:t>Holiday</w:t>
      </w:r>
      <w:r>
        <w:rPr>
          <w:rFonts w:ascii="Arial" w:cs="Arial" w:eastAsia="Arial" w:hAnsi="Arial"/>
          <w:sz w:val="17"/>
          <w:szCs w:val="17"/>
          <w:color w:val="auto"/>
        </w:rPr>
        <w:t>”), the next date that is not a Holiday.</w:t>
      </w:r>
    </w:p>
    <w:p>
      <w:pPr>
        <w:spacing w:after="0" w:line="139" w:lineRule="exact"/>
        <w:rPr>
          <w:rFonts w:ascii="Arial" w:cs="Arial" w:eastAsia="Arial" w:hAnsi="Arial"/>
          <w:sz w:val="17"/>
          <w:szCs w:val="17"/>
          <w:color w:val="auto"/>
        </w:rPr>
      </w:pPr>
    </w:p>
    <w:p>
      <w:pPr>
        <w:jc w:val="both"/>
        <w:ind w:firstLine="1952"/>
        <w:spacing w:after="0" w:line="284" w:lineRule="auto"/>
        <w:tabs>
          <w:tab w:leader="none" w:pos="2198" w:val="left"/>
        </w:tabs>
        <w:numPr>
          <w:ilvl w:val="0"/>
          <w:numId w:val="188"/>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Fundamental Transaction</w:t>
      </w:r>
      <w:r>
        <w:rPr>
          <w:rFonts w:ascii="Arial" w:cs="Arial" w:eastAsia="Arial" w:hAnsi="Arial"/>
          <w:sz w:val="16"/>
          <w:szCs w:val="16"/>
          <w:color w:val="auto"/>
        </w:rPr>
        <w:t>” means (A) that the Company shall, directly or indirectly, including through subsidiaries, Affiliates or otherwise, in one or more related transactions, (i) consolidate or merge with or into (whether or not the Company is the surviving corporation) another Subject Entity, or (ii) sell, assign, transfer, convey or otherwise dispose of all or substantially all of the properties or assets of the Company or any of its “significant subsidiaries” (as defined in Rule 1-02 of Regulation S-X) to one or more Subject Entities, or (iii) make, or allow one or more Subject Entities to make, or allow the Company to be subject to or have its Common Stock be subject to or party to one or more Subject Entities making, a purchase, tender or exchange offer that is accepted by the holders of at least either (x) 50% of the outstanding shares of Common Stock, (y) 50% of the outstanding shares of Common Stock calculated as if any shares of Common Stock held by all Subject Entities making or party to, or Affiliated with any Subject Entities making or party to, such purchase, tender or exchange offer were not outstanding; or (z) such number of shares of Common Stock such that all Subject Entities making or party to, or Affiliated with any Subject Entity making or party to, such purchase, tender or exchange offer, become collectively the beneficial owners (as defined in Rule 13d-3 under the Exchange Act) of at least 50% of the outstanding shares of Common Stock, or (iv) consummate a stock purchase agreement or other business combination (including, without limitation, a reorganization, recapitalization, spin-off or scheme of arrangement) with one or more Subject Entities whereby all such Subject Entities, individually or in the aggregate, acquire, either (x) at least 50% of the outstanding shares of Common Stock, (y) at least 50% of the outstanding shares of Common Stock calculated as if any shares of Common Stock held by all the Subject Entities making or party to, or Affiliated with any Subject Entity making or party to, such stock purchase agreement or other business combination were not outstanding; or (z) such number of shares of Common Stock such that the Subject Entities become collectively the beneficial owners (as defined in Rule 13d-3 under the Exchange Act) of at least 50% of the outstanding shares of Common Stock, or (v) reorganize, recapitalize or reclassify its Common Stock, (B) that the Company shall, directly or indirectly, including through subsidiaries, Affiliates or otherwise, in one or more related transactions, allow any Subject Entity individually or the Subject Entities in the aggregate to be or become the “beneficial owner” (as defined in Rule 13d-3 under the Exchange Act), directly or indirectly, whether through acquisition, purchase, assignment, conveyance, tender, tender offer, exchange, reduction in outstanding shares of Common Stock, merger, consolidation, business combination, reorganization, recapitalization, spin-off, scheme of arrangement, reorganization, recapitalization or reclassification or otherwise in any manner whatsoever, of either (x) at least 50% of the aggregate ordinary voting power represented by issued and outstanding Common Stock, (y) at least 50% of the aggregate ordinary voting power represented by issued and outstanding Common Stock not held by all such Subject Entities as of the date of this Warrant calculated as if any shares of Common Stock held by all such Subject Entities were not outstanding, or (z) a percentage of the aggregate ordinary voting power represented by issued and outstanding shares of Common Stock or other equity securities of the Company sufficient to allow such Subject Entities to effect a statutory short form merger or other transaction requiring other stockholders of the Company to surrender their shares of Common Stock without approval of the stockholders of the Company or (C) directly or indirectly, including through subsidiaries, Affiliates or otherwise, in one or more related transactions, the issuance of or the entering into any other instrument or transaction structured in a manner to circumvent, or that circumvents, the intent of this definition in which case this definition shall be construed and implemented in a manner otherwise than in strict conformity with the terms of this definition to the extent necessary to correct this definition or any portion of this definition which may be defective or inconsistent with the intended treatment of such instrument or transaction.</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90" w:name="page191"/>
    <w:bookmarkEnd w:id="190"/>
    <w:p>
      <w:pPr>
        <w:jc w:val="right"/>
        <w:spacing w:after="0"/>
        <w:rPr>
          <w:sz w:val="20"/>
          <w:szCs w:val="20"/>
          <w:color w:val="auto"/>
        </w:rPr>
      </w:pPr>
      <w:r>
        <w:rPr>
          <w:rFonts w:ascii="Arial" w:cs="Arial" w:eastAsia="Arial" w:hAnsi="Arial"/>
          <w:sz w:val="18"/>
          <w:szCs w:val="18"/>
          <w:color w:val="auto"/>
        </w:rPr>
        <w:t>(m) “</w:t>
      </w:r>
      <w:r>
        <w:rPr>
          <w:rFonts w:ascii="Arial" w:cs="Arial" w:eastAsia="Arial" w:hAnsi="Arial"/>
          <w:sz w:val="18"/>
          <w:szCs w:val="18"/>
          <w:b w:val="1"/>
          <w:bCs w:val="1"/>
          <w:color w:val="auto"/>
        </w:rPr>
        <w:t>Group</w:t>
      </w:r>
      <w:r>
        <w:rPr>
          <w:rFonts w:ascii="Arial" w:cs="Arial" w:eastAsia="Arial" w:hAnsi="Arial"/>
          <w:sz w:val="18"/>
          <w:szCs w:val="18"/>
          <w:color w:val="auto"/>
        </w:rPr>
        <w:t>” means a “group” as that term is used in Section 13(d) of the Exchange Act and as defined in Rule 13d-5</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thereunder.</w:t>
      </w:r>
    </w:p>
    <w:p>
      <w:pPr>
        <w:spacing w:after="0" w:line="207" w:lineRule="exact"/>
        <w:rPr>
          <w:sz w:val="20"/>
          <w:szCs w:val="20"/>
          <w:color w:val="auto"/>
        </w:rPr>
      </w:pPr>
    </w:p>
    <w:p>
      <w:pPr>
        <w:ind w:left="1960"/>
        <w:spacing w:after="0"/>
        <w:rPr>
          <w:sz w:val="20"/>
          <w:szCs w:val="20"/>
          <w:color w:val="auto"/>
        </w:rPr>
      </w:pPr>
      <w:r>
        <w:rPr>
          <w:rFonts w:ascii="Arial" w:cs="Arial" w:eastAsia="Arial" w:hAnsi="Arial"/>
          <w:sz w:val="17"/>
          <w:szCs w:val="17"/>
          <w:color w:val="auto"/>
        </w:rPr>
        <w:t>(n) “</w:t>
      </w:r>
      <w:r>
        <w:rPr>
          <w:rFonts w:ascii="Arial" w:cs="Arial" w:eastAsia="Arial" w:hAnsi="Arial"/>
          <w:sz w:val="17"/>
          <w:szCs w:val="17"/>
          <w:b w:val="1"/>
          <w:bCs w:val="1"/>
          <w:color w:val="auto"/>
        </w:rPr>
        <w:t>Options</w:t>
      </w:r>
      <w:r>
        <w:rPr>
          <w:rFonts w:ascii="Arial" w:cs="Arial" w:eastAsia="Arial" w:hAnsi="Arial"/>
          <w:sz w:val="17"/>
          <w:szCs w:val="17"/>
          <w:color w:val="auto"/>
        </w:rPr>
        <w:t>” means any rights, warrants or options to subscribe for or purchase shares of Common Stock or Convertible</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color w:val="auto"/>
        </w:rPr>
        <w:t>Securities.</w:t>
      </w:r>
    </w:p>
    <w:p>
      <w:pPr>
        <w:spacing w:after="0" w:line="207" w:lineRule="exact"/>
        <w:rPr>
          <w:sz w:val="20"/>
          <w:szCs w:val="20"/>
          <w:color w:val="auto"/>
        </w:rPr>
      </w:pPr>
    </w:p>
    <w:p>
      <w:pPr>
        <w:jc w:val="both"/>
        <w:ind w:firstLine="1952"/>
        <w:spacing w:after="0" w:line="258" w:lineRule="auto"/>
        <w:tabs>
          <w:tab w:leader="none" w:pos="2203" w:val="left"/>
        </w:tabs>
        <w:numPr>
          <w:ilvl w:val="0"/>
          <w:numId w:val="18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Parent Entity</w:t>
      </w:r>
      <w:r>
        <w:rPr>
          <w:rFonts w:ascii="Arial" w:cs="Arial" w:eastAsia="Arial" w:hAnsi="Arial"/>
          <w:sz w:val="18"/>
          <w:szCs w:val="18"/>
          <w:color w:val="auto"/>
        </w:rPr>
        <w:t>” of a Person means an entity that, directly or indirectly, controls the applicable Person, including such entity whose common shares or common stock or equivalent equity security is quoted or listed on an Eligible Market (or, if so elected by the Holder, any other market, exchange or quotation system), or, if there is more than one such Person or such entity, the Person or such entity designated by the Holder or in the absence of such designation, such Person or entity with the largest public market capitalization as of the date of consummation of the Fundamental Transaction.</w:t>
      </w:r>
    </w:p>
    <w:p>
      <w:pPr>
        <w:spacing w:after="0" w:line="183" w:lineRule="exact"/>
        <w:rPr>
          <w:rFonts w:ascii="Arial" w:cs="Arial" w:eastAsia="Arial" w:hAnsi="Arial"/>
          <w:sz w:val="18"/>
          <w:szCs w:val="18"/>
          <w:color w:val="auto"/>
        </w:rPr>
      </w:pPr>
    </w:p>
    <w:p>
      <w:pPr>
        <w:ind w:firstLine="1952"/>
        <w:spacing w:after="0" w:line="282" w:lineRule="auto"/>
        <w:tabs>
          <w:tab w:leader="none" w:pos="2217" w:val="left"/>
        </w:tabs>
        <w:numPr>
          <w:ilvl w:val="0"/>
          <w:numId w:val="18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Person</w:t>
      </w:r>
      <w:r>
        <w:rPr>
          <w:rFonts w:ascii="Arial" w:cs="Arial" w:eastAsia="Arial" w:hAnsi="Arial"/>
          <w:sz w:val="18"/>
          <w:szCs w:val="18"/>
          <w:color w:val="auto"/>
        </w:rPr>
        <w:t>” means an individual or corporation, partnership, trust, incorporated or unincorporated association, joint venture, limited liability company, joint stock company, government (or an agency or subdivision thereof) or other entity of any kind.</w:t>
      </w:r>
    </w:p>
    <w:p>
      <w:pPr>
        <w:spacing w:after="0" w:line="161" w:lineRule="exact"/>
        <w:rPr>
          <w:rFonts w:ascii="Arial" w:cs="Arial" w:eastAsia="Arial" w:hAnsi="Arial"/>
          <w:sz w:val="18"/>
          <w:szCs w:val="18"/>
          <w:color w:val="auto"/>
        </w:rPr>
      </w:pPr>
    </w:p>
    <w:p>
      <w:pPr>
        <w:ind w:firstLine="1952"/>
        <w:spacing w:after="0" w:line="282" w:lineRule="auto"/>
        <w:tabs>
          <w:tab w:leader="none" w:pos="2228" w:val="left"/>
        </w:tabs>
        <w:numPr>
          <w:ilvl w:val="0"/>
          <w:numId w:val="18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Principal Market</w:t>
      </w:r>
      <w:r>
        <w:rPr>
          <w:rFonts w:ascii="Arial" w:cs="Arial" w:eastAsia="Arial" w:hAnsi="Arial"/>
          <w:sz w:val="18"/>
          <w:szCs w:val="18"/>
          <w:color w:val="auto"/>
        </w:rPr>
        <w:t>” means the OTC Bulletin Board or any other Eligible Market, or any national securities exchange, market or trading or quotation facility on which the Common Stock is then listed or quoted.</w:t>
      </w:r>
    </w:p>
    <w:p>
      <w:pPr>
        <w:spacing w:after="0" w:line="161" w:lineRule="exact"/>
        <w:rPr>
          <w:rFonts w:ascii="Arial" w:cs="Arial" w:eastAsia="Arial" w:hAnsi="Arial"/>
          <w:sz w:val="18"/>
          <w:szCs w:val="18"/>
          <w:color w:val="auto"/>
        </w:rPr>
      </w:pPr>
    </w:p>
    <w:p>
      <w:pPr>
        <w:ind w:left="2180" w:hanging="228"/>
        <w:spacing w:after="0"/>
        <w:tabs>
          <w:tab w:leader="none" w:pos="2180" w:val="left"/>
        </w:tabs>
        <w:numPr>
          <w:ilvl w:val="0"/>
          <w:numId w:val="18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Securities Act</w:t>
      </w:r>
      <w:r>
        <w:rPr>
          <w:rFonts w:ascii="Arial" w:cs="Arial" w:eastAsia="Arial" w:hAnsi="Arial"/>
          <w:sz w:val="18"/>
          <w:szCs w:val="18"/>
          <w:color w:val="auto"/>
        </w:rPr>
        <w:t>” means the Securities Act of 1933, as amended.</w:t>
      </w:r>
    </w:p>
    <w:p>
      <w:pPr>
        <w:spacing w:after="0" w:line="225" w:lineRule="exact"/>
        <w:rPr>
          <w:rFonts w:ascii="Arial" w:cs="Arial" w:eastAsia="Arial" w:hAnsi="Arial"/>
          <w:sz w:val="18"/>
          <w:szCs w:val="18"/>
          <w:color w:val="auto"/>
        </w:rPr>
      </w:pPr>
    </w:p>
    <w:p>
      <w:pPr>
        <w:ind w:left="2180" w:hanging="228"/>
        <w:spacing w:after="0"/>
        <w:tabs>
          <w:tab w:leader="none" w:pos="2180" w:val="left"/>
        </w:tabs>
        <w:numPr>
          <w:ilvl w:val="0"/>
          <w:numId w:val="189"/>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Subject Entity</w:t>
      </w:r>
      <w:r>
        <w:rPr>
          <w:rFonts w:ascii="Arial" w:cs="Arial" w:eastAsia="Arial" w:hAnsi="Arial"/>
          <w:sz w:val="16"/>
          <w:szCs w:val="16"/>
          <w:color w:val="auto"/>
        </w:rPr>
        <w:t>” means any Person, Persons or Group or any Affiliate or associate of any such Person, Persons or Group.</w:t>
      </w:r>
    </w:p>
    <w:p>
      <w:pPr>
        <w:spacing w:after="0" w:line="248" w:lineRule="exact"/>
        <w:rPr>
          <w:rFonts w:ascii="Arial" w:cs="Arial" w:eastAsia="Arial" w:hAnsi="Arial"/>
          <w:sz w:val="16"/>
          <w:szCs w:val="16"/>
          <w:color w:val="auto"/>
        </w:rPr>
      </w:pPr>
    </w:p>
    <w:p>
      <w:pPr>
        <w:jc w:val="both"/>
        <w:ind w:firstLine="1952"/>
        <w:spacing w:after="0" w:line="266" w:lineRule="auto"/>
        <w:tabs>
          <w:tab w:leader="none" w:pos="2176" w:val="left"/>
        </w:tabs>
        <w:numPr>
          <w:ilvl w:val="0"/>
          <w:numId w:val="18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Successor Entity</w:t>
      </w:r>
      <w:r>
        <w:rPr>
          <w:rFonts w:ascii="Arial" w:cs="Arial" w:eastAsia="Arial" w:hAnsi="Arial"/>
          <w:sz w:val="18"/>
          <w:szCs w:val="18"/>
          <w:color w:val="auto"/>
        </w:rPr>
        <w:t>” means one or more Person or Persons (or, if so elected by the Holder, the Company or Parent Entity) formed by, resulting from or surviving any Fundamental Transaction or one or more Person or Persons (or, if so elected by the Holder, the Company or the Parent Entity) with which such Fundamental Transaction shall have been entered into.</w:t>
      </w:r>
    </w:p>
    <w:p>
      <w:pPr>
        <w:spacing w:after="0" w:line="175" w:lineRule="exact"/>
        <w:rPr>
          <w:rFonts w:ascii="Arial" w:cs="Arial" w:eastAsia="Arial" w:hAnsi="Arial"/>
          <w:sz w:val="18"/>
          <w:szCs w:val="18"/>
          <w:color w:val="auto"/>
        </w:rPr>
      </w:pPr>
    </w:p>
    <w:p>
      <w:pPr>
        <w:jc w:val="both"/>
        <w:ind w:firstLine="1952"/>
        <w:spacing w:after="0" w:line="298" w:lineRule="auto"/>
        <w:tabs>
          <w:tab w:leader="none" w:pos="2204" w:val="left"/>
        </w:tabs>
        <w:numPr>
          <w:ilvl w:val="0"/>
          <w:numId w:val="189"/>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Trading Day</w:t>
      </w:r>
      <w:r>
        <w:rPr>
          <w:rFonts w:ascii="Arial" w:cs="Arial" w:eastAsia="Arial" w:hAnsi="Arial"/>
          <w:sz w:val="16"/>
          <w:szCs w:val="16"/>
          <w:color w:val="auto"/>
        </w:rPr>
        <w:t xml:space="preserve">” means any day on which the Common Stock is traded on the Principal Market, or, if the Principal Market is not the principal trading market for the Common Stock, then on the principal securities exchange or securities market on which the Common Stock is then traded;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“Trading Day” shall not include any day on which the Common Stock is scheduled to trade on such exchange or market for less than 4.5 hours or any day that the Common Stock is suspended from trading during the final hour of trading on such exchange or market (or if such exchange or market does not designate in advance the closing time of trading on such exchange or market, then during the hour ending at 4:00:00 p.m., New York time).</w:t>
      </w:r>
    </w:p>
    <w:p>
      <w:pPr>
        <w:spacing w:after="0" w:line="153" w:lineRule="exact"/>
        <w:rPr>
          <w:rFonts w:ascii="Arial" w:cs="Arial" w:eastAsia="Arial" w:hAnsi="Arial"/>
          <w:sz w:val="16"/>
          <w:szCs w:val="16"/>
          <w:color w:val="auto"/>
        </w:rPr>
      </w:pPr>
    </w:p>
    <w:p>
      <w:pPr>
        <w:jc w:val="both"/>
        <w:ind w:firstLine="1952"/>
        <w:spacing w:after="0" w:line="268" w:lineRule="auto"/>
        <w:tabs>
          <w:tab w:leader="none" w:pos="2202" w:val="left"/>
        </w:tabs>
        <w:numPr>
          <w:ilvl w:val="0"/>
          <w:numId w:val="189"/>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VWAP</w:t>
      </w:r>
      <w:r>
        <w:rPr>
          <w:rFonts w:ascii="Arial" w:cs="Arial" w:eastAsia="Arial" w:hAnsi="Arial"/>
          <w:sz w:val="17"/>
          <w:szCs w:val="17"/>
          <w:color w:val="auto"/>
        </w:rPr>
        <w:t>” means, for any security as of any date, the dollar volume-weighted average price for such security on the Principal Market during the period beginning at 9:30:01 a.m., New York time (or such other time as the Principal Market publicly announces is the official open of trading), and ending at 4:00:00 p.m., New York time (or such other time as the Principal Market publicly announces is the official close of trading), as reported by Bloomberg through its “Volume at Price” function or, if the foregoing does not apply, the dollar volume-weighted average price of such security in the over-the-counter market on the electronic bulletin board for such security during the period beginning at 9:30:01 a.m., New York time (or such other time as such market publicly announces is the official open of trading), and ending at 4:00:00 p.m., New York time (or such other time as such market publicly announces is the official close of trading), as reported by Bloomberg, or, if no dollar volume-weighted average price is reported for such security by Bloomberg for such hours, the average of the highest Closing Bid Price and the lowest closing ask price of any of the market makers for such security as reported in the OTC Link or “pink sheets” by OTC Markets Group Inc. (formerly Pink OTC Markets Inc.). If the VWAP cannot be calculated for a security on a particular date on any of the foregoing bases, the VWAP of such security on such date shall be the fair market value as mutually determined by the Company and the Holder. If the Company and the Holder are unable to agree upon the fair market value of such security, then such dispute shall be resolved pursuant to Section 12 with the term “VWAP” being substituted for the term “Exercise Price.” All such determinations shall be appropriately adjusted for any stock dividend, stock split, stock combination, reclassification or other similar transaction during the applicable calculation period.</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 Page Follows]</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91" w:name="page192"/>
    <w:bookmarkEnd w:id="191"/>
    <w:p>
      <w:pPr>
        <w:ind w:left="660"/>
        <w:spacing w:after="0"/>
        <w:rPr>
          <w:sz w:val="20"/>
          <w:szCs w:val="20"/>
          <w:color w:val="auto"/>
        </w:rPr>
      </w:pPr>
      <w:r>
        <w:rPr>
          <w:rFonts w:ascii="Arial" w:cs="Arial" w:eastAsia="Arial" w:hAnsi="Arial"/>
          <w:sz w:val="16"/>
          <w:szCs w:val="16"/>
          <w:b w:val="1"/>
          <w:bCs w:val="1"/>
          <w:color w:val="auto"/>
        </w:rPr>
        <w:t xml:space="preserve">IN WITNESS WHEREOF, </w:t>
      </w:r>
      <w:r>
        <w:rPr>
          <w:rFonts w:ascii="Arial" w:cs="Arial" w:eastAsia="Arial" w:hAnsi="Arial"/>
          <w:sz w:val="16"/>
          <w:szCs w:val="16"/>
          <w:color w:val="auto"/>
        </w:rPr>
        <w:t>the Company has caused this Warrant to Purchase Common Stock to be duly executed as of the Issuance Date set out</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above.</w:t>
      </w:r>
    </w:p>
    <w:p>
      <w:pPr>
        <w:spacing w:after="0" w:line="207" w:lineRule="exact"/>
        <w:rPr>
          <w:sz w:val="20"/>
          <w:szCs w:val="20"/>
          <w:color w:val="auto"/>
        </w:rPr>
      </w:pPr>
    </w:p>
    <w:p>
      <w:pPr>
        <w:ind w:left="6740"/>
        <w:spacing w:after="0"/>
        <w:rPr>
          <w:sz w:val="20"/>
          <w:szCs w:val="20"/>
          <w:color w:val="auto"/>
        </w:rPr>
      </w:pPr>
      <w:r>
        <w:rPr>
          <w:rFonts w:ascii="Arial" w:cs="Arial" w:eastAsia="Arial" w:hAnsi="Arial"/>
          <w:sz w:val="18"/>
          <w:szCs w:val="18"/>
          <w:b w:val="1"/>
          <w:bCs w:val="1"/>
          <w:color w:val="auto"/>
        </w:rPr>
        <w:t>PRESTO AUTOMATION INC.</w:t>
      </w:r>
    </w:p>
    <w:p>
      <w:pPr>
        <w:spacing w:after="0" w:line="229"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14605</wp:posOffset>
            </wp:positionV>
            <wp:extent cx="2494915" cy="171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5">
                      <a:extLst>
                        <a:ext uri="{28A0092B-C50C-407E-A947-70E740481C1C}"/>
                      </a:extLst>
                    </a:blip>
                    <a:srcRect/>
                    <a:stretch>
                      <a:fillRect/>
                    </a:stretch>
                  </pic:blipFill>
                  <pic:spPr bwMode="auto">
                    <a:xfrm>
                      <a:off x="0" y="0"/>
                      <a:ext cx="2494915" cy="17145"/>
                    </a:xfrm>
                    <a:prstGeom prst="rect">
                      <a:avLst/>
                    </a:prstGeom>
                    <a:noFill/>
                  </pic:spPr>
                </pic:pic>
              </a:graphicData>
            </a:graphic>
          </wp:anchor>
        </w:drawing>
      </w:r>
    </w:p>
    <w:p>
      <w:pPr>
        <w:spacing w:after="0" w:line="3"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171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92" w:name="page193"/>
    <w:bookmarkEnd w:id="192"/>
    <w:p>
      <w:pPr>
        <w:ind w:left="10300"/>
        <w:spacing w:after="0"/>
        <w:rPr>
          <w:sz w:val="20"/>
          <w:szCs w:val="20"/>
          <w:color w:val="auto"/>
        </w:rPr>
      </w:pPr>
      <w:r>
        <w:rPr>
          <w:rFonts w:ascii="Arial" w:cs="Arial" w:eastAsia="Arial" w:hAnsi="Arial"/>
          <w:sz w:val="18"/>
          <w:szCs w:val="18"/>
          <w:b w:val="1"/>
          <w:bCs w:val="1"/>
          <w:color w:val="auto"/>
        </w:rPr>
        <w:t>EXHIBIT 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EXERCISE NOTICE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 BE EXECUTED BY THE REGISTERED HOLDER TO EXERCISE THIS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WARRANT TO PURCHASE COMMON STOCK</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PRESTO AUTOMATION INC.</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undersigned holder hereby exercises the right to purchase _________________ of the shares of Common Stock (“</w:t>
      </w:r>
      <w:r>
        <w:rPr>
          <w:rFonts w:ascii="Arial" w:cs="Arial" w:eastAsia="Arial" w:hAnsi="Arial"/>
          <w:sz w:val="17"/>
          <w:szCs w:val="17"/>
          <w:b w:val="1"/>
          <w:bCs w:val="1"/>
          <w:color w:val="auto"/>
        </w:rPr>
        <w:t>Warrant Shares</w:t>
      </w:r>
      <w:r>
        <w:rPr>
          <w:rFonts w:ascii="Arial" w:cs="Arial" w:eastAsia="Arial" w:hAnsi="Arial"/>
          <w:sz w:val="17"/>
          <w:szCs w:val="17"/>
          <w:color w:val="auto"/>
        </w:rPr>
        <w:t>”) of</w:t>
      </w:r>
    </w:p>
    <w:p>
      <w:pPr>
        <w:spacing w:after="0" w:line="39" w:lineRule="exact"/>
        <w:rPr>
          <w:sz w:val="20"/>
          <w:szCs w:val="20"/>
          <w:color w:val="auto"/>
        </w:rPr>
      </w:pPr>
    </w:p>
    <w:p>
      <w:pPr>
        <w:spacing w:after="0"/>
        <w:rPr>
          <w:sz w:val="20"/>
          <w:szCs w:val="20"/>
          <w:color w:val="auto"/>
        </w:rPr>
      </w:pPr>
      <w:r>
        <w:rPr>
          <w:rFonts w:ascii="Arial" w:cs="Arial" w:eastAsia="Arial" w:hAnsi="Arial"/>
          <w:sz w:val="17"/>
          <w:szCs w:val="17"/>
          <w:color w:val="auto"/>
        </w:rPr>
        <w:t>Presto Automation Inc., a Delaware corporation (the “</w:t>
      </w:r>
      <w:r>
        <w:rPr>
          <w:rFonts w:ascii="Arial" w:cs="Arial" w:eastAsia="Arial" w:hAnsi="Arial"/>
          <w:sz w:val="17"/>
          <w:szCs w:val="17"/>
          <w:b w:val="1"/>
          <w:bCs w:val="1"/>
          <w:color w:val="auto"/>
        </w:rPr>
        <w:t>Company</w:t>
      </w:r>
      <w:r>
        <w:rPr>
          <w:rFonts w:ascii="Arial" w:cs="Arial" w:eastAsia="Arial" w:hAnsi="Arial"/>
          <w:sz w:val="17"/>
          <w:szCs w:val="17"/>
          <w:color w:val="auto"/>
        </w:rPr>
        <w:t>”), evidenced by the attached Warrant to Purchase Common Stock (the “</w:t>
      </w:r>
      <w:r>
        <w:rPr>
          <w:rFonts w:ascii="Arial" w:cs="Arial" w:eastAsia="Arial" w:hAnsi="Arial"/>
          <w:sz w:val="17"/>
          <w:szCs w:val="17"/>
          <w:b w:val="1"/>
          <w:bCs w:val="1"/>
          <w:color w:val="auto"/>
        </w:rPr>
        <w:t>Warrant</w:t>
      </w:r>
      <w:r>
        <w:rPr>
          <w:rFonts w:ascii="Arial" w:cs="Arial" w:eastAsia="Arial" w:hAnsi="Arial"/>
          <w:sz w:val="17"/>
          <w:szCs w:val="17"/>
          <w:color w:val="auto"/>
        </w:rPr>
        <w:t>”).</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Capitalized terms used herein and not otherwise defined shall have the respective meanings set forth in the Warrant.</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1. Form of Exercise Price. The Holder intends that payment of the Exercise Price shall be made as:</w:t>
      </w:r>
    </w:p>
    <w:p>
      <w:pPr>
        <w:spacing w:after="0" w:line="208" w:lineRule="exact"/>
        <w:rPr>
          <w:sz w:val="20"/>
          <w:szCs w:val="20"/>
          <w:color w:val="auto"/>
        </w:rPr>
      </w:pPr>
    </w:p>
    <w:tbl>
      <w:tblPr>
        <w:tblLayout w:type="fixed"/>
        <w:tblInd w:w="1300" w:type="dxa"/>
        <w:tblCellMar>
          <w:top w:w="0" w:type="dxa"/>
          <w:left w:w="0" w:type="dxa"/>
          <w:bottom w:w="0" w:type="dxa"/>
          <w:right w:w="0" w:type="dxa"/>
        </w:tblCellMar>
      </w:tblPr>
      <w:tr>
        <w:trPr>
          <w:trHeight w:val="207"/>
        </w:trPr>
        <w:tc>
          <w:tcPr>
            <w:tcW w:w="1200" w:type="dxa"/>
            <w:vAlign w:val="bottom"/>
          </w:tcPr>
          <w:p>
            <w:pPr>
              <w:jc w:val="right"/>
              <w:ind w:right="30"/>
              <w:spacing w:after="0"/>
              <w:rPr>
                <w:sz w:val="20"/>
                <w:szCs w:val="20"/>
                <w:color w:val="auto"/>
              </w:rPr>
            </w:pPr>
            <w:r>
              <w:rPr>
                <w:rFonts w:ascii="Arial" w:cs="Arial" w:eastAsia="Arial" w:hAnsi="Arial"/>
                <w:sz w:val="18"/>
                <w:szCs w:val="18"/>
                <w:color w:val="auto"/>
                <w:w w:val="88"/>
              </w:rPr>
              <w:t>____________</w:t>
            </w:r>
          </w:p>
        </w:tc>
        <w:tc>
          <w:tcPr>
            <w:tcW w:w="5780" w:type="dxa"/>
            <w:vAlign w:val="bottom"/>
            <w:gridSpan w:val="4"/>
          </w:tcPr>
          <w:p>
            <w:pPr>
              <w:ind w:left="100"/>
              <w:spacing w:after="0"/>
              <w:rPr>
                <w:sz w:val="20"/>
                <w:szCs w:val="20"/>
                <w:color w:val="auto"/>
              </w:rPr>
            </w:pPr>
            <w:r>
              <w:rPr>
                <w:rFonts w:ascii="Arial" w:cs="Arial" w:eastAsia="Arial" w:hAnsi="Arial"/>
                <w:sz w:val="18"/>
                <w:szCs w:val="18"/>
                <w:color w:val="auto"/>
                <w:w w:val="89"/>
              </w:rPr>
              <w:t>a “Cash Exercise” with respect to _________________ Warrant Shares; and/or</w:t>
            </w:r>
          </w:p>
        </w:tc>
      </w:tr>
      <w:tr>
        <w:trPr>
          <w:trHeight w:val="20"/>
        </w:trPr>
        <w:tc>
          <w:tcPr>
            <w:tcW w:w="1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180" w:type="dxa"/>
            <w:vAlign w:val="bottom"/>
          </w:tcPr>
          <w:p>
            <w:pPr>
              <w:spacing w:after="0" w:line="20" w:lineRule="exact"/>
              <w:rPr>
                <w:sz w:val="1"/>
                <w:szCs w:val="1"/>
                <w:color w:val="auto"/>
              </w:rPr>
            </w:pPr>
          </w:p>
        </w:tc>
      </w:tr>
      <w:tr>
        <w:trPr>
          <w:trHeight w:val="412"/>
        </w:trPr>
        <w:tc>
          <w:tcPr>
            <w:tcW w:w="1200" w:type="dxa"/>
            <w:vAlign w:val="bottom"/>
          </w:tcPr>
          <w:p>
            <w:pPr>
              <w:jc w:val="right"/>
              <w:ind w:right="30"/>
              <w:spacing w:after="0"/>
              <w:rPr>
                <w:sz w:val="20"/>
                <w:szCs w:val="20"/>
                <w:color w:val="auto"/>
              </w:rPr>
            </w:pPr>
            <w:r>
              <w:rPr>
                <w:rFonts w:ascii="Arial" w:cs="Arial" w:eastAsia="Arial" w:hAnsi="Arial"/>
                <w:sz w:val="18"/>
                <w:szCs w:val="18"/>
                <w:color w:val="auto"/>
                <w:w w:val="88"/>
              </w:rPr>
              <w:t>____________</w:t>
            </w:r>
          </w:p>
        </w:tc>
        <w:tc>
          <w:tcPr>
            <w:tcW w:w="5780" w:type="dxa"/>
            <w:vAlign w:val="bottom"/>
            <w:gridSpan w:val="4"/>
          </w:tcPr>
          <w:p>
            <w:pPr>
              <w:ind w:left="100"/>
              <w:spacing w:after="0"/>
              <w:rPr>
                <w:sz w:val="20"/>
                <w:szCs w:val="20"/>
                <w:color w:val="auto"/>
              </w:rPr>
            </w:pPr>
            <w:r>
              <w:rPr>
                <w:rFonts w:ascii="Arial" w:cs="Arial" w:eastAsia="Arial" w:hAnsi="Arial"/>
                <w:sz w:val="18"/>
                <w:szCs w:val="18"/>
                <w:color w:val="auto"/>
                <w:w w:val="96"/>
              </w:rPr>
              <w:t>a “Cashless Exercise” with respect to _______________ Warrant Shares.</w:t>
            </w:r>
          </w:p>
        </w:tc>
      </w:tr>
      <w:tr>
        <w:trPr>
          <w:trHeight w:val="20"/>
        </w:trPr>
        <w:tc>
          <w:tcPr>
            <w:tcW w:w="1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4180" w:type="dxa"/>
            <w:vAlign w:val="bottom"/>
          </w:tcPr>
          <w:p>
            <w:pPr>
              <w:spacing w:after="0" w:line="20" w:lineRule="exact"/>
              <w:rPr>
                <w:sz w:val="1"/>
                <w:szCs w:val="1"/>
                <w:color w:val="auto"/>
              </w:rPr>
            </w:pPr>
          </w:p>
        </w:tc>
      </w:tr>
    </w:tbl>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In the event that the Holder has elected a Cashless Exercise with respect to some or all of the Warrant Shares to be issued pursuant hereto, the Holder hereby represents and warrants that this Exercise Notice was executed by the Holder at [a.m.][p.m.] on the date set forth below.</w:t>
      </w:r>
    </w:p>
    <w:p>
      <w:pPr>
        <w:spacing w:after="0" w:line="170" w:lineRule="exact"/>
        <w:rPr>
          <w:sz w:val="20"/>
          <w:szCs w:val="20"/>
          <w:color w:val="auto"/>
        </w:rPr>
      </w:pPr>
    </w:p>
    <w:p>
      <w:pPr>
        <w:jc w:val="both"/>
        <w:ind w:firstLine="656"/>
        <w:spacing w:after="0" w:line="263" w:lineRule="auto"/>
        <w:tabs>
          <w:tab w:leader="none" w:pos="846" w:val="left"/>
        </w:tabs>
        <w:numPr>
          <w:ilvl w:val="0"/>
          <w:numId w:val="190"/>
        </w:numPr>
        <w:rPr>
          <w:rFonts w:ascii="Arial" w:cs="Arial" w:eastAsia="Arial" w:hAnsi="Arial"/>
          <w:sz w:val="18"/>
          <w:szCs w:val="18"/>
          <w:color w:val="auto"/>
        </w:rPr>
      </w:pPr>
      <w:r>
        <w:rPr>
          <w:rFonts w:ascii="Arial" w:cs="Arial" w:eastAsia="Arial" w:hAnsi="Arial"/>
          <w:sz w:val="18"/>
          <w:szCs w:val="18"/>
          <w:color w:val="auto"/>
        </w:rPr>
        <w:t>Payment of Exercise Price. In the event that the holder has elected a Cash Exercise with respect to some or all of the Warrant Shares to be issued pursuant hereto, the holder shall pay the Aggregate Exercise Price in the sum of $___________________ to the Company in accordance with the terms of the Warrant.</w:t>
      </w:r>
    </w:p>
    <w:p>
      <w:pPr>
        <w:spacing w:after="0" w:line="183" w:lineRule="exact"/>
        <w:rPr>
          <w:rFonts w:ascii="Arial" w:cs="Arial" w:eastAsia="Arial" w:hAnsi="Arial"/>
          <w:sz w:val="18"/>
          <w:szCs w:val="18"/>
          <w:color w:val="auto"/>
        </w:rPr>
      </w:pPr>
    </w:p>
    <w:p>
      <w:pPr>
        <w:ind w:left="840" w:hanging="184"/>
        <w:spacing w:after="0"/>
        <w:tabs>
          <w:tab w:leader="none" w:pos="840" w:val="left"/>
        </w:tabs>
        <w:numPr>
          <w:ilvl w:val="0"/>
          <w:numId w:val="190"/>
        </w:numPr>
        <w:rPr>
          <w:rFonts w:ascii="Arial" w:cs="Arial" w:eastAsia="Arial" w:hAnsi="Arial"/>
          <w:sz w:val="16"/>
          <w:szCs w:val="16"/>
          <w:color w:val="auto"/>
        </w:rPr>
      </w:pPr>
      <w:r>
        <w:rPr>
          <w:rFonts w:ascii="Arial" w:cs="Arial" w:eastAsia="Arial" w:hAnsi="Arial"/>
          <w:sz w:val="16"/>
          <w:szCs w:val="16"/>
          <w:color w:val="auto"/>
        </w:rPr>
        <w:t>Delivery of Warrant Shares. The Company shall deliver to the holder __________ Warrant Shares in accordance with the terms of the Warrant.</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3580" w:type="dxa"/>
            <w:vAlign w:val="bottom"/>
            <w:gridSpan w:val="2"/>
          </w:tcPr>
          <w:p>
            <w:pPr>
              <w:spacing w:after="0"/>
              <w:rPr>
                <w:sz w:val="20"/>
                <w:szCs w:val="20"/>
                <w:color w:val="auto"/>
              </w:rPr>
            </w:pPr>
            <w:r>
              <w:rPr>
                <w:rFonts w:ascii="Arial" w:cs="Arial" w:eastAsia="Arial" w:hAnsi="Arial"/>
                <w:sz w:val="18"/>
                <w:szCs w:val="18"/>
                <w:color w:val="auto"/>
              </w:rPr>
              <w:t>_______ Electronic Delivery</w:t>
            </w:r>
          </w:p>
        </w:tc>
        <w:tc>
          <w:tcPr>
            <w:tcW w:w="7660" w:type="dxa"/>
            <w:vAlign w:val="bottom"/>
            <w:gridSpan w:val="3"/>
          </w:tcPr>
          <w:p>
            <w:pPr>
              <w:ind w:left="920"/>
              <w:spacing w:after="0"/>
              <w:rPr>
                <w:sz w:val="20"/>
                <w:szCs w:val="20"/>
                <w:color w:val="auto"/>
              </w:rPr>
            </w:pPr>
            <w:r>
              <w:rPr>
                <w:rFonts w:ascii="Arial" w:cs="Arial" w:eastAsia="Arial" w:hAnsi="Arial"/>
                <w:sz w:val="18"/>
                <w:szCs w:val="18"/>
                <w:color w:val="auto"/>
              </w:rPr>
              <w:t>DTC Participant:</w:t>
            </w: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3000" w:type="dxa"/>
            <w:vAlign w:val="bottom"/>
          </w:tcPr>
          <w:p>
            <w:pPr>
              <w:spacing w:after="0"/>
              <w:rPr>
                <w:sz w:val="19"/>
                <w:szCs w:val="19"/>
                <w:color w:val="auto"/>
              </w:rPr>
            </w:pPr>
          </w:p>
        </w:tc>
        <w:tc>
          <w:tcPr>
            <w:tcW w:w="3160" w:type="dxa"/>
            <w:vAlign w:val="bottom"/>
            <w:gridSpan w:val="2"/>
          </w:tcPr>
          <w:p>
            <w:pPr>
              <w:ind w:left="920"/>
              <w:spacing w:after="0" w:line="203" w:lineRule="exact"/>
              <w:rPr>
                <w:sz w:val="20"/>
                <w:szCs w:val="20"/>
                <w:color w:val="auto"/>
              </w:rPr>
            </w:pPr>
            <w:r>
              <w:rPr>
                <w:rFonts w:ascii="Arial" w:cs="Arial" w:eastAsia="Arial" w:hAnsi="Arial"/>
                <w:sz w:val="18"/>
                <w:szCs w:val="18"/>
                <w:color w:val="auto"/>
              </w:rPr>
              <w:t>DTC Number:</w:t>
            </w:r>
          </w:p>
        </w:tc>
        <w:tc>
          <w:tcPr>
            <w:tcW w:w="4500" w:type="dxa"/>
            <w:vAlign w:val="bottom"/>
            <w:tcBorders>
              <w:top w:val="single" w:sz="8" w:color="auto"/>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3000" w:type="dxa"/>
            <w:vAlign w:val="bottom"/>
          </w:tcPr>
          <w:p>
            <w:pPr>
              <w:spacing w:after="0"/>
              <w:rPr>
                <w:sz w:val="19"/>
                <w:szCs w:val="19"/>
                <w:color w:val="auto"/>
              </w:rPr>
            </w:pPr>
          </w:p>
        </w:tc>
        <w:tc>
          <w:tcPr>
            <w:tcW w:w="3160" w:type="dxa"/>
            <w:vAlign w:val="bottom"/>
            <w:gridSpan w:val="2"/>
          </w:tcPr>
          <w:p>
            <w:pPr>
              <w:ind w:left="920"/>
              <w:spacing w:after="0" w:line="202" w:lineRule="exact"/>
              <w:rPr>
                <w:sz w:val="20"/>
                <w:szCs w:val="20"/>
                <w:color w:val="auto"/>
              </w:rPr>
            </w:pPr>
            <w:r>
              <w:rPr>
                <w:rFonts w:ascii="Arial" w:cs="Arial" w:eastAsia="Arial" w:hAnsi="Arial"/>
                <w:sz w:val="18"/>
                <w:szCs w:val="18"/>
                <w:color w:val="auto"/>
              </w:rPr>
              <w:t>Account Name:</w:t>
            </w:r>
          </w:p>
        </w:tc>
        <w:tc>
          <w:tcPr>
            <w:tcW w:w="45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3000" w:type="dxa"/>
            <w:vAlign w:val="bottom"/>
          </w:tcPr>
          <w:p>
            <w:pPr>
              <w:spacing w:after="0"/>
              <w:rPr>
                <w:sz w:val="19"/>
                <w:szCs w:val="19"/>
                <w:color w:val="auto"/>
              </w:rPr>
            </w:pPr>
          </w:p>
        </w:tc>
        <w:tc>
          <w:tcPr>
            <w:tcW w:w="3160" w:type="dxa"/>
            <w:vAlign w:val="bottom"/>
            <w:gridSpan w:val="2"/>
          </w:tcPr>
          <w:p>
            <w:pPr>
              <w:ind w:left="920"/>
              <w:spacing w:after="0" w:line="202" w:lineRule="exact"/>
              <w:rPr>
                <w:sz w:val="20"/>
                <w:szCs w:val="20"/>
                <w:color w:val="auto"/>
              </w:rPr>
            </w:pPr>
            <w:r>
              <w:rPr>
                <w:rFonts w:ascii="Arial" w:cs="Arial" w:eastAsia="Arial" w:hAnsi="Arial"/>
                <w:sz w:val="18"/>
                <w:szCs w:val="18"/>
                <w:color w:val="auto"/>
              </w:rPr>
              <w:t>Account Number:</w:t>
            </w:r>
          </w:p>
        </w:tc>
        <w:tc>
          <w:tcPr>
            <w:tcW w:w="45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39"/>
        </w:trPr>
        <w:tc>
          <w:tcPr>
            <w:tcW w:w="3580" w:type="dxa"/>
            <w:vAlign w:val="bottom"/>
            <w:gridSpan w:val="2"/>
          </w:tcPr>
          <w:p>
            <w:pPr>
              <w:spacing w:after="0"/>
              <w:rPr>
                <w:sz w:val="20"/>
                <w:szCs w:val="20"/>
                <w:color w:val="auto"/>
              </w:rPr>
            </w:pPr>
            <w:r>
              <w:rPr>
                <w:rFonts w:ascii="Arial" w:cs="Arial" w:eastAsia="Arial" w:hAnsi="Arial"/>
                <w:sz w:val="18"/>
                <w:szCs w:val="18"/>
                <w:color w:val="auto"/>
              </w:rPr>
              <w:t>_______ Physical Delivery</w:t>
            </w:r>
          </w:p>
        </w:tc>
        <w:tc>
          <w:tcPr>
            <w:tcW w:w="7660" w:type="dxa"/>
            <w:vAlign w:val="bottom"/>
            <w:gridSpan w:val="3"/>
          </w:tcPr>
          <w:p>
            <w:pPr>
              <w:ind w:left="920"/>
              <w:spacing w:after="0"/>
              <w:rPr>
                <w:sz w:val="20"/>
                <w:szCs w:val="20"/>
                <w:color w:val="auto"/>
              </w:rPr>
            </w:pPr>
            <w:r>
              <w:rPr>
                <w:rFonts w:ascii="Arial" w:cs="Arial" w:eastAsia="Arial" w:hAnsi="Arial"/>
                <w:sz w:val="18"/>
                <w:szCs w:val="18"/>
                <w:color w:val="auto"/>
              </w:rPr>
              <w:t>Address:</w:t>
            </w:r>
          </w:p>
        </w:tc>
        <w:tc>
          <w:tcPr>
            <w:tcW w:w="0" w:type="dxa"/>
            <w:vAlign w:val="bottom"/>
          </w:tcPr>
          <w:p>
            <w:pPr>
              <w:spacing w:after="0"/>
              <w:rPr>
                <w:sz w:val="1"/>
                <w:szCs w:val="1"/>
                <w:color w:val="auto"/>
              </w:rPr>
            </w:pPr>
          </w:p>
        </w:tc>
      </w:tr>
      <w:tr>
        <w:trPr>
          <w:trHeight w:val="223"/>
        </w:trPr>
        <w:tc>
          <w:tcPr>
            <w:tcW w:w="3580" w:type="dxa"/>
            <w:vAlign w:val="bottom"/>
            <w:gridSpan w:val="2"/>
            <w:vMerge w:val="restart"/>
          </w:tcPr>
          <w:p>
            <w:pPr>
              <w:spacing w:after="0"/>
              <w:rPr>
                <w:sz w:val="20"/>
                <w:szCs w:val="20"/>
                <w:color w:val="auto"/>
              </w:rPr>
            </w:pPr>
            <w:r>
              <w:rPr>
                <w:rFonts w:ascii="Arial" w:cs="Arial" w:eastAsia="Arial" w:hAnsi="Arial"/>
                <w:sz w:val="18"/>
                <w:szCs w:val="18"/>
                <w:color w:val="auto"/>
              </w:rPr>
              <w:t>Date: _______________ __, ______</w:t>
            </w:r>
          </w:p>
        </w:tc>
        <w:tc>
          <w:tcPr>
            <w:tcW w:w="920" w:type="dxa"/>
            <w:vAlign w:val="bottom"/>
          </w:tcPr>
          <w:p>
            <w:pPr>
              <w:spacing w:after="0"/>
              <w:rPr>
                <w:sz w:val="19"/>
                <w:szCs w:val="19"/>
                <w:color w:val="auto"/>
              </w:rPr>
            </w:pPr>
          </w:p>
        </w:tc>
        <w:tc>
          <w:tcPr>
            <w:tcW w:w="2240" w:type="dxa"/>
            <w:vAlign w:val="bottom"/>
          </w:tcPr>
          <w:p>
            <w:pPr>
              <w:spacing w:after="0"/>
              <w:rPr>
                <w:sz w:val="19"/>
                <w:szCs w:val="19"/>
                <w:color w:val="auto"/>
              </w:rPr>
            </w:pPr>
          </w:p>
        </w:tc>
        <w:tc>
          <w:tcPr>
            <w:tcW w:w="4500" w:type="dxa"/>
            <w:vAlign w:val="bottom"/>
            <w:tcBorders>
              <w:top w:val="single" w:sz="8" w:color="auto"/>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580" w:type="dxa"/>
            <w:vAlign w:val="bottom"/>
            <w:gridSpan w:val="2"/>
            <w:vMerge w:val="continue"/>
          </w:tcPr>
          <w:p>
            <w:pPr>
              <w:spacing w:after="0"/>
              <w:rPr>
                <w:sz w:val="19"/>
                <w:szCs w:val="19"/>
                <w:color w:val="auto"/>
              </w:rPr>
            </w:pPr>
          </w:p>
        </w:tc>
        <w:tc>
          <w:tcPr>
            <w:tcW w:w="920" w:type="dxa"/>
            <w:vAlign w:val="bottom"/>
          </w:tcPr>
          <w:p>
            <w:pPr>
              <w:spacing w:after="0"/>
              <w:rPr>
                <w:sz w:val="19"/>
                <w:szCs w:val="19"/>
                <w:color w:val="auto"/>
              </w:rPr>
            </w:pPr>
          </w:p>
        </w:tc>
        <w:tc>
          <w:tcPr>
            <w:tcW w:w="2240" w:type="dxa"/>
            <w:vAlign w:val="bottom"/>
          </w:tcPr>
          <w:p>
            <w:pPr>
              <w:spacing w:after="0"/>
              <w:rPr>
                <w:sz w:val="19"/>
                <w:szCs w:val="19"/>
                <w:color w:val="auto"/>
              </w:rPr>
            </w:pPr>
          </w:p>
        </w:tc>
        <w:tc>
          <w:tcPr>
            <w:tcW w:w="45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32"/>
        </w:trPr>
        <w:tc>
          <w:tcPr>
            <w:tcW w:w="3580" w:type="dxa"/>
            <w:vAlign w:val="bottom"/>
            <w:gridSpan w:val="2"/>
            <w:vMerge w:val="continue"/>
          </w:tcPr>
          <w:p>
            <w:pPr>
              <w:spacing w:after="0"/>
              <w:rPr>
                <w:sz w:val="24"/>
                <w:szCs w:val="24"/>
                <w:color w:val="auto"/>
              </w:rPr>
            </w:pPr>
          </w:p>
        </w:tc>
        <w:tc>
          <w:tcPr>
            <w:tcW w:w="92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4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34"/>
        </w:trPr>
        <w:tc>
          <w:tcPr>
            <w:tcW w:w="3580" w:type="dxa"/>
            <w:vAlign w:val="bottom"/>
            <w:gridSpan w:val="2"/>
          </w:tcPr>
          <w:p>
            <w:pPr>
              <w:spacing w:after="0"/>
              <w:rPr>
                <w:sz w:val="20"/>
                <w:szCs w:val="20"/>
                <w:color w:val="auto"/>
              </w:rPr>
            </w:pPr>
            <w:r>
              <w:rPr>
                <w:rFonts w:ascii="Arial" w:cs="Arial" w:eastAsia="Arial" w:hAnsi="Arial"/>
                <w:sz w:val="18"/>
                <w:szCs w:val="18"/>
                <w:color w:val="auto"/>
              </w:rPr>
              <w:t>Name of Registered Holder</w:t>
            </w:r>
          </w:p>
        </w:tc>
        <w:tc>
          <w:tcPr>
            <w:tcW w:w="92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4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3580" w:type="dxa"/>
            <w:vAlign w:val="bottom"/>
            <w:gridSpan w:val="2"/>
          </w:tcPr>
          <w:p>
            <w:pPr>
              <w:spacing w:after="0"/>
              <w:rPr>
                <w:sz w:val="20"/>
                <w:szCs w:val="20"/>
                <w:color w:val="auto"/>
              </w:rPr>
            </w:pPr>
            <w:r>
              <w:rPr>
                <w:rFonts w:ascii="Arial" w:cs="Arial" w:eastAsia="Arial" w:hAnsi="Arial"/>
                <w:sz w:val="18"/>
                <w:szCs w:val="18"/>
                <w:color w:val="auto"/>
              </w:rPr>
              <w:t>By:</w:t>
            </w:r>
          </w:p>
        </w:tc>
        <w:tc>
          <w:tcPr>
            <w:tcW w:w="92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4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580" w:type="dxa"/>
            <w:vAlign w:val="bottom"/>
          </w:tcPr>
          <w:p>
            <w:pPr>
              <w:spacing w:after="0" w:line="201" w:lineRule="exact"/>
              <w:rPr>
                <w:sz w:val="20"/>
                <w:szCs w:val="20"/>
                <w:color w:val="auto"/>
              </w:rPr>
            </w:pPr>
            <w:r>
              <w:rPr>
                <w:rFonts w:ascii="Arial" w:cs="Arial" w:eastAsia="Arial" w:hAnsi="Arial"/>
                <w:sz w:val="18"/>
                <w:szCs w:val="18"/>
                <w:color w:val="auto"/>
              </w:rPr>
              <w:t>Name:</w:t>
            </w:r>
          </w:p>
        </w:tc>
        <w:tc>
          <w:tcPr>
            <w:tcW w:w="300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2240" w:type="dxa"/>
            <w:vAlign w:val="bottom"/>
          </w:tcPr>
          <w:p>
            <w:pPr>
              <w:spacing w:after="0"/>
              <w:rPr>
                <w:sz w:val="17"/>
                <w:szCs w:val="17"/>
                <w:color w:val="auto"/>
              </w:rPr>
            </w:pPr>
          </w:p>
        </w:tc>
        <w:tc>
          <w:tcPr>
            <w:tcW w:w="4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580" w:type="dxa"/>
            <w:vAlign w:val="bottom"/>
            <w:gridSpan w:val="2"/>
          </w:tcPr>
          <w:p>
            <w:pPr>
              <w:spacing w:after="0"/>
              <w:rPr>
                <w:sz w:val="20"/>
                <w:szCs w:val="20"/>
                <w:color w:val="auto"/>
              </w:rPr>
            </w:pPr>
            <w:r>
              <w:rPr>
                <w:rFonts w:ascii="Arial" w:cs="Arial" w:eastAsia="Arial" w:hAnsi="Arial"/>
                <w:sz w:val="18"/>
                <w:szCs w:val="18"/>
                <w:color w:val="auto"/>
              </w:rPr>
              <w:t>Title:</w:t>
            </w:r>
          </w:p>
        </w:tc>
        <w:tc>
          <w:tcPr>
            <w:tcW w:w="92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4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98"/>
        </w:trPr>
        <w:tc>
          <w:tcPr>
            <w:tcW w:w="580" w:type="dxa"/>
            <w:vAlign w:val="bottom"/>
            <w:tcBorders>
              <w:bottom w:val="single" w:sz="8" w:color="auto"/>
            </w:tcBorders>
          </w:tcPr>
          <w:p>
            <w:pPr>
              <w:spacing w:after="0"/>
              <w:rPr>
                <w:sz w:val="24"/>
                <w:szCs w:val="24"/>
                <w:color w:val="auto"/>
              </w:rPr>
            </w:pPr>
          </w:p>
        </w:tc>
        <w:tc>
          <w:tcPr>
            <w:tcW w:w="30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240" w:type="dxa"/>
            <w:vAlign w:val="bottom"/>
            <w:tcBorders>
              <w:bottom w:val="single" w:sz="8" w:color="auto"/>
            </w:tcBorders>
          </w:tcPr>
          <w:p>
            <w:pPr>
              <w:spacing w:after="0"/>
              <w:rPr>
                <w:sz w:val="24"/>
                <w:szCs w:val="24"/>
                <w:color w:val="auto"/>
              </w:rPr>
            </w:pPr>
          </w:p>
        </w:tc>
        <w:tc>
          <w:tcPr>
            <w:tcW w:w="45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904" w:right="339" w:bottom="1440" w:gutter="0" w:footer="0" w:header="0"/>
        </w:sectPr>
      </w:pPr>
    </w:p>
    <w:bookmarkStart w:id="193" w:name="page194"/>
    <w:bookmarkEnd w:id="193"/>
    <w:p>
      <w:pPr>
        <w:jc w:val="center"/>
        <w:spacing w:after="0"/>
        <w:rPr>
          <w:sz w:val="20"/>
          <w:szCs w:val="20"/>
          <w:color w:val="auto"/>
        </w:rPr>
      </w:pPr>
      <w:r>
        <w:rPr>
          <w:rFonts w:ascii="Arial" w:cs="Arial" w:eastAsia="Arial" w:hAnsi="Arial"/>
          <w:sz w:val="18"/>
          <w:szCs w:val="18"/>
          <w:b w:val="1"/>
          <w:bCs w:val="1"/>
          <w:color w:val="auto"/>
        </w:rPr>
        <w:t>ACKNOWLEDGMENT</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Company hereby acknowledges this Exercise Notice and hereby directs [TRANSFER AGENT] to issue the above indicated number of shares of Common Stock in accordance with the Transfer Agent Instructions dated _________________ from the Company and acknowledged and agreed to by [TRANSFER AGENT].</w:t>
      </w:r>
    </w:p>
    <w:p>
      <w:pPr>
        <w:spacing w:after="0" w:line="180" w:lineRule="exact"/>
        <w:rPr>
          <w:sz w:val="20"/>
          <w:szCs w:val="20"/>
          <w:color w:val="auto"/>
        </w:rPr>
      </w:pPr>
    </w:p>
    <w:p>
      <w:pPr>
        <w:ind w:left="6740"/>
        <w:spacing w:after="0"/>
        <w:rPr>
          <w:sz w:val="20"/>
          <w:szCs w:val="20"/>
          <w:color w:val="auto"/>
        </w:rPr>
      </w:pPr>
      <w:r>
        <w:rPr>
          <w:rFonts w:ascii="Arial" w:cs="Arial" w:eastAsia="Arial" w:hAnsi="Arial"/>
          <w:sz w:val="18"/>
          <w:szCs w:val="18"/>
          <w:b w:val="1"/>
          <w:bCs w:val="1"/>
          <w:color w:val="auto"/>
        </w:rPr>
        <w:t>PRESTO AUTOMATION INC.</w:t>
      </w:r>
    </w:p>
    <w:p>
      <w:pPr>
        <w:spacing w:after="0" w:line="229"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14605</wp:posOffset>
            </wp:positionV>
            <wp:extent cx="2494915" cy="171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7">
                      <a:extLst>
                        <a:ext uri="{28A0092B-C50C-407E-A947-70E740481C1C}"/>
                      </a:extLst>
                    </a:blip>
                    <a:srcRect/>
                    <a:stretch>
                      <a:fillRect/>
                    </a:stretch>
                  </pic:blipFill>
                  <pic:spPr bwMode="auto">
                    <a:xfrm>
                      <a:off x="0" y="0"/>
                      <a:ext cx="2494915" cy="17145"/>
                    </a:xfrm>
                    <a:prstGeom prst="rect">
                      <a:avLst/>
                    </a:prstGeom>
                    <a:noFill/>
                  </pic:spPr>
                </pic:pic>
              </a:graphicData>
            </a:graphic>
          </wp:anchor>
        </w:drawing>
      </w:r>
    </w:p>
    <w:p>
      <w:pPr>
        <w:spacing w:after="0" w:line="3"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171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94" w:name="page195"/>
    <w:bookmarkEnd w:id="194"/>
    <w:p>
      <w:pPr>
        <w:jc w:val="center"/>
        <w:spacing w:after="0"/>
        <w:rPr>
          <w:sz w:val="20"/>
          <w:szCs w:val="20"/>
          <w:color w:val="auto"/>
        </w:rPr>
      </w:pPr>
      <w:r>
        <w:rPr>
          <w:rFonts w:ascii="Arial" w:cs="Arial" w:eastAsia="Arial" w:hAnsi="Arial"/>
          <w:sz w:val="18"/>
          <w:szCs w:val="18"/>
          <w:b w:val="1"/>
          <w:bCs w:val="1"/>
          <w:color w:val="auto"/>
        </w:rPr>
        <w:t>ASSIGNMENT FORM</w:t>
      </w:r>
    </w:p>
    <w:p>
      <w:pPr>
        <w:spacing w:after="0" w:line="229" w:lineRule="exact"/>
        <w:rPr>
          <w:sz w:val="20"/>
          <w:szCs w:val="20"/>
          <w:color w:val="auto"/>
        </w:rPr>
      </w:pPr>
    </w:p>
    <w:p>
      <w:pPr>
        <w:ind w:left="4140"/>
        <w:spacing w:after="0"/>
        <w:rPr>
          <w:sz w:val="20"/>
          <w:szCs w:val="20"/>
          <w:color w:val="auto"/>
        </w:rPr>
      </w:pPr>
      <w:r>
        <w:rPr>
          <w:rFonts w:ascii="Arial" w:cs="Arial" w:eastAsia="Arial" w:hAnsi="Arial"/>
          <w:sz w:val="18"/>
          <w:szCs w:val="18"/>
          <w:color w:val="auto"/>
        </w:rPr>
        <w:t>(To assign the foregoing warrant, execute</w:t>
      </w:r>
    </w:p>
    <w:p>
      <w:pPr>
        <w:spacing w:after="0" w:line="23" w:lineRule="exact"/>
        <w:rPr>
          <w:sz w:val="20"/>
          <w:szCs w:val="20"/>
          <w:color w:val="auto"/>
        </w:rPr>
      </w:pPr>
    </w:p>
    <w:p>
      <w:pPr>
        <w:ind w:left="4080"/>
        <w:spacing w:after="0"/>
        <w:rPr>
          <w:sz w:val="20"/>
          <w:szCs w:val="20"/>
          <w:color w:val="auto"/>
        </w:rPr>
      </w:pPr>
      <w:r>
        <w:rPr>
          <w:rFonts w:ascii="Arial" w:cs="Arial" w:eastAsia="Arial" w:hAnsi="Arial"/>
          <w:sz w:val="18"/>
          <w:szCs w:val="18"/>
          <w:color w:val="auto"/>
        </w:rPr>
        <w:t>this form and supply required information.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 not use this form to exercise the warrant.)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FOR VALUE RECEIVED, all of or shares of the foregoing Warrant and all rights evidenced thereby are hereby assigned to</w:t>
      </w:r>
    </w:p>
    <w:p>
      <w:pPr>
        <w:spacing w:after="0" w:line="225" w:lineRule="exact"/>
        <w:rPr>
          <w:sz w:val="20"/>
          <w:szCs w:val="20"/>
          <w:color w:val="auto"/>
        </w:rPr>
      </w:pPr>
    </w:p>
    <w:p>
      <w:pPr>
        <w:ind w:left="8540"/>
        <w:spacing w:after="0"/>
        <w:rPr>
          <w:sz w:val="20"/>
          <w:szCs w:val="20"/>
          <w:color w:val="auto"/>
        </w:rPr>
      </w:pPr>
      <w:r>
        <w:rPr>
          <w:rFonts w:ascii="Arial" w:cs="Arial" w:eastAsia="Arial" w:hAnsi="Arial"/>
          <w:sz w:val="18"/>
          <w:szCs w:val="18"/>
          <w:color w:val="auto"/>
        </w:rPr>
        <w:t>whose address 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5417820" cy="171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9">
                      <a:extLst>
                        <a:ext uri="{28A0092B-C50C-407E-A947-70E740481C1C}"/>
                      </a:extLst>
                    </a:blip>
                    <a:srcRect/>
                    <a:stretch>
                      <a:fillRect/>
                    </a:stretch>
                  </pic:blipFill>
                  <pic:spPr bwMode="auto">
                    <a:xfrm>
                      <a:off x="0" y="0"/>
                      <a:ext cx="54178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168910</wp:posOffset>
            </wp:positionV>
            <wp:extent cx="5417820" cy="171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00">
                      <a:extLst>
                        <a:ext uri="{28A0092B-C50C-407E-A947-70E740481C1C}"/>
                      </a:extLst>
                    </a:blip>
                    <a:srcRect/>
                    <a:stretch>
                      <a:fillRect/>
                    </a:stretch>
                  </pic:blipFill>
                  <pic:spPr bwMode="auto">
                    <a:xfrm>
                      <a:off x="0" y="0"/>
                      <a:ext cx="54178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323215</wp:posOffset>
            </wp:positionV>
            <wp:extent cx="5417820" cy="171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1">
                      <a:extLst>
                        <a:ext uri="{28A0092B-C50C-407E-A947-70E740481C1C}"/>
                      </a:extLst>
                    </a:blip>
                    <a:srcRect/>
                    <a:stretch>
                      <a:fillRect/>
                    </a:stretch>
                  </pic:blipFill>
                  <pic:spPr bwMode="auto">
                    <a:xfrm>
                      <a:off x="0" y="0"/>
                      <a:ext cx="54178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8640"/>
        <w:spacing w:after="0"/>
        <w:rPr>
          <w:sz w:val="20"/>
          <w:szCs w:val="20"/>
          <w:color w:val="auto"/>
        </w:rPr>
      </w:pPr>
      <w:r>
        <w:rPr>
          <w:rFonts w:ascii="Arial" w:cs="Arial" w:eastAsia="Arial" w:hAnsi="Arial"/>
          <w:sz w:val="16"/>
          <w:szCs w:val="16"/>
          <w:color w:val="auto"/>
        </w:rPr>
        <w:t>Dated: __________________, ____</w:t>
      </w:r>
    </w:p>
    <w:p>
      <w:pPr>
        <w:spacing w:after="0" w:line="248" w:lineRule="exact"/>
        <w:rPr>
          <w:sz w:val="20"/>
          <w:szCs w:val="20"/>
          <w:color w:val="auto"/>
        </w:rPr>
      </w:pPr>
    </w:p>
    <w:p>
      <w:pPr>
        <w:ind w:left="3940"/>
        <w:spacing w:after="0"/>
        <w:rPr>
          <w:sz w:val="20"/>
          <w:szCs w:val="20"/>
          <w:color w:val="auto"/>
        </w:rPr>
      </w:pPr>
      <w:r>
        <w:rPr>
          <w:rFonts w:ascii="Arial" w:cs="Arial" w:eastAsia="Arial" w:hAnsi="Arial"/>
          <w:sz w:val="18"/>
          <w:szCs w:val="18"/>
          <w:color w:val="auto"/>
        </w:rPr>
        <w:t>Holder’s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14605</wp:posOffset>
            </wp:positionV>
            <wp:extent cx="1997075" cy="171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2">
                      <a:extLst>
                        <a:ext uri="{28A0092B-C50C-407E-A947-70E740481C1C}"/>
                      </a:extLst>
                    </a:blip>
                    <a:srcRect/>
                    <a:stretch>
                      <a:fillRect/>
                    </a:stretch>
                  </pic:blipFill>
                  <pic:spPr bwMode="auto">
                    <a:xfrm>
                      <a:off x="0" y="0"/>
                      <a:ext cx="1997075" cy="17145"/>
                    </a:xfrm>
                    <a:prstGeom prst="rect">
                      <a:avLst/>
                    </a:prstGeom>
                    <a:noFill/>
                  </pic:spPr>
                </pic:pic>
              </a:graphicData>
            </a:graphic>
          </wp:anchor>
        </w:drawing>
      </w:r>
    </w:p>
    <w:p>
      <w:pPr>
        <w:spacing w:after="0" w:line="3" w:lineRule="exact"/>
        <w:rPr>
          <w:sz w:val="20"/>
          <w:szCs w:val="20"/>
          <w:color w:val="auto"/>
        </w:rPr>
      </w:pPr>
    </w:p>
    <w:p>
      <w:pPr>
        <w:ind w:left="3940"/>
        <w:spacing w:after="0"/>
        <w:rPr>
          <w:sz w:val="20"/>
          <w:szCs w:val="20"/>
          <w:color w:val="auto"/>
        </w:rPr>
      </w:pPr>
      <w:r>
        <w:rPr>
          <w:rFonts w:ascii="Arial" w:cs="Arial" w:eastAsia="Arial" w:hAnsi="Arial"/>
          <w:sz w:val="18"/>
          <w:szCs w:val="18"/>
          <w:color w:val="auto"/>
        </w:rPr>
        <w:t>Holder’s 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22860</wp:posOffset>
            </wp:positionV>
            <wp:extent cx="1997075" cy="171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3">
                      <a:extLst>
                        <a:ext uri="{28A0092B-C50C-407E-A947-70E740481C1C}"/>
                      </a:extLst>
                    </a:blip>
                    <a:srcRect/>
                    <a:stretch>
                      <a:fillRect/>
                    </a:stretch>
                  </pic:blipFill>
                  <pic:spPr bwMode="auto">
                    <a:xfrm>
                      <a:off x="0" y="0"/>
                      <a:ext cx="1997075" cy="17145"/>
                    </a:xfrm>
                    <a:prstGeom prst="rect">
                      <a:avLst/>
                    </a:prstGeom>
                    <a:noFill/>
                  </pic:spPr>
                </pic:pic>
              </a:graphicData>
            </a:graphic>
          </wp:anchor>
        </w:drawing>
        <w:drawing>
          <wp:anchor simplePos="0" relativeHeight="251657728" behindDoc="1" locked="0" layoutInCell="0" allowOverlap="1">
            <wp:simplePos x="0" y="0"/>
            <wp:positionH relativeFrom="column">
              <wp:posOffset>3571240</wp:posOffset>
            </wp:positionH>
            <wp:positionV relativeFrom="paragraph">
              <wp:posOffset>177165</wp:posOffset>
            </wp:positionV>
            <wp:extent cx="1997075" cy="171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4">
                      <a:extLst>
                        <a:ext uri="{28A0092B-C50C-407E-A947-70E740481C1C}"/>
                      </a:extLst>
                    </a:blip>
                    <a:srcRect/>
                    <a:stretch>
                      <a:fillRect/>
                    </a:stretch>
                  </pic:blipFill>
                  <pic:spPr bwMode="auto">
                    <a:xfrm>
                      <a:off x="0" y="0"/>
                      <a:ext cx="1997075" cy="17145"/>
                    </a:xfrm>
                    <a:prstGeom prst="rect">
                      <a:avLst/>
                    </a:prstGeom>
                    <a:noFill/>
                  </pic:spPr>
                </pic:pic>
              </a:graphicData>
            </a:graphic>
          </wp:anchor>
        </w:drawing>
      </w:r>
    </w:p>
    <w:p>
      <w:pPr>
        <w:spacing w:after="0" w:line="200" w:lineRule="exact"/>
        <w:rPr>
          <w:sz w:val="20"/>
          <w:szCs w:val="20"/>
          <w:color w:val="auto"/>
        </w:rPr>
      </w:pPr>
    </w:p>
    <w:p>
      <w:pPr>
        <w:spacing w:after="0" w:line="288"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NOTE: The signature to this Assignment Form must correspond with the name as it appears on the face of the Warrant, without alteration or enlargement or any change whatsoever.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391795</wp:posOffset>
            </wp:positionV>
            <wp:extent cx="7132320" cy="171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95" w:name="page196"/>
    <w:bookmarkEnd w:id="195"/>
    <w:p>
      <w:pPr>
        <w:jc w:val="right"/>
        <w:spacing w:after="0"/>
        <w:rPr>
          <w:sz w:val="20"/>
          <w:szCs w:val="20"/>
          <w:color w:val="auto"/>
        </w:rPr>
      </w:pPr>
      <w:r>
        <w:rPr>
          <w:rFonts w:ascii="Arial" w:cs="Arial" w:eastAsia="Arial" w:hAnsi="Arial"/>
          <w:sz w:val="18"/>
          <w:szCs w:val="18"/>
          <w:b w:val="1"/>
          <w:bCs w:val="1"/>
          <w:color w:val="auto"/>
        </w:rPr>
        <w:t>Exhibit 10.6</w:t>
      </w:r>
    </w:p>
    <w:p>
      <w:pPr>
        <w:spacing w:after="0" w:line="229" w:lineRule="exact"/>
        <w:rPr>
          <w:sz w:val="20"/>
          <w:szCs w:val="20"/>
          <w:color w:val="auto"/>
        </w:rPr>
      </w:pPr>
    </w:p>
    <w:p>
      <w:pPr>
        <w:ind w:left="9880"/>
        <w:spacing w:after="0"/>
        <w:rPr>
          <w:sz w:val="20"/>
          <w:szCs w:val="20"/>
          <w:color w:val="auto"/>
        </w:rPr>
      </w:pPr>
      <w:r>
        <w:rPr>
          <w:rFonts w:ascii="Arial" w:cs="Arial" w:eastAsia="Arial" w:hAnsi="Arial"/>
          <w:sz w:val="15"/>
          <w:szCs w:val="15"/>
          <w:b w:val="1"/>
          <w:bCs w:val="1"/>
          <w:i w:val="1"/>
          <w:iCs w:val="1"/>
          <w:color w:val="auto"/>
        </w:rPr>
        <w:t>Execution Version</w:t>
      </w:r>
    </w:p>
    <w:p>
      <w:pPr>
        <w:spacing w:after="0" w:line="256" w:lineRule="exact"/>
        <w:rPr>
          <w:sz w:val="20"/>
          <w:szCs w:val="20"/>
          <w:color w:val="auto"/>
        </w:rPr>
      </w:pPr>
    </w:p>
    <w:p>
      <w:pPr>
        <w:jc w:val="both"/>
        <w:spacing w:after="0" w:line="253" w:lineRule="auto"/>
        <w:rPr>
          <w:sz w:val="20"/>
          <w:szCs w:val="20"/>
          <w:color w:val="auto"/>
        </w:rPr>
      </w:pPr>
      <w:r>
        <w:rPr>
          <w:rFonts w:ascii="Arial" w:cs="Arial" w:eastAsia="Arial" w:hAnsi="Arial"/>
          <w:sz w:val="18"/>
          <w:szCs w:val="18"/>
          <w:b w:val="1"/>
          <w:bCs w:val="1"/>
          <w:color w:val="auto"/>
        </w:rPr>
        <w:t>NEITHER THIS WARRANT, NOR THE SECURITIES ISSUABLE UPON EXERCISE OF THIS WARRANT (COLLECTIVELY, THE “SECURITIES”), HAVE BEEN REGISTERED UNDER THE SECURITIES ACT OF 1933, AS AMENDED (THE “SECURITIES ACT”), OR UNDER ANY STATE SECURITIES OR BLUE SKY LAWS. THE SECURITIES ARE SUBJECT TO RESTRICTIONS ON TRANSFERABILITY AND RESALE AND MAY NOT BE OFFERED, FOR SALE, SOLD, PLEDGED, HYPOTHECATED OR OTHERWISE TRANSFERRED OR ASSIGNED EXCEPT AS PERMITTED UNDER THE SECURITIES ACT AND APPLICABLE STATE SECURITIES OR BLUE SKY LAWS, PURSUANT TO REGISTRATION OR QUALIFICATION OR EXEMPTION THEREFROM. INVESTORS SHOULD BE AWARE THAT THEY MAY BE REQUIRED TO BEAR THE FINANCIAL RISKS OF THIS INVESTMENT FOR AN INDEFINITE PERIOD OF TIME. THE COMPANY MAY REQUIRE AN OPINION OF COUNSEL IN FORM AND SUBSTANCE REASONABLY SATISFACTORY TO THE COMPANY TO THE EFFECT THAT ANY PROPOSED TRANSFER IS IN COMPLIANCE WITH THE SECURITIES ACT AND ANY APPLICABLE STATE SECURITIES OR BLUE SKY LAWS.</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PRESTO AUTOMATION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w:t>
      </w:r>
      <w:r>
        <w:rPr>
          <w:rFonts w:ascii="Arial" w:cs="Arial" w:eastAsia="Arial" w:hAnsi="Arial"/>
          <w:sz w:val="12"/>
          <w:szCs w:val="12"/>
          <w:b w:val="1"/>
          <w:bCs w:val="1"/>
          <w:color w:val="auto"/>
        </w:rPr>
        <w:t>arrant</w:t>
      </w:r>
      <w:r>
        <w:rPr>
          <w:rFonts w:ascii="Arial" w:cs="Arial" w:eastAsia="Arial" w:hAnsi="Arial"/>
          <w:sz w:val="18"/>
          <w:szCs w:val="18"/>
          <w:b w:val="1"/>
          <w:bCs w:val="1"/>
          <w:color w:val="auto"/>
        </w:rPr>
        <w:t xml:space="preserve"> T</w:t>
      </w:r>
      <w:r>
        <w:rPr>
          <w:rFonts w:ascii="Arial" w:cs="Arial" w:eastAsia="Arial" w:hAnsi="Arial"/>
          <w:sz w:val="12"/>
          <w:szCs w:val="12"/>
          <w:b w:val="1"/>
          <w:bCs w:val="1"/>
          <w:color w:val="auto"/>
        </w:rPr>
        <w:t>o</w:t>
      </w:r>
      <w:r>
        <w:rPr>
          <w:rFonts w:ascii="Arial" w:cs="Arial" w:eastAsia="Arial" w:hAnsi="Arial"/>
          <w:sz w:val="18"/>
          <w:szCs w:val="18"/>
          <w:b w:val="1"/>
          <w:bCs w:val="1"/>
          <w:color w:val="auto"/>
        </w:rPr>
        <w:t xml:space="preserve"> P</w:t>
      </w:r>
      <w:r>
        <w:rPr>
          <w:rFonts w:ascii="Arial" w:cs="Arial" w:eastAsia="Arial" w:hAnsi="Arial"/>
          <w:sz w:val="12"/>
          <w:szCs w:val="12"/>
          <w:b w:val="1"/>
          <w:bCs w:val="1"/>
          <w:color w:val="auto"/>
        </w:rPr>
        <w:t>urchase</w:t>
      </w:r>
      <w:r>
        <w:rPr>
          <w:rFonts w:ascii="Arial" w:cs="Arial" w:eastAsia="Arial" w:hAnsi="Arial"/>
          <w:sz w:val="18"/>
          <w:szCs w:val="18"/>
          <w:b w:val="1"/>
          <w:bCs w:val="1"/>
          <w:color w:val="auto"/>
        </w:rPr>
        <w:t xml:space="preserve"> C</w:t>
      </w:r>
      <w:r>
        <w:rPr>
          <w:rFonts w:ascii="Arial" w:cs="Arial" w:eastAsia="Arial" w:hAnsi="Arial"/>
          <w:sz w:val="12"/>
          <w:szCs w:val="12"/>
          <w:b w:val="1"/>
          <w:bCs w:val="1"/>
          <w:color w:val="auto"/>
        </w:rPr>
        <w:t>ommon</w:t>
      </w:r>
      <w:r>
        <w:rPr>
          <w:rFonts w:ascii="Arial" w:cs="Arial" w:eastAsia="Arial" w:hAnsi="Arial"/>
          <w:sz w:val="18"/>
          <w:szCs w:val="18"/>
          <w:b w:val="1"/>
          <w:bCs w:val="1"/>
          <w:color w:val="auto"/>
        </w:rPr>
        <w:t xml:space="preserve"> S</w:t>
      </w:r>
      <w:r>
        <w:rPr>
          <w:rFonts w:ascii="Arial" w:cs="Arial" w:eastAsia="Arial" w:hAnsi="Arial"/>
          <w:sz w:val="12"/>
          <w:szCs w:val="12"/>
          <w:b w:val="1"/>
          <w:bCs w:val="1"/>
          <w:color w:val="auto"/>
        </w:rPr>
        <w:t>tock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Warrant No.: 2023-6</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Number of Shares of Common Stock: 1,115,734</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Date of Issuance: May 22, 2023 (“</w:t>
      </w:r>
      <w:r>
        <w:rPr>
          <w:rFonts w:ascii="Arial" w:cs="Arial" w:eastAsia="Arial" w:hAnsi="Arial"/>
          <w:sz w:val="18"/>
          <w:szCs w:val="18"/>
          <w:b w:val="1"/>
          <w:bCs w:val="1"/>
          <w:color w:val="auto"/>
        </w:rPr>
        <w:t>Issuance Date</w:t>
      </w:r>
      <w:r>
        <w:rPr>
          <w:rFonts w:ascii="Arial" w:cs="Arial" w:eastAsia="Arial" w:hAnsi="Arial"/>
          <w:sz w:val="18"/>
          <w:szCs w:val="18"/>
          <w:color w:val="auto"/>
        </w:rPr>
        <w:t>”)</w:t>
      </w:r>
    </w:p>
    <w:p>
      <w:pPr>
        <w:spacing w:after="0" w:line="207" w:lineRule="exact"/>
        <w:rPr>
          <w:sz w:val="20"/>
          <w:szCs w:val="20"/>
          <w:color w:val="auto"/>
        </w:rPr>
      </w:pPr>
    </w:p>
    <w:p>
      <w:pPr>
        <w:jc w:val="both"/>
        <w:ind w:firstLine="1296"/>
        <w:spacing w:after="0" w:line="288" w:lineRule="auto"/>
        <w:rPr>
          <w:sz w:val="20"/>
          <w:szCs w:val="20"/>
          <w:color w:val="auto"/>
        </w:rPr>
      </w:pPr>
      <w:r>
        <w:rPr>
          <w:rFonts w:ascii="Arial" w:cs="Arial" w:eastAsia="Arial" w:hAnsi="Arial"/>
          <w:sz w:val="16"/>
          <w:szCs w:val="16"/>
          <w:color w:val="auto"/>
        </w:rPr>
        <w:t>Presto Automation Inc., a Delaware corporation (the “</w:t>
      </w:r>
      <w:r>
        <w:rPr>
          <w:rFonts w:ascii="Arial" w:cs="Arial" w:eastAsia="Arial" w:hAnsi="Arial"/>
          <w:sz w:val="16"/>
          <w:szCs w:val="16"/>
          <w:b w:val="1"/>
          <w:bCs w:val="1"/>
          <w:color w:val="auto"/>
        </w:rPr>
        <w:t>Company</w:t>
      </w:r>
      <w:r>
        <w:rPr>
          <w:rFonts w:ascii="Arial" w:cs="Arial" w:eastAsia="Arial" w:hAnsi="Arial"/>
          <w:sz w:val="16"/>
          <w:szCs w:val="16"/>
          <w:color w:val="auto"/>
        </w:rPr>
        <w:t>”), hereby certifies that, for good and valuable consideration, the receipt and sufficiency of which are hereby acknowledged, Metropolitan Partners Fund VII, LP, the registered holder hereof or its permitted assigns (the “</w:t>
      </w:r>
      <w:r>
        <w:rPr>
          <w:rFonts w:ascii="Arial" w:cs="Arial" w:eastAsia="Arial" w:hAnsi="Arial"/>
          <w:sz w:val="16"/>
          <w:szCs w:val="16"/>
          <w:b w:val="1"/>
          <w:bCs w:val="1"/>
          <w:color w:val="auto"/>
        </w:rPr>
        <w:t>Holder</w:t>
      </w:r>
      <w:r>
        <w:rPr>
          <w:rFonts w:ascii="Arial" w:cs="Arial" w:eastAsia="Arial" w:hAnsi="Arial"/>
          <w:sz w:val="16"/>
          <w:szCs w:val="16"/>
          <w:color w:val="auto"/>
        </w:rPr>
        <w:t>”), is entitled, subject to the terms set forth below, to purchase from the Company, at the Exercise Price (as defined below) then in effect, at any time or times on or after the Issuance Date, but not after 11:59 p.m., New York time, on the Expiration Date, (as defined below), 1,115,734 duly authorized, validly issued, fully paid, nonassessable shares of Common Stock, subject to adjustment as provided herein (the “</w:t>
      </w:r>
      <w:r>
        <w:rPr>
          <w:rFonts w:ascii="Arial" w:cs="Arial" w:eastAsia="Arial" w:hAnsi="Arial"/>
          <w:sz w:val="16"/>
          <w:szCs w:val="16"/>
          <w:b w:val="1"/>
          <w:bCs w:val="1"/>
          <w:color w:val="auto"/>
        </w:rPr>
        <w:t>Warrant Shares</w:t>
      </w:r>
      <w:r>
        <w:rPr>
          <w:rFonts w:ascii="Arial" w:cs="Arial" w:eastAsia="Arial" w:hAnsi="Arial"/>
          <w:sz w:val="16"/>
          <w:szCs w:val="16"/>
          <w:color w:val="auto"/>
        </w:rPr>
        <w:t>”). Except as otherwise defined herein, capitalized terms in this Warrant to Purchase Common Stock (including any Warrants to Purchase Common Stock issued in exchange, transfer or replacement hereof, this “</w:t>
      </w:r>
      <w:r>
        <w:rPr>
          <w:rFonts w:ascii="Arial" w:cs="Arial" w:eastAsia="Arial" w:hAnsi="Arial"/>
          <w:sz w:val="16"/>
          <w:szCs w:val="16"/>
          <w:b w:val="1"/>
          <w:bCs w:val="1"/>
          <w:color w:val="auto"/>
        </w:rPr>
        <w:t>Warrant</w:t>
      </w:r>
      <w:r>
        <w:rPr>
          <w:rFonts w:ascii="Arial" w:cs="Arial" w:eastAsia="Arial" w:hAnsi="Arial"/>
          <w:sz w:val="16"/>
          <w:szCs w:val="16"/>
          <w:color w:val="auto"/>
        </w:rPr>
        <w:t>”) shall have the meanings set forth in Section 18. This Warrant is being issued pursuant to Section 2 of that certain Second Amendment to Credit Agreement, dated May 22, 2023, among E La Carte, LLC, the Company and Metropolitan Partners Group Administration, LLC, as agent (the “</w:t>
      </w:r>
      <w:r>
        <w:rPr>
          <w:rFonts w:ascii="Arial" w:cs="Arial" w:eastAsia="Arial" w:hAnsi="Arial"/>
          <w:sz w:val="16"/>
          <w:szCs w:val="16"/>
          <w:b w:val="1"/>
          <w:bCs w:val="1"/>
          <w:color w:val="auto"/>
        </w:rPr>
        <w:t>Second Amendment</w:t>
      </w:r>
      <w:r>
        <w:rPr>
          <w:rFonts w:ascii="Arial" w:cs="Arial" w:eastAsia="Arial" w:hAnsi="Arial"/>
          <w:sz w:val="16"/>
          <w:szCs w:val="16"/>
          <w:color w:val="auto"/>
        </w:rPr>
        <w:t>”), and to Section 5 of that certain Second Amended and Restated Fee Letter, dated May 22, 2023, among E La Carte, LLC, the Company and Metropolitan Partners Group Administration (the “</w:t>
      </w:r>
      <w:r>
        <w:rPr>
          <w:rFonts w:ascii="Arial" w:cs="Arial" w:eastAsia="Arial" w:hAnsi="Arial"/>
          <w:sz w:val="16"/>
          <w:szCs w:val="16"/>
          <w:b w:val="1"/>
          <w:bCs w:val="1"/>
          <w:color w:val="auto"/>
        </w:rPr>
        <w:t>Fee Letter</w:t>
      </w:r>
      <w:r>
        <w:rPr>
          <w:rFonts w:ascii="Arial" w:cs="Arial" w:eastAsia="Arial" w:hAnsi="Arial"/>
          <w:sz w:val="16"/>
          <w:szCs w:val="16"/>
          <w:color w:val="auto"/>
        </w:rPr>
        <w:t>”). Capitalized terms used herein and not otherwise defined shall have the definitions ascribed to such terms in the Credit Agreement (as defined in the Fee Letter).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252730</wp:posOffset>
            </wp:positionV>
            <wp:extent cx="7132320" cy="171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6" w:name="page197"/>
    <w:bookmarkEnd w:id="196"/>
    <w:p>
      <w:pPr>
        <w:ind w:left="1480" w:hanging="176"/>
        <w:spacing w:after="0"/>
        <w:tabs>
          <w:tab w:leader="none" w:pos="1480" w:val="left"/>
        </w:tabs>
        <w:numPr>
          <w:ilvl w:val="1"/>
          <w:numId w:val="191"/>
        </w:numPr>
        <w:rPr>
          <w:rFonts w:ascii="Arial" w:cs="Arial" w:eastAsia="Arial" w:hAnsi="Arial"/>
          <w:sz w:val="18"/>
          <w:szCs w:val="18"/>
          <w:color w:val="auto"/>
        </w:rPr>
      </w:pPr>
      <w:r>
        <w:rPr>
          <w:rFonts w:ascii="Arial" w:cs="Arial" w:eastAsia="Arial" w:hAnsi="Arial"/>
          <w:sz w:val="18"/>
          <w:szCs w:val="18"/>
          <w:color w:val="auto"/>
        </w:rPr>
        <w:t>EXERCISE OF WARRANT.</w:t>
      </w:r>
    </w:p>
    <w:p>
      <w:pPr>
        <w:spacing w:after="0" w:line="225" w:lineRule="exact"/>
        <w:rPr>
          <w:rFonts w:ascii="Arial" w:cs="Arial" w:eastAsia="Arial" w:hAnsi="Arial"/>
          <w:sz w:val="18"/>
          <w:szCs w:val="18"/>
          <w:color w:val="auto"/>
        </w:rPr>
      </w:pPr>
    </w:p>
    <w:p>
      <w:pPr>
        <w:jc w:val="both"/>
        <w:ind w:firstLine="1952"/>
        <w:spacing w:after="0" w:line="282" w:lineRule="auto"/>
        <w:tabs>
          <w:tab w:leader="none" w:pos="2198" w:val="left"/>
        </w:tabs>
        <w:numPr>
          <w:ilvl w:val="2"/>
          <w:numId w:val="191"/>
        </w:numPr>
        <w:rPr>
          <w:rFonts w:ascii="Arial" w:cs="Arial" w:eastAsia="Arial" w:hAnsi="Arial"/>
          <w:sz w:val="16"/>
          <w:szCs w:val="16"/>
          <w:color w:val="auto"/>
        </w:rPr>
      </w:pPr>
      <w:r>
        <w:rPr>
          <w:rFonts w:ascii="Arial" w:cs="Arial" w:eastAsia="Arial" w:hAnsi="Arial"/>
          <w:sz w:val="16"/>
          <w:szCs w:val="16"/>
          <w:u w:val="single" w:color="auto"/>
          <w:color w:val="auto"/>
        </w:rPr>
        <w:t>Mechanics of Exercise</w:t>
      </w:r>
      <w:r>
        <w:rPr>
          <w:rFonts w:ascii="Arial" w:cs="Arial" w:eastAsia="Arial" w:hAnsi="Arial"/>
          <w:sz w:val="16"/>
          <w:szCs w:val="16"/>
          <w:color w:val="auto"/>
        </w:rPr>
        <w:t xml:space="preserve">. Subject to the terms and conditions hereof (including, without limitation, the limitations set forth in Section 1(f)), this Warrant may be exercised by the Holder at any time or times on or after the Issuance Date, in whole or in part, by (i) delivery (whether via facsimile or otherwise) of a written notice, in the form attached hereto as </w:t>
      </w:r>
      <w:r>
        <w:rPr>
          <w:rFonts w:ascii="Arial" w:cs="Arial" w:eastAsia="Arial" w:hAnsi="Arial"/>
          <w:sz w:val="16"/>
          <w:szCs w:val="16"/>
          <w:u w:val="single" w:color="auto"/>
          <w:color w:val="auto"/>
        </w:rPr>
        <w:t>Exhibit A</w:t>
      </w:r>
      <w:r>
        <w:rPr>
          <w:rFonts w:ascii="Arial" w:cs="Arial" w:eastAsia="Arial" w:hAnsi="Arial"/>
          <w:sz w:val="16"/>
          <w:szCs w:val="16"/>
          <w:color w:val="auto"/>
        </w:rPr>
        <w:t xml:space="preserve"> (the “</w:t>
      </w:r>
      <w:r>
        <w:rPr>
          <w:rFonts w:ascii="Arial" w:cs="Arial" w:eastAsia="Arial" w:hAnsi="Arial"/>
          <w:sz w:val="16"/>
          <w:szCs w:val="16"/>
          <w:b w:val="1"/>
          <w:bCs w:val="1"/>
          <w:color w:val="auto"/>
        </w:rPr>
        <w:t>Exercise Notice</w:t>
      </w:r>
      <w:r>
        <w:rPr>
          <w:rFonts w:ascii="Arial" w:cs="Arial" w:eastAsia="Arial" w:hAnsi="Arial"/>
          <w:sz w:val="16"/>
          <w:szCs w:val="16"/>
          <w:color w:val="auto"/>
        </w:rPr>
        <w:t>”), of the Holder’s election to exercise this Warrant and (ii) (A) payment to the Company of an amount equal to the applicable Exercise Price multiplied by the number of Warrant Shares as to which this Warrant is being exercised (the “</w:t>
      </w:r>
      <w:r>
        <w:rPr>
          <w:rFonts w:ascii="Arial" w:cs="Arial" w:eastAsia="Arial" w:hAnsi="Arial"/>
          <w:sz w:val="16"/>
          <w:szCs w:val="16"/>
          <w:b w:val="1"/>
          <w:bCs w:val="1"/>
          <w:color w:val="auto"/>
        </w:rPr>
        <w:t>Aggregate Exercise Price</w:t>
      </w:r>
      <w:r>
        <w:rPr>
          <w:rFonts w:ascii="Arial" w:cs="Arial" w:eastAsia="Arial" w:hAnsi="Arial"/>
          <w:sz w:val="16"/>
          <w:szCs w:val="16"/>
          <w:color w:val="auto"/>
        </w:rPr>
        <w:t xml:space="preserve">”) in cash by wire transfer of immediately available funds or (B) if the provisions of Section 1(d) are applicable, by notifying the Company that this Warrant is being exercised pursuant to a Cashless Exercise. The Holder shall not be required to physically surrender this Warrant to the Company until the Holder has purchased all of the Warrant Shares available hereunder and the Warrant has been exercised in full, in which case the Holder shall surrender this Warrant to the Company for cancellation within three (3) Trading Days after the date the Warrant Shares which are the subject of the Exercise Notice being delivered to the Holder. Partial exercises of this Warrant resulting in purchases of a portion of the total number of Warrant Shares available hereunder shall have the effect of lowering the outstanding number of Warrant Shares purchasable hereunder in an amount equal to the applicable number of Warrant Shares purchased. The Holder and the Company shall maintain records showing the number of Warrant Shares purchased and the date of such purchases. </w:t>
      </w:r>
      <w:r>
        <w:rPr>
          <w:rFonts w:ascii="Arial" w:cs="Arial" w:eastAsia="Arial" w:hAnsi="Arial"/>
          <w:sz w:val="16"/>
          <w:szCs w:val="16"/>
          <w:b w:val="1"/>
          <w:bCs w:val="1"/>
          <w:color w:val="auto"/>
        </w:rPr>
        <w:t>The Holder and any assignee, by acceptance of this Warrant, acknowledge and</w:t>
      </w:r>
      <w:r>
        <w:rPr>
          <w:rFonts w:ascii="Arial" w:cs="Arial" w:eastAsia="Arial" w:hAnsi="Arial"/>
          <w:sz w:val="16"/>
          <w:szCs w:val="16"/>
          <w:color w:val="auto"/>
        </w:rPr>
        <w:t xml:space="preserve"> </w:t>
      </w:r>
      <w:r>
        <w:rPr>
          <w:rFonts w:ascii="Arial" w:cs="Arial" w:eastAsia="Arial" w:hAnsi="Arial"/>
          <w:sz w:val="16"/>
          <w:szCs w:val="16"/>
          <w:b w:val="1"/>
          <w:bCs w:val="1"/>
          <w:color w:val="auto"/>
        </w:rPr>
        <w:t xml:space="preserve">agree that, by reason of the provisions of this paragraph, following the purchase of a portion of the Warrant Shares hereunder, the number of Warrant Shares available for purchase hereunder at any given time may be less than the amount stated on the face hereof. </w:t>
      </w:r>
      <w:r>
        <w:rPr>
          <w:rFonts w:ascii="Arial" w:cs="Arial" w:eastAsia="Arial" w:hAnsi="Arial"/>
          <w:sz w:val="16"/>
          <w:szCs w:val="16"/>
          <w:color w:val="auto"/>
        </w:rPr>
        <w:t>On or before the third</w:t>
      </w:r>
      <w:r>
        <w:rPr>
          <w:rFonts w:ascii="Arial" w:cs="Arial" w:eastAsia="Arial" w:hAnsi="Arial"/>
          <w:sz w:val="16"/>
          <w:szCs w:val="16"/>
          <w:b w:val="1"/>
          <w:bCs w:val="1"/>
          <w:color w:val="auto"/>
        </w:rPr>
        <w:t xml:space="preserve"> </w:t>
      </w:r>
      <w:r>
        <w:rPr>
          <w:rFonts w:ascii="Arial" w:cs="Arial" w:eastAsia="Arial" w:hAnsi="Arial"/>
          <w:sz w:val="16"/>
          <w:szCs w:val="16"/>
          <w:color w:val="auto"/>
        </w:rPr>
        <w:t>(3rd) Trading Day following the date on which the Company has received the Exercise Notice (the “</w:t>
      </w:r>
      <w:r>
        <w:rPr>
          <w:rFonts w:ascii="Arial" w:cs="Arial" w:eastAsia="Arial" w:hAnsi="Arial"/>
          <w:sz w:val="16"/>
          <w:szCs w:val="16"/>
          <w:b w:val="1"/>
          <w:bCs w:val="1"/>
          <w:color w:val="auto"/>
        </w:rPr>
        <w:t>Share Delivery Date</w:t>
      </w:r>
      <w:r>
        <w:rPr>
          <w:rFonts w:ascii="Arial" w:cs="Arial" w:eastAsia="Arial" w:hAnsi="Arial"/>
          <w:sz w:val="16"/>
          <w:szCs w:val="16"/>
          <w:color w:val="auto"/>
        </w:rPr>
        <w:t>”), so long as the Holder delivers the Aggregate Exercise Price (or notice of a Cashless Exercise) on or prior to the second (2nd) Trading Day following the date on which the Company has received the Exercise Notice (provided that if the Aggregate Exercise Price (or notice of a Cashless Exercise) has not been delivered by such date, the Share Delivery Date shall be extended one (1) Trading Day after the Aggregate Exercise Price (or notice of a Cashless Exercise) is delivered), the Company shall</w:t>
      </w:r>
    </w:p>
    <w:p>
      <w:pPr>
        <w:spacing w:after="0" w:line="11" w:lineRule="exact"/>
        <w:rPr>
          <w:rFonts w:ascii="Arial" w:cs="Arial" w:eastAsia="Arial" w:hAnsi="Arial"/>
          <w:sz w:val="16"/>
          <w:szCs w:val="16"/>
          <w:color w:val="auto"/>
        </w:rPr>
      </w:pPr>
    </w:p>
    <w:p>
      <w:pPr>
        <w:jc w:val="both"/>
        <w:ind w:firstLine="8"/>
        <w:spacing w:after="0" w:line="283" w:lineRule="auto"/>
        <w:tabs>
          <w:tab w:leader="none" w:pos="299" w:val="left"/>
        </w:tabs>
        <w:numPr>
          <w:ilvl w:val="0"/>
          <w:numId w:val="192"/>
        </w:numPr>
        <w:rPr>
          <w:rFonts w:ascii="Arial" w:cs="Arial" w:eastAsia="Arial" w:hAnsi="Arial"/>
          <w:sz w:val="16"/>
          <w:szCs w:val="16"/>
          <w:color w:val="auto"/>
        </w:rPr>
      </w:pPr>
      <w:r>
        <w:rPr>
          <w:rFonts w:ascii="Arial" w:cs="Arial" w:eastAsia="Arial" w:hAnsi="Arial"/>
          <w:sz w:val="16"/>
          <w:szCs w:val="16"/>
          <w:color w:val="auto"/>
        </w:rPr>
        <w:t>provided that the Company’s transfer agent (“</w:t>
      </w:r>
      <w:r>
        <w:rPr>
          <w:rFonts w:ascii="Arial" w:cs="Arial" w:eastAsia="Arial" w:hAnsi="Arial"/>
          <w:sz w:val="16"/>
          <w:szCs w:val="16"/>
          <w:b w:val="1"/>
          <w:bCs w:val="1"/>
          <w:color w:val="auto"/>
        </w:rPr>
        <w:t>Transfer Agent</w:t>
      </w:r>
      <w:r>
        <w:rPr>
          <w:rFonts w:ascii="Arial" w:cs="Arial" w:eastAsia="Arial" w:hAnsi="Arial"/>
          <w:sz w:val="16"/>
          <w:szCs w:val="16"/>
          <w:color w:val="auto"/>
        </w:rPr>
        <w:t>”) is participating in The Depository Trust Company (“</w:t>
      </w:r>
      <w:r>
        <w:rPr>
          <w:rFonts w:ascii="Arial" w:cs="Arial" w:eastAsia="Arial" w:hAnsi="Arial"/>
          <w:sz w:val="16"/>
          <w:szCs w:val="16"/>
          <w:b w:val="1"/>
          <w:bCs w:val="1"/>
          <w:color w:val="auto"/>
        </w:rPr>
        <w:t>DTC</w:t>
      </w:r>
      <w:r>
        <w:rPr>
          <w:rFonts w:ascii="Arial" w:cs="Arial" w:eastAsia="Arial" w:hAnsi="Arial"/>
          <w:sz w:val="16"/>
          <w:szCs w:val="16"/>
          <w:color w:val="auto"/>
        </w:rPr>
        <w:t>”) Fast Automated Securities Transfer Program (“</w:t>
      </w:r>
      <w:r>
        <w:rPr>
          <w:rFonts w:ascii="Arial" w:cs="Arial" w:eastAsia="Arial" w:hAnsi="Arial"/>
          <w:sz w:val="16"/>
          <w:szCs w:val="16"/>
          <w:b w:val="1"/>
          <w:bCs w:val="1"/>
          <w:color w:val="auto"/>
        </w:rPr>
        <w:t>FAST</w:t>
      </w:r>
      <w:r>
        <w:rPr>
          <w:rFonts w:ascii="Arial" w:cs="Arial" w:eastAsia="Arial" w:hAnsi="Arial"/>
          <w:sz w:val="16"/>
          <w:szCs w:val="16"/>
          <w:color w:val="auto"/>
        </w:rPr>
        <w:t>”) and the Warrant Shares are eligible to be issued without a restrictive legend, credit such aggregate number of Warrant Shares to which the Holder is entitled pursuant to such exercise to the Holder’s or its designee’s balance account with DTC through its Deposit/Withdrawal At Custodian system, or (Y) if the Transfer Agent is not participating in FAST or the Warrant Shares are not eligible to be issued without a restrictive legend, issue and dispatch by overnight courier to the address as specified in the Exercise Notice, a certificate, registered in the Company’s share register in the name of the Holder or its designee, for the number of Warrant Shares to which the Holder is entitled pursuant to such exercise. The Company shall be responsible for all fees and expenses of the Transfer Agent and all fees and expenses with respect to the issuance of Warrant Shares via DTC, if any. Upon delivery of the Exercise Notice and the Aggregate Exercise Price (or notice of a Cashless Exercise), the Holder shall be deemed for all corporate purposes to have become the holder of record of the Warrant Shares with respect to which this Warrant has been exercised, irrespective of the date such Warrant Shares are credited to the Holder’s DTC account or the date of delivery of the certificates evidencing such Warrant Shares, as the case may be. If this Warrant is submitted in connection with any exercise pursuant to this Section 1(a) and the number of Warrant Shares represented by this Warrant submitted for exercise is greater than the number of Warrant Shares being acquired upon an exercise, then the Company shall as soon as reasonably practicable and in no event later than three (3) Trading Days after any exercise and at its own expense, issue a new Warrant (in accordance with Section 1(d)) representing the right to purchase the number of Warrant Shares issuable immediately prior to such exercise under this Warrant, less the number of Warrant Shares with respect to which this Warrant is exercised upon surrender of the Warrant so exercised. No fractional Warrant Shares are to be issued upon the exercise of this Warrant, but rather the number of Warrant Shares to be issued shall be rounded down to the nearest whole number. The Company shall pay any and all transfer, stamp, issuance and similar taxes (but not any United States federal, state or local income taxes) that may be payable with respect to the issuance and delivery of Warrant Shares upon exercise of this Warrant. The Company’s obligations to issue and deliver Warrant Shares in accordance with the terms and subject to the conditions hereof are absolute and unconditional, irrespective of any action or inaction by the Holder to enforce the same, any waiver or consent with respect to any provision hereof, the recovery of any judgment against any Person or any action to enforce the same, or any setoff, counterclaim, recoupment, limitation or termination.</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97" w:name="page198"/>
    <w:bookmarkEnd w:id="197"/>
    <w:p>
      <w:pPr>
        <w:ind w:left="2200" w:hanging="248"/>
        <w:spacing w:after="0"/>
        <w:tabs>
          <w:tab w:leader="none" w:pos="2200" w:val="left"/>
        </w:tabs>
        <w:numPr>
          <w:ilvl w:val="0"/>
          <w:numId w:val="193"/>
        </w:numPr>
        <w:rPr>
          <w:rFonts w:ascii="Arial" w:cs="Arial" w:eastAsia="Arial" w:hAnsi="Arial"/>
          <w:sz w:val="17"/>
          <w:szCs w:val="17"/>
          <w:color w:val="auto"/>
        </w:rPr>
      </w:pPr>
      <w:r>
        <w:rPr>
          <w:rFonts w:ascii="Arial" w:cs="Arial" w:eastAsia="Arial" w:hAnsi="Arial"/>
          <w:sz w:val="17"/>
          <w:szCs w:val="17"/>
          <w:u w:val="single" w:color="auto"/>
          <w:color w:val="auto"/>
        </w:rPr>
        <w:t>Exercise Price</w:t>
      </w:r>
      <w:r>
        <w:rPr>
          <w:rFonts w:ascii="Arial" w:cs="Arial" w:eastAsia="Arial" w:hAnsi="Arial"/>
          <w:sz w:val="17"/>
          <w:szCs w:val="17"/>
          <w:color w:val="auto"/>
        </w:rPr>
        <w:t>. For purposes of this Warrant, “</w:t>
      </w:r>
      <w:r>
        <w:rPr>
          <w:rFonts w:ascii="Arial" w:cs="Arial" w:eastAsia="Arial" w:hAnsi="Arial"/>
          <w:sz w:val="17"/>
          <w:szCs w:val="17"/>
          <w:b w:val="1"/>
          <w:bCs w:val="1"/>
          <w:color w:val="auto"/>
        </w:rPr>
        <w:t>Exercise Price</w:t>
      </w:r>
      <w:r>
        <w:rPr>
          <w:rFonts w:ascii="Arial" w:cs="Arial" w:eastAsia="Arial" w:hAnsi="Arial"/>
          <w:sz w:val="17"/>
          <w:szCs w:val="17"/>
          <w:color w:val="auto"/>
        </w:rPr>
        <w:t>” means $0.01, subject to adjustment as provided herein.</w:t>
      </w:r>
    </w:p>
    <w:p>
      <w:pPr>
        <w:spacing w:after="0" w:line="240" w:lineRule="exact"/>
        <w:rPr>
          <w:rFonts w:ascii="Arial" w:cs="Arial" w:eastAsia="Arial" w:hAnsi="Arial"/>
          <w:sz w:val="17"/>
          <w:szCs w:val="17"/>
          <w:color w:val="auto"/>
        </w:rPr>
      </w:pPr>
    </w:p>
    <w:p>
      <w:pPr>
        <w:jc w:val="both"/>
        <w:ind w:firstLine="1952"/>
        <w:spacing w:after="0" w:line="283" w:lineRule="auto"/>
        <w:tabs>
          <w:tab w:leader="none" w:pos="2192" w:val="left"/>
        </w:tabs>
        <w:numPr>
          <w:ilvl w:val="0"/>
          <w:numId w:val="193"/>
        </w:numPr>
        <w:rPr>
          <w:rFonts w:ascii="Arial" w:cs="Arial" w:eastAsia="Arial" w:hAnsi="Arial"/>
          <w:sz w:val="16"/>
          <w:szCs w:val="16"/>
          <w:color w:val="auto"/>
        </w:rPr>
      </w:pPr>
      <w:r>
        <w:rPr>
          <w:rFonts w:ascii="Arial" w:cs="Arial" w:eastAsia="Arial" w:hAnsi="Arial"/>
          <w:sz w:val="16"/>
          <w:szCs w:val="16"/>
          <w:u w:val="single" w:color="auto"/>
          <w:color w:val="auto"/>
        </w:rPr>
        <w:t>Company’s Failure to Timely Deliver Securities</w:t>
      </w:r>
      <w:r>
        <w:rPr>
          <w:rFonts w:ascii="Arial" w:cs="Arial" w:eastAsia="Arial" w:hAnsi="Arial"/>
          <w:sz w:val="16"/>
          <w:szCs w:val="16"/>
          <w:color w:val="auto"/>
        </w:rPr>
        <w:t>. If the Company shall fail, for any reason or for no reason, on or prior to the Share Delivery Date, if the Transfer Agent is not participating in FAST or such shares of Common Stock may not be issued without legends under the Securities Act, to issue and deliver to the Holder (or its designee) a certificate for the number of Warrant Shares to which the Holder is entitled and register such Warrant Shares on the Company’s share register or, if the Transfer Agent is participating in FAST and such shares of Common Stock may not be issued without legends under the Securities Act, to credit the balance account of the Holder or the Holder’s designee with DTC for such number of Warrant Shares to which the Holder is entitled upon the Holder’s exercise of this Warrant (as the case may be) (a “</w:t>
      </w:r>
      <w:r>
        <w:rPr>
          <w:rFonts w:ascii="Arial" w:cs="Arial" w:eastAsia="Arial" w:hAnsi="Arial"/>
          <w:sz w:val="16"/>
          <w:szCs w:val="16"/>
          <w:b w:val="1"/>
          <w:bCs w:val="1"/>
          <w:color w:val="auto"/>
        </w:rPr>
        <w:t>Delivery Failure</w:t>
      </w:r>
      <w:r>
        <w:rPr>
          <w:rFonts w:ascii="Arial" w:cs="Arial" w:eastAsia="Arial" w:hAnsi="Arial"/>
          <w:sz w:val="16"/>
          <w:szCs w:val="16"/>
          <w:color w:val="auto"/>
        </w:rPr>
        <w:t>”), then, in addition to all other remedies available to the Holder, (X) the Company shall pay in cash to the Holder on each day after the Share Delivery Date and during such Delivery Failure an amount in cash, as liquidated damages and not as a penalty, equal to 2.0% of the product of (A) the sum of the number of shares of Common Stock not issued to the Holder on or prior to the Share Delivery Date and to which the Holder is entitled, and (B) any trading price of the Common Stock selected by the Holder in writing as in effect at any time during the period beginning on the applicable exercise date and ending on the applicable Share Delivery Date, and (Y) the Holder, upon written notice to the Company, may void its Exercise Notice with respect to, and retain or have returned, as the case may be, any portion of this Warrant that has not been exercised pursuant to such Exercise Notice; provided that the voiding of an Exercise Notice shall not affect the Company’s obligations to make any payments which have accrued prior to the date of such notice pursuant to this Section 1(c) or otherwise. In addition to the foregoing, if on or after such Share Delivery Date the Holder purchases (in an open market transaction or otherwise) shares of Common Stock to deliver in satisfaction of a sale by the Holder of all or any portion of the number of shares of Common Stock issuable upon such exercise that the Holder is entitled to receive from the Company (a “</w:t>
      </w:r>
      <w:r>
        <w:rPr>
          <w:rFonts w:ascii="Arial" w:cs="Arial" w:eastAsia="Arial" w:hAnsi="Arial"/>
          <w:sz w:val="16"/>
          <w:szCs w:val="16"/>
          <w:b w:val="1"/>
          <w:bCs w:val="1"/>
          <w:color w:val="auto"/>
        </w:rPr>
        <w:t>Buy-In</w:t>
      </w:r>
      <w:r>
        <w:rPr>
          <w:rFonts w:ascii="Arial" w:cs="Arial" w:eastAsia="Arial" w:hAnsi="Arial"/>
          <w:sz w:val="16"/>
          <w:szCs w:val="16"/>
          <w:color w:val="auto"/>
        </w:rPr>
        <w:t>”), then, in addition to all other remedies available to the Holder, the Company shall, within three (3) Business Days after the Holder’s request and in the Holder’s discretion, either (i) pay cash to the Holder in an amount equal to the Holder’s total purchase price (including brokerage commissions and other out-of-pocket expenses, if any) for the shares of Common Stock so purchased (including, without limitation, by any other Person in respect, or on behalf, of the Holder) (the “</w:t>
      </w:r>
      <w:r>
        <w:rPr>
          <w:rFonts w:ascii="Arial" w:cs="Arial" w:eastAsia="Arial" w:hAnsi="Arial"/>
          <w:sz w:val="16"/>
          <w:szCs w:val="16"/>
          <w:b w:val="1"/>
          <w:bCs w:val="1"/>
          <w:color w:val="auto"/>
        </w:rPr>
        <w:t>Buy-In Price</w:t>
      </w:r>
      <w:r>
        <w:rPr>
          <w:rFonts w:ascii="Arial" w:cs="Arial" w:eastAsia="Arial" w:hAnsi="Arial"/>
          <w:sz w:val="16"/>
          <w:szCs w:val="16"/>
          <w:color w:val="auto"/>
        </w:rPr>
        <w:t>”), at which point the Company’s obligation to so issue and deliver such certificate (and to issue such shares of Common Stock) or credit the balance account of such Holder or such Holder’s designee, as applicable, with DTC for the number of Warrant Shares to which the Holder is entitled upon the Holder’s exercise hereunder (as the case may be) (and to issue such Warrant Shares) shall terminate, or (ii) promptly honor its obligation to so issue and deliver to the Holder a certificate or certificates representing such Warrant Shares or credit the balance account of such Holder or such Holder’s designee, as applicable, with DTC for the number of Warrant Shares to which the Holder is entitled upon the Holder’s exercise hereunder (as the case may be) and pay cash to the Holder in an amount equal to the excess (if any) of the Buy-In Price over the product of (A) such number of Warrant Shares multiplied by (B) the Closing Sale Price of the Common Stock on the Share Delivery Date with respect to the related Exercise Notice (the “</w:t>
      </w:r>
      <w:r>
        <w:rPr>
          <w:rFonts w:ascii="Arial" w:cs="Arial" w:eastAsia="Arial" w:hAnsi="Arial"/>
          <w:sz w:val="16"/>
          <w:szCs w:val="16"/>
          <w:b w:val="1"/>
          <w:bCs w:val="1"/>
          <w:color w:val="auto"/>
        </w:rPr>
        <w:t>Buy-In Payment Amount</w:t>
      </w:r>
      <w:r>
        <w:rPr>
          <w:rFonts w:ascii="Arial" w:cs="Arial" w:eastAsia="Arial" w:hAnsi="Arial"/>
          <w:sz w:val="16"/>
          <w:szCs w:val="16"/>
          <w:color w:val="auto"/>
        </w:rPr>
        <w:t>”). The Holder shall provide the Company written notice indicating the amounts payable to the Holder in respect of the Buy-In and, upon request of the Company, evidence of the amount of such loss. Nothing shall limit the Holder’s right to pursue any other remedies available to it hereunder, at law or in equity, including, without limitation, a decree of specific performance and/or injunctive relief with respect to the Company’s failure to timely deliver certificates representing shares of Common Stock (or to electronically deliver such shares of Common Stock) upon the exercise of this Warrant as required pursuant to the terms hereof.</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98" w:name="page199"/>
    <w:bookmarkEnd w:id="198"/>
    <w:p>
      <w:pPr>
        <w:jc w:val="both"/>
        <w:ind w:firstLine="1952"/>
        <w:spacing w:after="0" w:line="257" w:lineRule="auto"/>
        <w:tabs>
          <w:tab w:leader="none" w:pos="2218" w:val="left"/>
        </w:tabs>
        <w:numPr>
          <w:ilvl w:val="0"/>
          <w:numId w:val="194"/>
        </w:numPr>
        <w:rPr>
          <w:rFonts w:ascii="Arial" w:cs="Arial" w:eastAsia="Arial" w:hAnsi="Arial"/>
          <w:sz w:val="18"/>
          <w:szCs w:val="18"/>
          <w:color w:val="auto"/>
        </w:rPr>
      </w:pPr>
      <w:r>
        <w:rPr>
          <w:rFonts w:ascii="Arial" w:cs="Arial" w:eastAsia="Arial" w:hAnsi="Arial"/>
          <w:sz w:val="18"/>
          <w:szCs w:val="18"/>
          <w:u w:val="single" w:color="auto"/>
          <w:color w:val="auto"/>
        </w:rPr>
        <w:t>Cashless Exercise</w:t>
      </w:r>
      <w:r>
        <w:rPr>
          <w:rFonts w:ascii="Arial" w:cs="Arial" w:eastAsia="Arial" w:hAnsi="Arial"/>
          <w:sz w:val="18"/>
          <w:szCs w:val="18"/>
          <w:color w:val="auto"/>
        </w:rPr>
        <w:t>. Notwithstanding anything contained herein to the contrary (other than Section 1(f) below), the Holder may, in its sole discretion (and without limiting the Holder’s rights and remedies contained herein), exercise this Warrant in whole or in part and, subject to the provisions of Section 1(a), in lieu of making the cash payment otherwise contemplated to be made to the Company upon such exercise in payment of the Aggregate Exercise Price, elect instead to receive upon such exercise the “Net Number” of Warrant Shares determined according to the following formula:</w:t>
      </w:r>
    </w:p>
    <w:p>
      <w:pPr>
        <w:spacing w:after="0" w:line="188"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 xml:space="preserve">Net Number = </w:t>
      </w:r>
      <w:r>
        <w:rPr>
          <w:rFonts w:ascii="Arial" w:cs="Arial" w:eastAsia="Arial" w:hAnsi="Arial"/>
          <w:sz w:val="18"/>
          <w:szCs w:val="18"/>
          <w:u w:val="single" w:color="auto"/>
          <w:color w:val="auto"/>
        </w:rPr>
        <w:t>(A x B) - (A x C)</w:t>
      </w:r>
    </w:p>
    <w:p>
      <w:pPr>
        <w:spacing w:after="0" w:line="23" w:lineRule="exact"/>
        <w:rPr>
          <w:sz w:val="20"/>
          <w:szCs w:val="20"/>
          <w:color w:val="auto"/>
        </w:rPr>
      </w:pPr>
    </w:p>
    <w:p>
      <w:pPr>
        <w:ind w:left="3300"/>
        <w:spacing w:after="0"/>
        <w:rPr>
          <w:sz w:val="20"/>
          <w:szCs w:val="20"/>
          <w:color w:val="auto"/>
        </w:rPr>
      </w:pPr>
      <w:r>
        <w:rPr>
          <w:rFonts w:ascii="Arial" w:cs="Arial" w:eastAsia="Arial" w:hAnsi="Arial"/>
          <w:sz w:val="18"/>
          <w:szCs w:val="18"/>
          <w:color w:val="auto"/>
        </w:rPr>
        <w:t>B</w:t>
      </w:r>
    </w:p>
    <w:p>
      <w:pPr>
        <w:spacing w:after="0" w:line="21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For purposes of the foregoing formula:</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 the total number of shares with respect to which this Warrant is then being exercised.</w:t>
      </w:r>
    </w:p>
    <w:p>
      <w:pPr>
        <w:spacing w:after="0" w:line="225" w:lineRule="exact"/>
        <w:rPr>
          <w:sz w:val="20"/>
          <w:szCs w:val="20"/>
          <w:color w:val="auto"/>
        </w:rPr>
      </w:pPr>
    </w:p>
    <w:p>
      <w:pPr>
        <w:ind w:left="1300"/>
        <w:spacing w:after="0" w:line="342" w:lineRule="auto"/>
        <w:rPr>
          <w:sz w:val="20"/>
          <w:szCs w:val="20"/>
          <w:color w:val="auto"/>
        </w:rPr>
      </w:pPr>
      <w:r>
        <w:rPr>
          <w:rFonts w:ascii="Arial" w:cs="Arial" w:eastAsia="Arial" w:hAnsi="Arial"/>
          <w:sz w:val="16"/>
          <w:szCs w:val="16"/>
          <w:color w:val="auto"/>
        </w:rPr>
        <w:t>B = the quotient of (x) the sum of the VWAP of the Common Stock of each of the five (5) Trading Days ending at the close of business on the Principal Market immediately prior to the time of exercise as set forth in the applicable Exercise Notice, divided by (y) five (5).</w:t>
      </w:r>
    </w:p>
    <w:p>
      <w:pPr>
        <w:spacing w:after="0" w:line="124"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C = the Exercise Price then in effect for the applicable Warrant Shares at the time of such exercise.</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For purposes of Rule 144(d) promulgated under the Securities Act, as in effect on the date hereof, it is intended that the Warrant Shares issued in a Cashless Exercise shall be deemed to have been acquired by the Holder, and the holding period for the Warrant Shares shall be deemed to have commenced, on the date this Warrant was originally issued pursuant to the Credit Agreement.</w:t>
      </w:r>
    </w:p>
    <w:p>
      <w:pPr>
        <w:spacing w:after="0" w:line="184" w:lineRule="exact"/>
        <w:rPr>
          <w:sz w:val="20"/>
          <w:szCs w:val="20"/>
          <w:color w:val="auto"/>
        </w:rPr>
      </w:pPr>
    </w:p>
    <w:p>
      <w:pPr>
        <w:jc w:val="both"/>
        <w:ind w:firstLine="1952"/>
        <w:spacing w:after="0" w:line="263" w:lineRule="auto"/>
        <w:tabs>
          <w:tab w:leader="none" w:pos="2194" w:val="left"/>
        </w:tabs>
        <w:numPr>
          <w:ilvl w:val="0"/>
          <w:numId w:val="195"/>
        </w:numPr>
        <w:rPr>
          <w:rFonts w:ascii="Arial" w:cs="Arial" w:eastAsia="Arial" w:hAnsi="Arial"/>
          <w:sz w:val="18"/>
          <w:szCs w:val="18"/>
          <w:color w:val="auto"/>
        </w:rPr>
      </w:pPr>
      <w:r>
        <w:rPr>
          <w:rFonts w:ascii="Arial" w:cs="Arial" w:eastAsia="Arial" w:hAnsi="Arial"/>
          <w:sz w:val="18"/>
          <w:szCs w:val="18"/>
          <w:u w:val="single" w:color="auto"/>
          <w:color w:val="auto"/>
        </w:rPr>
        <w:t>Disputes</w:t>
      </w:r>
      <w:r>
        <w:rPr>
          <w:rFonts w:ascii="Arial" w:cs="Arial" w:eastAsia="Arial" w:hAnsi="Arial"/>
          <w:sz w:val="18"/>
          <w:szCs w:val="18"/>
          <w:color w:val="auto"/>
        </w:rPr>
        <w:t>. In the case of a dispute as to the determination of the Exercise Price or the arithmetic calculation of the number of Warrant Shares to be issued pursuant to the terms hereof, the Company shall promptly issue to the Holder the number of Warrant Shares that are not disputed and resolve such dispute in accordance with Section 12.</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99" w:name="page200"/>
    <w:bookmarkEnd w:id="199"/>
    <w:p>
      <w:pPr>
        <w:jc w:val="both"/>
        <w:ind w:firstLine="1952"/>
        <w:spacing w:after="0" w:line="282" w:lineRule="auto"/>
        <w:tabs>
          <w:tab w:leader="none" w:pos="2203" w:val="left"/>
        </w:tabs>
        <w:numPr>
          <w:ilvl w:val="1"/>
          <w:numId w:val="196"/>
        </w:numPr>
        <w:rPr>
          <w:rFonts w:ascii="Arial" w:cs="Arial" w:eastAsia="Arial" w:hAnsi="Arial"/>
          <w:sz w:val="16"/>
          <w:szCs w:val="16"/>
          <w:color w:val="auto"/>
        </w:rPr>
      </w:pPr>
      <w:r>
        <w:rPr>
          <w:rFonts w:ascii="Arial" w:cs="Arial" w:eastAsia="Arial" w:hAnsi="Arial"/>
          <w:sz w:val="16"/>
          <w:szCs w:val="16"/>
          <w:u w:val="single" w:color="auto"/>
          <w:color w:val="auto"/>
        </w:rPr>
        <w:t>Limitations on Exercises</w:t>
      </w:r>
      <w:r>
        <w:rPr>
          <w:rFonts w:ascii="Arial" w:cs="Arial" w:eastAsia="Arial" w:hAnsi="Arial"/>
          <w:sz w:val="16"/>
          <w:szCs w:val="16"/>
          <w:color w:val="auto"/>
        </w:rPr>
        <w:t>. Notwithstanding anything to the contrary contained herein, the Company shall not effect the exercise of any portion of this Warrant, and the Holder shall not have the right to exercise any portion of this Warrant, pursuant to the terms and conditions of this Warrant and any such exercise shall be null and void and treated as if never made, to the extent that after giving effect to such exercise, the Holder together with the other Attribution Parties collectively would beneficially own in excess of 4.99% (the “</w:t>
      </w:r>
      <w:r>
        <w:rPr>
          <w:rFonts w:ascii="Arial" w:cs="Arial" w:eastAsia="Arial" w:hAnsi="Arial"/>
          <w:sz w:val="16"/>
          <w:szCs w:val="16"/>
          <w:b w:val="1"/>
          <w:bCs w:val="1"/>
          <w:color w:val="auto"/>
        </w:rPr>
        <w:t>Maximum Percentage</w:t>
      </w:r>
      <w:r>
        <w:rPr>
          <w:rFonts w:ascii="Arial" w:cs="Arial" w:eastAsia="Arial" w:hAnsi="Arial"/>
          <w:sz w:val="16"/>
          <w:szCs w:val="16"/>
          <w:color w:val="auto"/>
        </w:rPr>
        <w:t>”) of the number of shares of Common Stock outstanding immediately after giving effect to such exercise. For purposes of the foregoing sentence, the aggregate number of shares of Common Stock beneficially owned by the Holder and the other Attribution Parties shall include the number of shares of Common Stock held by the Holder and all other Attribution Parties plus the number of shares of Common Stock issuable upon exercise of this Warrant with respect to which the determination of such sentence is being made, but shall exclude the number of shares of Common Stock which would be issuable upon (A) exercise of the remaining, unexercised portion of this Warrant beneficially owned by the Holder or any of the other Attribution Parties and (B) exercise or conversion of the unexercised or unconverted portion of any other securities of the Company (including, without limitation, any convertible notes or convertible preferred stock or warrants) beneficially owned by the Holder or any other Attribution Party subject to a limitation on conversion or exercise analogous to the limitation contained in this Section 1(f). For purposes of this Section 1(f), beneficial ownership shall be calculated in accordance with Section 13(d) of the Securities Exchange Act of 1934, as amended (the “</w:t>
      </w:r>
      <w:r>
        <w:rPr>
          <w:rFonts w:ascii="Arial" w:cs="Arial" w:eastAsia="Arial" w:hAnsi="Arial"/>
          <w:sz w:val="16"/>
          <w:szCs w:val="16"/>
          <w:b w:val="1"/>
          <w:bCs w:val="1"/>
          <w:color w:val="auto"/>
        </w:rPr>
        <w:t>Exchange Act</w:t>
      </w:r>
      <w:r>
        <w:rPr>
          <w:rFonts w:ascii="Arial" w:cs="Arial" w:eastAsia="Arial" w:hAnsi="Arial"/>
          <w:sz w:val="16"/>
          <w:szCs w:val="16"/>
          <w:color w:val="auto"/>
        </w:rPr>
        <w:t>”). For purposes of this Warrant, in determining the number of outstanding shares of Common Stock the Holder may acquire upon the exercise of this Warrant without exceeding the Maximum Percentage, the Holder may rely on the number of outstanding shares of Common Stock as reflected in (x) the Company’s most recent Annual Report on Form 10-K, Quarterly Report on Form 10-Q, Current Report on Form 8-K or other public filing with the Securities and Exchange Commission (the “</w:t>
      </w:r>
      <w:r>
        <w:rPr>
          <w:rFonts w:ascii="Arial" w:cs="Arial" w:eastAsia="Arial" w:hAnsi="Arial"/>
          <w:sz w:val="16"/>
          <w:szCs w:val="16"/>
          <w:b w:val="1"/>
          <w:bCs w:val="1"/>
          <w:color w:val="auto"/>
        </w:rPr>
        <w:t>SEC</w:t>
      </w:r>
      <w:r>
        <w:rPr>
          <w:rFonts w:ascii="Arial" w:cs="Arial" w:eastAsia="Arial" w:hAnsi="Arial"/>
          <w:sz w:val="16"/>
          <w:szCs w:val="16"/>
          <w:color w:val="auto"/>
        </w:rPr>
        <w:t>”), as the case may be, (y) a more recent public announcement by the Company or (z) any other written notice by the Company or the Transfer Agent, if any, setting forth the number of shares of Common Stock outstanding (the “</w:t>
      </w:r>
      <w:r>
        <w:rPr>
          <w:rFonts w:ascii="Arial" w:cs="Arial" w:eastAsia="Arial" w:hAnsi="Arial"/>
          <w:sz w:val="16"/>
          <w:szCs w:val="16"/>
          <w:b w:val="1"/>
          <w:bCs w:val="1"/>
          <w:color w:val="auto"/>
        </w:rPr>
        <w:t>Reported Outstanding Share Number</w:t>
      </w:r>
      <w:r>
        <w:rPr>
          <w:rFonts w:ascii="Arial" w:cs="Arial" w:eastAsia="Arial" w:hAnsi="Arial"/>
          <w:sz w:val="16"/>
          <w:szCs w:val="16"/>
          <w:color w:val="auto"/>
        </w:rPr>
        <w:t>”). If the Company receives an Exercise Notice from the Holder at a time when the actual number of outstanding shares of Common Stock is less than the Reported Outstanding Share Number, the Company shall (i) notify the Holder in writing of the number of shares of Common Stock then outstanding and, to the extent that such Exercise Notice would otherwise cause the Holder’s beneficial ownership, as determined pursuant to this Section 1(f), to exceed the Maximum Percentage, the Holder must notify the Company of a reduced number of Warrant Shares to be purchased pursuant to such Exercise Notice (the number of shares by which such purchase is reduced, the ”</w:t>
      </w:r>
      <w:r>
        <w:rPr>
          <w:rFonts w:ascii="Arial" w:cs="Arial" w:eastAsia="Arial" w:hAnsi="Arial"/>
          <w:sz w:val="16"/>
          <w:szCs w:val="16"/>
          <w:b w:val="1"/>
          <w:bCs w:val="1"/>
          <w:color w:val="auto"/>
        </w:rPr>
        <w:t>Reduction Shares</w:t>
      </w:r>
      <w:r>
        <w:rPr>
          <w:rFonts w:ascii="Arial" w:cs="Arial" w:eastAsia="Arial" w:hAnsi="Arial"/>
          <w:sz w:val="16"/>
          <w:szCs w:val="16"/>
          <w:color w:val="auto"/>
        </w:rPr>
        <w:t>”) and</w:t>
      </w:r>
    </w:p>
    <w:p>
      <w:pPr>
        <w:spacing w:after="0" w:line="10" w:lineRule="exact"/>
        <w:rPr>
          <w:rFonts w:ascii="Arial" w:cs="Arial" w:eastAsia="Arial" w:hAnsi="Arial"/>
          <w:sz w:val="16"/>
          <w:szCs w:val="16"/>
          <w:color w:val="auto"/>
        </w:rPr>
      </w:pPr>
    </w:p>
    <w:p>
      <w:pPr>
        <w:jc w:val="both"/>
        <w:ind w:firstLine="8"/>
        <w:spacing w:after="0" w:line="283" w:lineRule="auto"/>
        <w:tabs>
          <w:tab w:leader="none" w:pos="283" w:val="left"/>
        </w:tabs>
        <w:numPr>
          <w:ilvl w:val="0"/>
          <w:numId w:val="197"/>
        </w:numPr>
        <w:rPr>
          <w:rFonts w:ascii="Arial" w:cs="Arial" w:eastAsia="Arial" w:hAnsi="Arial"/>
          <w:sz w:val="16"/>
          <w:szCs w:val="16"/>
          <w:color w:val="auto"/>
        </w:rPr>
      </w:pPr>
      <w:r>
        <w:rPr>
          <w:rFonts w:ascii="Arial" w:cs="Arial" w:eastAsia="Arial" w:hAnsi="Arial"/>
          <w:sz w:val="16"/>
          <w:szCs w:val="16"/>
          <w:color w:val="auto"/>
        </w:rPr>
        <w:t>as soon as reasonably practicable, the Company shall return to the Holder any exercise price paid by the Holder for the Reduction Shares. For any reason at any time, upon the written or oral request of the Holder, the Company shall within one (1) Business Day confirm orally and in writing or by electronic mail to the Holder the number of shares of Common Stock then outstanding. In any case, the number of outstanding shares of Common Stock shall be determined after giving effect to the conversion or exercise of securities of the Company, including this Warrant, by the Holder and any other Attribution Party since the date as of which the Reported Outstanding Share Number was reported. In the event that the issuance of shares of Common Stock to the Holder upon exercise of this Warrant results in the Holder and the other Attribution Parties being deemed to beneficially own, in the aggregate, more than the Maximum Percentage of the number of outstanding shares of Common Stock (as determined under Section 13(d) of the Exchange Act), the number of shares so issued by which the Holder’s and the other Attribution Parties’ aggregate beneficial ownership exceeds the Maximum Percentage (the “</w:t>
      </w:r>
      <w:r>
        <w:rPr>
          <w:rFonts w:ascii="Arial" w:cs="Arial" w:eastAsia="Arial" w:hAnsi="Arial"/>
          <w:sz w:val="16"/>
          <w:szCs w:val="16"/>
          <w:b w:val="1"/>
          <w:bCs w:val="1"/>
          <w:color w:val="auto"/>
        </w:rPr>
        <w:t>Excess Shares</w:t>
      </w:r>
      <w:r>
        <w:rPr>
          <w:rFonts w:ascii="Arial" w:cs="Arial" w:eastAsia="Arial" w:hAnsi="Arial"/>
          <w:sz w:val="16"/>
          <w:szCs w:val="16"/>
          <w:color w:val="auto"/>
        </w:rPr>
        <w:t>”) shall be deemed null and void and shall be cancelled ab initio, and the Holder shall not have the power to vote or to transfer the Excess Shares. As soon as reasonably practicable after the issuance of the Excess Shares has been deemed null and void, the Company shall return to the Holder the exercise price paid by the Holder for the Excess Shares. Upon delivery of a written notice to the Company, the Holder may from time to time increase (with such increase not effective until the sixty-first (61st) day after delivery of such notice) or decrease the Maximum Percentage to any other percentage not in excess of 9.99% as specified in such notice; provided that (i) any such increase in the Maximum Percentage will not be effective until the sixty-first (61st) day after such notice is delivered to the Company and (ii) any such increase or decrease will apply only to the Holder and the other Attribution Parties and not to any other holder that is not an Attribution Party of the Holder. For purposes of clarity, the shares of Common Stock issuable pursuant to the terms of this Warrant in excess of the Maximum Percentage shall not be deemed to be beneficially owned by the Holder for any purpose including for purposes of Section 13(d) or Rule 16a-1(a)(1) of the Exchange Act. No prior inability to exercise this Warrant pursuant to this paragraph shall have any effect on the applicability of the provisions of this paragraph with respect to any subsequent determination of exercisability. The provisions of this paragraph shall be construed and implemented in a manner otherwise than in strict conformity with the terms of this Section 1(f) to the extent necessary to correct this paragraph or any portion of this paragraph which may be defective or inconsistent with the intended beneficial ownership limitation contained in this Section 1(f) or to make changes or supplements necessary or desirable to properly give effect to such limitation. The limitation contained in this paragraph may not be waived and shall apply to a successor holder of this Warrant.</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00" w:name="page201"/>
    <w:bookmarkEnd w:id="200"/>
    <w:p>
      <w:pPr>
        <w:jc w:val="both"/>
        <w:ind w:firstLine="1952"/>
        <w:spacing w:after="0" w:line="284" w:lineRule="auto"/>
        <w:tabs>
          <w:tab w:leader="none" w:pos="2200" w:val="left"/>
        </w:tabs>
        <w:numPr>
          <w:ilvl w:val="1"/>
          <w:numId w:val="198"/>
        </w:numPr>
        <w:rPr>
          <w:rFonts w:ascii="Arial" w:cs="Arial" w:eastAsia="Arial" w:hAnsi="Arial"/>
          <w:sz w:val="16"/>
          <w:szCs w:val="16"/>
          <w:color w:val="auto"/>
        </w:rPr>
      </w:pPr>
      <w:r>
        <w:rPr>
          <w:rFonts w:ascii="Arial" w:cs="Arial" w:eastAsia="Arial" w:hAnsi="Arial"/>
          <w:sz w:val="16"/>
          <w:szCs w:val="16"/>
          <w:u w:val="single" w:color="auto"/>
          <w:color w:val="auto"/>
        </w:rPr>
        <w:t>Insufficient Authorized Shares</w:t>
      </w:r>
      <w:r>
        <w:rPr>
          <w:rFonts w:ascii="Arial" w:cs="Arial" w:eastAsia="Arial" w:hAnsi="Arial"/>
          <w:sz w:val="16"/>
          <w:szCs w:val="16"/>
          <w:color w:val="auto"/>
        </w:rPr>
        <w:t>. If at any time while this Warrant remains outstanding the Company does not have a sufficient number of authorized and unreserved shares of Common Stock to satisfy its obligation to reserve for issuance upon exercise of this Warrant at least a number of shares of Common Stock equal to the number of shares of Common Stock as shall from time to time be necessary to effect the exercise of all of this Warrant then outstanding (the “</w:t>
      </w:r>
      <w:r>
        <w:rPr>
          <w:rFonts w:ascii="Arial" w:cs="Arial" w:eastAsia="Arial" w:hAnsi="Arial"/>
          <w:sz w:val="16"/>
          <w:szCs w:val="16"/>
          <w:b w:val="1"/>
          <w:bCs w:val="1"/>
          <w:color w:val="auto"/>
        </w:rPr>
        <w:t>Required Reserve Amount</w:t>
      </w:r>
      <w:r>
        <w:rPr>
          <w:rFonts w:ascii="Arial" w:cs="Arial" w:eastAsia="Arial" w:hAnsi="Arial"/>
          <w:sz w:val="16"/>
          <w:szCs w:val="16"/>
          <w:color w:val="auto"/>
        </w:rPr>
        <w:t>” and the failure to have such sufficient number of authorized and unreserved shares of Common Stock, an “</w:t>
      </w:r>
      <w:r>
        <w:rPr>
          <w:rFonts w:ascii="Arial" w:cs="Arial" w:eastAsia="Arial" w:hAnsi="Arial"/>
          <w:sz w:val="16"/>
          <w:szCs w:val="16"/>
          <w:b w:val="1"/>
          <w:bCs w:val="1"/>
          <w:color w:val="auto"/>
        </w:rPr>
        <w:t>Authorized Share Failure</w:t>
      </w:r>
      <w:r>
        <w:rPr>
          <w:rFonts w:ascii="Arial" w:cs="Arial" w:eastAsia="Arial" w:hAnsi="Arial"/>
          <w:sz w:val="16"/>
          <w:szCs w:val="16"/>
          <w:color w:val="auto"/>
        </w:rPr>
        <w:t>”), then the Company shall as soon as reasonably practicable take all action necessary to increase the Company’s authorized shares of Common Stock to an amount sufficient to allow the Company to reserve the Required Reserve Amount for this Warrant then outstanding. Without limiting the generality of the foregoing sentence, as soon as reasonably practicable after the date of the occurrence of an Authorized Share Failure, but in no event later than seventy-five (75) days after the occurrence of such Authorized Share Failure, the Company shall hold a meeting of its stockholders for the approval of an increase in the number of authorized shares of Common Stock. In connection with such meeting, the Company shall provide each stockholder with a proxy statement and shall use its reasonable best efforts to solicit its stockholders’ approval of such increase in authorized shares of Common Stock and to cause its board of directors to recommend to the stockholders that they approve such proposal. In the event that the Company is prohibited from issuing shares of Common Stock upon an exercise of this Warrant due to the failure by the Company to have sufficient shares of Common Stock available out of the authorized but unissued shares of Common Stock (such unavailable number of shares of Common Stock, the “</w:t>
      </w:r>
      <w:r>
        <w:rPr>
          <w:rFonts w:ascii="Arial" w:cs="Arial" w:eastAsia="Arial" w:hAnsi="Arial"/>
          <w:sz w:val="16"/>
          <w:szCs w:val="16"/>
          <w:b w:val="1"/>
          <w:bCs w:val="1"/>
          <w:color w:val="auto"/>
        </w:rPr>
        <w:t>Authorization Failure Shares</w:t>
      </w:r>
      <w:r>
        <w:rPr>
          <w:rFonts w:ascii="Arial" w:cs="Arial" w:eastAsia="Arial" w:hAnsi="Arial"/>
          <w:sz w:val="16"/>
          <w:szCs w:val="16"/>
          <w:color w:val="auto"/>
        </w:rPr>
        <w:t>”), in lieu of delivering such Authorization Failure Shares to the Holder, the Company shall pay cash in exchange for the cancellation of such portion of this Warrant exercisable into such Authorization Failure Shares at a price equal to the sum of (i) the product of (x) such number of Authorization Failure Shares and (y) the Closing Sale Price of the Common Stock on the date the Holder delivers the applicable Exercise Notice with respect to such Authorization Failure Shares to the Company; and (ii) to the extent the Holder purchases (in an open market transaction or otherwise) shares of Common Stock to deliver in satisfaction of a sale by the Holder of Authorization Failure Shares, any Buy-In Payment Amount, brokerage commissions and other out-of-pocket expenses, if any, of the Holder incurred in connection therewith. Nothing contained in this Section 1(g) shall limit any obligations of the Company under any provision of the Credit Agreement.</w:t>
      </w:r>
    </w:p>
    <w:p>
      <w:pPr>
        <w:spacing w:after="0" w:line="181" w:lineRule="exact"/>
        <w:rPr>
          <w:rFonts w:ascii="Arial" w:cs="Arial" w:eastAsia="Arial" w:hAnsi="Arial"/>
          <w:sz w:val="16"/>
          <w:szCs w:val="16"/>
          <w:color w:val="auto"/>
        </w:rPr>
      </w:pPr>
    </w:p>
    <w:p>
      <w:pPr>
        <w:ind w:firstLine="1304"/>
        <w:spacing w:after="0" w:line="277" w:lineRule="auto"/>
        <w:tabs>
          <w:tab w:leader="none" w:pos="1481" w:val="left"/>
        </w:tabs>
        <w:numPr>
          <w:ilvl w:val="0"/>
          <w:numId w:val="199"/>
        </w:numPr>
        <w:rPr>
          <w:rFonts w:ascii="Arial" w:cs="Arial" w:eastAsia="Arial" w:hAnsi="Arial"/>
          <w:sz w:val="18"/>
          <w:szCs w:val="18"/>
          <w:color w:val="auto"/>
        </w:rPr>
      </w:pPr>
      <w:r>
        <w:rPr>
          <w:rFonts w:ascii="Arial" w:cs="Arial" w:eastAsia="Arial" w:hAnsi="Arial"/>
          <w:sz w:val="18"/>
          <w:szCs w:val="18"/>
          <w:u w:val="single" w:color="auto"/>
          <w:color w:val="auto"/>
        </w:rPr>
        <w:t>ADJUSTMENT OF EXERCISE PRICE AND NUMBER OF WARRANT SHARES</w:t>
      </w:r>
      <w:r>
        <w:rPr>
          <w:rFonts w:ascii="Arial" w:cs="Arial" w:eastAsia="Arial" w:hAnsi="Arial"/>
          <w:sz w:val="18"/>
          <w:szCs w:val="18"/>
          <w:color w:val="auto"/>
        </w:rPr>
        <w:t>. The Exercise Price and the number of Warrant Shares issuable upon exercise of this Warrant are subject to adjustments from time to time as set forth in this Section 2.</w:t>
      </w:r>
    </w:p>
    <w:p>
      <w:pPr>
        <w:spacing w:after="0" w:line="170" w:lineRule="exact"/>
        <w:rPr>
          <w:rFonts w:ascii="Arial" w:cs="Arial" w:eastAsia="Arial" w:hAnsi="Arial"/>
          <w:sz w:val="18"/>
          <w:szCs w:val="18"/>
          <w:color w:val="auto"/>
        </w:rPr>
      </w:pPr>
    </w:p>
    <w:p>
      <w:pPr>
        <w:jc w:val="both"/>
        <w:ind w:firstLine="1952"/>
        <w:spacing w:after="0" w:line="272" w:lineRule="auto"/>
        <w:tabs>
          <w:tab w:leader="none" w:pos="2203" w:val="left"/>
        </w:tabs>
        <w:numPr>
          <w:ilvl w:val="1"/>
          <w:numId w:val="199"/>
        </w:numPr>
        <w:rPr>
          <w:rFonts w:ascii="Arial" w:cs="Arial" w:eastAsia="Arial" w:hAnsi="Arial"/>
          <w:sz w:val="17"/>
          <w:szCs w:val="17"/>
          <w:color w:val="auto"/>
        </w:rPr>
      </w:pPr>
      <w:r>
        <w:rPr>
          <w:rFonts w:ascii="Arial" w:cs="Arial" w:eastAsia="Arial" w:hAnsi="Arial"/>
          <w:sz w:val="17"/>
          <w:szCs w:val="17"/>
          <w:u w:val="single" w:color="auto"/>
          <w:color w:val="auto"/>
        </w:rPr>
        <w:t>Adjustment Upon Subdivision or Combination of Shares of Common Stock</w:t>
      </w:r>
      <w:r>
        <w:rPr>
          <w:rFonts w:ascii="Arial" w:cs="Arial" w:eastAsia="Arial" w:hAnsi="Arial"/>
          <w:sz w:val="17"/>
          <w:szCs w:val="17"/>
          <w:color w:val="auto"/>
        </w:rPr>
        <w:t>. If the Company at any time on or after the Issuance Date subdivides (by any stock split, stock dividend, recapitalization or otherwise) one or more classes of its outstanding shares of Common Stock into a greater number of shares, the Exercise Price in effect immediately prior to such subdivision will be proportionately reduced and the number of Warrant Shares will be proportionately increased. If the Company at any time on or after the Issuance Date combines (by combination, reverse stock split or otherwise) one or more classes of its outstanding shares of Common Stock into a smaller number of shares, the Exercise Price in effect immediately prior to such combination will be proportionately increased and the number of Warrant Shares will be proportionately decreased. Any adjustment under this Section 2(a) shall become effective at the close of business on the date the subdivision or combination becomes effective.</w:t>
      </w:r>
    </w:p>
    <w:p>
      <w:pPr>
        <w:spacing w:after="0" w:line="177" w:lineRule="exact"/>
        <w:rPr>
          <w:rFonts w:ascii="Arial" w:cs="Arial" w:eastAsia="Arial" w:hAnsi="Arial"/>
          <w:sz w:val="17"/>
          <w:szCs w:val="17"/>
          <w:color w:val="auto"/>
        </w:rPr>
      </w:pPr>
    </w:p>
    <w:p>
      <w:pPr>
        <w:jc w:val="both"/>
        <w:ind w:firstLine="1952"/>
        <w:spacing w:after="0" w:line="279" w:lineRule="auto"/>
        <w:tabs>
          <w:tab w:leader="none" w:pos="2200" w:val="left"/>
        </w:tabs>
        <w:numPr>
          <w:ilvl w:val="1"/>
          <w:numId w:val="199"/>
        </w:numPr>
        <w:rPr>
          <w:rFonts w:ascii="Arial" w:cs="Arial" w:eastAsia="Arial" w:hAnsi="Arial"/>
          <w:sz w:val="17"/>
          <w:szCs w:val="17"/>
          <w:color w:val="auto"/>
        </w:rPr>
      </w:pPr>
      <w:r>
        <w:rPr>
          <w:rFonts w:ascii="Arial" w:cs="Arial" w:eastAsia="Arial" w:hAnsi="Arial"/>
          <w:sz w:val="17"/>
          <w:szCs w:val="17"/>
          <w:u w:val="single" w:color="auto"/>
          <w:color w:val="auto"/>
        </w:rPr>
        <w:t>Adjustment to Number of Warrant Shares.</w:t>
      </w:r>
      <w:r>
        <w:rPr>
          <w:rFonts w:ascii="Arial" w:cs="Arial" w:eastAsia="Arial" w:hAnsi="Arial"/>
          <w:sz w:val="17"/>
          <w:szCs w:val="17"/>
          <w:color w:val="auto"/>
        </w:rPr>
        <w:t xml:space="preserve"> Simultaneously with any adjustment to the Exercise Price pursuant to Section 2, the number of Warrant Shares that may be purchased upon exercise of this Warrant shall be increased or decreased proportionately, so that after such adjustment the aggregate Exercise Price payable hereunder for the adjusted number of Warrant Shares shall be the same as the aggregate Exercise Price in effect immediately prior to such adjustment (without regard to any limitations on exercise contained herein).</w:t>
      </w:r>
    </w:p>
    <w:p>
      <w:pPr>
        <w:spacing w:after="0" w:line="171" w:lineRule="exact"/>
        <w:rPr>
          <w:rFonts w:ascii="Arial" w:cs="Arial" w:eastAsia="Arial" w:hAnsi="Arial"/>
          <w:sz w:val="17"/>
          <w:szCs w:val="17"/>
          <w:color w:val="auto"/>
        </w:rPr>
      </w:pPr>
    </w:p>
    <w:p>
      <w:pPr>
        <w:ind w:firstLine="1952"/>
        <w:spacing w:after="0" w:line="277" w:lineRule="auto"/>
        <w:tabs>
          <w:tab w:leader="none" w:pos="2202" w:val="left"/>
        </w:tabs>
        <w:numPr>
          <w:ilvl w:val="1"/>
          <w:numId w:val="199"/>
        </w:numPr>
        <w:rPr>
          <w:rFonts w:ascii="Arial" w:cs="Arial" w:eastAsia="Arial" w:hAnsi="Arial"/>
          <w:sz w:val="18"/>
          <w:szCs w:val="18"/>
          <w:color w:val="auto"/>
        </w:rPr>
      </w:pPr>
      <w:r>
        <w:rPr>
          <w:rFonts w:ascii="Arial" w:cs="Arial" w:eastAsia="Arial" w:hAnsi="Arial"/>
          <w:sz w:val="18"/>
          <w:szCs w:val="18"/>
          <w:u w:val="single" w:color="auto"/>
          <w:color w:val="auto"/>
        </w:rPr>
        <w:t>Par Value</w:t>
      </w:r>
      <w:r>
        <w:rPr>
          <w:rFonts w:ascii="Arial" w:cs="Arial" w:eastAsia="Arial" w:hAnsi="Arial"/>
          <w:sz w:val="18"/>
          <w:szCs w:val="18"/>
          <w:color w:val="auto"/>
        </w:rPr>
        <w:t>. Notwithstanding anything to the contrary in this Warrant, in no event shall the Exercise Price be reduced below the par value of the Company’s Common Stock.</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01" w:name="page202"/>
    <w:bookmarkEnd w:id="201"/>
    <w:p>
      <w:pPr>
        <w:jc w:val="both"/>
        <w:ind w:firstLine="1952"/>
        <w:spacing w:after="0" w:line="263" w:lineRule="auto"/>
        <w:tabs>
          <w:tab w:leader="none" w:pos="2205" w:val="left"/>
        </w:tabs>
        <w:numPr>
          <w:ilvl w:val="1"/>
          <w:numId w:val="200"/>
        </w:numPr>
        <w:rPr>
          <w:rFonts w:ascii="Arial" w:cs="Arial" w:eastAsia="Arial" w:hAnsi="Arial"/>
          <w:sz w:val="18"/>
          <w:szCs w:val="18"/>
          <w:color w:val="auto"/>
        </w:rPr>
      </w:pPr>
      <w:r>
        <w:rPr>
          <w:rFonts w:ascii="Arial" w:cs="Arial" w:eastAsia="Arial" w:hAnsi="Arial"/>
          <w:sz w:val="18"/>
          <w:szCs w:val="18"/>
          <w:u w:val="single" w:color="auto"/>
          <w:color w:val="auto"/>
        </w:rPr>
        <w:t>Voluntary Adjustment by Company</w:t>
      </w:r>
      <w:r>
        <w:rPr>
          <w:rFonts w:ascii="Arial" w:cs="Arial" w:eastAsia="Arial" w:hAnsi="Arial"/>
          <w:sz w:val="18"/>
          <w:szCs w:val="18"/>
          <w:color w:val="auto"/>
        </w:rPr>
        <w:t>. Subject to Section 2(c), the Company may at any time during the term of this Warrant, with prior written notice to the Holder, reduce the then current Exercise Price to any amount and for any period of time deemed appropriate by the board of directors of the Company.</w:t>
      </w:r>
    </w:p>
    <w:p>
      <w:pPr>
        <w:spacing w:after="0" w:line="183" w:lineRule="exact"/>
        <w:rPr>
          <w:rFonts w:ascii="Arial" w:cs="Arial" w:eastAsia="Arial" w:hAnsi="Arial"/>
          <w:sz w:val="18"/>
          <w:szCs w:val="18"/>
          <w:color w:val="auto"/>
        </w:rPr>
      </w:pPr>
    </w:p>
    <w:p>
      <w:pPr>
        <w:jc w:val="both"/>
        <w:ind w:firstLine="1304"/>
        <w:spacing w:after="0" w:line="268" w:lineRule="auto"/>
        <w:tabs>
          <w:tab w:leader="none" w:pos="1497" w:val="left"/>
        </w:tabs>
        <w:numPr>
          <w:ilvl w:val="0"/>
          <w:numId w:val="201"/>
        </w:numPr>
        <w:rPr>
          <w:rFonts w:ascii="Arial" w:cs="Arial" w:eastAsia="Arial" w:hAnsi="Arial"/>
          <w:sz w:val="17"/>
          <w:szCs w:val="17"/>
          <w:color w:val="auto"/>
        </w:rPr>
      </w:pPr>
      <w:r>
        <w:rPr>
          <w:rFonts w:ascii="Arial" w:cs="Arial" w:eastAsia="Arial" w:hAnsi="Arial"/>
          <w:sz w:val="17"/>
          <w:szCs w:val="17"/>
          <w:u w:val="single" w:color="auto"/>
          <w:color w:val="auto"/>
        </w:rPr>
        <w:t>RIGHTS UPON DISTRIBUTION OF ASSETS</w:t>
      </w:r>
      <w:r>
        <w:rPr>
          <w:rFonts w:ascii="Arial" w:cs="Arial" w:eastAsia="Arial" w:hAnsi="Arial"/>
          <w:sz w:val="17"/>
          <w:szCs w:val="17"/>
          <w:color w:val="auto"/>
        </w:rPr>
        <w:t>. In addition to any adjustments pursuant to Section 2 above, if the Company shall declare or make any dividend or other distribution of its assets (or rights to acquire its assets) to holders of shares of Common Stock, by way of return of capital or otherwise (including, without limitation, any distribution of cash, stock or other securities, property, options, evidence of indebtedness or any other assets by way of a dividend, spin off, reclassification, corporate rearrangement, scheme of arrangement or other similar transaction) (a “</w:t>
      </w:r>
      <w:r>
        <w:rPr>
          <w:rFonts w:ascii="Arial" w:cs="Arial" w:eastAsia="Arial" w:hAnsi="Arial"/>
          <w:sz w:val="17"/>
          <w:szCs w:val="17"/>
          <w:b w:val="1"/>
          <w:bCs w:val="1"/>
          <w:color w:val="auto"/>
        </w:rPr>
        <w:t>Distribution</w:t>
      </w:r>
      <w:r>
        <w:rPr>
          <w:rFonts w:ascii="Arial" w:cs="Arial" w:eastAsia="Arial" w:hAnsi="Arial"/>
          <w:sz w:val="17"/>
          <w:szCs w:val="17"/>
          <w:color w:val="auto"/>
        </w:rPr>
        <w:t>”), at any time after the issuance of this Warrant, then, in each such case, the Holder shall be entitled to participate in such Distribution to the same extent that the Holder would have participated therein if the Holder had held the number of shares of Common Stock acquirable upon complete exercise of this Warrant (without regard to any limitations or restrictions on exercise of this Warrant, including without limitation, the Maximum Percentage) immediately before the date on which a record is taken for such Distribution, or, if no such record is taken, the date as of which the record holders of shares of Common Stock are to be determined for the participation in such Distribution (provided, however, that to the extent that the Holder’s right to participate in any such Distribution would result in the Holder and the other Attribution Parties exceeding the Maximum Percentage, then the Holder shall not be entitled to participate in such Distribution to the extent of the Maximum Percentage (and shall not be entitled to beneficial ownership of such shares of Common Stock as a result of such Distribution (and beneficial ownership) to the extent of any such excess) and the portion of such Distribution shall be held in abeyance for the benefit of the Holder until such time or times, if ever, as its right thereto would not result in the Holder and the other Attribution Parties exceeding the Maximum Percentage, at which time or times the Holder shall be granted such Distribution (and any Distributions declared or made on such initial Distribution or on any subsequent Distribution held similarly in abeyance) to the same extent as if there had been no such limitation).</w:t>
      </w:r>
    </w:p>
    <w:p>
      <w:pPr>
        <w:spacing w:after="0" w:line="179" w:lineRule="exact"/>
        <w:rPr>
          <w:rFonts w:ascii="Arial" w:cs="Arial" w:eastAsia="Arial" w:hAnsi="Arial"/>
          <w:sz w:val="17"/>
          <w:szCs w:val="17"/>
          <w:color w:val="auto"/>
        </w:rPr>
      </w:pPr>
    </w:p>
    <w:p>
      <w:pPr>
        <w:ind w:left="1480" w:hanging="176"/>
        <w:spacing w:after="0"/>
        <w:tabs>
          <w:tab w:leader="none" w:pos="1480" w:val="left"/>
        </w:tabs>
        <w:numPr>
          <w:ilvl w:val="0"/>
          <w:numId w:val="201"/>
        </w:numPr>
        <w:rPr>
          <w:rFonts w:ascii="Arial" w:cs="Arial" w:eastAsia="Arial" w:hAnsi="Arial"/>
          <w:sz w:val="18"/>
          <w:szCs w:val="18"/>
          <w:color w:val="auto"/>
        </w:rPr>
      </w:pPr>
      <w:r>
        <w:rPr>
          <w:rFonts w:ascii="Arial" w:cs="Arial" w:eastAsia="Arial" w:hAnsi="Arial"/>
          <w:sz w:val="18"/>
          <w:szCs w:val="18"/>
          <w:u w:val="single" w:color="auto"/>
          <w:color w:val="auto"/>
        </w:rPr>
        <w:t>PURCHASE RIGHTS; FUNDAMENTAL TRANSACTIONS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firstLine="1952"/>
        <w:spacing w:after="0" w:line="268" w:lineRule="auto"/>
        <w:tabs>
          <w:tab w:leader="none" w:pos="2204" w:val="left"/>
        </w:tabs>
        <w:numPr>
          <w:ilvl w:val="1"/>
          <w:numId w:val="201"/>
        </w:numPr>
        <w:rPr>
          <w:rFonts w:ascii="Arial" w:cs="Arial" w:eastAsia="Arial" w:hAnsi="Arial"/>
          <w:sz w:val="17"/>
          <w:szCs w:val="17"/>
          <w:color w:val="auto"/>
        </w:rPr>
      </w:pPr>
      <w:r>
        <w:rPr>
          <w:rFonts w:ascii="Arial" w:cs="Arial" w:eastAsia="Arial" w:hAnsi="Arial"/>
          <w:sz w:val="17"/>
          <w:szCs w:val="17"/>
          <w:u w:val="single" w:color="auto"/>
          <w:color w:val="auto"/>
        </w:rPr>
        <w:t>Purchase Rights</w:t>
      </w:r>
      <w:r>
        <w:rPr>
          <w:rFonts w:ascii="Arial" w:cs="Arial" w:eastAsia="Arial" w:hAnsi="Arial"/>
          <w:sz w:val="17"/>
          <w:szCs w:val="17"/>
          <w:color w:val="auto"/>
        </w:rPr>
        <w:t>. In addition to any adjustments pursuant to Section 2 above, if at any time the Company grants, issues or sells any Options, Convertible Securities or rights to purchase stock, warrants, securities or other property pro rata to the record holders of any class of Common Stock (the “</w:t>
      </w:r>
      <w:r>
        <w:rPr>
          <w:rFonts w:ascii="Arial" w:cs="Arial" w:eastAsia="Arial" w:hAnsi="Arial"/>
          <w:sz w:val="17"/>
          <w:szCs w:val="17"/>
          <w:b w:val="1"/>
          <w:bCs w:val="1"/>
          <w:color w:val="auto"/>
        </w:rPr>
        <w:t>Purchase Rights</w:t>
      </w:r>
      <w:r>
        <w:rPr>
          <w:rFonts w:ascii="Arial" w:cs="Arial" w:eastAsia="Arial" w:hAnsi="Arial"/>
          <w:sz w:val="17"/>
          <w:szCs w:val="17"/>
          <w:color w:val="auto"/>
        </w:rPr>
        <w:t>”), then the Holder will be entitled to acquire, upon the terms applicable to such Purchase Rights, the aggregate Purchase Rights which the Holder could have acquired if the Holder had held the number of shares of Common Stock acquirable upon complete exercise of this Warrant (without regard to any limitations or restrictions on exercise of this Warrant, including without limitation, the Maximum Percentage) immediately before the date on which a record is taken for the grant, issuance or sale of such Purchase Rights, or, if no such record is taken, the date as of which the record holders of shares of Common Stock are to be determined for the grant, issuance or sale of such Purchase Rights (provided, however, that to the extent that the Holder’s right to participate in any such Purchase Right would result in the Holder and the other Attribution Parties exceeding the Maximum Percentage, then the Holder shall not be entitled to participate in such Purchase Right to the extent of the Maximum Percentage (and shall not be entitled to beneficial ownership of such shares of Common Stock as a result of such Purchase Right (and beneficial ownership) to the extent of any such excess) and such Purchase Right to such extent shall be held in abeyance for the benefit of the Holder until such time or times, if ever, as its right thereto would not result in the Holder and the other Attribution Parties exceeding the Maximum Percentage, at which time or times the Holder shall be granted such right (and any Purchase Right granted, issued or sold on such initial Purchase Right or on any subsequent Purchase Right held similarly in abeyance) to the same extent as if there had been no such limitation).</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02" w:name="page203"/>
    <w:bookmarkEnd w:id="202"/>
    <w:p>
      <w:pPr>
        <w:ind w:left="2200" w:hanging="248"/>
        <w:spacing w:after="0"/>
        <w:tabs>
          <w:tab w:leader="none" w:pos="2200" w:val="left"/>
        </w:tabs>
        <w:numPr>
          <w:ilvl w:val="0"/>
          <w:numId w:val="202"/>
        </w:numPr>
        <w:rPr>
          <w:rFonts w:ascii="Arial" w:cs="Arial" w:eastAsia="Arial" w:hAnsi="Arial"/>
          <w:sz w:val="18"/>
          <w:szCs w:val="18"/>
          <w:color w:val="auto"/>
        </w:rPr>
      </w:pPr>
      <w:r>
        <w:rPr>
          <w:rFonts w:ascii="Arial" w:cs="Arial" w:eastAsia="Arial" w:hAnsi="Arial"/>
          <w:sz w:val="18"/>
          <w:szCs w:val="18"/>
          <w:u w:val="single" w:color="auto"/>
          <w:color w:val="auto"/>
        </w:rPr>
        <w:t>Fundamental Transactions</w:t>
      </w:r>
      <w:r>
        <w:rPr>
          <w:rFonts w:ascii="Arial" w:cs="Arial" w:eastAsia="Arial" w:hAnsi="Arial"/>
          <w:sz w:val="18"/>
          <w:szCs w:val="18"/>
          <w:color w:val="auto"/>
        </w:rPr>
        <w:t>. The Company shall not enter into or be party to a Fundamental Transaction unless:</w:t>
      </w:r>
    </w:p>
    <w:p>
      <w:pPr>
        <w:spacing w:after="0" w:line="225" w:lineRule="exact"/>
        <w:rPr>
          <w:rFonts w:ascii="Arial" w:cs="Arial" w:eastAsia="Arial" w:hAnsi="Arial"/>
          <w:sz w:val="18"/>
          <w:szCs w:val="18"/>
          <w:color w:val="auto"/>
        </w:rPr>
      </w:pPr>
    </w:p>
    <w:p>
      <w:pPr>
        <w:jc w:val="both"/>
        <w:ind w:firstLine="2600"/>
        <w:spacing w:after="0" w:line="273" w:lineRule="auto"/>
        <w:tabs>
          <w:tab w:leader="none" w:pos="2808" w:val="left"/>
        </w:tabs>
        <w:numPr>
          <w:ilvl w:val="1"/>
          <w:numId w:val="202"/>
        </w:numPr>
        <w:rPr>
          <w:rFonts w:ascii="Arial" w:cs="Arial" w:eastAsia="Arial" w:hAnsi="Arial"/>
          <w:sz w:val="17"/>
          <w:szCs w:val="17"/>
          <w:color w:val="auto"/>
        </w:rPr>
      </w:pPr>
      <w:r>
        <w:rPr>
          <w:rFonts w:ascii="Arial" w:cs="Arial" w:eastAsia="Arial" w:hAnsi="Arial"/>
          <w:sz w:val="17"/>
          <w:szCs w:val="17"/>
          <w:color w:val="auto"/>
        </w:rPr>
        <w:t>in the event that the Successor Entity (including its Parent Entity) is not a publicly traded entity with common equity quoted on or listed for trading on an Eligible Market and registered under the Exchange Act, the Company or the Successor Entity, as applicable, shall, on or prior to the date of consummation of such Fundamental Transaction, purchase this Warrant from the Holder by paying to the Holder cash in an amount equal to the Black Scholes Going Private Value (without regard to the limitation set forth in Section 1(f)) whereupon the Successor Entity shall have no obligation to assume the obligations of the Company under this Warrant and the other Loan Documents, including any obligation to deliver to the Holder in exchange for this Warrant any security of the Successor Entity, and</w:t>
      </w:r>
    </w:p>
    <w:p>
      <w:pPr>
        <w:spacing w:after="0" w:line="177" w:lineRule="exact"/>
        <w:rPr>
          <w:rFonts w:ascii="Arial" w:cs="Arial" w:eastAsia="Arial" w:hAnsi="Arial"/>
          <w:sz w:val="17"/>
          <w:szCs w:val="17"/>
          <w:color w:val="auto"/>
        </w:rPr>
      </w:pPr>
    </w:p>
    <w:p>
      <w:pPr>
        <w:jc w:val="both"/>
        <w:ind w:firstLine="2600"/>
        <w:spacing w:after="0" w:line="284" w:lineRule="auto"/>
        <w:tabs>
          <w:tab w:leader="none" w:pos="2870" w:val="left"/>
        </w:tabs>
        <w:numPr>
          <w:ilvl w:val="1"/>
          <w:numId w:val="202"/>
        </w:numPr>
        <w:rPr>
          <w:rFonts w:ascii="Arial" w:cs="Arial" w:eastAsia="Arial" w:hAnsi="Arial"/>
          <w:sz w:val="16"/>
          <w:szCs w:val="16"/>
          <w:color w:val="auto"/>
        </w:rPr>
      </w:pPr>
      <w:r>
        <w:rPr>
          <w:rFonts w:ascii="Arial" w:cs="Arial" w:eastAsia="Arial" w:hAnsi="Arial"/>
          <w:sz w:val="16"/>
          <w:szCs w:val="16"/>
          <w:color w:val="auto"/>
        </w:rPr>
        <w:t>in the event that the Successor Entity (including its Parent Entity) is a publicly traded entity with common equity quoted on or listed for trading on an Eligible Market and registered under the Exchange Act, the Successor Entity assumes in writing all of the obligations of the Company under this Warrant and the other Loan Documents in accordance with the provisions of this Section 4(b)(ii) pursuant to written agreements in form and substance satisfactory to the Holder and approved by the Holder prior to such Fundamental Transaction, including agreements to deliver to the Holder in exchange for this Warrant a security of the Successor Entity evidenced by a written instrument substantially similar in form and substance to this Warrant, including, without limitation, which is exercisable for a corresponding number of shares of capital stock equivalent to the shares of Common Stock acquirable and receivable upon exercise of this Warrant (without regard to any limitations on the exercise of this Warrant) prior to such Fundamental Transaction, and with an exercise price which applies the exercise price hereunder to such shares of capital stock (but taking into account the relative value of the shares of Common Stock pursuant to such Fundamental Transaction and the value of such shares of capital stock, such adjustments to the number of shares of capital stock and such exercise price being for the purpose of protecting the economic value of this Warrant immediately prior to the consummation of such Fundamental Transaction). Upon the consummation of each Fundamental Transaction described in this Section 4(b)(ii) (each such Fundamental Transaction, a “</w:t>
      </w:r>
      <w:r>
        <w:rPr>
          <w:rFonts w:ascii="Arial" w:cs="Arial" w:eastAsia="Arial" w:hAnsi="Arial"/>
          <w:sz w:val="16"/>
          <w:szCs w:val="16"/>
          <w:b w:val="1"/>
          <w:bCs w:val="1"/>
          <w:color w:val="auto"/>
        </w:rPr>
        <w:t>Public Fundamental Transaction</w:t>
      </w:r>
      <w:r>
        <w:rPr>
          <w:rFonts w:ascii="Arial" w:cs="Arial" w:eastAsia="Arial" w:hAnsi="Arial"/>
          <w:sz w:val="16"/>
          <w:szCs w:val="16"/>
          <w:color w:val="auto"/>
        </w:rPr>
        <w:t>”), the Successor Entity shall (x) succeed to, and be substituted for (so that from and after the date of the applicable Public Fundamental Transaction, the provisions of this Warrant and the other Loan Documents referring to the “Company” or the “Borrower” shall refer instead to the Successor Entity), and may exercise every right and power of the Company and shall assume all of the obligations of the Company under this Warrant and the other Loan Documents with the same effect as if such Successor Entity had been named as the Company herein or therein, and (y) deliver to the Holder confirmation that there shall be issued upon exercise of this Warrant at any time after the consummation of the applicable Public Fundamental Transaction, in lieu of the shares of Common Stock (or other securities, cash, assets or other property (except such items still issuable under Sections 3 and 4(a) above, which shall continue to be receivable thereafter)) issuable upon the exercise of this Warrant prior to the applicable Public Fundamental Transaction, such shares of publicly traded common stock (or its equivalent) of the Successor Entity (including its Parent Entity) which the Holder would have been entitled to receive upon the happening of the applicable Public Fundamental Transaction had this Warrant been exercised immediately prior to the applicable Public Fundamental Transaction (without regard to any limitations on the exercise of this Warrant), as adjusted in accordance with the provisions of this Warrant. Notwithstanding the foregoing, and without limiting Section 1(f) hereof, the Holder may elect, at its sole option, by delivery of written notice to the Company to waive this Section 4(b)(ii) to permit the Public Fundamental Transaction without the assumption of this Warrant.</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03" w:name="page204"/>
    <w:bookmarkEnd w:id="203"/>
    <w:p>
      <w:pPr>
        <w:jc w:val="both"/>
        <w:spacing w:after="0" w:line="269" w:lineRule="auto"/>
        <w:rPr>
          <w:sz w:val="20"/>
          <w:szCs w:val="20"/>
          <w:color w:val="auto"/>
        </w:rPr>
      </w:pPr>
      <w:r>
        <w:rPr>
          <w:rFonts w:ascii="Arial" w:cs="Arial" w:eastAsia="Arial" w:hAnsi="Arial"/>
          <w:sz w:val="17"/>
          <w:szCs w:val="17"/>
          <w:color w:val="auto"/>
        </w:rPr>
        <w:t>In addition to and not in substitution for any other rights hereunder, prior to the consummation of each Fundamental Transaction pursuant to which holders of shares of Common Stock are entitled to receive securities or other assets with respect to or in exchange for shares of Common Stock (a “</w:t>
      </w:r>
      <w:r>
        <w:rPr>
          <w:rFonts w:ascii="Arial" w:cs="Arial" w:eastAsia="Arial" w:hAnsi="Arial"/>
          <w:sz w:val="17"/>
          <w:szCs w:val="17"/>
          <w:b w:val="1"/>
          <w:bCs w:val="1"/>
          <w:color w:val="auto"/>
        </w:rPr>
        <w:t>Corporate</w:t>
      </w:r>
      <w:r>
        <w:rPr>
          <w:rFonts w:ascii="Arial" w:cs="Arial" w:eastAsia="Arial" w:hAnsi="Arial"/>
          <w:sz w:val="17"/>
          <w:szCs w:val="17"/>
          <w:color w:val="auto"/>
        </w:rPr>
        <w:t xml:space="preserve"> </w:t>
      </w:r>
      <w:r>
        <w:rPr>
          <w:rFonts w:ascii="Arial" w:cs="Arial" w:eastAsia="Arial" w:hAnsi="Arial"/>
          <w:sz w:val="17"/>
          <w:szCs w:val="17"/>
          <w:b w:val="1"/>
          <w:bCs w:val="1"/>
          <w:color w:val="auto"/>
        </w:rPr>
        <w:t>Event</w:t>
      </w:r>
      <w:r>
        <w:rPr>
          <w:rFonts w:ascii="Arial" w:cs="Arial" w:eastAsia="Arial" w:hAnsi="Arial"/>
          <w:sz w:val="17"/>
          <w:szCs w:val="17"/>
          <w:color w:val="auto"/>
        </w:rPr>
        <w:t>”), the Company shall make appropriate provision to insure that the Holder will thereafter have the right to receive upon an exercise of this Warrant</w:t>
      </w:r>
      <w:r>
        <w:rPr>
          <w:rFonts w:ascii="Arial" w:cs="Arial" w:eastAsia="Arial" w:hAnsi="Arial"/>
          <w:sz w:val="17"/>
          <w:szCs w:val="17"/>
          <w:b w:val="1"/>
          <w:bCs w:val="1"/>
          <w:color w:val="auto"/>
        </w:rPr>
        <w:t xml:space="preserve"> </w:t>
      </w:r>
      <w:r>
        <w:rPr>
          <w:rFonts w:ascii="Arial" w:cs="Arial" w:eastAsia="Arial" w:hAnsi="Arial"/>
          <w:sz w:val="17"/>
          <w:szCs w:val="17"/>
          <w:color w:val="auto"/>
        </w:rPr>
        <w:t>at any time after the consummation of the applicable Fundamental Transaction but prior to the Expiration Date, in lieu of the shares of the Common Stock (or other securities, cash, assets or other property (except such items still issuable under Sections 3 and 4(a) above, which shall continue to be receivable thereafter)) issuable upon the exercise of the Warrant prior to such Fundamental Transaction, such shares of stock, securities, cash, assets or any other property whatsoever (including warrants or other purchase or subscription rights) which the Holder would have been entitled to receive upon the happening of the applicable Fundamental Transaction had this Warrant been exercised immediately prior to the applicable Fundamental Transaction (without regard to any limitations on the exercise of this Warrant). Provision made pursuant to the preceding sentence shall be in a form and substance reasonably satisfactory to the Holder.</w:t>
      </w:r>
    </w:p>
    <w:p>
      <w:pPr>
        <w:spacing w:after="0" w:line="185" w:lineRule="exact"/>
        <w:rPr>
          <w:sz w:val="20"/>
          <w:szCs w:val="20"/>
          <w:color w:val="auto"/>
        </w:rPr>
      </w:pPr>
    </w:p>
    <w:p>
      <w:pPr>
        <w:jc w:val="both"/>
        <w:ind w:firstLine="1952"/>
        <w:spacing w:after="0" w:line="271" w:lineRule="auto"/>
        <w:tabs>
          <w:tab w:leader="none" w:pos="2198" w:val="left"/>
        </w:tabs>
        <w:numPr>
          <w:ilvl w:val="1"/>
          <w:numId w:val="203"/>
        </w:numPr>
        <w:rPr>
          <w:rFonts w:ascii="Arial" w:cs="Arial" w:eastAsia="Arial" w:hAnsi="Arial"/>
          <w:sz w:val="17"/>
          <w:szCs w:val="17"/>
          <w:color w:val="auto"/>
        </w:rPr>
      </w:pPr>
      <w:r>
        <w:rPr>
          <w:rFonts w:ascii="Arial" w:cs="Arial" w:eastAsia="Arial" w:hAnsi="Arial"/>
          <w:sz w:val="17"/>
          <w:szCs w:val="17"/>
          <w:u w:val="single" w:color="auto"/>
          <w:color w:val="auto"/>
        </w:rPr>
        <w:t>Holder Optional Redemptions</w:t>
      </w:r>
      <w:r>
        <w:rPr>
          <w:rFonts w:ascii="Arial" w:cs="Arial" w:eastAsia="Arial" w:hAnsi="Arial"/>
          <w:sz w:val="17"/>
          <w:szCs w:val="17"/>
          <w:color w:val="auto"/>
        </w:rPr>
        <w:t>. Notwithstanding the foregoing and the provisions of Section 4(b)(ii) above, at the request of the Holder delivered at any time commencing on the earliest to occur of (x) the public disclosure of any Public Fundamental Transaction, (y) the consummation of any Public Fundamental Transaction and (z) the Holder first becoming aware of any Public Fundamental Transaction through the date that is ninety (90) days after the public disclosure of the consummation of such Public Fundamental Transaction by the Company pursuant to a Current Report on Form 8-K filed with the SEC, the Company or the Successor Entity (as the case may be) shall purchase this Warrant from the Holder on the date of such request by paying to the Holder cash in an amount equal to the Black Scholes Value. Payment of such amounts shall be made by the Company (or at the Company’s direction) to the Holder on or prior to the later of (x) the second (2nd) Trading Day after the date of such request and (y) the date of consummation of such Public Fundamental Transaction.</w:t>
      </w:r>
    </w:p>
    <w:p>
      <w:pPr>
        <w:spacing w:after="0" w:line="178" w:lineRule="exact"/>
        <w:rPr>
          <w:rFonts w:ascii="Arial" w:cs="Arial" w:eastAsia="Arial" w:hAnsi="Arial"/>
          <w:sz w:val="17"/>
          <w:szCs w:val="17"/>
          <w:color w:val="auto"/>
        </w:rPr>
      </w:pPr>
    </w:p>
    <w:p>
      <w:pPr>
        <w:jc w:val="both"/>
        <w:ind w:firstLine="1952"/>
        <w:spacing w:after="0" w:line="301" w:lineRule="auto"/>
        <w:tabs>
          <w:tab w:leader="none" w:pos="2200" w:val="left"/>
        </w:tabs>
        <w:numPr>
          <w:ilvl w:val="1"/>
          <w:numId w:val="203"/>
        </w:numPr>
        <w:rPr>
          <w:rFonts w:ascii="Arial" w:cs="Arial" w:eastAsia="Arial" w:hAnsi="Arial"/>
          <w:sz w:val="16"/>
          <w:szCs w:val="16"/>
          <w:color w:val="auto"/>
        </w:rPr>
      </w:pPr>
      <w:r>
        <w:rPr>
          <w:rFonts w:ascii="Arial" w:cs="Arial" w:eastAsia="Arial" w:hAnsi="Arial"/>
          <w:sz w:val="16"/>
          <w:szCs w:val="16"/>
          <w:u w:val="single" w:color="auto"/>
          <w:color w:val="auto"/>
        </w:rPr>
        <w:t>Application</w:t>
      </w:r>
      <w:r>
        <w:rPr>
          <w:rFonts w:ascii="Arial" w:cs="Arial" w:eastAsia="Arial" w:hAnsi="Arial"/>
          <w:sz w:val="16"/>
          <w:szCs w:val="16"/>
          <w:color w:val="auto"/>
        </w:rPr>
        <w:t>. The provisions of this Section 4 shall apply similarly and equally to successive Fundamental Transactions and Corporate Events and shall be applied as if this Warrant (and any such subsequent warrants) were fully exercisable and without regard to any limitations on the exercise of this Warrant (provided that the Holder shall continue to be entitled to the benefit of the Maximum Percentage, applied however with respect to shares of capital stock registered under the Exchange Act and thereafter receivable upon exercise of this Warrant (or any such other warrant)).</w:t>
      </w:r>
    </w:p>
    <w:p>
      <w:pPr>
        <w:spacing w:after="0" w:line="157" w:lineRule="exact"/>
        <w:rPr>
          <w:rFonts w:ascii="Arial" w:cs="Arial" w:eastAsia="Arial" w:hAnsi="Arial"/>
          <w:sz w:val="16"/>
          <w:szCs w:val="16"/>
          <w:color w:val="auto"/>
        </w:rPr>
      </w:pPr>
    </w:p>
    <w:p>
      <w:pPr>
        <w:jc w:val="both"/>
        <w:ind w:firstLine="1304"/>
        <w:spacing w:after="0" w:line="268" w:lineRule="auto"/>
        <w:tabs>
          <w:tab w:leader="none" w:pos="1484" w:val="left"/>
        </w:tabs>
        <w:numPr>
          <w:ilvl w:val="0"/>
          <w:numId w:val="204"/>
        </w:numPr>
        <w:rPr>
          <w:rFonts w:ascii="Arial" w:cs="Arial" w:eastAsia="Arial" w:hAnsi="Arial"/>
          <w:sz w:val="17"/>
          <w:szCs w:val="17"/>
          <w:color w:val="auto"/>
        </w:rPr>
      </w:pPr>
      <w:r>
        <w:rPr>
          <w:rFonts w:ascii="Arial" w:cs="Arial" w:eastAsia="Arial" w:hAnsi="Arial"/>
          <w:sz w:val="17"/>
          <w:szCs w:val="17"/>
          <w:u w:val="single" w:color="auto"/>
          <w:color w:val="auto"/>
        </w:rPr>
        <w:t>NONCIRCUMVENTION</w:t>
      </w:r>
      <w:r>
        <w:rPr>
          <w:rFonts w:ascii="Arial" w:cs="Arial" w:eastAsia="Arial" w:hAnsi="Arial"/>
          <w:sz w:val="17"/>
          <w:szCs w:val="17"/>
          <w:color w:val="auto"/>
        </w:rPr>
        <w:t>. The Company hereby covenants and agrees that the Company will not, by amendment of its Certificate of Incorporation or Bylaws, or through any reorganization, transfer of assets, consolidation, merger, scheme of arrangement, dissolution, issuance or sale of securities, or any other voluntary action, avoid or seek to avoid the observance or performance of any of the terms of this Warrant, and will at all times in good faith carry out all of the provisions of this Warrant and take all action as may be required to protect the rights of the Holder. Without limiting the generality of the foregoing, the Company (i) shall not increase the par value of any shares of Common Stock receivable upon the exercise of this Warrant above the Exercise Price then in effect, (ii) shall take all such actions as may be necessary or appropriate in order that the Company may validly and legally issue fully paid and nonassessable shares of Common Stock upon the proper exercise of this Warrant by the Holder, and (iii) shall, so long as this Warrant is outstanding, take all action necessary to reserve and keep available out of its authorized and unissued shares of Common Stock, solely for the purpose of effecting the exercise of this Warrant, the number of shares of Common Stock as shall from time to time be necessary to effect the exercise of this Warrant (without regard to any limitations on exercise). Notwithstanding anything herein to the contrary, if after the sixty (60) calendar day anniversary of the Issuance Date, the Holder is not permitted to exercise this Warrant in full for any reason (other than pursuant to restrictions set forth in Section 1(f) hereof), the Company shall use its reasonable best efforts to promptly remedy such failure, including, without limitation, obtaining such consents or approvals as necessary to permit such exercise into shares of Common Stock.</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04" w:name="page205"/>
    <w:bookmarkEnd w:id="204"/>
    <w:p>
      <w:pPr>
        <w:jc w:val="both"/>
        <w:ind w:firstLine="1304"/>
        <w:spacing w:after="0" w:line="288" w:lineRule="auto"/>
        <w:tabs>
          <w:tab w:leader="none" w:pos="1488" w:val="left"/>
        </w:tabs>
        <w:numPr>
          <w:ilvl w:val="0"/>
          <w:numId w:val="205"/>
        </w:numPr>
        <w:rPr>
          <w:rFonts w:ascii="Arial" w:cs="Arial" w:eastAsia="Arial" w:hAnsi="Arial"/>
          <w:sz w:val="16"/>
          <w:szCs w:val="16"/>
          <w:color w:val="auto"/>
        </w:rPr>
      </w:pPr>
      <w:r>
        <w:rPr>
          <w:rFonts w:ascii="Arial" w:cs="Arial" w:eastAsia="Arial" w:hAnsi="Arial"/>
          <w:sz w:val="16"/>
          <w:szCs w:val="16"/>
          <w:u w:val="single" w:color="auto"/>
          <w:color w:val="auto"/>
        </w:rPr>
        <w:t>WARRANT HOLDER NOT DEEMED A STOCKHOLDER</w:t>
      </w:r>
      <w:r>
        <w:rPr>
          <w:rFonts w:ascii="Arial" w:cs="Arial" w:eastAsia="Arial" w:hAnsi="Arial"/>
          <w:sz w:val="16"/>
          <w:szCs w:val="16"/>
          <w:color w:val="auto"/>
        </w:rPr>
        <w:t>. Except as otherwise specifically provided herein, the Holder, solely in such Person’s capacity as a holder of this Warrant, shall not be entitled to vote or receive dividends or be deemed the holder of share capital of the Company for any purpose, nor shall anything contained in this Warrant be construed to confer upon the Holder, solely in such Person’s capacity as the Holder of this Warrant, any of the rights of a stockholder of the Company or any right to vote, give or withhold consent to any corporate action (whether any reorganization, issue of stock, reclassification of stock, consolidation, merger, conveyance or otherwise), receive notice of meetings, receive dividends or subscription rights, or otherwise, prior to the issuance to the Holder of the Warrant Shares which such Person is then entitled to receive upon the due exercise of this Warrant. In addition, nothing contained in this Warrant shall be construed as imposing any liabilities on the Holder to purchase any securities (upon exercise of this Warrant or otherwise) or as a stockholder of the Company, whether such liabilities are asserted by the Company or by creditors of the Company. Notwithstanding this Section 6, the Company shall provide the Holder with copies of the same notices and other information given to the stockholders of the Company generally, contemporaneously with the giving thereof to the stockholders.</w:t>
      </w:r>
    </w:p>
    <w:p>
      <w:pPr>
        <w:spacing w:after="0" w:line="168" w:lineRule="exact"/>
        <w:rPr>
          <w:rFonts w:ascii="Arial" w:cs="Arial" w:eastAsia="Arial" w:hAnsi="Arial"/>
          <w:sz w:val="16"/>
          <w:szCs w:val="16"/>
          <w:color w:val="auto"/>
        </w:rPr>
      </w:pPr>
    </w:p>
    <w:p>
      <w:pPr>
        <w:ind w:left="1480" w:hanging="176"/>
        <w:spacing w:after="0"/>
        <w:tabs>
          <w:tab w:leader="none" w:pos="1480" w:val="left"/>
        </w:tabs>
        <w:numPr>
          <w:ilvl w:val="0"/>
          <w:numId w:val="205"/>
        </w:numPr>
        <w:rPr>
          <w:rFonts w:ascii="Arial" w:cs="Arial" w:eastAsia="Arial" w:hAnsi="Arial"/>
          <w:sz w:val="18"/>
          <w:szCs w:val="18"/>
          <w:color w:val="auto"/>
        </w:rPr>
      </w:pPr>
      <w:r>
        <w:rPr>
          <w:rFonts w:ascii="Arial" w:cs="Arial" w:eastAsia="Arial" w:hAnsi="Arial"/>
          <w:sz w:val="18"/>
          <w:szCs w:val="18"/>
          <w:u w:val="single" w:color="auto"/>
          <w:color w:val="auto"/>
        </w:rPr>
        <w:t>REISSUANCE OF WARRANTS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firstLine="1952"/>
        <w:spacing w:after="0" w:line="254" w:lineRule="auto"/>
        <w:tabs>
          <w:tab w:leader="none" w:pos="2190" w:val="left"/>
        </w:tabs>
        <w:numPr>
          <w:ilvl w:val="1"/>
          <w:numId w:val="205"/>
        </w:numPr>
        <w:rPr>
          <w:rFonts w:ascii="Arial" w:cs="Arial" w:eastAsia="Arial" w:hAnsi="Arial"/>
          <w:sz w:val="18"/>
          <w:szCs w:val="18"/>
          <w:color w:val="auto"/>
        </w:rPr>
      </w:pPr>
      <w:r>
        <w:rPr>
          <w:rFonts w:ascii="Arial" w:cs="Arial" w:eastAsia="Arial" w:hAnsi="Arial"/>
          <w:sz w:val="18"/>
          <w:szCs w:val="18"/>
          <w:u w:val="single" w:color="auto"/>
          <w:color w:val="auto"/>
        </w:rPr>
        <w:t>Transfer of Warrant</w:t>
      </w:r>
      <w:r>
        <w:rPr>
          <w:rFonts w:ascii="Arial" w:cs="Arial" w:eastAsia="Arial" w:hAnsi="Arial"/>
          <w:sz w:val="18"/>
          <w:szCs w:val="18"/>
          <w:color w:val="auto"/>
        </w:rPr>
        <w:t>. If this Warrant is to be transferred and reissued to the transferee, the Holder shall surrender this Warrant to the Company together with a written assignment of this Warrant substantially in the form attached hereto duly executed by the Holder or its agent or attorney and funds sufficient to pay any transfer taxes payable upon the making of such transfer, whereupon the Company will forthwith issue and deliver upon the order of the Holder a new Warrant (in accordance with Section 7(d)), registered as the Holder may request, representing the right to purchase the number of Warrant Shares being transferred by the Holder and, if less than the total number of Warrant Shares then underlying this Warrant is being transferred, a new Warrant (in accordance with Section 7(d)) to the Holder representing the right to purchase the number of Warrant Shares not being transferred. For the avoidance of doubt, this Section 7(a) will not apply to a sale, transfer, pledge or assignment of this Warrant that does not involve a reissuance of this Warrant.</w:t>
      </w:r>
    </w:p>
    <w:p>
      <w:pPr>
        <w:spacing w:after="0" w:line="191" w:lineRule="exact"/>
        <w:rPr>
          <w:rFonts w:ascii="Arial" w:cs="Arial" w:eastAsia="Arial" w:hAnsi="Arial"/>
          <w:sz w:val="18"/>
          <w:szCs w:val="18"/>
          <w:color w:val="auto"/>
        </w:rPr>
      </w:pPr>
    </w:p>
    <w:p>
      <w:pPr>
        <w:jc w:val="both"/>
        <w:ind w:firstLine="1952"/>
        <w:spacing w:after="0" w:line="275" w:lineRule="auto"/>
        <w:tabs>
          <w:tab w:leader="none" w:pos="2205" w:val="left"/>
        </w:tabs>
        <w:numPr>
          <w:ilvl w:val="1"/>
          <w:numId w:val="205"/>
        </w:numPr>
        <w:rPr>
          <w:rFonts w:ascii="Arial" w:cs="Arial" w:eastAsia="Arial" w:hAnsi="Arial"/>
          <w:sz w:val="17"/>
          <w:szCs w:val="17"/>
          <w:color w:val="auto"/>
        </w:rPr>
      </w:pPr>
      <w:r>
        <w:rPr>
          <w:rFonts w:ascii="Arial" w:cs="Arial" w:eastAsia="Arial" w:hAnsi="Arial"/>
          <w:sz w:val="17"/>
          <w:szCs w:val="17"/>
          <w:u w:val="single" w:color="auto"/>
          <w:color w:val="auto"/>
        </w:rPr>
        <w:t>Lost, Stolen or Mutilated Warrant</w:t>
      </w:r>
      <w:r>
        <w:rPr>
          <w:rFonts w:ascii="Arial" w:cs="Arial" w:eastAsia="Arial" w:hAnsi="Arial"/>
          <w:sz w:val="17"/>
          <w:szCs w:val="17"/>
          <w:color w:val="auto"/>
        </w:rPr>
        <w:t>. Upon receipt by the Company of evidence reasonably satisfactory to the Company of the loss, theft, destruction or mutilation of this Warrant (as to which a written certification and the indemnification contemplated below shall suffice as such evidence), and, in the case of loss, theft or destruction, of any indemnification undertaking by the Holder to the Company in customary and reasonable form and, in the case of mutilation, upon surrender and cancellation of this Warrant, the Company shall execute and deliver to the Holder a new Warrant (in accordance with Section 7(d)) representing the right to purchase the Warrant Shares then underlying this Warrant.</w:t>
      </w:r>
    </w:p>
    <w:p>
      <w:pPr>
        <w:spacing w:after="0" w:line="176" w:lineRule="exact"/>
        <w:rPr>
          <w:rFonts w:ascii="Arial" w:cs="Arial" w:eastAsia="Arial" w:hAnsi="Arial"/>
          <w:sz w:val="17"/>
          <w:szCs w:val="17"/>
          <w:color w:val="auto"/>
        </w:rPr>
      </w:pPr>
    </w:p>
    <w:p>
      <w:pPr>
        <w:jc w:val="both"/>
        <w:ind w:firstLine="1952"/>
        <w:spacing w:after="0" w:line="301" w:lineRule="auto"/>
        <w:tabs>
          <w:tab w:leader="none" w:pos="2195" w:val="left"/>
        </w:tabs>
        <w:numPr>
          <w:ilvl w:val="1"/>
          <w:numId w:val="205"/>
        </w:numPr>
        <w:rPr>
          <w:rFonts w:ascii="Arial" w:cs="Arial" w:eastAsia="Arial" w:hAnsi="Arial"/>
          <w:sz w:val="16"/>
          <w:szCs w:val="16"/>
          <w:color w:val="auto"/>
        </w:rPr>
      </w:pPr>
      <w:r>
        <w:rPr>
          <w:rFonts w:ascii="Arial" w:cs="Arial" w:eastAsia="Arial" w:hAnsi="Arial"/>
          <w:sz w:val="16"/>
          <w:szCs w:val="16"/>
          <w:u w:val="single" w:color="auto"/>
          <w:color w:val="auto"/>
        </w:rPr>
        <w:t>Exchangeable for Multiple Warrants</w:t>
      </w:r>
      <w:r>
        <w:rPr>
          <w:rFonts w:ascii="Arial" w:cs="Arial" w:eastAsia="Arial" w:hAnsi="Arial"/>
          <w:sz w:val="16"/>
          <w:szCs w:val="16"/>
          <w:color w:val="auto"/>
        </w:rPr>
        <w:t xml:space="preserve">. This Warrant is exchangeable, upon the surrender hereof by the Holder at the principal office of the Company, for a new Warrant or Warrants (in accordance with Section 7(d)) representing in the aggregate the right to purchase the number of Warrant Shares then underlying this Warrant, and each such new Warrant will represent the right to purchase such portion of such Warrant Shares as is designated by the Holder at the time of such surrender;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no warrants for fractional shares of Common Stock shall be given.</w:t>
      </w:r>
    </w:p>
    <w:p>
      <w:pPr>
        <w:spacing w:after="0" w:line="157" w:lineRule="exact"/>
        <w:rPr>
          <w:rFonts w:ascii="Arial" w:cs="Arial" w:eastAsia="Arial" w:hAnsi="Arial"/>
          <w:sz w:val="16"/>
          <w:szCs w:val="16"/>
          <w:color w:val="auto"/>
        </w:rPr>
      </w:pPr>
    </w:p>
    <w:p>
      <w:pPr>
        <w:jc w:val="both"/>
        <w:ind w:firstLine="1952"/>
        <w:spacing w:after="0" w:line="293" w:lineRule="auto"/>
        <w:tabs>
          <w:tab w:leader="none" w:pos="2204" w:val="left"/>
        </w:tabs>
        <w:numPr>
          <w:ilvl w:val="1"/>
          <w:numId w:val="205"/>
        </w:numPr>
        <w:rPr>
          <w:rFonts w:ascii="Arial" w:cs="Arial" w:eastAsia="Arial" w:hAnsi="Arial"/>
          <w:sz w:val="16"/>
          <w:szCs w:val="16"/>
          <w:color w:val="auto"/>
        </w:rPr>
      </w:pPr>
      <w:r>
        <w:rPr>
          <w:rFonts w:ascii="Arial" w:cs="Arial" w:eastAsia="Arial" w:hAnsi="Arial"/>
          <w:sz w:val="16"/>
          <w:szCs w:val="16"/>
          <w:u w:val="single" w:color="auto"/>
          <w:color w:val="auto"/>
        </w:rPr>
        <w:t>Issuance of New Warrants</w:t>
      </w:r>
      <w:r>
        <w:rPr>
          <w:rFonts w:ascii="Arial" w:cs="Arial" w:eastAsia="Arial" w:hAnsi="Arial"/>
          <w:sz w:val="16"/>
          <w:szCs w:val="16"/>
          <w:color w:val="auto"/>
        </w:rPr>
        <w:t>. Whenever the Company is required to issue a new Warrant pursuant to the terms of this Warrant, such new Warrant (i) shall be of like tenor with this Warrant, (ii) shall represent, as indicated on the face of such new Warrant, the right to purchase the Warrant Shares then underlying this Warrant (or in the case of a new Warrant being issued pursuant to Section 7(a) or Section 7(c), the Warrant Shares designated by the Holder which, when added to the number of shares of Common Stock underlying the other new Warrants issued in connection with such issuance, does not exceed the number of Warrant Shares then underlying this Warrant), (iii) shall have an issuance date, as indicated on the face of such new Warrant which is the same as the Issuance Date, and (iv) shall have the same rights and conditions as this Warrant.</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05" w:name="page206"/>
    <w:bookmarkEnd w:id="205"/>
    <w:p>
      <w:pPr>
        <w:jc w:val="both"/>
        <w:ind w:firstLine="1304"/>
        <w:spacing w:after="0" w:line="296" w:lineRule="auto"/>
        <w:tabs>
          <w:tab w:leader="none" w:pos="1496" w:val="left"/>
        </w:tabs>
        <w:numPr>
          <w:ilvl w:val="0"/>
          <w:numId w:val="206"/>
        </w:numPr>
        <w:rPr>
          <w:rFonts w:ascii="Arial" w:cs="Arial" w:eastAsia="Arial" w:hAnsi="Arial"/>
          <w:sz w:val="16"/>
          <w:szCs w:val="16"/>
          <w:color w:val="auto"/>
        </w:rPr>
      </w:pPr>
      <w:r>
        <w:rPr>
          <w:rFonts w:ascii="Arial" w:cs="Arial" w:eastAsia="Arial" w:hAnsi="Arial"/>
          <w:sz w:val="16"/>
          <w:szCs w:val="16"/>
          <w:u w:val="single" w:color="auto"/>
          <w:color w:val="auto"/>
        </w:rPr>
        <w:t>NOTICES OF CHANGES IN WARRANT</w:t>
      </w:r>
      <w:r>
        <w:rPr>
          <w:rFonts w:ascii="Arial" w:cs="Arial" w:eastAsia="Arial" w:hAnsi="Arial"/>
          <w:sz w:val="16"/>
          <w:szCs w:val="16"/>
          <w:color w:val="auto"/>
        </w:rPr>
        <w:t>. Whenever notice is required to be given under this Warrant, unless otherwise provided herein, such notice shall be given in accordance with Section 8.2 of the Credit Agreement. Upon every adjustment of the Exercise Price or the number of shares of Common Stock issuable upon exercise of a Warrant, the Company shall give written notice thereof to the Holders, which notice shall state the Exercise Price resulting from such adjustment and the increase or decrease, if any, in the number of Warrant Shares purchasable at such price upon the exercise of a Warrant, setting forth in reasonable detail the method of calculation and the facts upon which such calculation is based.</w:t>
      </w:r>
    </w:p>
    <w:p>
      <w:pPr>
        <w:spacing w:after="0" w:line="161" w:lineRule="exact"/>
        <w:rPr>
          <w:rFonts w:ascii="Arial" w:cs="Arial" w:eastAsia="Arial" w:hAnsi="Arial"/>
          <w:sz w:val="16"/>
          <w:szCs w:val="16"/>
          <w:color w:val="auto"/>
        </w:rPr>
      </w:pPr>
    </w:p>
    <w:p>
      <w:pPr>
        <w:jc w:val="both"/>
        <w:ind w:firstLine="1304"/>
        <w:spacing w:after="0" w:line="301" w:lineRule="auto"/>
        <w:tabs>
          <w:tab w:leader="none" w:pos="1475" w:val="left"/>
        </w:tabs>
        <w:numPr>
          <w:ilvl w:val="0"/>
          <w:numId w:val="206"/>
        </w:numPr>
        <w:rPr>
          <w:rFonts w:ascii="Arial" w:cs="Arial" w:eastAsia="Arial" w:hAnsi="Arial"/>
          <w:sz w:val="16"/>
          <w:szCs w:val="16"/>
          <w:color w:val="auto"/>
        </w:rPr>
      </w:pPr>
      <w:r>
        <w:rPr>
          <w:rFonts w:ascii="Arial" w:cs="Arial" w:eastAsia="Arial" w:hAnsi="Arial"/>
          <w:sz w:val="16"/>
          <w:szCs w:val="16"/>
          <w:u w:val="single" w:color="auto"/>
          <w:color w:val="auto"/>
        </w:rPr>
        <w:t>AMENDMENT AND WAIVER</w:t>
      </w:r>
      <w:r>
        <w:rPr>
          <w:rFonts w:ascii="Arial" w:cs="Arial" w:eastAsia="Arial" w:hAnsi="Arial"/>
          <w:sz w:val="16"/>
          <w:szCs w:val="16"/>
          <w:color w:val="auto"/>
        </w:rPr>
        <w:t>. Except as otherwise provided herein, the provisions of this Warrant may be amended or waived and the Company may take any action herein prohibited, or omit to perform any act herein required to be performed by it, only if the Company has obtained the written consent of (i) the Holder, if there is one Holder, or (ii) the Holder or Holders of the Warrant or Warrants representing the majority of Warrant Shares if there is more than one Holder, and with respect to any amendment, the amendment is in writing and signed by the Company and the Holder.</w:t>
      </w:r>
    </w:p>
    <w:p>
      <w:pPr>
        <w:spacing w:after="0" w:line="157" w:lineRule="exact"/>
        <w:rPr>
          <w:rFonts w:ascii="Arial" w:cs="Arial" w:eastAsia="Arial" w:hAnsi="Arial"/>
          <w:sz w:val="16"/>
          <w:szCs w:val="16"/>
          <w:color w:val="auto"/>
        </w:rPr>
      </w:pPr>
    </w:p>
    <w:p>
      <w:pPr>
        <w:jc w:val="both"/>
        <w:ind w:firstLine="1304"/>
        <w:spacing w:after="0" w:line="283" w:lineRule="auto"/>
        <w:tabs>
          <w:tab w:leader="none" w:pos="1573" w:val="left"/>
        </w:tabs>
        <w:numPr>
          <w:ilvl w:val="0"/>
          <w:numId w:val="206"/>
        </w:numPr>
        <w:rPr>
          <w:rFonts w:ascii="Arial" w:cs="Arial" w:eastAsia="Arial" w:hAnsi="Arial"/>
          <w:sz w:val="16"/>
          <w:szCs w:val="16"/>
          <w:color w:val="auto"/>
        </w:rPr>
      </w:pPr>
      <w:r>
        <w:rPr>
          <w:rFonts w:ascii="Arial" w:cs="Arial" w:eastAsia="Arial" w:hAnsi="Arial"/>
          <w:sz w:val="16"/>
          <w:szCs w:val="16"/>
          <w:u w:val="single" w:color="auto"/>
          <w:color w:val="auto"/>
        </w:rPr>
        <w:t>GOVERNING LAW; JURISDICTION; JURY TRIAL</w:t>
      </w:r>
      <w:r>
        <w:rPr>
          <w:rFonts w:ascii="Arial" w:cs="Arial" w:eastAsia="Arial" w:hAnsi="Arial"/>
          <w:sz w:val="16"/>
          <w:szCs w:val="16"/>
          <w:color w:val="auto"/>
        </w:rPr>
        <w:t xml:space="preserve">. This Warrant shall be governed by and construed and enforced in accordance with, and all questions concerning the construction, validity, interpretation and performance of this Warrant shall be governed by, the internal laws of the State of New York, without giving effect to any choice of law or conflict of law provision or rule (whether of the State of New York or any other jurisdictions) that would cause the application of the laws of any jurisdictions other than the State of New York. The Company and the Holder each hereby irrevocably submits to the exclusive jurisdiction of the state and federal courts sitting in The City of New York, Borough of Manhattan, for the adjudication of any dispute hereunder or in connection herewith or with any transaction contemplated hereby or discussed herein, and hereby irrevocably waives, and agrees not to assert in any suit, action or proceeding, any claim that it is not personally subject to the jurisdiction of any such court, that such suit, action or proceeding is brought in an inconvenient forum or that the venue of such suit, action or proceeding is improper. The Company and the Holder each hereby irrevocably waives personal service of process and consents to process being served in any such suit, action or proceeding by mailing a copy thereof to the Company or such Holder, as applicable at the address set forth in Section 8.2 of the Credit Agreement and agrees that such service shall constitute good and sufficient service of process and notice thereof. Nothing contained herein shall be deemed to limit in any way any right to serve process in any manner permitted by law. Nothing contained herein shall be deemed or operate to preclude the Holder from bringing suit or taking other legal action against the Company in any other jurisdiction to collect on the Company’s obligations to the Holder, to realize on any collateral or any other security for such obligations, or to enforce a judgment or other court ruling in favor of the Holder. </w:t>
      </w:r>
      <w:r>
        <w:rPr>
          <w:rFonts w:ascii="Arial" w:cs="Arial" w:eastAsia="Arial" w:hAnsi="Arial"/>
          <w:sz w:val="16"/>
          <w:szCs w:val="16"/>
          <w:b w:val="1"/>
          <w:bCs w:val="1"/>
          <w:color w:val="auto"/>
        </w:rPr>
        <w:t>THE COMPANY HEREBY AND THE HOLDER EACH</w:t>
      </w:r>
    </w:p>
    <w:p>
      <w:pPr>
        <w:spacing w:after="0" w:line="1" w:lineRule="exact"/>
        <w:rPr>
          <w:rFonts w:ascii="Arial" w:cs="Arial" w:eastAsia="Arial" w:hAnsi="Arial"/>
          <w:sz w:val="16"/>
          <w:szCs w:val="16"/>
          <w:color w:val="auto"/>
        </w:rPr>
      </w:pPr>
    </w:p>
    <w:p>
      <w:pPr>
        <w:jc w:val="both"/>
        <w:spacing w:after="0" w:line="255" w:lineRule="auto"/>
        <w:rPr>
          <w:rFonts w:ascii="Arial" w:cs="Arial" w:eastAsia="Arial" w:hAnsi="Arial"/>
          <w:sz w:val="16"/>
          <w:szCs w:val="16"/>
          <w:color w:val="auto"/>
        </w:rPr>
      </w:pPr>
      <w:r>
        <w:rPr>
          <w:rFonts w:ascii="Arial" w:cs="Arial" w:eastAsia="Arial" w:hAnsi="Arial"/>
          <w:sz w:val="18"/>
          <w:szCs w:val="18"/>
          <w:b w:val="1"/>
          <w:bCs w:val="1"/>
          <w:color w:val="auto"/>
        </w:rPr>
        <w:t>IRREVOCABLY WAIVES ANY RIGHT IT MAY HAVE, AND AGREES NOT TO REQUEST, A JURY TRIAL FOR THE ADJUDICATION OF ANY DISPUTE HEREUNDER OR IN CONNECTION WITH OR ARISING OUT OF THIS WARRANT OR ANY TRANSACTION CONTEMPLATED HEREBY.</w:t>
      </w:r>
    </w:p>
    <w:p>
      <w:pPr>
        <w:spacing w:after="0" w:line="189" w:lineRule="exact"/>
        <w:rPr>
          <w:rFonts w:ascii="Arial" w:cs="Arial" w:eastAsia="Arial" w:hAnsi="Arial"/>
          <w:sz w:val="16"/>
          <w:szCs w:val="16"/>
          <w:color w:val="auto"/>
        </w:rPr>
      </w:pPr>
    </w:p>
    <w:p>
      <w:pPr>
        <w:jc w:val="both"/>
        <w:ind w:firstLine="1304"/>
        <w:spacing w:after="0" w:line="301" w:lineRule="auto"/>
        <w:tabs>
          <w:tab w:leader="none" w:pos="1576" w:val="left"/>
        </w:tabs>
        <w:numPr>
          <w:ilvl w:val="0"/>
          <w:numId w:val="206"/>
        </w:numPr>
        <w:rPr>
          <w:rFonts w:ascii="Arial" w:cs="Arial" w:eastAsia="Arial" w:hAnsi="Arial"/>
          <w:sz w:val="16"/>
          <w:szCs w:val="16"/>
          <w:color w:val="auto"/>
        </w:rPr>
      </w:pPr>
      <w:r>
        <w:rPr>
          <w:rFonts w:ascii="Arial" w:cs="Arial" w:eastAsia="Arial" w:hAnsi="Arial"/>
          <w:sz w:val="16"/>
          <w:szCs w:val="16"/>
          <w:u w:val="single" w:color="auto"/>
          <w:color w:val="auto"/>
        </w:rPr>
        <w:t>CONSTRUCTION; HEADINGS; BUSINESS DAYS</w:t>
      </w:r>
      <w:r>
        <w:rPr>
          <w:rFonts w:ascii="Arial" w:cs="Arial" w:eastAsia="Arial" w:hAnsi="Arial"/>
          <w:sz w:val="16"/>
          <w:szCs w:val="16"/>
          <w:color w:val="auto"/>
        </w:rPr>
        <w:t>. This Warrant shall be deemed to be jointly drafted by the Company and the Holder and shall not be construed against any Person as the drafter hereof. The headings of this Warrant are for convenience of reference and shall not form part of, or affect the interpretation of, this Warrant. If the last or appointed day for the taking of any action or the expiration of any right required or granted herein shall not be a Business Day, then, such action may be taken or such right may be exercised on the next succeeding Business Day.</w:t>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06" w:name="page207"/>
    <w:bookmarkEnd w:id="206"/>
    <w:p>
      <w:pPr>
        <w:jc w:val="both"/>
        <w:ind w:firstLine="1304"/>
        <w:spacing w:after="0" w:line="268" w:lineRule="auto"/>
        <w:tabs>
          <w:tab w:leader="none" w:pos="1577" w:val="left"/>
        </w:tabs>
        <w:numPr>
          <w:ilvl w:val="0"/>
          <w:numId w:val="207"/>
        </w:numPr>
        <w:rPr>
          <w:rFonts w:ascii="Arial" w:cs="Arial" w:eastAsia="Arial" w:hAnsi="Arial"/>
          <w:sz w:val="17"/>
          <w:szCs w:val="17"/>
          <w:color w:val="auto"/>
        </w:rPr>
      </w:pPr>
      <w:r>
        <w:rPr>
          <w:rFonts w:ascii="Arial" w:cs="Arial" w:eastAsia="Arial" w:hAnsi="Arial"/>
          <w:sz w:val="17"/>
          <w:szCs w:val="17"/>
          <w:u w:val="single" w:color="auto"/>
          <w:color w:val="auto"/>
        </w:rPr>
        <w:t>DISPUTE RESOLUTION</w:t>
      </w:r>
      <w:r>
        <w:rPr>
          <w:rFonts w:ascii="Arial" w:cs="Arial" w:eastAsia="Arial" w:hAnsi="Arial"/>
          <w:sz w:val="17"/>
          <w:szCs w:val="17"/>
          <w:color w:val="auto"/>
        </w:rPr>
        <w:t>. In the case of a dispute as to the determination of the Exercise Price or the arithmetic calculation of the Warrant Shares, the Company shall submit the disputed determinations or arithmetic calculations via facsimile or electronic mail within two (2) Business Days of receipt of the Exercise Notice giving rise to such dispute, as the case may be, to the Holder. If the Holder and the Company are unable to agree upon such determination or calculation of the Exercise Price or the Warrant Shares within three (3) Business Days of such disputed determination or arithmetic calculation being submitted to the Holder, then the Company shall, within two (2) Business Days submit via facsimile or electronic mail the dispute to a nationally recognized accounting firm selected by the Holder and reasonably satisfactory to the Company. If the Company does not object in writing to the selection of the accounting firm within two (2) Business Days of notice of the Holder’s selection, the Company will have deemed to have consented to such selection. If the Company does object, the Company shall provide the Holder its rationale for such rejection and five (5) acceptable alternative firms. The Company shall cause at its expense the accepted accounting firm to perform the determinations or calculations and notify the Company and the Holder of the results no later than three (3) Business Days from the time it receives the disputed determinations or calculations. Such accounting firm’s determination or calculation, as the case may be, shall be binding upon all parties absent demonstrable error. In the event that the accounting firm resolves the dispute in the Holder’s favor, a Delivery Failure will be deemed to have occurred and the Buy-In and other remedies available to the Holder under Section 1(c) will apply.</w:t>
      </w:r>
    </w:p>
    <w:p>
      <w:pPr>
        <w:spacing w:after="0" w:line="186" w:lineRule="exact"/>
        <w:rPr>
          <w:rFonts w:ascii="Arial" w:cs="Arial" w:eastAsia="Arial" w:hAnsi="Arial"/>
          <w:sz w:val="17"/>
          <w:szCs w:val="17"/>
          <w:color w:val="auto"/>
        </w:rPr>
      </w:pPr>
    </w:p>
    <w:p>
      <w:pPr>
        <w:jc w:val="both"/>
        <w:ind w:firstLine="1304"/>
        <w:spacing w:after="0" w:line="272" w:lineRule="auto"/>
        <w:tabs>
          <w:tab w:leader="none" w:pos="1579" w:val="left"/>
        </w:tabs>
        <w:numPr>
          <w:ilvl w:val="0"/>
          <w:numId w:val="207"/>
        </w:numPr>
        <w:rPr>
          <w:rFonts w:ascii="Arial" w:cs="Arial" w:eastAsia="Arial" w:hAnsi="Arial"/>
          <w:sz w:val="17"/>
          <w:szCs w:val="17"/>
          <w:color w:val="auto"/>
        </w:rPr>
      </w:pPr>
      <w:r>
        <w:rPr>
          <w:rFonts w:ascii="Arial" w:cs="Arial" w:eastAsia="Arial" w:hAnsi="Arial"/>
          <w:sz w:val="17"/>
          <w:szCs w:val="17"/>
          <w:u w:val="single" w:color="auto"/>
          <w:color w:val="auto"/>
        </w:rPr>
        <w:t>REMEDIES, OTHER OBLIGATIONS, BREACHES AND INJUNCTIVE RELIEF</w:t>
      </w:r>
      <w:r>
        <w:rPr>
          <w:rFonts w:ascii="Arial" w:cs="Arial" w:eastAsia="Arial" w:hAnsi="Arial"/>
          <w:sz w:val="17"/>
          <w:szCs w:val="17"/>
          <w:color w:val="auto"/>
        </w:rPr>
        <w:t>. The remedies provided in this Warrant shall be cumulative and in addition to all other remedies available under this Warrant and the other Loan Documents, at law or in equity (including a decree of specific performance and/or other injunctive relief), and nothing herein shall limit the right of the Holder to pursue actual damages for any failure by the Company to comply with the terms of this Warrant. The Company acknowledges that a breach by it of its obligations hereunder will cause irreparable harm to the Holder and that the remedy at law for any such breach may be inadequate. The Company therefore agrees that, in the event of any such breach or threatened breach, the Holder shall be entitled, in addition to all other available remedies, to an injunction restraining any breach, without the necessity of showing economic loss and without any bond or other security being required.</w:t>
      </w:r>
    </w:p>
    <w:p>
      <w:pPr>
        <w:spacing w:after="0" w:line="177" w:lineRule="exact"/>
        <w:rPr>
          <w:rFonts w:ascii="Arial" w:cs="Arial" w:eastAsia="Arial" w:hAnsi="Arial"/>
          <w:sz w:val="17"/>
          <w:szCs w:val="17"/>
          <w:color w:val="auto"/>
        </w:rPr>
      </w:pPr>
    </w:p>
    <w:p>
      <w:pPr>
        <w:jc w:val="both"/>
        <w:ind w:firstLine="1304"/>
        <w:spacing w:after="0" w:line="259" w:lineRule="auto"/>
        <w:tabs>
          <w:tab w:leader="none" w:pos="1566" w:val="left"/>
        </w:tabs>
        <w:numPr>
          <w:ilvl w:val="0"/>
          <w:numId w:val="207"/>
        </w:numPr>
        <w:rPr>
          <w:rFonts w:ascii="Arial" w:cs="Arial" w:eastAsia="Arial" w:hAnsi="Arial"/>
          <w:sz w:val="18"/>
          <w:szCs w:val="18"/>
          <w:color w:val="auto"/>
        </w:rPr>
      </w:pPr>
      <w:r>
        <w:rPr>
          <w:rFonts w:ascii="Arial" w:cs="Arial" w:eastAsia="Arial" w:hAnsi="Arial"/>
          <w:sz w:val="18"/>
          <w:szCs w:val="18"/>
          <w:u w:val="single" w:color="auto"/>
          <w:color w:val="auto"/>
        </w:rPr>
        <w:t>TRANSFER</w:t>
      </w:r>
      <w:r>
        <w:rPr>
          <w:rFonts w:ascii="Arial" w:cs="Arial" w:eastAsia="Arial" w:hAnsi="Arial"/>
          <w:sz w:val="18"/>
          <w:szCs w:val="18"/>
          <w:color w:val="auto"/>
        </w:rPr>
        <w:t>. This Warrant and the Warrant Shares may be offered for sale, sold, transferred, pledged or assigned without the consent of the Company, subject to compliance with applicable state and federal securities laws. The Holder acknowledges that the Warrant Shares acquired upon the exercise of this Warrant, if not registered, and the Holder does not utilize cashless exercise, will have restrictions upon resale imposed by state and federal securities laws.</w:t>
      </w:r>
    </w:p>
    <w:p>
      <w:pPr>
        <w:spacing w:after="0" w:line="186" w:lineRule="exact"/>
        <w:rPr>
          <w:rFonts w:ascii="Arial" w:cs="Arial" w:eastAsia="Arial" w:hAnsi="Arial"/>
          <w:sz w:val="18"/>
          <w:szCs w:val="18"/>
          <w:color w:val="auto"/>
        </w:rPr>
      </w:pPr>
    </w:p>
    <w:p>
      <w:pPr>
        <w:jc w:val="both"/>
        <w:ind w:firstLine="1304"/>
        <w:spacing w:after="0" w:line="271" w:lineRule="auto"/>
        <w:tabs>
          <w:tab w:leader="none" w:pos="1576" w:val="left"/>
        </w:tabs>
        <w:numPr>
          <w:ilvl w:val="0"/>
          <w:numId w:val="207"/>
        </w:numPr>
        <w:rPr>
          <w:rFonts w:ascii="Arial" w:cs="Arial" w:eastAsia="Arial" w:hAnsi="Arial"/>
          <w:sz w:val="17"/>
          <w:szCs w:val="17"/>
          <w:color w:val="auto"/>
        </w:rPr>
      </w:pPr>
      <w:r>
        <w:rPr>
          <w:rFonts w:ascii="Arial" w:cs="Arial" w:eastAsia="Arial" w:hAnsi="Arial"/>
          <w:sz w:val="17"/>
          <w:szCs w:val="17"/>
          <w:u w:val="single" w:color="auto"/>
          <w:color w:val="auto"/>
        </w:rPr>
        <w:t>SEVERABILITY</w:t>
      </w:r>
      <w:r>
        <w:rPr>
          <w:rFonts w:ascii="Arial" w:cs="Arial" w:eastAsia="Arial" w:hAnsi="Arial"/>
          <w:sz w:val="17"/>
          <w:szCs w:val="17"/>
          <w:color w:val="auto"/>
        </w:rPr>
        <w:t>. If any provision of this Warrant is prohibited by law or otherwise determined to be invalid or unenforceable by a court of competent jurisdiction, the provision that would otherwise be prohibited, invalid or unenforceable shall be deemed amended to apply to the broadest extent that it would be valid and enforceable, and the invalidity or unenforceability of such provision shall not affect the validity of the remaining provisions of this Warrant so long as this Warrant as so modified continues to express, without material change, the original intentions of the parties as to the subject matter hereof and the prohibited nature, invalidity or unenforceability of the provision(s) in question does not substantially impair the respective expectations or reciprocal obligations of the parties or the practical realization of the benefits that would otherwise be conferred upon the parties. The parties will endeavor in good faith negotiations to replace the prohibited, invalid or unenforceable provision(s) with a valid provision(s), the effect of which comes as close as possible to that of the prohibited, invalid or unenforceable provision(s).</w:t>
      </w:r>
    </w:p>
    <w:p>
      <w:pPr>
        <w:spacing w:after="0" w:line="178" w:lineRule="exact"/>
        <w:rPr>
          <w:rFonts w:ascii="Arial" w:cs="Arial" w:eastAsia="Arial" w:hAnsi="Arial"/>
          <w:sz w:val="17"/>
          <w:szCs w:val="17"/>
          <w:color w:val="auto"/>
        </w:rPr>
      </w:pPr>
    </w:p>
    <w:p>
      <w:pPr>
        <w:ind w:firstLine="1304"/>
        <w:spacing w:after="0" w:line="277" w:lineRule="auto"/>
        <w:tabs>
          <w:tab w:leader="none" w:pos="1566" w:val="left"/>
        </w:tabs>
        <w:numPr>
          <w:ilvl w:val="0"/>
          <w:numId w:val="207"/>
        </w:numPr>
        <w:rPr>
          <w:rFonts w:ascii="Arial" w:cs="Arial" w:eastAsia="Arial" w:hAnsi="Arial"/>
          <w:sz w:val="18"/>
          <w:szCs w:val="18"/>
          <w:color w:val="auto"/>
        </w:rPr>
      </w:pPr>
      <w:r>
        <w:rPr>
          <w:rFonts w:ascii="Arial" w:cs="Arial" w:eastAsia="Arial" w:hAnsi="Arial"/>
          <w:sz w:val="18"/>
          <w:szCs w:val="18"/>
          <w:u w:val="single" w:color="auto"/>
          <w:color w:val="auto"/>
        </w:rPr>
        <w:t>NO DISCLOSURE</w:t>
      </w:r>
      <w:r>
        <w:rPr>
          <w:rFonts w:ascii="Arial" w:cs="Arial" w:eastAsia="Arial" w:hAnsi="Arial"/>
          <w:sz w:val="18"/>
          <w:szCs w:val="18"/>
          <w:color w:val="auto"/>
        </w:rPr>
        <w:t>. The Company shall not provide material, non-public information or confidential or proprietary information to the Holder without such Holder’s written consent.</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07" w:name="page208"/>
    <w:bookmarkEnd w:id="207"/>
    <w:p>
      <w:pPr>
        <w:ind w:left="1580" w:hanging="276"/>
        <w:spacing w:after="0"/>
        <w:tabs>
          <w:tab w:leader="none" w:pos="1580" w:val="left"/>
        </w:tabs>
        <w:numPr>
          <w:ilvl w:val="0"/>
          <w:numId w:val="208"/>
        </w:numPr>
        <w:rPr>
          <w:rFonts w:ascii="Arial" w:cs="Arial" w:eastAsia="Arial" w:hAnsi="Arial"/>
          <w:sz w:val="18"/>
          <w:szCs w:val="18"/>
          <w:color w:val="auto"/>
        </w:rPr>
      </w:pPr>
      <w:r>
        <w:rPr>
          <w:rFonts w:ascii="Arial" w:cs="Arial" w:eastAsia="Arial" w:hAnsi="Arial"/>
          <w:sz w:val="18"/>
          <w:szCs w:val="18"/>
          <w:u w:val="single" w:color="auto"/>
          <w:color w:val="auto"/>
        </w:rPr>
        <w:t>REPRESENTATIONS OF HOLDERS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firstLine="1952"/>
        <w:spacing w:after="0" w:line="263" w:lineRule="auto"/>
        <w:tabs>
          <w:tab w:leader="none" w:pos="2193" w:val="left"/>
        </w:tabs>
        <w:numPr>
          <w:ilvl w:val="1"/>
          <w:numId w:val="208"/>
        </w:numPr>
        <w:rPr>
          <w:rFonts w:ascii="Arial" w:cs="Arial" w:eastAsia="Arial" w:hAnsi="Arial"/>
          <w:sz w:val="18"/>
          <w:szCs w:val="18"/>
          <w:color w:val="auto"/>
        </w:rPr>
      </w:pPr>
      <w:r>
        <w:rPr>
          <w:rFonts w:ascii="Arial" w:cs="Arial" w:eastAsia="Arial" w:hAnsi="Arial"/>
          <w:sz w:val="18"/>
          <w:szCs w:val="18"/>
          <w:u w:val="single" w:color="auto"/>
          <w:color w:val="auto"/>
        </w:rPr>
        <w:t>Investment Intent</w:t>
      </w:r>
      <w:r>
        <w:rPr>
          <w:rFonts w:ascii="Arial" w:cs="Arial" w:eastAsia="Arial" w:hAnsi="Arial"/>
          <w:sz w:val="18"/>
          <w:szCs w:val="18"/>
          <w:color w:val="auto"/>
        </w:rPr>
        <w:t>. Each Holder represents and warrants that it is acquiring this Warrant and the Warrant Shares (collectively, the “</w:t>
      </w:r>
      <w:r>
        <w:rPr>
          <w:rFonts w:ascii="Arial" w:cs="Arial" w:eastAsia="Arial" w:hAnsi="Arial"/>
          <w:sz w:val="18"/>
          <w:szCs w:val="18"/>
          <w:b w:val="1"/>
          <w:bCs w:val="1"/>
          <w:color w:val="auto"/>
        </w:rPr>
        <w:t>Securities</w:t>
      </w:r>
      <w:r>
        <w:rPr>
          <w:rFonts w:ascii="Arial" w:cs="Arial" w:eastAsia="Arial" w:hAnsi="Arial"/>
          <w:sz w:val="18"/>
          <w:szCs w:val="18"/>
          <w:color w:val="auto"/>
        </w:rPr>
        <w:t>”), solely for its beneficial account, for investment purposes, and not with a view to, or for resale in connection with, any distribution of the Securities in violation of applicable securities laws.</w:t>
      </w:r>
    </w:p>
    <w:p>
      <w:pPr>
        <w:spacing w:after="0" w:line="183" w:lineRule="exact"/>
        <w:rPr>
          <w:rFonts w:ascii="Arial" w:cs="Arial" w:eastAsia="Arial" w:hAnsi="Arial"/>
          <w:sz w:val="18"/>
          <w:szCs w:val="18"/>
          <w:color w:val="auto"/>
        </w:rPr>
      </w:pPr>
    </w:p>
    <w:p>
      <w:pPr>
        <w:jc w:val="both"/>
        <w:ind w:firstLine="1952"/>
        <w:spacing w:after="0" w:line="286" w:lineRule="auto"/>
        <w:tabs>
          <w:tab w:leader="none" w:pos="2206" w:val="left"/>
        </w:tabs>
        <w:numPr>
          <w:ilvl w:val="1"/>
          <w:numId w:val="208"/>
        </w:numPr>
        <w:rPr>
          <w:rFonts w:ascii="Arial" w:cs="Arial" w:eastAsia="Arial" w:hAnsi="Arial"/>
          <w:sz w:val="17"/>
          <w:szCs w:val="17"/>
          <w:color w:val="auto"/>
        </w:rPr>
      </w:pPr>
      <w:r>
        <w:rPr>
          <w:rFonts w:ascii="Arial" w:cs="Arial" w:eastAsia="Arial" w:hAnsi="Arial"/>
          <w:sz w:val="17"/>
          <w:szCs w:val="17"/>
          <w:u w:val="single" w:color="auto"/>
          <w:color w:val="auto"/>
        </w:rPr>
        <w:t>Unregistered Securities</w:t>
      </w:r>
      <w:r>
        <w:rPr>
          <w:rFonts w:ascii="Arial" w:cs="Arial" w:eastAsia="Arial" w:hAnsi="Arial"/>
          <w:sz w:val="17"/>
          <w:szCs w:val="17"/>
          <w:color w:val="auto"/>
        </w:rPr>
        <w:t>. Each Holder represents and warrants that it understands that the Securities have not been registered under the Securities Act or any state securities laws by reason of specific exemptions under the provisions thereof, the availability of which depend in part upon the bona fide nature of its investment intent and upon the accuracy of its representations made herein.</w:t>
      </w:r>
    </w:p>
    <w:p>
      <w:pPr>
        <w:spacing w:after="0" w:line="165" w:lineRule="exact"/>
        <w:rPr>
          <w:rFonts w:ascii="Arial" w:cs="Arial" w:eastAsia="Arial" w:hAnsi="Arial"/>
          <w:sz w:val="17"/>
          <w:szCs w:val="17"/>
          <w:color w:val="auto"/>
        </w:rPr>
      </w:pPr>
    </w:p>
    <w:p>
      <w:pPr>
        <w:jc w:val="both"/>
        <w:ind w:firstLine="1952"/>
        <w:spacing w:after="0" w:line="263" w:lineRule="auto"/>
        <w:tabs>
          <w:tab w:leader="none" w:pos="2249" w:val="left"/>
        </w:tabs>
        <w:numPr>
          <w:ilvl w:val="1"/>
          <w:numId w:val="208"/>
        </w:numPr>
        <w:rPr>
          <w:rFonts w:ascii="Arial" w:cs="Arial" w:eastAsia="Arial" w:hAnsi="Arial"/>
          <w:sz w:val="18"/>
          <w:szCs w:val="18"/>
          <w:color w:val="auto"/>
        </w:rPr>
      </w:pPr>
      <w:r>
        <w:rPr>
          <w:rFonts w:ascii="Arial" w:cs="Arial" w:eastAsia="Arial" w:hAnsi="Arial"/>
          <w:sz w:val="18"/>
          <w:szCs w:val="18"/>
          <w:u w:val="single" w:color="auto"/>
          <w:color w:val="auto"/>
        </w:rPr>
        <w:t>Reliance</w:t>
      </w:r>
      <w:r>
        <w:rPr>
          <w:rFonts w:ascii="Arial" w:cs="Arial" w:eastAsia="Arial" w:hAnsi="Arial"/>
          <w:sz w:val="18"/>
          <w:szCs w:val="18"/>
          <w:color w:val="auto"/>
        </w:rPr>
        <w:t>. Each Holder represents and warrants that it understands that the Company is relying in part upon the representations and agreements of the Holders contained herein for the purpose of determining whether the offer, sale and issuance of the Securities meet the requirements for such exemptions described in Section 17(b).</w:t>
      </w:r>
    </w:p>
    <w:p>
      <w:pPr>
        <w:spacing w:after="0" w:line="183" w:lineRule="exact"/>
        <w:rPr>
          <w:rFonts w:ascii="Arial" w:cs="Arial" w:eastAsia="Arial" w:hAnsi="Arial"/>
          <w:sz w:val="18"/>
          <w:szCs w:val="18"/>
          <w:color w:val="auto"/>
        </w:rPr>
      </w:pPr>
    </w:p>
    <w:p>
      <w:pPr>
        <w:ind w:left="2200" w:hanging="248"/>
        <w:spacing w:after="0"/>
        <w:tabs>
          <w:tab w:leader="none" w:pos="2200" w:val="left"/>
        </w:tabs>
        <w:numPr>
          <w:ilvl w:val="1"/>
          <w:numId w:val="208"/>
        </w:numPr>
        <w:rPr>
          <w:rFonts w:ascii="Arial" w:cs="Arial" w:eastAsia="Arial" w:hAnsi="Arial"/>
          <w:sz w:val="16"/>
          <w:szCs w:val="16"/>
          <w:color w:val="auto"/>
        </w:rPr>
      </w:pPr>
      <w:r>
        <w:rPr>
          <w:rFonts w:ascii="Arial" w:cs="Arial" w:eastAsia="Arial" w:hAnsi="Arial"/>
          <w:sz w:val="16"/>
          <w:szCs w:val="16"/>
          <w:u w:val="single" w:color="auto"/>
          <w:color w:val="auto"/>
        </w:rPr>
        <w:t>Accredited Investor</w:t>
      </w:r>
      <w:r>
        <w:rPr>
          <w:rFonts w:ascii="Arial" w:cs="Arial" w:eastAsia="Arial" w:hAnsi="Arial"/>
          <w:sz w:val="16"/>
          <w:szCs w:val="16"/>
          <w:color w:val="auto"/>
        </w:rPr>
        <w:t>. Each Holder represents and warrants that it is an “accredited investor” as defined in Rule 501(a) under</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the Securities Act.</w:t>
      </w:r>
    </w:p>
    <w:p>
      <w:pPr>
        <w:spacing w:after="0" w:line="210" w:lineRule="exact"/>
        <w:rPr>
          <w:rFonts w:ascii="Arial" w:cs="Arial" w:eastAsia="Arial" w:hAnsi="Arial"/>
          <w:sz w:val="16"/>
          <w:szCs w:val="16"/>
          <w:color w:val="auto"/>
        </w:rPr>
      </w:pPr>
    </w:p>
    <w:p>
      <w:pPr>
        <w:jc w:val="both"/>
        <w:ind w:firstLine="1952"/>
        <w:spacing w:after="0" w:line="263" w:lineRule="auto"/>
        <w:tabs>
          <w:tab w:leader="none" w:pos="2209" w:val="left"/>
        </w:tabs>
        <w:numPr>
          <w:ilvl w:val="1"/>
          <w:numId w:val="208"/>
        </w:numPr>
        <w:rPr>
          <w:rFonts w:ascii="Arial" w:cs="Arial" w:eastAsia="Arial" w:hAnsi="Arial"/>
          <w:sz w:val="18"/>
          <w:szCs w:val="18"/>
          <w:color w:val="auto"/>
        </w:rPr>
      </w:pPr>
      <w:r>
        <w:rPr>
          <w:rFonts w:ascii="Arial" w:cs="Arial" w:eastAsia="Arial" w:hAnsi="Arial"/>
          <w:sz w:val="18"/>
          <w:szCs w:val="18"/>
          <w:u w:val="single" w:color="auto"/>
          <w:color w:val="auto"/>
        </w:rPr>
        <w:t>Sophisticated Investor</w:t>
      </w:r>
      <w:r>
        <w:rPr>
          <w:rFonts w:ascii="Arial" w:cs="Arial" w:eastAsia="Arial" w:hAnsi="Arial"/>
          <w:sz w:val="18"/>
          <w:szCs w:val="18"/>
          <w:color w:val="auto"/>
        </w:rPr>
        <w:t>. Each Holder represents and warrants that it has such knowledge, skill and experience in business, financial and investment matters that it is capable of evaluating the merits and risks of an investment in the Securities, including experience in and knowledge of the industry in which the Company operates.</w:t>
      </w:r>
    </w:p>
    <w:p>
      <w:pPr>
        <w:spacing w:after="0" w:line="183" w:lineRule="exact"/>
        <w:rPr>
          <w:rFonts w:ascii="Arial" w:cs="Arial" w:eastAsia="Arial" w:hAnsi="Arial"/>
          <w:sz w:val="18"/>
          <w:szCs w:val="18"/>
          <w:color w:val="auto"/>
        </w:rPr>
      </w:pPr>
    </w:p>
    <w:p>
      <w:pPr>
        <w:jc w:val="both"/>
        <w:ind w:firstLine="1952"/>
        <w:spacing w:after="0" w:line="263" w:lineRule="auto"/>
        <w:tabs>
          <w:tab w:leader="none" w:pos="2173" w:val="left"/>
        </w:tabs>
        <w:numPr>
          <w:ilvl w:val="1"/>
          <w:numId w:val="208"/>
        </w:numPr>
        <w:rPr>
          <w:rFonts w:ascii="Arial" w:cs="Arial" w:eastAsia="Arial" w:hAnsi="Arial"/>
          <w:sz w:val="18"/>
          <w:szCs w:val="18"/>
          <w:color w:val="auto"/>
        </w:rPr>
      </w:pPr>
      <w:r>
        <w:rPr>
          <w:rFonts w:ascii="Arial" w:cs="Arial" w:eastAsia="Arial" w:hAnsi="Arial"/>
          <w:sz w:val="18"/>
          <w:szCs w:val="18"/>
          <w:u w:val="single" w:color="auto"/>
          <w:color w:val="auto"/>
        </w:rPr>
        <w:t>Restricted Securities</w:t>
      </w:r>
      <w:r>
        <w:rPr>
          <w:rFonts w:ascii="Arial" w:cs="Arial" w:eastAsia="Arial" w:hAnsi="Arial"/>
          <w:sz w:val="18"/>
          <w:szCs w:val="18"/>
          <w:color w:val="auto"/>
        </w:rPr>
        <w:t>. Each Holder represents and warrants that it understand that the Securities will be “restricted securities” under applicable federal securities laws and that the Securities Act and the rules of the SEC provide in substance that it may dispose of the Securities only pursuant to an effective registration statement under the Securities Act or an exemption therefrom.</w:t>
      </w:r>
    </w:p>
    <w:p>
      <w:pPr>
        <w:spacing w:after="0" w:line="183" w:lineRule="exact"/>
        <w:rPr>
          <w:rFonts w:ascii="Arial" w:cs="Arial" w:eastAsia="Arial" w:hAnsi="Arial"/>
          <w:sz w:val="18"/>
          <w:szCs w:val="18"/>
          <w:color w:val="auto"/>
        </w:rPr>
      </w:pPr>
    </w:p>
    <w:p>
      <w:pPr>
        <w:jc w:val="both"/>
        <w:ind w:firstLine="1952"/>
        <w:spacing w:after="0" w:line="270" w:lineRule="auto"/>
        <w:tabs>
          <w:tab w:leader="none" w:pos="2215" w:val="left"/>
        </w:tabs>
        <w:numPr>
          <w:ilvl w:val="1"/>
          <w:numId w:val="208"/>
        </w:numPr>
        <w:rPr>
          <w:rFonts w:ascii="Arial" w:cs="Arial" w:eastAsia="Arial" w:hAnsi="Arial"/>
          <w:sz w:val="17"/>
          <w:szCs w:val="17"/>
          <w:color w:val="auto"/>
        </w:rPr>
      </w:pPr>
      <w:r>
        <w:rPr>
          <w:rFonts w:ascii="Arial" w:cs="Arial" w:eastAsia="Arial" w:hAnsi="Arial"/>
          <w:sz w:val="17"/>
          <w:szCs w:val="17"/>
          <w:u w:val="single" w:color="auto"/>
          <w:color w:val="auto"/>
        </w:rPr>
        <w:t>Information</w:t>
      </w:r>
      <w:r>
        <w:rPr>
          <w:rFonts w:ascii="Arial" w:cs="Arial" w:eastAsia="Arial" w:hAnsi="Arial"/>
          <w:sz w:val="17"/>
          <w:szCs w:val="17"/>
          <w:color w:val="auto"/>
        </w:rPr>
        <w:t>. Each Holder represents and warrants that it has been furnished by the Company all information (or provided access to all information) regarding the business and financial condition of the Company, the attributes of the Securities, and the merits and risks of an investment in such Securities which it has requested or otherwise needs to evaluate the investment in such Securities; that in making the proposed investment decision, such Holder is relying solely on such information, the representations, warranties and agreements of the Company and the other Loan Parties contained herein and in the other Loan Documents and on investigations made by it and its representatives; that the offer to sell the Securities hereunder was communicated to such Holder in such a manner that it was able to ask questions of and receive answers from the management of the Company concerning the terms and conditions of the proposed transaction and that at no time was it presented with or solicited by or through any leaflet, public promotional meeting, television advertisement or any other form of general or public advertising or solicitation; and such Holder recognizes that an investment in the Securities involves risks and can result in a total loss of all funds invested.</w:t>
      </w:r>
    </w:p>
    <w:p>
      <w:pPr>
        <w:spacing w:after="0" w:line="180" w:lineRule="exact"/>
        <w:rPr>
          <w:rFonts w:ascii="Arial" w:cs="Arial" w:eastAsia="Arial" w:hAnsi="Arial"/>
          <w:sz w:val="17"/>
          <w:szCs w:val="17"/>
          <w:color w:val="auto"/>
        </w:rPr>
      </w:pPr>
    </w:p>
    <w:p>
      <w:pPr>
        <w:jc w:val="both"/>
        <w:ind w:firstLine="1952"/>
        <w:spacing w:after="0" w:line="287" w:lineRule="auto"/>
        <w:tabs>
          <w:tab w:leader="none" w:pos="2209" w:val="left"/>
        </w:tabs>
        <w:numPr>
          <w:ilvl w:val="1"/>
          <w:numId w:val="208"/>
        </w:numPr>
        <w:rPr>
          <w:rFonts w:ascii="Arial" w:cs="Arial" w:eastAsia="Arial" w:hAnsi="Arial"/>
          <w:sz w:val="16"/>
          <w:szCs w:val="16"/>
          <w:color w:val="auto"/>
        </w:rPr>
      </w:pPr>
      <w:r>
        <w:rPr>
          <w:rFonts w:ascii="Arial" w:cs="Arial" w:eastAsia="Arial" w:hAnsi="Arial"/>
          <w:sz w:val="16"/>
          <w:szCs w:val="16"/>
          <w:u w:val="single" w:color="auto"/>
          <w:color w:val="auto"/>
        </w:rPr>
        <w:t>Non-Reliance</w:t>
      </w:r>
      <w:r>
        <w:rPr>
          <w:rFonts w:ascii="Arial" w:cs="Arial" w:eastAsia="Arial" w:hAnsi="Arial"/>
          <w:sz w:val="16"/>
          <w:szCs w:val="16"/>
          <w:color w:val="auto"/>
        </w:rPr>
        <w:t xml:space="preserve">. Notwithstanding anything in this Warrant to the contrary, each Holder hereby acknowledges, with respect to itself, that the Company may possess material non-public information with respect to the Company and/or its securities not known to each Holder as of the date hereof or at a time when each Holder exercises its right to purchase Warrant Shares pursuant to this Warrant and that any such information may impact the value of the Warrant and the Warrant Shares. Each Holder with respect to itself irrevocably waives any claim, or potential claim, that it may have based on the failure of the Company or its Affiliates, officers, directors, employees, agents or other representatives to disclose such information in connection with the execution and delivery of this Warrant or the purchase of Warrant Shares hereunder;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notwithstanding anything in this Section 17(h) or otherwise to the contrary, each Holder does not and shall not be deemed to have waived or otherwise compromised any rights or claims based upon or arising out of (i) the Company’s disclosure obligations under the federal securities laws with respect to any untrue statement of a material fact or omission to state a material fact necessary in order to make the statements made, in the light of the circumstances under which they were made, not misleading in any public statement or filing made by the Company pursuant to the Exchange Act, or (ii) any breach or inaccuracy of any representation or warranty of the Company or any other Loan Party in the Credit Agreement or any other Loan Document. Each Holder with respect to itself acknowledges that the Company would not enter into this Warrant in the absence of the agreements set forth in this Section 17.</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08" w:name="page209"/>
    <w:bookmarkEnd w:id="208"/>
    <w:p>
      <w:pPr>
        <w:ind w:left="1580" w:hanging="276"/>
        <w:spacing w:after="0"/>
        <w:tabs>
          <w:tab w:leader="none" w:pos="1580" w:val="left"/>
        </w:tabs>
        <w:numPr>
          <w:ilvl w:val="1"/>
          <w:numId w:val="209"/>
        </w:numPr>
        <w:rPr>
          <w:rFonts w:ascii="Arial" w:cs="Arial" w:eastAsia="Arial" w:hAnsi="Arial"/>
          <w:sz w:val="18"/>
          <w:szCs w:val="18"/>
          <w:color w:val="auto"/>
        </w:rPr>
      </w:pPr>
      <w:r>
        <w:rPr>
          <w:rFonts w:ascii="Arial" w:cs="Arial" w:eastAsia="Arial" w:hAnsi="Arial"/>
          <w:sz w:val="18"/>
          <w:szCs w:val="18"/>
          <w:u w:val="single" w:color="auto"/>
          <w:color w:val="auto"/>
        </w:rPr>
        <w:t>REPRESENTATIONS OF THE COMPANY</w:t>
      </w:r>
      <w:r>
        <w:rPr>
          <w:rFonts w:ascii="Arial" w:cs="Arial" w:eastAsia="Arial" w:hAnsi="Arial"/>
          <w:sz w:val="18"/>
          <w:szCs w:val="18"/>
          <w:color w:val="auto"/>
        </w:rPr>
        <w:t>. The Company represents and warrants to the Holder that:</w:t>
      </w:r>
    </w:p>
    <w:p>
      <w:pPr>
        <w:spacing w:after="0" w:line="225" w:lineRule="exact"/>
        <w:rPr>
          <w:rFonts w:ascii="Arial" w:cs="Arial" w:eastAsia="Arial" w:hAnsi="Arial"/>
          <w:sz w:val="18"/>
          <w:szCs w:val="18"/>
          <w:color w:val="auto"/>
        </w:rPr>
      </w:pPr>
    </w:p>
    <w:p>
      <w:pPr>
        <w:ind w:left="2200" w:hanging="248"/>
        <w:spacing w:after="0"/>
        <w:tabs>
          <w:tab w:leader="none" w:pos="2200" w:val="left"/>
        </w:tabs>
        <w:numPr>
          <w:ilvl w:val="2"/>
          <w:numId w:val="209"/>
        </w:numPr>
        <w:rPr>
          <w:rFonts w:ascii="Arial" w:cs="Arial" w:eastAsia="Arial" w:hAnsi="Arial"/>
          <w:sz w:val="16"/>
          <w:szCs w:val="16"/>
          <w:color w:val="auto"/>
        </w:rPr>
      </w:pPr>
      <w:r>
        <w:rPr>
          <w:rFonts w:ascii="Arial" w:cs="Arial" w:eastAsia="Arial" w:hAnsi="Arial"/>
          <w:sz w:val="16"/>
          <w:szCs w:val="16"/>
          <w:color w:val="auto"/>
        </w:rPr>
        <w:t>The Company (i) is duly organized, validly existing and in good standing under the laws of its jurisdiction of incorporation;</w:t>
      </w:r>
    </w:p>
    <w:p>
      <w:pPr>
        <w:spacing w:after="0" w:line="46" w:lineRule="exact"/>
        <w:rPr>
          <w:rFonts w:ascii="Arial" w:cs="Arial" w:eastAsia="Arial" w:hAnsi="Arial"/>
          <w:sz w:val="16"/>
          <w:szCs w:val="16"/>
          <w:color w:val="auto"/>
        </w:rPr>
      </w:pPr>
    </w:p>
    <w:p>
      <w:pPr>
        <w:jc w:val="both"/>
        <w:ind w:firstLine="8"/>
        <w:spacing w:after="0" w:line="286" w:lineRule="auto"/>
        <w:tabs>
          <w:tab w:leader="none" w:pos="278" w:val="left"/>
        </w:tabs>
        <w:numPr>
          <w:ilvl w:val="0"/>
          <w:numId w:val="210"/>
        </w:numPr>
        <w:rPr>
          <w:rFonts w:ascii="Arial" w:cs="Arial" w:eastAsia="Arial" w:hAnsi="Arial"/>
          <w:sz w:val="16"/>
          <w:szCs w:val="16"/>
          <w:color w:val="auto"/>
        </w:rPr>
      </w:pPr>
      <w:r>
        <w:rPr>
          <w:rFonts w:ascii="Arial" w:cs="Arial" w:eastAsia="Arial" w:hAnsi="Arial"/>
          <w:sz w:val="16"/>
          <w:szCs w:val="16"/>
          <w:color w:val="auto"/>
        </w:rPr>
        <w:t>has the requisite power and authority to own, lease and operate its properties, to carry on its business as it is now being conducted and to enter into, deliver and perform its obligations under this Warrant; and (iii) is duly licensed or qualified to conduct its business and, if applicable, is in good standing under the laws of each jurisdiction (other than its jurisdiction of incorporation) in which the conduct of its business or the ownership of its properties or assets requires such license or qualification, except, with respect to the foregoing clause (iii), where the failure to be in good standing would not reasonably be expected to have a Company Material Adverse Effect. For purposes of this Warrant, a “</w:t>
      </w:r>
      <w:r>
        <w:rPr>
          <w:rFonts w:ascii="Arial" w:cs="Arial" w:eastAsia="Arial" w:hAnsi="Arial"/>
          <w:sz w:val="16"/>
          <w:szCs w:val="16"/>
          <w:b w:val="1"/>
          <w:bCs w:val="1"/>
          <w:color w:val="auto"/>
        </w:rPr>
        <w:t>Company Material Adverse Effect</w:t>
      </w:r>
      <w:r>
        <w:rPr>
          <w:rFonts w:ascii="Arial" w:cs="Arial" w:eastAsia="Arial" w:hAnsi="Arial"/>
          <w:sz w:val="16"/>
          <w:szCs w:val="16"/>
          <w:color w:val="auto"/>
        </w:rPr>
        <w:t>” means an event, change, development, occurrence, condition or effect with respect to the Company and its subsidiaries, taken together as a whole (on a consolidated basis), that, individually or in the aggregate, (A) would reasonably be expected to have a material adverse effect on the business, financial condition or results of operations of the Company and its subsidiaries, taken together as a whole (on a consolidated basis) or (B) would prevent, materially delay or materially impede the performance by the Company or its subsidiaries of their respective obligations under this Warrant or the other Loan Documents.</w:t>
      </w:r>
    </w:p>
    <w:p>
      <w:pPr>
        <w:spacing w:after="0" w:line="172" w:lineRule="exact"/>
        <w:rPr>
          <w:rFonts w:ascii="Arial" w:cs="Arial" w:eastAsia="Arial" w:hAnsi="Arial"/>
          <w:sz w:val="16"/>
          <w:szCs w:val="16"/>
          <w:color w:val="auto"/>
        </w:rPr>
      </w:pPr>
    </w:p>
    <w:p>
      <w:pPr>
        <w:jc w:val="both"/>
        <w:ind w:firstLine="1952"/>
        <w:spacing w:after="0" w:line="301" w:lineRule="auto"/>
        <w:tabs>
          <w:tab w:leader="none" w:pos="2239" w:val="left"/>
        </w:tabs>
        <w:numPr>
          <w:ilvl w:val="2"/>
          <w:numId w:val="210"/>
        </w:numPr>
        <w:rPr>
          <w:rFonts w:ascii="Arial" w:cs="Arial" w:eastAsia="Arial" w:hAnsi="Arial"/>
          <w:sz w:val="16"/>
          <w:szCs w:val="16"/>
          <w:color w:val="auto"/>
        </w:rPr>
      </w:pPr>
      <w:r>
        <w:rPr>
          <w:rFonts w:ascii="Arial" w:cs="Arial" w:eastAsia="Arial" w:hAnsi="Arial"/>
          <w:sz w:val="16"/>
          <w:szCs w:val="16"/>
          <w:color w:val="auto"/>
        </w:rPr>
        <w:t>This Warrant is duly authorized, validly issued and constitutes legal, valid and binding obligations of the Company, enforceable against the Company in accordance with its terms, except that the enforcement thereof may be subject to applicable bankruptcy, insolvency or similar laws affecting creditors’ rights generally or by equitable principles relating to enforceability (collectively, the “</w:t>
      </w:r>
      <w:r>
        <w:rPr>
          <w:rFonts w:ascii="Arial" w:cs="Arial" w:eastAsia="Arial" w:hAnsi="Arial"/>
          <w:sz w:val="16"/>
          <w:szCs w:val="16"/>
          <w:b w:val="1"/>
          <w:bCs w:val="1"/>
          <w:color w:val="auto"/>
        </w:rPr>
        <w:t>Enforceability Exceptions</w:t>
      </w:r>
      <w:r>
        <w:rPr>
          <w:rFonts w:ascii="Arial" w:cs="Arial" w:eastAsia="Arial" w:hAnsi="Arial"/>
          <w:sz w:val="16"/>
          <w:szCs w:val="16"/>
          <w:color w:val="auto"/>
        </w:rPr>
        <w:t>”), and has not been issued in violation of any preemptive rights created under the Company’s organizational documents or the laws of the State of Delaware.</w:t>
      </w:r>
    </w:p>
    <w:p>
      <w:pPr>
        <w:spacing w:after="0" w:line="157" w:lineRule="exact"/>
        <w:rPr>
          <w:rFonts w:ascii="Arial" w:cs="Arial" w:eastAsia="Arial" w:hAnsi="Arial"/>
          <w:sz w:val="16"/>
          <w:szCs w:val="16"/>
          <w:color w:val="auto"/>
        </w:rPr>
      </w:pPr>
    </w:p>
    <w:p>
      <w:pPr>
        <w:jc w:val="both"/>
        <w:ind w:firstLine="1952"/>
        <w:spacing w:after="0" w:line="263" w:lineRule="auto"/>
        <w:tabs>
          <w:tab w:leader="none" w:pos="2220" w:val="left"/>
        </w:tabs>
        <w:numPr>
          <w:ilvl w:val="2"/>
          <w:numId w:val="210"/>
        </w:numPr>
        <w:rPr>
          <w:rFonts w:ascii="Arial" w:cs="Arial" w:eastAsia="Arial" w:hAnsi="Arial"/>
          <w:sz w:val="18"/>
          <w:szCs w:val="18"/>
          <w:color w:val="auto"/>
        </w:rPr>
      </w:pPr>
      <w:r>
        <w:rPr>
          <w:rFonts w:ascii="Arial" w:cs="Arial" w:eastAsia="Arial" w:hAnsi="Arial"/>
          <w:sz w:val="18"/>
          <w:szCs w:val="18"/>
          <w:color w:val="auto"/>
        </w:rPr>
        <w:t>The Warrant Shares have been duly authorized and, when issued and delivered to the Holder upon conversion of this Warrant, will be validly issued, fully paid and nonassessable and will not have been issued in violation of any preemptive rights created under the Company’s organizational documents or the laws of the State of Delaware.</w:t>
      </w:r>
    </w:p>
    <w:p>
      <w:pPr>
        <w:spacing w:after="0" w:line="183" w:lineRule="exact"/>
        <w:rPr>
          <w:rFonts w:ascii="Arial" w:cs="Arial" w:eastAsia="Arial" w:hAnsi="Arial"/>
          <w:sz w:val="18"/>
          <w:szCs w:val="18"/>
          <w:color w:val="auto"/>
        </w:rPr>
      </w:pPr>
    </w:p>
    <w:p>
      <w:pPr>
        <w:jc w:val="both"/>
        <w:ind w:firstLine="1952"/>
        <w:spacing w:after="0" w:line="270" w:lineRule="auto"/>
        <w:tabs>
          <w:tab w:leader="none" w:pos="2212" w:val="left"/>
        </w:tabs>
        <w:numPr>
          <w:ilvl w:val="2"/>
          <w:numId w:val="210"/>
        </w:numPr>
        <w:rPr>
          <w:rFonts w:ascii="Arial" w:cs="Arial" w:eastAsia="Arial" w:hAnsi="Arial"/>
          <w:sz w:val="17"/>
          <w:szCs w:val="17"/>
          <w:color w:val="auto"/>
        </w:rPr>
      </w:pPr>
      <w:r>
        <w:rPr>
          <w:rFonts w:ascii="Arial" w:cs="Arial" w:eastAsia="Arial" w:hAnsi="Arial"/>
          <w:sz w:val="17"/>
          <w:szCs w:val="17"/>
          <w:color w:val="auto"/>
        </w:rPr>
        <w:t>The execution and delivery of this Warrant, the issuance and delivery of the Warrant Shares in accordance with the terms hereof and the compliance by the Company with all of the provisions of this Warrant and the consummation of the transactions contemplated herein will not conflict with or result in a breach or violation of any of the terms or provisions of, or constitute a default under, or result in the creation or imposition of any lien, charge or encumbrance upon any of the property or assets of the Company pursuant to the terms of (i) any indenture, mortgage, deed of trust, loan agreement, lease, license or other agreement or instrument to which the Company is a party or by which the Company is bound or to which any of the property or assets of the Company is subject; (ii) the organizational documents of the Company; or (iii) any statute or any judgment, order, rule or regulation of any court or governmental agency or body, domestic or foreign, having jurisdiction over the Company or any of its properties that, in the case of clauses (i) and (iii), would reasonably be expected to have a Company Material Adverse Effect or have a material adverse effect on the Company’s ability to consummate the transactions contemplated hereby.</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09" w:name="page210"/>
    <w:bookmarkEnd w:id="209"/>
    <w:p>
      <w:pPr>
        <w:jc w:val="both"/>
        <w:ind w:firstLine="1952"/>
        <w:spacing w:after="0" w:line="285" w:lineRule="auto"/>
        <w:tabs>
          <w:tab w:leader="none" w:pos="2208" w:val="left"/>
        </w:tabs>
        <w:numPr>
          <w:ilvl w:val="1"/>
          <w:numId w:val="211"/>
        </w:numPr>
        <w:rPr>
          <w:rFonts w:ascii="Arial" w:cs="Arial" w:eastAsia="Arial" w:hAnsi="Arial"/>
          <w:sz w:val="16"/>
          <w:szCs w:val="16"/>
          <w:color w:val="auto"/>
        </w:rPr>
      </w:pPr>
      <w:r>
        <w:rPr>
          <w:rFonts w:ascii="Arial" w:cs="Arial" w:eastAsia="Arial" w:hAnsi="Arial"/>
          <w:sz w:val="16"/>
          <w:szCs w:val="16"/>
          <w:color w:val="auto"/>
        </w:rPr>
        <w:t>Assuming the accuracy of the representations and warranties of the Holder, the Company is not required to obtain any consent, waiver, authorization or order of, give any notice to, or make any filing or registration with, any court or other federal, state, local or other governmental authority, self-regulatory organization (including the Nasdaq Stock Market) or other person in connection with the execution, delivery and performance of this Warrant, other than (i) filings required by applicable state securities laws, (ii) the filing of the registration statement pursuant to the First Amendment Registration Rights Agreement, (iii) the filing of a Notice of Exempt Offering of Securities on Form D with the SEC, if applicable and</w:t>
      </w:r>
    </w:p>
    <w:p>
      <w:pPr>
        <w:spacing w:after="0" w:line="1" w:lineRule="exact"/>
        <w:rPr>
          <w:rFonts w:ascii="Arial" w:cs="Arial" w:eastAsia="Arial" w:hAnsi="Arial"/>
          <w:sz w:val="16"/>
          <w:szCs w:val="16"/>
          <w:color w:val="auto"/>
        </w:rPr>
      </w:pPr>
    </w:p>
    <w:p>
      <w:pPr>
        <w:ind w:firstLine="8"/>
        <w:spacing w:after="0" w:line="260" w:lineRule="auto"/>
        <w:tabs>
          <w:tab w:leader="none" w:pos="307" w:val="left"/>
        </w:tabs>
        <w:numPr>
          <w:ilvl w:val="0"/>
          <w:numId w:val="212"/>
        </w:numPr>
        <w:rPr>
          <w:rFonts w:ascii="Arial" w:cs="Arial" w:eastAsia="Arial" w:hAnsi="Arial"/>
          <w:sz w:val="18"/>
          <w:szCs w:val="18"/>
          <w:color w:val="auto"/>
        </w:rPr>
      </w:pPr>
      <w:r>
        <w:rPr>
          <w:rFonts w:ascii="Arial" w:cs="Arial" w:eastAsia="Arial" w:hAnsi="Arial"/>
          <w:sz w:val="18"/>
          <w:szCs w:val="18"/>
          <w:color w:val="auto"/>
        </w:rPr>
        <w:t>those the failure of which to obtain would not be reasonably likely to have a Company Material Adverse Effect or have a material adverse effect on the Company’s ability to consummate the transactions contemplated hereby.</w:t>
      </w:r>
    </w:p>
    <w:p>
      <w:pPr>
        <w:spacing w:after="0" w:line="185" w:lineRule="exact"/>
        <w:rPr>
          <w:rFonts w:ascii="Arial" w:cs="Arial" w:eastAsia="Arial" w:hAnsi="Arial"/>
          <w:sz w:val="18"/>
          <w:szCs w:val="18"/>
          <w:color w:val="auto"/>
        </w:rPr>
      </w:pPr>
    </w:p>
    <w:p>
      <w:pPr>
        <w:jc w:val="both"/>
        <w:ind w:firstLine="1952"/>
        <w:spacing w:after="0" w:line="291" w:lineRule="auto"/>
        <w:tabs>
          <w:tab w:leader="none" w:pos="2168" w:val="left"/>
        </w:tabs>
        <w:numPr>
          <w:ilvl w:val="1"/>
          <w:numId w:val="212"/>
        </w:numPr>
        <w:rPr>
          <w:rFonts w:ascii="Arial" w:cs="Arial" w:eastAsia="Arial" w:hAnsi="Arial"/>
          <w:sz w:val="16"/>
          <w:szCs w:val="16"/>
          <w:color w:val="auto"/>
        </w:rPr>
      </w:pPr>
      <w:r>
        <w:rPr>
          <w:rFonts w:ascii="Arial" w:cs="Arial" w:eastAsia="Arial" w:hAnsi="Arial"/>
          <w:sz w:val="16"/>
          <w:szCs w:val="16"/>
          <w:color w:val="auto"/>
        </w:rPr>
        <w:t>As of their respective dates, all reports required to be filed by the Company with the SEC (the “</w:t>
      </w:r>
      <w:r>
        <w:rPr>
          <w:rFonts w:ascii="Arial" w:cs="Arial" w:eastAsia="Arial" w:hAnsi="Arial"/>
          <w:sz w:val="16"/>
          <w:szCs w:val="16"/>
          <w:b w:val="1"/>
          <w:bCs w:val="1"/>
          <w:i w:val="1"/>
          <w:iCs w:val="1"/>
          <w:color w:val="auto"/>
        </w:rPr>
        <w:t>SEC Reports</w:t>
      </w:r>
      <w:r>
        <w:rPr>
          <w:rFonts w:ascii="Arial" w:cs="Arial" w:eastAsia="Arial" w:hAnsi="Arial"/>
          <w:sz w:val="16"/>
          <w:szCs w:val="16"/>
          <w:color w:val="auto"/>
        </w:rPr>
        <w:t>”) complied in all material respects with the requirements of the Exchange Act, and the rules and regulations of the SEC promulgated thereunder, and none of the SEC Reports, when filed, contained any untrue statement of a material fact or omitted to state a material fact required to be stated therein or necessary in order to make the statements therein, in the light of the circumstances under which they were made, not misleading. The financial statements of the Company included in the SEC Reports comply in all material respects with applicable accounting requirements and the rules and regulations of the SEC with respect thereto as in effect at the time of filing and fairly present in all material respects the financial position of the Company as of and for the dates thereof and the results of operations and cash flows for the periods then ended, subject, in the case of unaudited statements, to normal, year-end audit adjustments.</w:t>
      </w:r>
    </w:p>
    <w:p>
      <w:pPr>
        <w:spacing w:after="0" w:line="166" w:lineRule="exact"/>
        <w:rPr>
          <w:rFonts w:ascii="Arial" w:cs="Arial" w:eastAsia="Arial" w:hAnsi="Arial"/>
          <w:sz w:val="16"/>
          <w:szCs w:val="16"/>
          <w:color w:val="auto"/>
        </w:rPr>
      </w:pPr>
    </w:p>
    <w:p>
      <w:pPr>
        <w:jc w:val="both"/>
        <w:ind w:firstLine="1952"/>
        <w:spacing w:after="0" w:line="275" w:lineRule="auto"/>
        <w:tabs>
          <w:tab w:leader="none" w:pos="2208" w:val="left"/>
        </w:tabs>
        <w:numPr>
          <w:ilvl w:val="1"/>
          <w:numId w:val="212"/>
        </w:numPr>
        <w:rPr>
          <w:rFonts w:ascii="Arial" w:cs="Arial" w:eastAsia="Arial" w:hAnsi="Arial"/>
          <w:sz w:val="17"/>
          <w:szCs w:val="17"/>
          <w:color w:val="auto"/>
        </w:rPr>
      </w:pPr>
      <w:r>
        <w:rPr>
          <w:rFonts w:ascii="Arial" w:cs="Arial" w:eastAsia="Arial" w:hAnsi="Arial"/>
          <w:sz w:val="17"/>
          <w:szCs w:val="17"/>
          <w:color w:val="auto"/>
        </w:rPr>
        <w:t>Except for such matters as have not had and would not be reasonably likely to have a Company Material Adverse Effect or have a material adverse effect on the Company’s ability to consummate the transactions contemplated hereby, there is no (i) suit, action, investigation, proceeding or arbitration before a governmental authority or arbitrator pending, or, to the knowledge of the Company, threatened in writing against the Company or any of its directors or officers in their capacities as such or (ii) judgment, decree, injunction, ruling or order of any governmental authority or arbitrator outstanding against the Company or any of its directors or officers in their capacities as such.</w:t>
      </w:r>
    </w:p>
    <w:p>
      <w:pPr>
        <w:spacing w:after="0" w:line="176" w:lineRule="exact"/>
        <w:rPr>
          <w:rFonts w:ascii="Arial" w:cs="Arial" w:eastAsia="Arial" w:hAnsi="Arial"/>
          <w:sz w:val="17"/>
          <w:szCs w:val="17"/>
          <w:color w:val="auto"/>
        </w:rPr>
      </w:pPr>
    </w:p>
    <w:p>
      <w:pPr>
        <w:jc w:val="both"/>
        <w:ind w:firstLine="1952"/>
        <w:spacing w:after="0" w:line="255" w:lineRule="auto"/>
        <w:tabs>
          <w:tab w:leader="none" w:pos="2208" w:val="left"/>
        </w:tabs>
        <w:numPr>
          <w:ilvl w:val="1"/>
          <w:numId w:val="212"/>
        </w:numPr>
        <w:rPr>
          <w:rFonts w:ascii="Arial" w:cs="Arial" w:eastAsia="Arial" w:hAnsi="Arial"/>
          <w:sz w:val="18"/>
          <w:szCs w:val="18"/>
          <w:color w:val="auto"/>
        </w:rPr>
      </w:pPr>
      <w:r>
        <w:rPr>
          <w:rFonts w:ascii="Arial" w:cs="Arial" w:eastAsia="Arial" w:hAnsi="Arial"/>
          <w:sz w:val="18"/>
          <w:szCs w:val="18"/>
          <w:color w:val="auto"/>
        </w:rPr>
        <w:t>Except for such matters as have not had and would not be reasonably likely to have a Company Material Adverse Effect or have a material adverse effect on the Company’s ability to consummate the transactions contemplated hereby, the Company is, and has been since its inception, in compliance with all laws applicable to the conduct of the business of the Company. The Company has not received any written, or to its knowledge, other communication from a governmental entity that alleges that the Company is not in compliance with or is in default or violation of any applicable law, except where such noncompliance, default or violation would not be reasonably expected to have, individually or in the aggregate, a Company Material Adverse Effect.</w:t>
      </w:r>
    </w:p>
    <w:p>
      <w:pPr>
        <w:spacing w:after="0" w:line="192" w:lineRule="exact"/>
        <w:rPr>
          <w:rFonts w:ascii="Arial" w:cs="Arial" w:eastAsia="Arial" w:hAnsi="Arial"/>
          <w:sz w:val="18"/>
          <w:szCs w:val="18"/>
          <w:color w:val="auto"/>
        </w:rPr>
      </w:pPr>
    </w:p>
    <w:p>
      <w:pPr>
        <w:jc w:val="both"/>
        <w:ind w:firstLine="1952"/>
        <w:spacing w:after="0" w:line="263" w:lineRule="auto"/>
        <w:tabs>
          <w:tab w:leader="none" w:pos="2162" w:val="left"/>
        </w:tabs>
        <w:numPr>
          <w:ilvl w:val="1"/>
          <w:numId w:val="212"/>
        </w:numPr>
        <w:rPr>
          <w:rFonts w:ascii="Arial" w:cs="Arial" w:eastAsia="Arial" w:hAnsi="Arial"/>
          <w:sz w:val="18"/>
          <w:szCs w:val="18"/>
          <w:color w:val="auto"/>
        </w:rPr>
      </w:pPr>
      <w:r>
        <w:rPr>
          <w:rFonts w:ascii="Arial" w:cs="Arial" w:eastAsia="Arial" w:hAnsi="Arial"/>
          <w:sz w:val="18"/>
          <w:szCs w:val="18"/>
          <w:color w:val="auto"/>
        </w:rPr>
        <w:t>The Company has all franchises, permits, licenses and any similar authority necessary for the conduct of its business as now being conducted by it, the lack of which would have a material adverse effect, and to the Company’s knowledge, the Company is not in default in any material respect under any of such franchises, permits, licenses or other authority.</w:t>
      </w:r>
    </w:p>
    <w:p>
      <w:pPr>
        <w:spacing w:after="0" w:line="183" w:lineRule="exact"/>
        <w:rPr>
          <w:rFonts w:ascii="Arial" w:cs="Arial" w:eastAsia="Arial" w:hAnsi="Arial"/>
          <w:sz w:val="18"/>
          <w:szCs w:val="18"/>
          <w:color w:val="auto"/>
        </w:rPr>
      </w:pPr>
    </w:p>
    <w:p>
      <w:pPr>
        <w:jc w:val="both"/>
        <w:ind w:firstLine="1952"/>
        <w:spacing w:after="0" w:line="259" w:lineRule="auto"/>
        <w:tabs>
          <w:tab w:leader="none" w:pos="2160" w:val="left"/>
        </w:tabs>
        <w:numPr>
          <w:ilvl w:val="1"/>
          <w:numId w:val="212"/>
        </w:numPr>
        <w:rPr>
          <w:rFonts w:ascii="Arial" w:cs="Arial" w:eastAsia="Arial" w:hAnsi="Arial"/>
          <w:sz w:val="18"/>
          <w:szCs w:val="18"/>
          <w:color w:val="auto"/>
        </w:rPr>
      </w:pPr>
      <w:r>
        <w:rPr>
          <w:rFonts w:ascii="Arial" w:cs="Arial" w:eastAsia="Arial" w:hAnsi="Arial"/>
          <w:sz w:val="18"/>
          <w:szCs w:val="18"/>
          <w:color w:val="auto"/>
        </w:rPr>
        <w:t>There is no action, suit, proceeding or investigation pending or, to the Company’s knowledge, currently threatened in writing against the Company that questions the validity of this Warrant or the right of the Company to enter into this Warrant, or to consummate the transactions contemplated hereby, or that might result, if determined adversely to the Company, in a material adverse effect, or in any material change in the current equity ownership of the Company.</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10" w:name="page211"/>
    <w:bookmarkEnd w:id="210"/>
    <w:p>
      <w:pPr>
        <w:jc w:val="both"/>
        <w:ind w:firstLine="1952"/>
        <w:spacing w:after="0" w:line="291" w:lineRule="auto"/>
        <w:tabs>
          <w:tab w:leader="none" w:pos="2210" w:val="left"/>
        </w:tabs>
        <w:numPr>
          <w:ilvl w:val="1"/>
          <w:numId w:val="213"/>
        </w:numPr>
        <w:rPr>
          <w:rFonts w:ascii="Arial" w:cs="Arial" w:eastAsia="Arial" w:hAnsi="Arial"/>
          <w:sz w:val="16"/>
          <w:szCs w:val="16"/>
          <w:color w:val="auto"/>
        </w:rPr>
      </w:pPr>
      <w:r>
        <w:rPr>
          <w:rFonts w:ascii="Arial" w:cs="Arial" w:eastAsia="Arial" w:hAnsi="Arial"/>
          <w:sz w:val="16"/>
          <w:szCs w:val="16"/>
          <w:color w:val="auto"/>
        </w:rPr>
        <w:t>To the Company’s knowledge, the Company owns or possesses sufficient legal rights to all (a) patents, patent applications and inventions; (b) trademarks, service marks, trade names, trade dress, logos, domain names or corporate names and registrations and applications for registration thereof, together with all of the goodwill associated therewith; (c) copyrights (registered or unregistered) and copyrightable works and registrations and applications for registrations thereof; (d) computer software, data, and databases and documentation thereof; (e) trade secrets and other confidential information; and (f) licenses, information and proprietary rights and processes necessary for its business as now conducted. The Company has not received any written communications alleging that the Company has violated or, by conducting its business as proposed, would violate any of the patents, trademarks, service marks, trade names, copyrights or trade secrets or other proprietary rights of any other person or entity.</w:t>
      </w:r>
    </w:p>
    <w:p>
      <w:pPr>
        <w:spacing w:after="0" w:line="166" w:lineRule="exact"/>
        <w:rPr>
          <w:rFonts w:ascii="Arial" w:cs="Arial" w:eastAsia="Arial" w:hAnsi="Arial"/>
          <w:sz w:val="16"/>
          <w:szCs w:val="16"/>
          <w:color w:val="auto"/>
        </w:rPr>
      </w:pPr>
    </w:p>
    <w:p>
      <w:pPr>
        <w:ind w:left="1580" w:hanging="276"/>
        <w:spacing w:after="0"/>
        <w:tabs>
          <w:tab w:leader="none" w:pos="1580" w:val="left"/>
        </w:tabs>
        <w:numPr>
          <w:ilvl w:val="0"/>
          <w:numId w:val="214"/>
        </w:numPr>
        <w:rPr>
          <w:rFonts w:ascii="Arial" w:cs="Arial" w:eastAsia="Arial" w:hAnsi="Arial"/>
          <w:sz w:val="18"/>
          <w:szCs w:val="18"/>
          <w:color w:val="auto"/>
        </w:rPr>
      </w:pPr>
      <w:r>
        <w:rPr>
          <w:rFonts w:ascii="Arial" w:cs="Arial" w:eastAsia="Arial" w:hAnsi="Arial"/>
          <w:sz w:val="18"/>
          <w:szCs w:val="18"/>
          <w:u w:val="single" w:color="auto"/>
          <w:color w:val="auto"/>
        </w:rPr>
        <w:t>CERTAIN DEFINITIONS</w:t>
      </w:r>
      <w:r>
        <w:rPr>
          <w:rFonts w:ascii="Arial" w:cs="Arial" w:eastAsia="Arial" w:hAnsi="Arial"/>
          <w:sz w:val="18"/>
          <w:szCs w:val="18"/>
          <w:color w:val="auto"/>
        </w:rPr>
        <w:t>. For purposes of this Warrant, the following terms shall have the following meanings:</w:t>
      </w:r>
    </w:p>
    <w:p>
      <w:pPr>
        <w:spacing w:after="0" w:line="221" w:lineRule="exact"/>
        <w:rPr>
          <w:rFonts w:ascii="Arial" w:cs="Arial" w:eastAsia="Arial" w:hAnsi="Arial"/>
          <w:sz w:val="18"/>
          <w:szCs w:val="18"/>
          <w:color w:val="auto"/>
        </w:rPr>
      </w:pPr>
    </w:p>
    <w:p>
      <w:pPr>
        <w:ind w:firstLine="1952"/>
        <w:spacing w:after="0" w:line="282" w:lineRule="auto"/>
        <w:tabs>
          <w:tab w:leader="none" w:pos="2191" w:val="left"/>
        </w:tabs>
        <w:numPr>
          <w:ilvl w:val="1"/>
          <w:numId w:val="21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Affiliate</w:t>
      </w:r>
      <w:r>
        <w:rPr>
          <w:rFonts w:ascii="Arial" w:cs="Arial" w:eastAsia="Arial" w:hAnsi="Arial"/>
          <w:sz w:val="18"/>
          <w:szCs w:val="18"/>
          <w:color w:val="auto"/>
        </w:rPr>
        <w:t>” means any Person that, directly or indirectly through one or more intermediaries, controls or is controlled by or is under common control with a Person, as such terms are used in and construed under Rule 405 under the Securities Act.</w:t>
      </w:r>
    </w:p>
    <w:p>
      <w:pPr>
        <w:spacing w:after="0" w:line="161" w:lineRule="exact"/>
        <w:rPr>
          <w:rFonts w:ascii="Arial" w:cs="Arial" w:eastAsia="Arial" w:hAnsi="Arial"/>
          <w:sz w:val="18"/>
          <w:szCs w:val="18"/>
          <w:color w:val="auto"/>
        </w:rPr>
      </w:pPr>
    </w:p>
    <w:p>
      <w:pPr>
        <w:jc w:val="both"/>
        <w:ind w:firstLine="1952"/>
        <w:spacing w:after="0" w:line="294" w:lineRule="auto"/>
        <w:tabs>
          <w:tab w:leader="none" w:pos="2223" w:val="left"/>
        </w:tabs>
        <w:numPr>
          <w:ilvl w:val="1"/>
          <w:numId w:val="214"/>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Attribution Parties</w:t>
      </w:r>
      <w:r>
        <w:rPr>
          <w:rFonts w:ascii="Arial" w:cs="Arial" w:eastAsia="Arial" w:hAnsi="Arial"/>
          <w:sz w:val="16"/>
          <w:szCs w:val="16"/>
          <w:color w:val="auto"/>
        </w:rPr>
        <w:t>” means, collectively, the following Persons and entities: (i) any investment vehicle, including, any funds, feeder funds or managed accounts, currently, or from time to time after the Issuance Date, directly or indirectly managed or advised by the Holder’s investment manager or any of its Affiliates or principals, (ii) any direct or indirect Affiliates of the Holder or any of the foregoing, (iii) any Person acting or who could be deemed to be acting as a Group together with the Holder or any of the foregoing and (iv) any other Persons whose beneficial ownership of the Company’s Common Stock would or could be aggregated with the Holder’s and the other Attribution Parties for purposes of Section 13(d) of the Exchange Act. For clarity, the purpose of the foregoing is to subject collectively the Holder and all other Attribution Parties to the Maximum Percentage.</w:t>
      </w:r>
    </w:p>
    <w:p>
      <w:pPr>
        <w:spacing w:after="0" w:line="159" w:lineRule="exact"/>
        <w:rPr>
          <w:rFonts w:ascii="Arial" w:cs="Arial" w:eastAsia="Arial" w:hAnsi="Arial"/>
          <w:sz w:val="16"/>
          <w:szCs w:val="16"/>
          <w:color w:val="auto"/>
        </w:rPr>
      </w:pPr>
    </w:p>
    <w:p>
      <w:pPr>
        <w:jc w:val="both"/>
        <w:ind w:firstLine="1952"/>
        <w:spacing w:after="0" w:line="269" w:lineRule="auto"/>
        <w:tabs>
          <w:tab w:leader="none" w:pos="2198" w:val="left"/>
        </w:tabs>
        <w:numPr>
          <w:ilvl w:val="1"/>
          <w:numId w:val="214"/>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Black Scholes Going Private Value</w:t>
      </w:r>
      <w:r>
        <w:rPr>
          <w:rFonts w:ascii="Arial" w:cs="Arial" w:eastAsia="Arial" w:hAnsi="Arial"/>
          <w:sz w:val="17"/>
          <w:szCs w:val="17"/>
          <w:color w:val="auto"/>
        </w:rPr>
        <w:t>” means the value of the unexercised portion of this Warrant remaining on the date of the consummation of the Fundamental Transaction referred to in Section 4(b)(i), which value is calculated using the Black Scholes Option Pricing Model obtained from the “OV” function on Bloomberg utilizing (i) an underlying price per share equal to the greater of (1) the highest Closing Sale Price of the Common Stock during the period beginning on the Trading Day immediately preceding the announcement of the applicable Fundamental Transaction (or the consummation of the applicable Fundamental Transaction, if earlier) and ending on the date of consummation of the applicable Fundamental Transaction and (2) the sum of the price per share being offered in cash in the applicable Fundamental Transaction (if any) plus the value of the non-cash consideration being offered in the applicable Fundamental Transaction (if any), (ii) a strike price equal to the Exercise Price in effect on the date of consummation of the applicable Fundamental Transaction, (iii) a risk-free interest rate corresponding to the U.S. Treasury rate for a period equal to the greater of (1) the remaining term of this Warrant as of the date of consummation of the applicable Fundamental Transaction and (2) the remaining term of this Warrant as of the date of consummation of the applicable Fundamental Transaction, (iv) a zero cost of borrow and (v) an expected volatility equal to the greater of 100% and the 60 day volatility obtained from the “HVT” function on Bloomberg (determined utilizing a 365 day annualization factor) as of the Trading Day immediately following the earliest to occur of (A) the public disclosure of the applicable Fundamental Transaction, and (B) the consummation of the applicable Fundamental Transaction.</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11" w:name="page212"/>
    <w:bookmarkEnd w:id="211"/>
    <w:p>
      <w:pPr>
        <w:jc w:val="both"/>
        <w:ind w:firstLine="1952"/>
        <w:spacing w:after="0" w:line="268" w:lineRule="auto"/>
        <w:tabs>
          <w:tab w:leader="none" w:pos="2217" w:val="left"/>
        </w:tabs>
        <w:numPr>
          <w:ilvl w:val="0"/>
          <w:numId w:val="215"/>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Black Scholes Value</w:t>
      </w:r>
      <w:r>
        <w:rPr>
          <w:rFonts w:ascii="Arial" w:cs="Arial" w:eastAsia="Arial" w:hAnsi="Arial"/>
          <w:sz w:val="17"/>
          <w:szCs w:val="17"/>
          <w:color w:val="auto"/>
        </w:rPr>
        <w:t>” means the value of the unexercised portion of this Warrant remaining on the date of the Holder’s request pursuant to Section 4(c), which value is calculated using the Black Scholes Option Pricing Model obtained from the “OV” function on Bloomberg utilizing (i) an underlying price per share equal to the greater of (1) the highest Closing Sale Price of the Common Stock during the period beginning on the Trading Day immediately preceding the announcement of the applicable Fundamental Transaction (or the consummation of the applicable Fundamental Transaction, if earlier) and ending on the Trading Day of the Holder’s request pursuant to Section 4(c) and (2) the sum of the price per share being offered in cash in the applicable Fundamental Transaction (if any) plus the value of the non-cash consideration being offered in the applicable Fundamental Transaction (if any), (ii) a strike price equal to the Exercise Price in effect on the date of the Holder’s request pursuant to Section 4(c), (iii) a risk-free interest rate corresponding to the U.S. Treasury rate for a period equal to the greater of (1) the remaining term of this Warrant as of the date of the Holder’s request pursuant to Section 4(c) and (2) the remaining term of this Warrant as of the date of consummation of the applicable Fundamental Transaction or as of the date of the Holder’s request pursuant to Section 4(c) if such request is prior to the date of the consummation of the applicable Fundamental Transaction, (iv) a zero cost of borrow and (v) an expected volatility equal to the greater of 100% and the 60 day volatility obtained from the “HVT” function on Bloomberg (determined utilizing a 365 day annualization factor) as of the Trading Day immediately following the earliest to occur of (A) the public disclosure of the applicable Fundamental Transaction, (B) the consummation of the applicable Fundamental Transaction and (C) the date on which the Holder first became aware of the applicable Fundamental Transaction.</w:t>
      </w:r>
    </w:p>
    <w:p>
      <w:pPr>
        <w:spacing w:after="0" w:line="184" w:lineRule="exact"/>
        <w:rPr>
          <w:rFonts w:ascii="Arial" w:cs="Arial" w:eastAsia="Arial" w:hAnsi="Arial"/>
          <w:sz w:val="17"/>
          <w:szCs w:val="17"/>
          <w:color w:val="auto"/>
        </w:rPr>
      </w:pPr>
    </w:p>
    <w:p>
      <w:pPr>
        <w:ind w:left="2200" w:hanging="248"/>
        <w:spacing w:after="0"/>
        <w:tabs>
          <w:tab w:leader="none" w:pos="2200" w:val="left"/>
        </w:tabs>
        <w:numPr>
          <w:ilvl w:val="0"/>
          <w:numId w:val="21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Bloomberg</w:t>
      </w:r>
      <w:r>
        <w:rPr>
          <w:rFonts w:ascii="Arial" w:cs="Arial" w:eastAsia="Arial" w:hAnsi="Arial"/>
          <w:sz w:val="18"/>
          <w:szCs w:val="18"/>
          <w:color w:val="auto"/>
        </w:rPr>
        <w:t>” means Bloomberg, L.P.</w:t>
      </w:r>
    </w:p>
    <w:p>
      <w:pPr>
        <w:spacing w:after="0" w:line="225" w:lineRule="exact"/>
        <w:rPr>
          <w:rFonts w:ascii="Arial" w:cs="Arial" w:eastAsia="Arial" w:hAnsi="Arial"/>
          <w:sz w:val="18"/>
          <w:szCs w:val="18"/>
          <w:color w:val="auto"/>
        </w:rPr>
      </w:pPr>
    </w:p>
    <w:p>
      <w:pPr>
        <w:ind w:firstLine="1952"/>
        <w:spacing w:after="0" w:line="347" w:lineRule="auto"/>
        <w:tabs>
          <w:tab w:leader="none" w:pos="2189" w:val="left"/>
        </w:tabs>
        <w:numPr>
          <w:ilvl w:val="0"/>
          <w:numId w:val="215"/>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Business Day</w:t>
      </w:r>
      <w:r>
        <w:rPr>
          <w:rFonts w:ascii="Arial" w:cs="Arial" w:eastAsia="Arial" w:hAnsi="Arial"/>
          <w:sz w:val="16"/>
          <w:szCs w:val="16"/>
          <w:color w:val="auto"/>
        </w:rPr>
        <w:t>” means any day except any Saturday, any Sunday, any day which is a federal legal holiday in the United States or any day on which banking institutions in the State of New York are authorized or required by law or other governmental action to close.</w:t>
      </w:r>
    </w:p>
    <w:p>
      <w:pPr>
        <w:spacing w:after="0" w:line="115" w:lineRule="exact"/>
        <w:rPr>
          <w:rFonts w:ascii="Arial" w:cs="Arial" w:eastAsia="Arial" w:hAnsi="Arial"/>
          <w:sz w:val="16"/>
          <w:szCs w:val="16"/>
          <w:color w:val="auto"/>
        </w:rPr>
      </w:pPr>
    </w:p>
    <w:p>
      <w:pPr>
        <w:jc w:val="both"/>
        <w:ind w:firstLine="1952"/>
        <w:spacing w:after="0" w:line="268" w:lineRule="auto"/>
        <w:tabs>
          <w:tab w:leader="none" w:pos="2218" w:val="left"/>
        </w:tabs>
        <w:numPr>
          <w:ilvl w:val="0"/>
          <w:numId w:val="215"/>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Closing Bid Price</w:t>
      </w:r>
      <w:r>
        <w:rPr>
          <w:rFonts w:ascii="Arial" w:cs="Arial" w:eastAsia="Arial" w:hAnsi="Arial"/>
          <w:sz w:val="17"/>
          <w:szCs w:val="17"/>
          <w:color w:val="auto"/>
        </w:rPr>
        <w:t>” and “</w:t>
      </w:r>
      <w:r>
        <w:rPr>
          <w:rFonts w:ascii="Arial" w:cs="Arial" w:eastAsia="Arial" w:hAnsi="Arial"/>
          <w:sz w:val="17"/>
          <w:szCs w:val="17"/>
          <w:b w:val="1"/>
          <w:bCs w:val="1"/>
          <w:color w:val="auto"/>
        </w:rPr>
        <w:t>Closing Sale Price</w:t>
      </w:r>
      <w:r>
        <w:rPr>
          <w:rFonts w:ascii="Arial" w:cs="Arial" w:eastAsia="Arial" w:hAnsi="Arial"/>
          <w:sz w:val="17"/>
          <w:szCs w:val="17"/>
          <w:color w:val="auto"/>
        </w:rPr>
        <w:t>” means, for any security as of any date, the last closing bid price and last closing trade price, respectively, for such security on the Principal Market, as reported by Bloomberg, or, if the Principal Market begins to operate on an extended hours basis and does not designate the closing bid price or the closing trade price, as the case may be, then the last bid price or the last trade price, respectively, of such security prior to 4:00:00 p.m., New York time, as reported by Bloomberg, or, if the Principal Market is not the principal securities exchange or trading market for such security, the last closing bid price or last trade price, respectively, of such security on the principal securities exchange or trading market where such security is listed or traded as reported by Bloomberg, or if the foregoing do not apply, the last closing bid price or last trade price, respectively, of such security in the over-the-counter market on the electronic bulletin board for such security as reported by Bloomberg, or, if no closing bid price or last trade price, respectively, is reported for such security by Bloomberg, the average of the bid prices, or the ask prices, respectively, of any market makers for such security as reported in the OTC Link or “pink sheets” by OTC Markets Group Inc. (formerly Pink OTC Markets Inc.). If the Closing Bid Price or the Closing Sale Price cannot be calculated for a security on a particular date on any of the foregoing bases, the Closing Bid Price or the Closing Sale Price, as the case may be, of such security on such date shall be the fair market value as mutually determined by the Company and the Holder. If the Company and the Holder are unable to agree upon the fair market value of such security, then such dispute shall be resolved pursuant to Section 12. All such determinations to be appropriately adjusted for any stock dividend, stock split, stock combination, reclassification or other similar transaction during the applicable calculation period.</w:t>
      </w:r>
    </w:p>
    <w:p>
      <w:pPr>
        <w:spacing w:after="0" w:line="184" w:lineRule="exact"/>
        <w:rPr>
          <w:rFonts w:ascii="Arial" w:cs="Arial" w:eastAsia="Arial" w:hAnsi="Arial"/>
          <w:sz w:val="17"/>
          <w:szCs w:val="17"/>
          <w:color w:val="auto"/>
        </w:rPr>
      </w:pPr>
    </w:p>
    <w:p>
      <w:pPr>
        <w:ind w:firstLine="1952"/>
        <w:spacing w:after="0" w:line="312" w:lineRule="auto"/>
        <w:tabs>
          <w:tab w:leader="none" w:pos="2204" w:val="left"/>
        </w:tabs>
        <w:numPr>
          <w:ilvl w:val="0"/>
          <w:numId w:val="215"/>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Common Stock</w:t>
      </w:r>
      <w:r>
        <w:rPr>
          <w:rFonts w:ascii="Arial" w:cs="Arial" w:eastAsia="Arial" w:hAnsi="Arial"/>
          <w:sz w:val="17"/>
          <w:szCs w:val="17"/>
          <w:color w:val="auto"/>
        </w:rPr>
        <w:t>” means (i) the Company’s shares of common stock, par value $0.0001 per share, and (ii) any share capital into which such common stock shall have been changed or any share capital resulting from a reclassification of such common stock.</w:t>
      </w:r>
    </w:p>
    <w:p>
      <w:pPr>
        <w:spacing w:after="0" w:line="139" w:lineRule="exact"/>
        <w:rPr>
          <w:rFonts w:ascii="Arial" w:cs="Arial" w:eastAsia="Arial" w:hAnsi="Arial"/>
          <w:sz w:val="17"/>
          <w:szCs w:val="17"/>
          <w:color w:val="auto"/>
        </w:rPr>
      </w:pPr>
    </w:p>
    <w:p>
      <w:pPr>
        <w:ind w:firstLine="1952"/>
        <w:spacing w:after="0" w:line="282" w:lineRule="auto"/>
        <w:tabs>
          <w:tab w:leader="none" w:pos="2200" w:val="left"/>
        </w:tabs>
        <w:numPr>
          <w:ilvl w:val="0"/>
          <w:numId w:val="21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Convertible Securities</w:t>
      </w:r>
      <w:r>
        <w:rPr>
          <w:rFonts w:ascii="Arial" w:cs="Arial" w:eastAsia="Arial" w:hAnsi="Arial"/>
          <w:sz w:val="18"/>
          <w:szCs w:val="18"/>
          <w:color w:val="auto"/>
        </w:rPr>
        <w:t>” means any stock or securities (other than Options) directly or indirectly convertible into or exercisable or exchangeable for shares of Common Stock.</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12" w:name="page213"/>
    <w:bookmarkEnd w:id="212"/>
    <w:p>
      <w:pPr>
        <w:ind w:firstLine="1952"/>
        <w:spacing w:after="0" w:line="282" w:lineRule="auto"/>
        <w:tabs>
          <w:tab w:leader="none" w:pos="2174" w:val="left"/>
        </w:tabs>
        <w:numPr>
          <w:ilvl w:val="0"/>
          <w:numId w:val="21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Eligible Market</w:t>
      </w:r>
      <w:r>
        <w:rPr>
          <w:rFonts w:ascii="Arial" w:cs="Arial" w:eastAsia="Arial" w:hAnsi="Arial"/>
          <w:sz w:val="18"/>
          <w:szCs w:val="18"/>
          <w:color w:val="auto"/>
        </w:rPr>
        <w:t>” means The Nasdaq Capital Market, The Nasdaq Global Select Market, The Nasdaq Global Market, the NYSE American, or The New York Stock Exchange.</w:t>
      </w:r>
    </w:p>
    <w:p>
      <w:pPr>
        <w:spacing w:after="0" w:line="161" w:lineRule="exact"/>
        <w:rPr>
          <w:rFonts w:ascii="Arial" w:cs="Arial" w:eastAsia="Arial" w:hAnsi="Arial"/>
          <w:sz w:val="18"/>
          <w:szCs w:val="18"/>
          <w:color w:val="auto"/>
        </w:rPr>
      </w:pPr>
    </w:p>
    <w:p>
      <w:pPr>
        <w:ind w:firstLine="1952"/>
        <w:spacing w:after="0" w:line="312" w:lineRule="auto"/>
        <w:tabs>
          <w:tab w:leader="none" w:pos="2213" w:val="left"/>
        </w:tabs>
        <w:numPr>
          <w:ilvl w:val="0"/>
          <w:numId w:val="216"/>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Expiration Date</w:t>
      </w:r>
      <w:r>
        <w:rPr>
          <w:rFonts w:ascii="Arial" w:cs="Arial" w:eastAsia="Arial" w:hAnsi="Arial"/>
          <w:sz w:val="17"/>
          <w:szCs w:val="17"/>
          <w:color w:val="auto"/>
        </w:rPr>
        <w:t>” means the date that is the five (5) year anniversary of the Issuance Date or, if such date falls on a day other than a Trading Day or on which trading does not take place on the Principal Market (a “</w:t>
      </w:r>
      <w:r>
        <w:rPr>
          <w:rFonts w:ascii="Arial" w:cs="Arial" w:eastAsia="Arial" w:hAnsi="Arial"/>
          <w:sz w:val="17"/>
          <w:szCs w:val="17"/>
          <w:b w:val="1"/>
          <w:bCs w:val="1"/>
          <w:color w:val="auto"/>
        </w:rPr>
        <w:t>Holiday</w:t>
      </w:r>
      <w:r>
        <w:rPr>
          <w:rFonts w:ascii="Arial" w:cs="Arial" w:eastAsia="Arial" w:hAnsi="Arial"/>
          <w:sz w:val="17"/>
          <w:szCs w:val="17"/>
          <w:color w:val="auto"/>
        </w:rPr>
        <w:t>”), the next date that is not a Holiday.</w:t>
      </w:r>
    </w:p>
    <w:p>
      <w:pPr>
        <w:spacing w:after="0" w:line="139" w:lineRule="exact"/>
        <w:rPr>
          <w:rFonts w:ascii="Arial" w:cs="Arial" w:eastAsia="Arial" w:hAnsi="Arial"/>
          <w:sz w:val="17"/>
          <w:szCs w:val="17"/>
          <w:color w:val="auto"/>
        </w:rPr>
      </w:pPr>
    </w:p>
    <w:p>
      <w:pPr>
        <w:jc w:val="both"/>
        <w:ind w:firstLine="1952"/>
        <w:spacing w:after="0" w:line="284" w:lineRule="auto"/>
        <w:tabs>
          <w:tab w:leader="none" w:pos="2198" w:val="left"/>
        </w:tabs>
        <w:numPr>
          <w:ilvl w:val="0"/>
          <w:numId w:val="216"/>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Fundamental Transaction</w:t>
      </w:r>
      <w:r>
        <w:rPr>
          <w:rFonts w:ascii="Arial" w:cs="Arial" w:eastAsia="Arial" w:hAnsi="Arial"/>
          <w:sz w:val="16"/>
          <w:szCs w:val="16"/>
          <w:color w:val="auto"/>
        </w:rPr>
        <w:t>” means (A) that the Company shall, directly or indirectly, including through subsidiaries, Affiliates or otherwise, in one or more related transactions, (i) consolidate or merge with or into (whether or not the Company is the surviving corporation) another Subject Entity, or (ii) sell, assign, transfer, convey or otherwise dispose of all or substantially all of the properties or assets of the Company or any of its “significant subsidiaries” (as defined in Rule 1-02 of Regulation S-X) to one or more Subject Entities, or (iii) make, or allow one or more Subject Entities to make, or allow the Company to be subject to or have its Common Stock be subject to or party to one or more Subject Entities making, a purchase, tender or exchange offer that is accepted by the holders of at least either (x) 50% of the outstanding shares of Common Stock, (y) 50% of the outstanding shares of Common Stock calculated as if any shares of Common Stock held by all Subject Entities making or party to, or Affiliated with any Subject Entities making or party to, such purchase, tender or exchange offer were not outstanding; or (z) such number of shares of Common Stock such that all Subject Entities making or party to, or Affiliated with any Subject Entity making or party to, such purchase, tender or exchange offer, become collectively the beneficial owners (as defined in Rule 13d-3 under the Exchange Act) of at least 50% of the outstanding shares of Common Stock, or (iv) consummate a stock purchase agreement or other business combination (including, without limitation, a reorganization, recapitalization, spin-off or scheme of arrangement) with one or more Subject Entities whereby all such Subject Entities, individually or in the aggregate, acquire, either (x) at least 50% of the outstanding shares of Common Stock, (y) at least 50% of the outstanding shares of Common Stock calculated as if any shares of Common Stock held by all the Subject Entities making or party to, or Affiliated with any Subject Entity making or party to, such stock purchase agreement or other business combination were not outstanding; or (z) such number of shares of Common Stock such that the Subject Entities become collectively the beneficial owners (as defined in Rule 13d-3 under the Exchange Act) of at least 50% of the outstanding shares of Common Stock, or (v) reorganize, recapitalize or reclassify its Common Stock, (B) that the Company shall, directly or indirectly, including through subsidiaries, Affiliates or otherwise, in one or more related transactions, allow any Subject Entity individually or the Subject Entities in the aggregate to be or become the “beneficial owner” (as defined in Rule 13d-3 under the Exchange Act), directly or indirectly, whether through acquisition, purchase, assignment, conveyance, tender, tender offer, exchange, reduction in outstanding shares of Common Stock, merger, consolidation, business combination, reorganization, recapitalization, spin-off, scheme of arrangement, reorganization, recapitalization or reclassification or otherwise in any manner whatsoever, of either (x) at least 50% of the aggregate ordinary voting power represented by issued and outstanding Common Stock, (y) at least 50% of the aggregate ordinary voting power represented by issued and outstanding Common Stock not held by all such Subject Entities as of the date of this Warrant calculated as if any shares of Common Stock held by all such Subject Entities were not outstanding, or (z) a percentage of the aggregate ordinary voting power represented by issued and outstanding shares of Common Stock or other equity securities of the Company sufficient to allow such Subject Entities to effect a statutory short form merger or other transaction requiring other stockholders of the Company to surrender their shares of Common Stock without approval of the stockholders of the Company or (C) directly or indirectly, including through subsidiaries, Affiliates or otherwise, in one or more related transactions, the issuance of or the entering into any other instrument or transaction structured in a manner to circumvent, or that circumvents, the intent of this definition in which case this definition shall be construed and implemented in a manner otherwise than in strict conformity with the terms of this definition to the extent necessary to correct this definition or any portion of this definition which may be defective or inconsistent with the intended treatment of such instrument or transaction.</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13" w:name="page214"/>
    <w:bookmarkEnd w:id="213"/>
    <w:p>
      <w:pPr>
        <w:jc w:val="right"/>
        <w:spacing w:after="0"/>
        <w:rPr>
          <w:sz w:val="20"/>
          <w:szCs w:val="20"/>
          <w:color w:val="auto"/>
        </w:rPr>
      </w:pPr>
      <w:r>
        <w:rPr>
          <w:rFonts w:ascii="Arial" w:cs="Arial" w:eastAsia="Arial" w:hAnsi="Arial"/>
          <w:sz w:val="18"/>
          <w:szCs w:val="18"/>
          <w:color w:val="auto"/>
        </w:rPr>
        <w:t>(m) “</w:t>
      </w:r>
      <w:r>
        <w:rPr>
          <w:rFonts w:ascii="Arial" w:cs="Arial" w:eastAsia="Arial" w:hAnsi="Arial"/>
          <w:sz w:val="18"/>
          <w:szCs w:val="18"/>
          <w:b w:val="1"/>
          <w:bCs w:val="1"/>
          <w:color w:val="auto"/>
        </w:rPr>
        <w:t>Group</w:t>
      </w:r>
      <w:r>
        <w:rPr>
          <w:rFonts w:ascii="Arial" w:cs="Arial" w:eastAsia="Arial" w:hAnsi="Arial"/>
          <w:sz w:val="18"/>
          <w:szCs w:val="18"/>
          <w:color w:val="auto"/>
        </w:rPr>
        <w:t>” means a “group” as that term is used in Section 13(d) of the Exchange Act and as defined in Rule 13d-5</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thereunder.</w:t>
      </w:r>
    </w:p>
    <w:p>
      <w:pPr>
        <w:spacing w:after="0" w:line="207" w:lineRule="exact"/>
        <w:rPr>
          <w:sz w:val="20"/>
          <w:szCs w:val="20"/>
          <w:color w:val="auto"/>
        </w:rPr>
      </w:pPr>
    </w:p>
    <w:p>
      <w:pPr>
        <w:ind w:left="1960"/>
        <w:spacing w:after="0"/>
        <w:rPr>
          <w:sz w:val="20"/>
          <w:szCs w:val="20"/>
          <w:color w:val="auto"/>
        </w:rPr>
      </w:pPr>
      <w:r>
        <w:rPr>
          <w:rFonts w:ascii="Arial" w:cs="Arial" w:eastAsia="Arial" w:hAnsi="Arial"/>
          <w:sz w:val="17"/>
          <w:szCs w:val="17"/>
          <w:color w:val="auto"/>
        </w:rPr>
        <w:t>(n) “</w:t>
      </w:r>
      <w:r>
        <w:rPr>
          <w:rFonts w:ascii="Arial" w:cs="Arial" w:eastAsia="Arial" w:hAnsi="Arial"/>
          <w:sz w:val="17"/>
          <w:szCs w:val="17"/>
          <w:b w:val="1"/>
          <w:bCs w:val="1"/>
          <w:color w:val="auto"/>
        </w:rPr>
        <w:t>Options</w:t>
      </w:r>
      <w:r>
        <w:rPr>
          <w:rFonts w:ascii="Arial" w:cs="Arial" w:eastAsia="Arial" w:hAnsi="Arial"/>
          <w:sz w:val="17"/>
          <w:szCs w:val="17"/>
          <w:color w:val="auto"/>
        </w:rPr>
        <w:t>” means any rights, warrants or options to subscribe for or purchase shares of Common Stock or Convertible</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color w:val="auto"/>
        </w:rPr>
        <w:t>Securities.</w:t>
      </w:r>
    </w:p>
    <w:p>
      <w:pPr>
        <w:spacing w:after="0" w:line="207" w:lineRule="exact"/>
        <w:rPr>
          <w:sz w:val="20"/>
          <w:szCs w:val="20"/>
          <w:color w:val="auto"/>
        </w:rPr>
      </w:pPr>
    </w:p>
    <w:p>
      <w:pPr>
        <w:jc w:val="both"/>
        <w:ind w:firstLine="1952"/>
        <w:spacing w:after="0" w:line="258" w:lineRule="auto"/>
        <w:tabs>
          <w:tab w:leader="none" w:pos="2203" w:val="left"/>
        </w:tabs>
        <w:numPr>
          <w:ilvl w:val="0"/>
          <w:numId w:val="21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Parent Entity</w:t>
      </w:r>
      <w:r>
        <w:rPr>
          <w:rFonts w:ascii="Arial" w:cs="Arial" w:eastAsia="Arial" w:hAnsi="Arial"/>
          <w:sz w:val="18"/>
          <w:szCs w:val="18"/>
          <w:color w:val="auto"/>
        </w:rPr>
        <w:t>” of a Person means an entity that, directly or indirectly, controls the applicable Person, including such entity whose common shares or common stock or equivalent equity security is quoted or listed on an Eligible Market (or, if so elected by the Holder, any other market, exchange or quotation system), or, if there is more than one such Person or such entity, the Person or such entity designated by the Holder or in the absence of such designation, such Person or entity with the largest public market capitalization as of the date of consummation of the Fundamental Transaction.</w:t>
      </w:r>
    </w:p>
    <w:p>
      <w:pPr>
        <w:spacing w:after="0" w:line="183" w:lineRule="exact"/>
        <w:rPr>
          <w:rFonts w:ascii="Arial" w:cs="Arial" w:eastAsia="Arial" w:hAnsi="Arial"/>
          <w:sz w:val="18"/>
          <w:szCs w:val="18"/>
          <w:color w:val="auto"/>
        </w:rPr>
      </w:pPr>
    </w:p>
    <w:p>
      <w:pPr>
        <w:ind w:firstLine="1952"/>
        <w:spacing w:after="0" w:line="282" w:lineRule="auto"/>
        <w:tabs>
          <w:tab w:leader="none" w:pos="2217" w:val="left"/>
        </w:tabs>
        <w:numPr>
          <w:ilvl w:val="0"/>
          <w:numId w:val="21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Person</w:t>
      </w:r>
      <w:r>
        <w:rPr>
          <w:rFonts w:ascii="Arial" w:cs="Arial" w:eastAsia="Arial" w:hAnsi="Arial"/>
          <w:sz w:val="18"/>
          <w:szCs w:val="18"/>
          <w:color w:val="auto"/>
        </w:rPr>
        <w:t>” means an individual or corporation, partnership, trust, incorporated or unincorporated association, joint venture, limited liability company, joint stock company, government (or an agency or subdivision thereof) or other entity of any kind.</w:t>
      </w:r>
    </w:p>
    <w:p>
      <w:pPr>
        <w:spacing w:after="0" w:line="161" w:lineRule="exact"/>
        <w:rPr>
          <w:rFonts w:ascii="Arial" w:cs="Arial" w:eastAsia="Arial" w:hAnsi="Arial"/>
          <w:sz w:val="18"/>
          <w:szCs w:val="18"/>
          <w:color w:val="auto"/>
        </w:rPr>
      </w:pPr>
    </w:p>
    <w:p>
      <w:pPr>
        <w:ind w:firstLine="1952"/>
        <w:spacing w:after="0" w:line="282" w:lineRule="auto"/>
        <w:tabs>
          <w:tab w:leader="none" w:pos="2228" w:val="left"/>
        </w:tabs>
        <w:numPr>
          <w:ilvl w:val="0"/>
          <w:numId w:val="21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Principal Market</w:t>
      </w:r>
      <w:r>
        <w:rPr>
          <w:rFonts w:ascii="Arial" w:cs="Arial" w:eastAsia="Arial" w:hAnsi="Arial"/>
          <w:sz w:val="18"/>
          <w:szCs w:val="18"/>
          <w:color w:val="auto"/>
        </w:rPr>
        <w:t>” means the OTC Bulletin Board or any other Eligible Market, or any national securities exchange, market or trading or quotation facility on which the Common Stock is then listed or quoted.</w:t>
      </w:r>
    </w:p>
    <w:p>
      <w:pPr>
        <w:spacing w:after="0" w:line="161" w:lineRule="exact"/>
        <w:rPr>
          <w:rFonts w:ascii="Arial" w:cs="Arial" w:eastAsia="Arial" w:hAnsi="Arial"/>
          <w:sz w:val="18"/>
          <w:szCs w:val="18"/>
          <w:color w:val="auto"/>
        </w:rPr>
      </w:pPr>
    </w:p>
    <w:p>
      <w:pPr>
        <w:ind w:left="2180" w:hanging="228"/>
        <w:spacing w:after="0"/>
        <w:tabs>
          <w:tab w:leader="none" w:pos="2180" w:val="left"/>
        </w:tabs>
        <w:numPr>
          <w:ilvl w:val="0"/>
          <w:numId w:val="21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Securities Act</w:t>
      </w:r>
      <w:r>
        <w:rPr>
          <w:rFonts w:ascii="Arial" w:cs="Arial" w:eastAsia="Arial" w:hAnsi="Arial"/>
          <w:sz w:val="18"/>
          <w:szCs w:val="18"/>
          <w:color w:val="auto"/>
        </w:rPr>
        <w:t>” means the Securities Act of 1933, as amended.</w:t>
      </w:r>
    </w:p>
    <w:p>
      <w:pPr>
        <w:spacing w:after="0" w:line="225" w:lineRule="exact"/>
        <w:rPr>
          <w:rFonts w:ascii="Arial" w:cs="Arial" w:eastAsia="Arial" w:hAnsi="Arial"/>
          <w:sz w:val="18"/>
          <w:szCs w:val="18"/>
          <w:color w:val="auto"/>
        </w:rPr>
      </w:pPr>
    </w:p>
    <w:p>
      <w:pPr>
        <w:ind w:left="2180" w:hanging="228"/>
        <w:spacing w:after="0"/>
        <w:tabs>
          <w:tab w:leader="none" w:pos="2180" w:val="left"/>
        </w:tabs>
        <w:numPr>
          <w:ilvl w:val="0"/>
          <w:numId w:val="217"/>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Subject Entity</w:t>
      </w:r>
      <w:r>
        <w:rPr>
          <w:rFonts w:ascii="Arial" w:cs="Arial" w:eastAsia="Arial" w:hAnsi="Arial"/>
          <w:sz w:val="16"/>
          <w:szCs w:val="16"/>
          <w:color w:val="auto"/>
        </w:rPr>
        <w:t>” means any Person, Persons or Group or any Affiliate or associate of any such Person, Persons or Group.</w:t>
      </w:r>
    </w:p>
    <w:p>
      <w:pPr>
        <w:spacing w:after="0" w:line="248" w:lineRule="exact"/>
        <w:rPr>
          <w:rFonts w:ascii="Arial" w:cs="Arial" w:eastAsia="Arial" w:hAnsi="Arial"/>
          <w:sz w:val="16"/>
          <w:szCs w:val="16"/>
          <w:color w:val="auto"/>
        </w:rPr>
      </w:pPr>
    </w:p>
    <w:p>
      <w:pPr>
        <w:jc w:val="both"/>
        <w:ind w:firstLine="1952"/>
        <w:spacing w:after="0" w:line="266" w:lineRule="auto"/>
        <w:tabs>
          <w:tab w:leader="none" w:pos="2176" w:val="left"/>
        </w:tabs>
        <w:numPr>
          <w:ilvl w:val="0"/>
          <w:numId w:val="21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Successor Entity</w:t>
      </w:r>
      <w:r>
        <w:rPr>
          <w:rFonts w:ascii="Arial" w:cs="Arial" w:eastAsia="Arial" w:hAnsi="Arial"/>
          <w:sz w:val="18"/>
          <w:szCs w:val="18"/>
          <w:color w:val="auto"/>
        </w:rPr>
        <w:t>” means one or more Person or Persons (or, if so elected by the Holder, the Company or Parent Entity) formed by, resulting from or surviving any Fundamental Transaction or one or more Person or Persons (or, if so elected by the Holder, the Company or the Parent Entity) with which such Fundamental Transaction shall have been entered into.</w:t>
      </w:r>
    </w:p>
    <w:p>
      <w:pPr>
        <w:spacing w:after="0" w:line="175" w:lineRule="exact"/>
        <w:rPr>
          <w:rFonts w:ascii="Arial" w:cs="Arial" w:eastAsia="Arial" w:hAnsi="Arial"/>
          <w:sz w:val="18"/>
          <w:szCs w:val="18"/>
          <w:color w:val="auto"/>
        </w:rPr>
      </w:pPr>
    </w:p>
    <w:p>
      <w:pPr>
        <w:jc w:val="both"/>
        <w:ind w:firstLine="1952"/>
        <w:spacing w:after="0" w:line="298" w:lineRule="auto"/>
        <w:tabs>
          <w:tab w:leader="none" w:pos="2204" w:val="left"/>
        </w:tabs>
        <w:numPr>
          <w:ilvl w:val="0"/>
          <w:numId w:val="217"/>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Trading Day</w:t>
      </w:r>
      <w:r>
        <w:rPr>
          <w:rFonts w:ascii="Arial" w:cs="Arial" w:eastAsia="Arial" w:hAnsi="Arial"/>
          <w:sz w:val="16"/>
          <w:szCs w:val="16"/>
          <w:color w:val="auto"/>
        </w:rPr>
        <w:t xml:space="preserve">” means any day on which the Common Stock is traded on the Principal Market, or, if the Principal Market is not the principal trading market for the Common Stock, then on the principal securities exchange or securities market on which the Common Stock is then traded;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“Trading Day” shall not include any day on which the Common Stock is scheduled to trade on such exchange or market for less than 4.5 hours or any day that the Common Stock is suspended from trading during the final hour of trading on such exchange or market (or if such exchange or market does not designate in advance the closing time of trading on such exchange or market, then during the hour ending at 4:00:00 p.m., New York time).</w:t>
      </w:r>
    </w:p>
    <w:p>
      <w:pPr>
        <w:spacing w:after="0" w:line="153" w:lineRule="exact"/>
        <w:rPr>
          <w:rFonts w:ascii="Arial" w:cs="Arial" w:eastAsia="Arial" w:hAnsi="Arial"/>
          <w:sz w:val="16"/>
          <w:szCs w:val="16"/>
          <w:color w:val="auto"/>
        </w:rPr>
      </w:pPr>
    </w:p>
    <w:p>
      <w:pPr>
        <w:jc w:val="both"/>
        <w:ind w:firstLine="1952"/>
        <w:spacing w:after="0" w:line="268" w:lineRule="auto"/>
        <w:tabs>
          <w:tab w:leader="none" w:pos="2202" w:val="left"/>
        </w:tabs>
        <w:numPr>
          <w:ilvl w:val="0"/>
          <w:numId w:val="217"/>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VWAP</w:t>
      </w:r>
      <w:r>
        <w:rPr>
          <w:rFonts w:ascii="Arial" w:cs="Arial" w:eastAsia="Arial" w:hAnsi="Arial"/>
          <w:sz w:val="17"/>
          <w:szCs w:val="17"/>
          <w:color w:val="auto"/>
        </w:rPr>
        <w:t>” means, for any security as of any date, the dollar volume-weighted average price for such security on the Principal Market during the period beginning at 9:30:01 a.m., New York time (or such other time as the Principal Market publicly announces is the official open of trading), and ending at 4:00:00 p.m., New York time (or such other time as the Principal Market publicly announces is the official close of trading), as reported by Bloomberg through its “Volume at Price” function or, if the foregoing does not apply, the dollar volume-weighted average price of such security in the over-the-counter market on the electronic bulletin board for such security during the period beginning at 9:30:01 a.m., New York time (or such other time as such market publicly announces is the official open of trading), and ending at 4:00:00 p.m., New York time (or such other time as such market publicly announces is the official close of trading), as reported by Bloomberg, or, if no dollar volume-weighted average price is reported for such security by Bloomberg for such hours, the average of the highest Closing Bid Price and the lowest closing ask price of any of the market makers for such security as reported in the OTC Link or “pink sheets” by OTC Markets Group Inc. (formerly Pink OTC Markets Inc.). If the VWAP cannot be calculated for a security on a particular date on any of the foregoing bases, the VWAP of such security on such date shall be the fair market value as mutually determined by the Company and the Holder. If the Company and the Holder are unable to agree upon the fair market value of such security, then such dispute shall be resolved pursuant to Section 12 with the term “VWAP” being substituted for the term “Exercise Price.” All such determinations shall be appropriately adjusted for any stock dividend, stock split, stock combination, reclassification or other similar transaction during the applicable calculation period.</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 Page Follows]</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14" w:name="page215"/>
    <w:bookmarkEnd w:id="214"/>
    <w:p>
      <w:pPr>
        <w:ind w:left="660"/>
        <w:spacing w:after="0"/>
        <w:rPr>
          <w:sz w:val="20"/>
          <w:szCs w:val="20"/>
          <w:color w:val="auto"/>
        </w:rPr>
      </w:pPr>
      <w:r>
        <w:rPr>
          <w:rFonts w:ascii="Arial" w:cs="Arial" w:eastAsia="Arial" w:hAnsi="Arial"/>
          <w:sz w:val="16"/>
          <w:szCs w:val="16"/>
          <w:b w:val="1"/>
          <w:bCs w:val="1"/>
          <w:color w:val="auto"/>
        </w:rPr>
        <w:t xml:space="preserve">IN WITNESS WHEREOF, </w:t>
      </w:r>
      <w:r>
        <w:rPr>
          <w:rFonts w:ascii="Arial" w:cs="Arial" w:eastAsia="Arial" w:hAnsi="Arial"/>
          <w:sz w:val="16"/>
          <w:szCs w:val="16"/>
          <w:color w:val="auto"/>
        </w:rPr>
        <w:t>the Company has caused this Warrant to Purchase Common Stock to be duly executed as of the Issuance Date set out</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above.</w:t>
      </w:r>
    </w:p>
    <w:p>
      <w:pPr>
        <w:spacing w:after="0" w:line="207" w:lineRule="exact"/>
        <w:rPr>
          <w:sz w:val="20"/>
          <w:szCs w:val="20"/>
          <w:color w:val="auto"/>
        </w:rPr>
      </w:pPr>
    </w:p>
    <w:p>
      <w:pPr>
        <w:ind w:left="6740"/>
        <w:spacing w:after="0"/>
        <w:rPr>
          <w:sz w:val="20"/>
          <w:szCs w:val="20"/>
          <w:color w:val="auto"/>
        </w:rPr>
      </w:pPr>
      <w:r>
        <w:rPr>
          <w:rFonts w:ascii="Arial" w:cs="Arial" w:eastAsia="Arial" w:hAnsi="Arial"/>
          <w:sz w:val="18"/>
          <w:szCs w:val="18"/>
          <w:b w:val="1"/>
          <w:bCs w:val="1"/>
          <w:color w:val="auto"/>
        </w:rPr>
        <w:t>PRESTO AUTOMATION INC.</w:t>
      </w:r>
    </w:p>
    <w:p>
      <w:pPr>
        <w:spacing w:after="0" w:line="229"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14605</wp:posOffset>
            </wp:positionV>
            <wp:extent cx="2494915" cy="171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5">
                      <a:extLst>
                        <a:ext uri="{28A0092B-C50C-407E-A947-70E740481C1C}"/>
                      </a:extLst>
                    </a:blip>
                    <a:srcRect/>
                    <a:stretch>
                      <a:fillRect/>
                    </a:stretch>
                  </pic:blipFill>
                  <pic:spPr bwMode="auto">
                    <a:xfrm>
                      <a:off x="0" y="0"/>
                      <a:ext cx="2494915" cy="17145"/>
                    </a:xfrm>
                    <a:prstGeom prst="rect">
                      <a:avLst/>
                    </a:prstGeom>
                    <a:noFill/>
                  </pic:spPr>
                </pic:pic>
              </a:graphicData>
            </a:graphic>
          </wp:anchor>
        </w:drawing>
      </w:r>
    </w:p>
    <w:p>
      <w:pPr>
        <w:spacing w:after="0" w:line="3"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7132320" cy="171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15" w:name="page216"/>
    <w:bookmarkEnd w:id="215"/>
    <w:p>
      <w:pPr>
        <w:ind w:left="10300"/>
        <w:spacing w:after="0"/>
        <w:rPr>
          <w:sz w:val="20"/>
          <w:szCs w:val="20"/>
          <w:color w:val="auto"/>
        </w:rPr>
      </w:pPr>
      <w:r>
        <w:rPr>
          <w:rFonts w:ascii="Arial" w:cs="Arial" w:eastAsia="Arial" w:hAnsi="Arial"/>
          <w:sz w:val="18"/>
          <w:szCs w:val="18"/>
          <w:b w:val="1"/>
          <w:bCs w:val="1"/>
          <w:color w:val="auto"/>
        </w:rPr>
        <w:t>EXHIBIT 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EXERCISE NOTICE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 BE EXECUTED BY THE REGISTERED HOLDER TO EXERCISE THIS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WARRANT TO PURCHASE COMMON STOCK</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PRESTO AUTOMATION INC.</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undersigned holder hereby exercises the right to purchase _________________ of the shares of Common Stock (“</w:t>
      </w:r>
      <w:r>
        <w:rPr>
          <w:rFonts w:ascii="Arial" w:cs="Arial" w:eastAsia="Arial" w:hAnsi="Arial"/>
          <w:sz w:val="17"/>
          <w:szCs w:val="17"/>
          <w:b w:val="1"/>
          <w:bCs w:val="1"/>
          <w:color w:val="auto"/>
        </w:rPr>
        <w:t>Warrant Shares</w:t>
      </w:r>
      <w:r>
        <w:rPr>
          <w:rFonts w:ascii="Arial" w:cs="Arial" w:eastAsia="Arial" w:hAnsi="Arial"/>
          <w:sz w:val="17"/>
          <w:szCs w:val="17"/>
          <w:color w:val="auto"/>
        </w:rPr>
        <w:t>”) of</w:t>
      </w:r>
    </w:p>
    <w:p>
      <w:pPr>
        <w:spacing w:after="0" w:line="39" w:lineRule="exact"/>
        <w:rPr>
          <w:sz w:val="20"/>
          <w:szCs w:val="20"/>
          <w:color w:val="auto"/>
        </w:rPr>
      </w:pPr>
    </w:p>
    <w:p>
      <w:pPr>
        <w:spacing w:after="0"/>
        <w:rPr>
          <w:sz w:val="20"/>
          <w:szCs w:val="20"/>
          <w:color w:val="auto"/>
        </w:rPr>
      </w:pPr>
      <w:r>
        <w:rPr>
          <w:rFonts w:ascii="Arial" w:cs="Arial" w:eastAsia="Arial" w:hAnsi="Arial"/>
          <w:sz w:val="17"/>
          <w:szCs w:val="17"/>
          <w:color w:val="auto"/>
        </w:rPr>
        <w:t>Presto Automation Inc., a Delaware corporation (the “</w:t>
      </w:r>
      <w:r>
        <w:rPr>
          <w:rFonts w:ascii="Arial" w:cs="Arial" w:eastAsia="Arial" w:hAnsi="Arial"/>
          <w:sz w:val="17"/>
          <w:szCs w:val="17"/>
          <w:b w:val="1"/>
          <w:bCs w:val="1"/>
          <w:color w:val="auto"/>
        </w:rPr>
        <w:t>Company</w:t>
      </w:r>
      <w:r>
        <w:rPr>
          <w:rFonts w:ascii="Arial" w:cs="Arial" w:eastAsia="Arial" w:hAnsi="Arial"/>
          <w:sz w:val="17"/>
          <w:szCs w:val="17"/>
          <w:color w:val="auto"/>
        </w:rPr>
        <w:t>”), evidenced by the attached Warrant to Purchase Common Stock (the “</w:t>
      </w:r>
      <w:r>
        <w:rPr>
          <w:rFonts w:ascii="Arial" w:cs="Arial" w:eastAsia="Arial" w:hAnsi="Arial"/>
          <w:sz w:val="17"/>
          <w:szCs w:val="17"/>
          <w:b w:val="1"/>
          <w:bCs w:val="1"/>
          <w:color w:val="auto"/>
        </w:rPr>
        <w:t>Warrant</w:t>
      </w:r>
      <w:r>
        <w:rPr>
          <w:rFonts w:ascii="Arial" w:cs="Arial" w:eastAsia="Arial" w:hAnsi="Arial"/>
          <w:sz w:val="17"/>
          <w:szCs w:val="17"/>
          <w:color w:val="auto"/>
        </w:rPr>
        <w:t>”).</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Capitalized terms used herein and not otherwise defined shall have the respective meanings set forth in the Warrant.</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1. Form of Exercise Price. The Holder intends that payment of the Exercise Price shall be made as:</w:t>
      </w:r>
    </w:p>
    <w:p>
      <w:pPr>
        <w:spacing w:after="0" w:line="225" w:lineRule="exact"/>
        <w:rPr>
          <w:sz w:val="20"/>
          <w:szCs w:val="20"/>
          <w:color w:val="auto"/>
        </w:rPr>
      </w:pPr>
    </w:p>
    <w:p>
      <w:pPr>
        <w:ind w:left="1300"/>
        <w:spacing w:after="0"/>
        <w:tabs>
          <w:tab w:leader="none" w:pos="2580" w:val="left"/>
        </w:tabs>
        <w:rPr>
          <w:sz w:val="20"/>
          <w:szCs w:val="20"/>
          <w:color w:val="auto"/>
        </w:rPr>
      </w:pPr>
      <w:r>
        <w:rPr>
          <w:rFonts w:ascii="Arial" w:cs="Arial" w:eastAsia="Arial" w:hAnsi="Arial"/>
          <w:sz w:val="18"/>
          <w:szCs w:val="18"/>
          <w:color w:val="auto"/>
        </w:rPr>
        <w:t>____________</w:t>
        <w:tab/>
        <w:t>a “</w:t>
      </w:r>
      <w:r>
        <w:rPr>
          <w:rFonts w:ascii="Arial" w:cs="Arial" w:eastAsia="Arial" w:hAnsi="Arial"/>
          <w:sz w:val="18"/>
          <w:szCs w:val="18"/>
          <w:u w:val="single" w:color="auto"/>
          <w:color w:val="auto"/>
        </w:rPr>
        <w:t>Cash Exercise</w:t>
      </w:r>
      <w:r>
        <w:rPr>
          <w:rFonts w:ascii="Arial" w:cs="Arial" w:eastAsia="Arial" w:hAnsi="Arial"/>
          <w:sz w:val="18"/>
          <w:szCs w:val="18"/>
          <w:color w:val="auto"/>
        </w:rPr>
        <w:t>” with respect to _________________ Warrant Shares; and/or</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____________ a “</w:t>
      </w:r>
      <w:r>
        <w:rPr>
          <w:rFonts w:ascii="Arial" w:cs="Arial" w:eastAsia="Arial" w:hAnsi="Arial"/>
          <w:sz w:val="18"/>
          <w:szCs w:val="18"/>
          <w:u w:val="single" w:color="auto"/>
          <w:color w:val="auto"/>
        </w:rPr>
        <w:t>Cashless Exercise</w:t>
      </w:r>
      <w:r>
        <w:rPr>
          <w:rFonts w:ascii="Arial" w:cs="Arial" w:eastAsia="Arial" w:hAnsi="Arial"/>
          <w:sz w:val="18"/>
          <w:szCs w:val="18"/>
          <w:color w:val="auto"/>
        </w:rPr>
        <w:t>” with respect to _______________ Warrant Shares.</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In the event that the Holder has elected a Cashless Exercise with respect to some or all of the Warrant Shares to be issued pursuant hereto, the Holder hereby represents and warrants that this Exercise Notice was executed by the Holder at [a.m.][p.m.] on the date set forth below.</w:t>
      </w:r>
    </w:p>
    <w:p>
      <w:pPr>
        <w:spacing w:after="0" w:line="170" w:lineRule="exact"/>
        <w:rPr>
          <w:sz w:val="20"/>
          <w:szCs w:val="20"/>
          <w:color w:val="auto"/>
        </w:rPr>
      </w:pPr>
    </w:p>
    <w:p>
      <w:pPr>
        <w:jc w:val="both"/>
        <w:ind w:firstLine="656"/>
        <w:spacing w:after="0" w:line="263" w:lineRule="auto"/>
        <w:tabs>
          <w:tab w:leader="none" w:pos="846" w:val="left"/>
        </w:tabs>
        <w:numPr>
          <w:ilvl w:val="0"/>
          <w:numId w:val="218"/>
        </w:numPr>
        <w:rPr>
          <w:rFonts w:ascii="Arial" w:cs="Arial" w:eastAsia="Arial" w:hAnsi="Arial"/>
          <w:sz w:val="18"/>
          <w:szCs w:val="18"/>
          <w:color w:val="auto"/>
        </w:rPr>
      </w:pPr>
      <w:r>
        <w:rPr>
          <w:rFonts w:ascii="Arial" w:cs="Arial" w:eastAsia="Arial" w:hAnsi="Arial"/>
          <w:sz w:val="18"/>
          <w:szCs w:val="18"/>
          <w:color w:val="auto"/>
        </w:rPr>
        <w:t>Payment of Exercise Price. In the event that the holder has elected a Cash Exercise with respect to some or all of the Warrant Shares to be issued pursuant hereto, the holder shall pay the Aggregate Exercise Price in the sum of $___________________ to the Company in accordance with the terms of the Warrant.</w:t>
      </w:r>
    </w:p>
    <w:p>
      <w:pPr>
        <w:spacing w:after="0" w:line="183" w:lineRule="exact"/>
        <w:rPr>
          <w:rFonts w:ascii="Arial" w:cs="Arial" w:eastAsia="Arial" w:hAnsi="Arial"/>
          <w:sz w:val="18"/>
          <w:szCs w:val="18"/>
          <w:color w:val="auto"/>
        </w:rPr>
      </w:pPr>
    </w:p>
    <w:p>
      <w:pPr>
        <w:ind w:left="840" w:hanging="184"/>
        <w:spacing w:after="0"/>
        <w:tabs>
          <w:tab w:leader="none" w:pos="840" w:val="left"/>
        </w:tabs>
        <w:numPr>
          <w:ilvl w:val="0"/>
          <w:numId w:val="218"/>
        </w:numPr>
        <w:rPr>
          <w:rFonts w:ascii="Arial" w:cs="Arial" w:eastAsia="Arial" w:hAnsi="Arial"/>
          <w:sz w:val="16"/>
          <w:szCs w:val="16"/>
          <w:color w:val="auto"/>
        </w:rPr>
      </w:pPr>
      <w:r>
        <w:rPr>
          <w:rFonts w:ascii="Arial" w:cs="Arial" w:eastAsia="Arial" w:hAnsi="Arial"/>
          <w:sz w:val="16"/>
          <w:szCs w:val="16"/>
          <w:color w:val="auto"/>
        </w:rPr>
        <w:t>Delivery of Warrant Shares. The Company shall deliver to the holder __________ Warrant Shares in accordance with the terms of the Warrant.</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480" w:type="dxa"/>
            <w:vAlign w:val="bottom"/>
            <w:gridSpan w:val="2"/>
          </w:tcPr>
          <w:p>
            <w:pPr>
              <w:spacing w:after="0"/>
              <w:rPr>
                <w:sz w:val="20"/>
                <w:szCs w:val="20"/>
                <w:color w:val="auto"/>
              </w:rPr>
            </w:pPr>
            <w:r>
              <w:rPr>
                <w:rFonts w:ascii="Arial" w:cs="Arial" w:eastAsia="Arial" w:hAnsi="Arial"/>
                <w:sz w:val="18"/>
                <w:szCs w:val="18"/>
                <w:color w:val="auto"/>
              </w:rPr>
              <w:t>_______ Electronic Delivery</w:t>
            </w:r>
          </w:p>
        </w:tc>
        <w:tc>
          <w:tcPr>
            <w:tcW w:w="7760" w:type="dxa"/>
            <w:vAlign w:val="bottom"/>
            <w:gridSpan w:val="3"/>
          </w:tcPr>
          <w:p>
            <w:pPr>
              <w:ind w:left="800"/>
              <w:spacing w:after="0"/>
              <w:rPr>
                <w:sz w:val="20"/>
                <w:szCs w:val="20"/>
                <w:color w:val="auto"/>
              </w:rPr>
            </w:pPr>
            <w:r>
              <w:rPr>
                <w:rFonts w:ascii="Arial" w:cs="Arial" w:eastAsia="Arial" w:hAnsi="Arial"/>
                <w:sz w:val="18"/>
                <w:szCs w:val="18"/>
                <w:color w:val="auto"/>
              </w:rPr>
              <w:t>DTC Participant:</w:t>
            </w: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3020" w:type="dxa"/>
            <w:vAlign w:val="bottom"/>
          </w:tcPr>
          <w:p>
            <w:pPr>
              <w:spacing w:after="0"/>
              <w:rPr>
                <w:sz w:val="17"/>
                <w:szCs w:val="17"/>
                <w:color w:val="auto"/>
              </w:rPr>
            </w:pPr>
          </w:p>
        </w:tc>
        <w:tc>
          <w:tcPr>
            <w:tcW w:w="2820" w:type="dxa"/>
            <w:vAlign w:val="bottom"/>
            <w:gridSpan w:val="2"/>
          </w:tcPr>
          <w:p>
            <w:pPr>
              <w:ind w:left="800"/>
              <w:spacing w:after="0" w:line="196" w:lineRule="exact"/>
              <w:rPr>
                <w:sz w:val="20"/>
                <w:szCs w:val="20"/>
                <w:color w:val="auto"/>
              </w:rPr>
            </w:pPr>
            <w:r>
              <w:rPr>
                <w:rFonts w:ascii="Arial" w:cs="Arial" w:eastAsia="Arial" w:hAnsi="Arial"/>
                <w:sz w:val="18"/>
                <w:szCs w:val="18"/>
                <w:color w:val="auto"/>
              </w:rPr>
              <w:t>DTC Number:</w:t>
            </w:r>
          </w:p>
        </w:tc>
        <w:tc>
          <w:tcPr>
            <w:tcW w:w="4940" w:type="dxa"/>
            <w:vAlign w:val="bottom"/>
            <w:tcBorders>
              <w:top w:val="single" w:sz="8" w:color="auto"/>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3020" w:type="dxa"/>
            <w:vAlign w:val="bottom"/>
          </w:tcPr>
          <w:p>
            <w:pPr>
              <w:spacing w:after="0"/>
              <w:rPr>
                <w:sz w:val="17"/>
                <w:szCs w:val="17"/>
                <w:color w:val="auto"/>
              </w:rPr>
            </w:pPr>
          </w:p>
        </w:tc>
        <w:tc>
          <w:tcPr>
            <w:tcW w:w="2820" w:type="dxa"/>
            <w:vAlign w:val="bottom"/>
            <w:gridSpan w:val="2"/>
          </w:tcPr>
          <w:p>
            <w:pPr>
              <w:ind w:left="800"/>
              <w:spacing w:after="0" w:line="196" w:lineRule="exact"/>
              <w:rPr>
                <w:sz w:val="20"/>
                <w:szCs w:val="20"/>
                <w:color w:val="auto"/>
              </w:rPr>
            </w:pPr>
            <w:r>
              <w:rPr>
                <w:rFonts w:ascii="Arial" w:cs="Arial" w:eastAsia="Arial" w:hAnsi="Arial"/>
                <w:sz w:val="18"/>
                <w:szCs w:val="18"/>
                <w:color w:val="auto"/>
              </w:rPr>
              <w:t>Account Name:</w:t>
            </w:r>
          </w:p>
        </w:tc>
        <w:tc>
          <w:tcPr>
            <w:tcW w:w="49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3020" w:type="dxa"/>
            <w:vAlign w:val="bottom"/>
          </w:tcPr>
          <w:p>
            <w:pPr>
              <w:spacing w:after="0"/>
              <w:rPr>
                <w:sz w:val="17"/>
                <w:szCs w:val="17"/>
                <w:color w:val="auto"/>
              </w:rPr>
            </w:pPr>
          </w:p>
        </w:tc>
        <w:tc>
          <w:tcPr>
            <w:tcW w:w="2820" w:type="dxa"/>
            <w:vAlign w:val="bottom"/>
            <w:gridSpan w:val="2"/>
          </w:tcPr>
          <w:p>
            <w:pPr>
              <w:ind w:left="800"/>
              <w:spacing w:after="0" w:line="196" w:lineRule="exact"/>
              <w:rPr>
                <w:sz w:val="20"/>
                <w:szCs w:val="20"/>
                <w:color w:val="auto"/>
              </w:rPr>
            </w:pPr>
            <w:r>
              <w:rPr>
                <w:rFonts w:ascii="Arial" w:cs="Arial" w:eastAsia="Arial" w:hAnsi="Arial"/>
                <w:sz w:val="18"/>
                <w:szCs w:val="18"/>
                <w:color w:val="auto"/>
              </w:rPr>
              <w:t>Account Number:</w:t>
            </w:r>
          </w:p>
        </w:tc>
        <w:tc>
          <w:tcPr>
            <w:tcW w:w="49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3480" w:type="dxa"/>
            <w:vAlign w:val="bottom"/>
            <w:gridSpan w:val="2"/>
          </w:tcPr>
          <w:p>
            <w:pPr>
              <w:spacing w:after="0"/>
              <w:rPr>
                <w:sz w:val="20"/>
                <w:szCs w:val="20"/>
                <w:color w:val="auto"/>
              </w:rPr>
            </w:pPr>
            <w:r>
              <w:rPr>
                <w:rFonts w:ascii="Arial" w:cs="Arial" w:eastAsia="Arial" w:hAnsi="Arial"/>
                <w:sz w:val="18"/>
                <w:szCs w:val="18"/>
                <w:color w:val="auto"/>
              </w:rPr>
              <w:t>_______ Physical Delivery</w:t>
            </w:r>
          </w:p>
        </w:tc>
        <w:tc>
          <w:tcPr>
            <w:tcW w:w="7760" w:type="dxa"/>
            <w:vAlign w:val="bottom"/>
            <w:gridSpan w:val="3"/>
          </w:tcPr>
          <w:p>
            <w:pPr>
              <w:ind w:left="800"/>
              <w:spacing w:after="0"/>
              <w:rPr>
                <w:sz w:val="20"/>
                <w:szCs w:val="20"/>
                <w:color w:val="auto"/>
              </w:rPr>
            </w:pPr>
            <w:r>
              <w:rPr>
                <w:rFonts w:ascii="Arial" w:cs="Arial" w:eastAsia="Arial" w:hAnsi="Arial"/>
                <w:sz w:val="18"/>
                <w:szCs w:val="18"/>
                <w:color w:val="auto"/>
              </w:rPr>
              <w:t>Address:</w:t>
            </w:r>
          </w:p>
        </w:tc>
        <w:tc>
          <w:tcPr>
            <w:tcW w:w="0" w:type="dxa"/>
            <w:vAlign w:val="bottom"/>
          </w:tcPr>
          <w:p>
            <w:pPr>
              <w:spacing w:after="0"/>
              <w:rPr>
                <w:sz w:val="1"/>
                <w:szCs w:val="1"/>
                <w:color w:val="auto"/>
              </w:rPr>
            </w:pPr>
          </w:p>
        </w:tc>
      </w:tr>
      <w:tr>
        <w:trPr>
          <w:trHeight w:val="210"/>
        </w:trPr>
        <w:tc>
          <w:tcPr>
            <w:tcW w:w="3480" w:type="dxa"/>
            <w:vAlign w:val="bottom"/>
            <w:gridSpan w:val="2"/>
            <w:vMerge w:val="restart"/>
          </w:tcPr>
          <w:p>
            <w:pPr>
              <w:spacing w:after="0"/>
              <w:rPr>
                <w:sz w:val="20"/>
                <w:szCs w:val="20"/>
                <w:color w:val="auto"/>
              </w:rPr>
            </w:pPr>
            <w:r>
              <w:rPr>
                <w:rFonts w:ascii="Arial" w:cs="Arial" w:eastAsia="Arial" w:hAnsi="Arial"/>
                <w:sz w:val="18"/>
                <w:szCs w:val="18"/>
                <w:color w:val="auto"/>
              </w:rPr>
              <w:t>Date: _________________________</w:t>
            </w:r>
          </w:p>
        </w:tc>
        <w:tc>
          <w:tcPr>
            <w:tcW w:w="102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4940" w:type="dxa"/>
            <w:vAlign w:val="bottom"/>
            <w:tcBorders>
              <w:top w:val="single" w:sz="8" w:color="auto"/>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480" w:type="dxa"/>
            <w:vAlign w:val="bottom"/>
            <w:gridSpan w:val="2"/>
            <w:vMerge w:val="continue"/>
          </w:tcPr>
          <w:p>
            <w:pPr>
              <w:spacing w:after="0"/>
              <w:rPr>
                <w:sz w:val="18"/>
                <w:szCs w:val="18"/>
                <w:color w:val="auto"/>
              </w:rPr>
            </w:pPr>
          </w:p>
        </w:tc>
        <w:tc>
          <w:tcPr>
            <w:tcW w:w="102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49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426"/>
        </w:trPr>
        <w:tc>
          <w:tcPr>
            <w:tcW w:w="3480" w:type="dxa"/>
            <w:vAlign w:val="bottom"/>
            <w:gridSpan w:val="2"/>
            <w:vMerge w:val="continue"/>
          </w:tcPr>
          <w:p>
            <w:pPr>
              <w:spacing w:after="0"/>
              <w:rPr>
                <w:sz w:val="24"/>
                <w:szCs w:val="24"/>
                <w:color w:val="auto"/>
              </w:rPr>
            </w:pPr>
          </w:p>
        </w:tc>
        <w:tc>
          <w:tcPr>
            <w:tcW w:w="102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4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3480" w:type="dxa"/>
            <w:vAlign w:val="bottom"/>
            <w:gridSpan w:val="2"/>
          </w:tcPr>
          <w:p>
            <w:pPr>
              <w:spacing w:after="0"/>
              <w:rPr>
                <w:sz w:val="20"/>
                <w:szCs w:val="20"/>
                <w:color w:val="auto"/>
              </w:rPr>
            </w:pPr>
            <w:r>
              <w:rPr>
                <w:rFonts w:ascii="Arial" w:cs="Arial" w:eastAsia="Arial" w:hAnsi="Arial"/>
                <w:sz w:val="18"/>
                <w:szCs w:val="18"/>
                <w:color w:val="auto"/>
              </w:rPr>
              <w:t>_____________________________</w:t>
            </w:r>
          </w:p>
        </w:tc>
        <w:tc>
          <w:tcPr>
            <w:tcW w:w="102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4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480" w:type="dxa"/>
            <w:vAlign w:val="bottom"/>
            <w:gridSpan w:val="2"/>
          </w:tcPr>
          <w:p>
            <w:pPr>
              <w:spacing w:after="0"/>
              <w:rPr>
                <w:sz w:val="20"/>
                <w:szCs w:val="20"/>
                <w:color w:val="auto"/>
              </w:rPr>
            </w:pPr>
            <w:r>
              <w:rPr>
                <w:rFonts w:ascii="Arial" w:cs="Arial" w:eastAsia="Arial" w:hAnsi="Arial"/>
                <w:sz w:val="18"/>
                <w:szCs w:val="18"/>
                <w:color w:val="auto"/>
              </w:rPr>
              <w:t>Name of Registered Holder</w:t>
            </w:r>
          </w:p>
        </w:tc>
        <w:tc>
          <w:tcPr>
            <w:tcW w:w="102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4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9"/>
        </w:trPr>
        <w:tc>
          <w:tcPr>
            <w:tcW w:w="3480" w:type="dxa"/>
            <w:vAlign w:val="bottom"/>
            <w:gridSpan w:val="2"/>
          </w:tcPr>
          <w:p>
            <w:pPr>
              <w:spacing w:after="0"/>
              <w:rPr>
                <w:sz w:val="20"/>
                <w:szCs w:val="20"/>
                <w:color w:val="auto"/>
              </w:rPr>
            </w:pPr>
            <w:r>
              <w:rPr>
                <w:rFonts w:ascii="Arial" w:cs="Arial" w:eastAsia="Arial" w:hAnsi="Arial"/>
                <w:sz w:val="18"/>
                <w:szCs w:val="18"/>
                <w:color w:val="auto"/>
              </w:rPr>
              <w:t>By:</w:t>
            </w:r>
          </w:p>
        </w:tc>
        <w:tc>
          <w:tcPr>
            <w:tcW w:w="102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4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460" w:type="dxa"/>
            <w:vAlign w:val="bottom"/>
          </w:tcPr>
          <w:p>
            <w:pPr>
              <w:spacing w:after="0"/>
              <w:rPr>
                <w:sz w:val="17"/>
                <w:szCs w:val="17"/>
                <w:color w:val="auto"/>
              </w:rPr>
            </w:pPr>
          </w:p>
        </w:tc>
        <w:tc>
          <w:tcPr>
            <w:tcW w:w="302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Name:</w:t>
            </w:r>
          </w:p>
        </w:tc>
        <w:tc>
          <w:tcPr>
            <w:tcW w:w="1020" w:type="dxa"/>
            <w:vAlign w:val="bottom"/>
            <w:tcBorders>
              <w:top w:val="single" w:sz="8" w:color="auto"/>
            </w:tcBorders>
          </w:tcPr>
          <w:p>
            <w:pPr>
              <w:spacing w:after="0"/>
              <w:rPr>
                <w:sz w:val="17"/>
                <w:szCs w:val="17"/>
                <w:color w:val="auto"/>
              </w:rPr>
            </w:pPr>
          </w:p>
        </w:tc>
        <w:tc>
          <w:tcPr>
            <w:tcW w:w="1800" w:type="dxa"/>
            <w:vAlign w:val="bottom"/>
          </w:tcPr>
          <w:p>
            <w:pPr>
              <w:spacing w:after="0"/>
              <w:rPr>
                <w:sz w:val="17"/>
                <w:szCs w:val="17"/>
                <w:color w:val="auto"/>
              </w:rPr>
            </w:pPr>
          </w:p>
        </w:tc>
        <w:tc>
          <w:tcPr>
            <w:tcW w:w="4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60" w:type="dxa"/>
            <w:vAlign w:val="bottom"/>
          </w:tcPr>
          <w:p>
            <w:pPr>
              <w:spacing w:after="0"/>
              <w:rPr>
                <w:sz w:val="20"/>
                <w:szCs w:val="20"/>
                <w:color w:val="auto"/>
              </w:rPr>
            </w:pPr>
          </w:p>
        </w:tc>
        <w:tc>
          <w:tcPr>
            <w:tcW w:w="3020" w:type="dxa"/>
            <w:vAlign w:val="bottom"/>
          </w:tcPr>
          <w:p>
            <w:pPr>
              <w:spacing w:after="0"/>
              <w:rPr>
                <w:sz w:val="20"/>
                <w:szCs w:val="20"/>
                <w:color w:val="auto"/>
              </w:rPr>
            </w:pPr>
            <w:r>
              <w:rPr>
                <w:rFonts w:ascii="Arial" w:cs="Arial" w:eastAsia="Arial" w:hAnsi="Arial"/>
                <w:sz w:val="18"/>
                <w:szCs w:val="18"/>
                <w:color w:val="auto"/>
              </w:rPr>
              <w:t>Title:</w:t>
            </w:r>
          </w:p>
        </w:tc>
        <w:tc>
          <w:tcPr>
            <w:tcW w:w="102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4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9"/>
        </w:trPr>
        <w:tc>
          <w:tcPr>
            <w:tcW w:w="460" w:type="dxa"/>
            <w:vAlign w:val="bottom"/>
            <w:tcBorders>
              <w:bottom w:val="single" w:sz="8" w:color="auto"/>
            </w:tcBorders>
          </w:tcPr>
          <w:p>
            <w:pPr>
              <w:spacing w:after="0"/>
              <w:rPr>
                <w:sz w:val="24"/>
                <w:szCs w:val="24"/>
                <w:color w:val="auto"/>
              </w:rPr>
            </w:pPr>
          </w:p>
        </w:tc>
        <w:tc>
          <w:tcPr>
            <w:tcW w:w="30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tcPr>
          <w:p>
            <w:pPr>
              <w:spacing w:after="0"/>
              <w:rPr>
                <w:sz w:val="24"/>
                <w:szCs w:val="24"/>
                <w:color w:val="auto"/>
              </w:rPr>
            </w:pPr>
          </w:p>
        </w:tc>
        <w:tc>
          <w:tcPr>
            <w:tcW w:w="49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904" w:right="339" w:bottom="1440" w:gutter="0" w:footer="0" w:header="0"/>
        </w:sectPr>
      </w:pPr>
    </w:p>
    <w:bookmarkStart w:id="216" w:name="page217"/>
    <w:bookmarkEnd w:id="216"/>
    <w:p>
      <w:pPr>
        <w:jc w:val="center"/>
        <w:spacing w:after="0"/>
        <w:rPr>
          <w:sz w:val="20"/>
          <w:szCs w:val="20"/>
          <w:color w:val="auto"/>
        </w:rPr>
      </w:pPr>
      <w:r>
        <w:rPr>
          <w:rFonts w:ascii="Arial" w:cs="Arial" w:eastAsia="Arial" w:hAnsi="Arial"/>
          <w:sz w:val="18"/>
          <w:szCs w:val="18"/>
          <w:b w:val="1"/>
          <w:bCs w:val="1"/>
          <w:color w:val="auto"/>
        </w:rPr>
        <w:t>ACKNOWLEDGMENT</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Company hereby acknowledges this Exercise Notice and hereby directs [TRANSFER AGENT] to issue the above indicated number of shares of Common Stock in accordance with the Transfer Agent Instructions dated _________________ from the Company and acknowledged and agreed to by [TRANSFER AGENT].</w:t>
      </w:r>
    </w:p>
    <w:p>
      <w:pPr>
        <w:spacing w:after="0" w:line="180" w:lineRule="exact"/>
        <w:rPr>
          <w:sz w:val="20"/>
          <w:szCs w:val="20"/>
          <w:color w:val="auto"/>
        </w:rPr>
      </w:pPr>
    </w:p>
    <w:p>
      <w:pPr>
        <w:ind w:left="6740"/>
        <w:spacing w:after="0"/>
        <w:rPr>
          <w:sz w:val="20"/>
          <w:szCs w:val="20"/>
          <w:color w:val="auto"/>
        </w:rPr>
      </w:pPr>
      <w:r>
        <w:rPr>
          <w:rFonts w:ascii="Arial" w:cs="Arial" w:eastAsia="Arial" w:hAnsi="Arial"/>
          <w:sz w:val="18"/>
          <w:szCs w:val="18"/>
          <w:b w:val="1"/>
          <w:bCs w:val="1"/>
          <w:color w:val="auto"/>
        </w:rPr>
        <w:t>PRESTO AUTOMATION INC.</w:t>
      </w:r>
    </w:p>
    <w:p>
      <w:pPr>
        <w:spacing w:after="0" w:line="229"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14605</wp:posOffset>
            </wp:positionV>
            <wp:extent cx="2494915" cy="171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7">
                      <a:extLst>
                        <a:ext uri="{28A0092B-C50C-407E-A947-70E740481C1C}"/>
                      </a:extLst>
                    </a:blip>
                    <a:srcRect/>
                    <a:stretch>
                      <a:fillRect/>
                    </a:stretch>
                  </pic:blipFill>
                  <pic:spPr bwMode="auto">
                    <a:xfrm>
                      <a:off x="0" y="0"/>
                      <a:ext cx="2494915" cy="17145"/>
                    </a:xfrm>
                    <a:prstGeom prst="rect">
                      <a:avLst/>
                    </a:prstGeom>
                    <a:noFill/>
                  </pic:spPr>
                </pic:pic>
              </a:graphicData>
            </a:graphic>
          </wp:anchor>
        </w:drawing>
      </w:r>
    </w:p>
    <w:p>
      <w:pPr>
        <w:spacing w:after="0" w:line="3"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7132320" cy="171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17" w:name="page218"/>
    <w:bookmarkEnd w:id="217"/>
    <w:p>
      <w:pPr>
        <w:jc w:val="center"/>
        <w:spacing w:after="0"/>
        <w:rPr>
          <w:sz w:val="20"/>
          <w:szCs w:val="20"/>
          <w:color w:val="auto"/>
        </w:rPr>
      </w:pPr>
      <w:r>
        <w:rPr>
          <w:rFonts w:ascii="Arial" w:cs="Arial" w:eastAsia="Arial" w:hAnsi="Arial"/>
          <w:sz w:val="18"/>
          <w:szCs w:val="18"/>
          <w:b w:val="1"/>
          <w:bCs w:val="1"/>
          <w:color w:val="auto"/>
        </w:rPr>
        <w:t>ASSIGNMENT FORM</w:t>
      </w:r>
    </w:p>
    <w:p>
      <w:pPr>
        <w:spacing w:after="0" w:line="229" w:lineRule="exact"/>
        <w:rPr>
          <w:sz w:val="20"/>
          <w:szCs w:val="20"/>
          <w:color w:val="auto"/>
        </w:rPr>
      </w:pPr>
    </w:p>
    <w:p>
      <w:pPr>
        <w:ind w:left="4140"/>
        <w:spacing w:after="0"/>
        <w:rPr>
          <w:sz w:val="20"/>
          <w:szCs w:val="20"/>
          <w:color w:val="auto"/>
        </w:rPr>
      </w:pPr>
      <w:r>
        <w:rPr>
          <w:rFonts w:ascii="Arial" w:cs="Arial" w:eastAsia="Arial" w:hAnsi="Arial"/>
          <w:sz w:val="18"/>
          <w:szCs w:val="18"/>
          <w:color w:val="auto"/>
        </w:rPr>
        <w:t>(To assign the foregoing warrant, execute</w:t>
      </w:r>
    </w:p>
    <w:p>
      <w:pPr>
        <w:spacing w:after="0" w:line="23" w:lineRule="exact"/>
        <w:rPr>
          <w:sz w:val="20"/>
          <w:szCs w:val="20"/>
          <w:color w:val="auto"/>
        </w:rPr>
      </w:pPr>
    </w:p>
    <w:p>
      <w:pPr>
        <w:ind w:left="4080"/>
        <w:spacing w:after="0"/>
        <w:rPr>
          <w:sz w:val="20"/>
          <w:szCs w:val="20"/>
          <w:color w:val="auto"/>
        </w:rPr>
      </w:pPr>
      <w:r>
        <w:rPr>
          <w:rFonts w:ascii="Arial" w:cs="Arial" w:eastAsia="Arial" w:hAnsi="Arial"/>
          <w:sz w:val="18"/>
          <w:szCs w:val="18"/>
          <w:color w:val="auto"/>
        </w:rPr>
        <w:t>this form and supply required information.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 not use this form to exercise the warrant.)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FOR VALUE RECEIVED, all of or shares of the foregoing Warrant and all rights evidenced thereby are hereby assigned to</w:t>
      </w:r>
    </w:p>
    <w:p>
      <w:pPr>
        <w:spacing w:after="0" w:line="225" w:lineRule="exact"/>
        <w:rPr>
          <w:sz w:val="20"/>
          <w:szCs w:val="20"/>
          <w:color w:val="auto"/>
        </w:rPr>
      </w:pPr>
    </w:p>
    <w:p>
      <w:pPr>
        <w:ind w:left="9000"/>
        <w:spacing w:after="0"/>
        <w:rPr>
          <w:sz w:val="20"/>
          <w:szCs w:val="20"/>
          <w:color w:val="auto"/>
        </w:rPr>
      </w:pPr>
      <w:r>
        <w:rPr>
          <w:rFonts w:ascii="Arial" w:cs="Arial" w:eastAsia="Arial" w:hAnsi="Arial"/>
          <w:sz w:val="18"/>
          <w:szCs w:val="18"/>
          <w:color w:val="auto"/>
        </w:rPr>
        <w:t>whose address 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5709285" cy="82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9">
                      <a:extLst>
                        <a:ext uri="{28A0092B-C50C-407E-A947-70E740481C1C}"/>
                      </a:extLst>
                    </a:blip>
                    <a:srcRect/>
                    <a:stretch>
                      <a:fillRect/>
                    </a:stretch>
                  </pic:blipFill>
                  <pic:spPr bwMode="auto">
                    <a:xfrm>
                      <a:off x="0" y="0"/>
                      <a:ext cx="570928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151765</wp:posOffset>
            </wp:positionV>
            <wp:extent cx="5709285" cy="82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30">
                      <a:extLst>
                        <a:ext uri="{28A0092B-C50C-407E-A947-70E740481C1C}"/>
                      </a:extLst>
                    </a:blip>
                    <a:srcRect/>
                    <a:stretch>
                      <a:fillRect/>
                    </a:stretch>
                  </pic:blipFill>
                  <pic:spPr bwMode="auto">
                    <a:xfrm>
                      <a:off x="0" y="0"/>
                      <a:ext cx="570928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288925</wp:posOffset>
            </wp:positionV>
            <wp:extent cx="5709285" cy="889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1">
                      <a:extLst>
                        <a:ext uri="{28A0092B-C50C-407E-A947-70E740481C1C}"/>
                      </a:extLst>
                    </a:blip>
                    <a:srcRect/>
                    <a:stretch>
                      <a:fillRect/>
                    </a:stretch>
                  </pic:blipFill>
                  <pic:spPr bwMode="auto">
                    <a:xfrm>
                      <a:off x="0" y="0"/>
                      <a:ext cx="570928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8520"/>
        <w:spacing w:after="0"/>
        <w:rPr>
          <w:sz w:val="20"/>
          <w:szCs w:val="20"/>
          <w:color w:val="auto"/>
        </w:rPr>
      </w:pPr>
      <w:r>
        <w:rPr>
          <w:rFonts w:ascii="Arial" w:cs="Arial" w:eastAsia="Arial" w:hAnsi="Arial"/>
          <w:sz w:val="16"/>
          <w:szCs w:val="16"/>
          <w:color w:val="auto"/>
        </w:rPr>
        <w:t>Dated: __________________,______</w:t>
      </w:r>
    </w:p>
    <w:p>
      <w:pPr>
        <w:spacing w:after="0" w:line="248" w:lineRule="exact"/>
        <w:rPr>
          <w:sz w:val="20"/>
          <w:szCs w:val="20"/>
          <w:color w:val="auto"/>
        </w:rPr>
      </w:pPr>
    </w:p>
    <w:p>
      <w:pPr>
        <w:ind w:left="3940"/>
        <w:spacing w:after="0"/>
        <w:rPr>
          <w:sz w:val="20"/>
          <w:szCs w:val="20"/>
          <w:color w:val="auto"/>
        </w:rPr>
      </w:pPr>
      <w:r>
        <w:rPr>
          <w:rFonts w:ascii="Arial" w:cs="Arial" w:eastAsia="Arial" w:hAnsi="Arial"/>
          <w:sz w:val="18"/>
          <w:szCs w:val="18"/>
          <w:color w:val="auto"/>
        </w:rPr>
        <w:t>Holder’s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14605</wp:posOffset>
            </wp:positionV>
            <wp:extent cx="1997075" cy="171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2">
                      <a:extLst>
                        <a:ext uri="{28A0092B-C50C-407E-A947-70E740481C1C}"/>
                      </a:extLst>
                    </a:blip>
                    <a:srcRect/>
                    <a:stretch>
                      <a:fillRect/>
                    </a:stretch>
                  </pic:blipFill>
                  <pic:spPr bwMode="auto">
                    <a:xfrm>
                      <a:off x="0" y="0"/>
                      <a:ext cx="1997075" cy="17145"/>
                    </a:xfrm>
                    <a:prstGeom prst="rect">
                      <a:avLst/>
                    </a:prstGeom>
                    <a:noFill/>
                  </pic:spPr>
                </pic:pic>
              </a:graphicData>
            </a:graphic>
          </wp:anchor>
        </w:drawing>
      </w:r>
    </w:p>
    <w:p>
      <w:pPr>
        <w:spacing w:after="0" w:line="3" w:lineRule="exact"/>
        <w:rPr>
          <w:sz w:val="20"/>
          <w:szCs w:val="20"/>
          <w:color w:val="auto"/>
        </w:rPr>
      </w:pPr>
    </w:p>
    <w:p>
      <w:pPr>
        <w:ind w:left="3940"/>
        <w:spacing w:after="0"/>
        <w:rPr>
          <w:sz w:val="20"/>
          <w:szCs w:val="20"/>
          <w:color w:val="auto"/>
        </w:rPr>
      </w:pPr>
      <w:r>
        <w:rPr>
          <w:rFonts w:ascii="Arial" w:cs="Arial" w:eastAsia="Arial" w:hAnsi="Arial"/>
          <w:sz w:val="18"/>
          <w:szCs w:val="18"/>
          <w:color w:val="auto"/>
        </w:rPr>
        <w:t>Holder’s 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22860</wp:posOffset>
            </wp:positionV>
            <wp:extent cx="1997075" cy="171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3">
                      <a:extLst>
                        <a:ext uri="{28A0092B-C50C-407E-A947-70E740481C1C}"/>
                      </a:extLst>
                    </a:blip>
                    <a:srcRect/>
                    <a:stretch>
                      <a:fillRect/>
                    </a:stretch>
                  </pic:blipFill>
                  <pic:spPr bwMode="auto">
                    <a:xfrm>
                      <a:off x="0" y="0"/>
                      <a:ext cx="1997075" cy="17145"/>
                    </a:xfrm>
                    <a:prstGeom prst="rect">
                      <a:avLst/>
                    </a:prstGeom>
                    <a:noFill/>
                  </pic:spPr>
                </pic:pic>
              </a:graphicData>
            </a:graphic>
          </wp:anchor>
        </w:drawing>
        <w:drawing>
          <wp:anchor simplePos="0" relativeHeight="251657728" behindDoc="1" locked="0" layoutInCell="0" allowOverlap="1">
            <wp:simplePos x="0" y="0"/>
            <wp:positionH relativeFrom="column">
              <wp:posOffset>3571240</wp:posOffset>
            </wp:positionH>
            <wp:positionV relativeFrom="paragraph">
              <wp:posOffset>177165</wp:posOffset>
            </wp:positionV>
            <wp:extent cx="1997075" cy="171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4">
                      <a:extLst>
                        <a:ext uri="{28A0092B-C50C-407E-A947-70E740481C1C}"/>
                      </a:extLst>
                    </a:blip>
                    <a:srcRect/>
                    <a:stretch>
                      <a:fillRect/>
                    </a:stretch>
                  </pic:blipFill>
                  <pic:spPr bwMode="auto">
                    <a:xfrm>
                      <a:off x="0" y="0"/>
                      <a:ext cx="1997075" cy="17145"/>
                    </a:xfrm>
                    <a:prstGeom prst="rect">
                      <a:avLst/>
                    </a:prstGeom>
                    <a:noFill/>
                  </pic:spPr>
                </pic:pic>
              </a:graphicData>
            </a:graphic>
          </wp:anchor>
        </w:drawing>
      </w:r>
    </w:p>
    <w:p>
      <w:pPr>
        <w:spacing w:after="0" w:line="200" w:lineRule="exact"/>
        <w:rPr>
          <w:sz w:val="20"/>
          <w:szCs w:val="20"/>
          <w:color w:val="auto"/>
        </w:rPr>
      </w:pPr>
    </w:p>
    <w:p>
      <w:pPr>
        <w:spacing w:after="0" w:line="288"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NOTE: The signature to this Assignment Form must correspond with the name as it appears on the face of the Warrant, without alteration or enlargement or any change whatsoever.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391795</wp:posOffset>
            </wp:positionV>
            <wp:extent cx="7132320" cy="171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18" w:name="page219"/>
    <w:bookmarkEnd w:id="218"/>
    <w:p>
      <w:pPr>
        <w:jc w:val="right"/>
        <w:spacing w:after="0"/>
        <w:rPr>
          <w:sz w:val="20"/>
          <w:szCs w:val="20"/>
          <w:color w:val="auto"/>
        </w:rPr>
      </w:pPr>
      <w:r>
        <w:rPr>
          <w:rFonts w:ascii="Arial" w:cs="Arial" w:eastAsia="Arial" w:hAnsi="Arial"/>
          <w:sz w:val="22"/>
          <w:szCs w:val="22"/>
          <w:b w:val="1"/>
          <w:bCs w:val="1"/>
          <w:color w:val="auto"/>
        </w:rPr>
        <w:t>Exhibit 10.7</w:t>
      </w:r>
    </w:p>
    <w:p>
      <w:pPr>
        <w:spacing w:after="0" w:line="247" w:lineRule="exact"/>
        <w:rPr>
          <w:sz w:val="20"/>
          <w:szCs w:val="20"/>
          <w:color w:val="auto"/>
        </w:rPr>
      </w:pPr>
    </w:p>
    <w:p>
      <w:pPr>
        <w:ind w:left="9880"/>
        <w:spacing w:after="0"/>
        <w:rPr>
          <w:sz w:val="20"/>
          <w:szCs w:val="20"/>
          <w:color w:val="auto"/>
        </w:rPr>
      </w:pPr>
      <w:r>
        <w:rPr>
          <w:rFonts w:ascii="Arial" w:cs="Arial" w:eastAsia="Arial" w:hAnsi="Arial"/>
          <w:sz w:val="15"/>
          <w:szCs w:val="15"/>
          <w:b w:val="1"/>
          <w:bCs w:val="1"/>
          <w:i w:val="1"/>
          <w:iCs w:val="1"/>
          <w:color w:val="auto"/>
        </w:rPr>
        <w:t>Execution Version</w:t>
      </w:r>
    </w:p>
    <w:p>
      <w:pPr>
        <w:spacing w:after="0" w:line="28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b w:val="1"/>
          <w:bCs w:val="1"/>
          <w:color w:val="auto"/>
        </w:rPr>
        <w:t>NEITHER THIS WARRANT, NOR THE SECURITIES ISSUABLE UPON EXERCISE OF THIS WARRANT (COLLECTIVELY, THE “SECURITIES”), HAVE BEEN REGISTERED UNDER THE SECURITIES ACT OF 1933, AS AMENDED (THE “SECURITIES ACT”), OR UNDER ANY STATE SECURITIES OR BLUE SKY LAWS. THE SECURITIES ARE SUBJECT TO RESTRICTIONS ON TRANSFERABILITY AND RESALE AND MAY NOT BE OFFERED, FOR SALE, SOLD, PLEDGED, HYPOTHECATED OR OTHERWISE TRANSFERRED OR ASSIGNED EXCEPT AS PERMITTED UNDER THE SECURITIES ACT AND APPLICABLE STATE SECURITIES OR BLUE SKY LAWS, PURSUANT TO REGISTRATION OR QUALIFICATION OR EXEMPTION THEREFROM. INVESTORS SHOULD BE AWARE THAT THEY MAY BE REQUIRED TO BEAR THE FINANCIAL RISKS OF THIS INVESTMENT FOR AN INDEFINITE PERIOD OF TIME. THE COMPANY MAY REQUIRE AN OPINION OF COUNSEL IN FORM AND SUBSTANCE REASONABLY SATISFACTORY TO THE COMPANY TO THE EFFECT THAT ANY PROPOSED TRANSFER IS IN COMPLIANCE WITH THE SECURITIES ACT AND ANY APPLICABLE STATE SECURITIES OR BLUE SKY LAWS.</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PRESTO AUTOMATION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w:t>
      </w:r>
      <w:r>
        <w:rPr>
          <w:rFonts w:ascii="Arial" w:cs="Arial" w:eastAsia="Arial" w:hAnsi="Arial"/>
          <w:sz w:val="12"/>
          <w:szCs w:val="12"/>
          <w:b w:val="1"/>
          <w:bCs w:val="1"/>
          <w:color w:val="auto"/>
        </w:rPr>
        <w:t>arrant</w:t>
      </w:r>
      <w:r>
        <w:rPr>
          <w:rFonts w:ascii="Arial" w:cs="Arial" w:eastAsia="Arial" w:hAnsi="Arial"/>
          <w:sz w:val="18"/>
          <w:szCs w:val="18"/>
          <w:b w:val="1"/>
          <w:bCs w:val="1"/>
          <w:color w:val="auto"/>
        </w:rPr>
        <w:t xml:space="preserve"> T</w:t>
      </w:r>
      <w:r>
        <w:rPr>
          <w:rFonts w:ascii="Arial" w:cs="Arial" w:eastAsia="Arial" w:hAnsi="Arial"/>
          <w:sz w:val="12"/>
          <w:szCs w:val="12"/>
          <w:b w:val="1"/>
          <w:bCs w:val="1"/>
          <w:color w:val="auto"/>
        </w:rPr>
        <w:t>o</w:t>
      </w:r>
      <w:r>
        <w:rPr>
          <w:rFonts w:ascii="Arial" w:cs="Arial" w:eastAsia="Arial" w:hAnsi="Arial"/>
          <w:sz w:val="18"/>
          <w:szCs w:val="18"/>
          <w:b w:val="1"/>
          <w:bCs w:val="1"/>
          <w:color w:val="auto"/>
        </w:rPr>
        <w:t xml:space="preserve"> P</w:t>
      </w:r>
      <w:r>
        <w:rPr>
          <w:rFonts w:ascii="Arial" w:cs="Arial" w:eastAsia="Arial" w:hAnsi="Arial"/>
          <w:sz w:val="12"/>
          <w:szCs w:val="12"/>
          <w:b w:val="1"/>
          <w:bCs w:val="1"/>
          <w:color w:val="auto"/>
        </w:rPr>
        <w:t>urchase</w:t>
      </w:r>
      <w:r>
        <w:rPr>
          <w:rFonts w:ascii="Arial" w:cs="Arial" w:eastAsia="Arial" w:hAnsi="Arial"/>
          <w:sz w:val="18"/>
          <w:szCs w:val="18"/>
          <w:b w:val="1"/>
          <w:bCs w:val="1"/>
          <w:color w:val="auto"/>
        </w:rPr>
        <w:t xml:space="preserve"> C</w:t>
      </w:r>
      <w:r>
        <w:rPr>
          <w:rFonts w:ascii="Arial" w:cs="Arial" w:eastAsia="Arial" w:hAnsi="Arial"/>
          <w:sz w:val="12"/>
          <w:szCs w:val="12"/>
          <w:b w:val="1"/>
          <w:bCs w:val="1"/>
          <w:color w:val="auto"/>
        </w:rPr>
        <w:t>ommon</w:t>
      </w:r>
      <w:r>
        <w:rPr>
          <w:rFonts w:ascii="Arial" w:cs="Arial" w:eastAsia="Arial" w:hAnsi="Arial"/>
          <w:sz w:val="18"/>
          <w:szCs w:val="18"/>
          <w:b w:val="1"/>
          <w:bCs w:val="1"/>
          <w:color w:val="auto"/>
        </w:rPr>
        <w:t xml:space="preserve"> S</w:t>
      </w:r>
      <w:r>
        <w:rPr>
          <w:rFonts w:ascii="Arial" w:cs="Arial" w:eastAsia="Arial" w:hAnsi="Arial"/>
          <w:sz w:val="12"/>
          <w:szCs w:val="12"/>
          <w:b w:val="1"/>
          <w:bCs w:val="1"/>
          <w:color w:val="auto"/>
        </w:rPr>
        <w:t>tock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Warrant No.: 2023-7</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Number of Shares of Common Stock: 264,296</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Date of Issuance: May 22, 2023 (“</w:t>
      </w:r>
      <w:r>
        <w:rPr>
          <w:rFonts w:ascii="Arial" w:cs="Arial" w:eastAsia="Arial" w:hAnsi="Arial"/>
          <w:sz w:val="18"/>
          <w:szCs w:val="18"/>
          <w:b w:val="1"/>
          <w:bCs w:val="1"/>
          <w:color w:val="auto"/>
        </w:rPr>
        <w:t>Issuance Date</w:t>
      </w:r>
      <w:r>
        <w:rPr>
          <w:rFonts w:ascii="Arial" w:cs="Arial" w:eastAsia="Arial" w:hAnsi="Arial"/>
          <w:sz w:val="18"/>
          <w:szCs w:val="18"/>
          <w:color w:val="auto"/>
        </w:rPr>
        <w:t>”)</w:t>
      </w:r>
    </w:p>
    <w:p>
      <w:pPr>
        <w:spacing w:after="0" w:line="207" w:lineRule="exact"/>
        <w:rPr>
          <w:sz w:val="20"/>
          <w:szCs w:val="20"/>
          <w:color w:val="auto"/>
        </w:rPr>
      </w:pPr>
    </w:p>
    <w:p>
      <w:pPr>
        <w:jc w:val="both"/>
        <w:ind w:firstLine="1296"/>
        <w:spacing w:after="0" w:line="288" w:lineRule="auto"/>
        <w:rPr>
          <w:sz w:val="20"/>
          <w:szCs w:val="20"/>
          <w:color w:val="auto"/>
        </w:rPr>
      </w:pPr>
      <w:r>
        <w:rPr>
          <w:rFonts w:ascii="Arial" w:cs="Arial" w:eastAsia="Arial" w:hAnsi="Arial"/>
          <w:sz w:val="16"/>
          <w:szCs w:val="16"/>
          <w:color w:val="auto"/>
        </w:rPr>
        <w:t>Presto Automation Inc., a Delaware corporation (the “</w:t>
      </w:r>
      <w:r>
        <w:rPr>
          <w:rFonts w:ascii="Arial" w:cs="Arial" w:eastAsia="Arial" w:hAnsi="Arial"/>
          <w:sz w:val="16"/>
          <w:szCs w:val="16"/>
          <w:b w:val="1"/>
          <w:bCs w:val="1"/>
          <w:color w:val="auto"/>
        </w:rPr>
        <w:t>Company</w:t>
      </w:r>
      <w:r>
        <w:rPr>
          <w:rFonts w:ascii="Arial" w:cs="Arial" w:eastAsia="Arial" w:hAnsi="Arial"/>
          <w:sz w:val="16"/>
          <w:szCs w:val="16"/>
          <w:color w:val="auto"/>
        </w:rPr>
        <w:t>”), hereby certifies that, for good and valuable consideration, the receipt and sufficiency of which are hereby acknowledged, Metropolitan Offshore Partners Fund VII, LP, the registered holder hereof or its permitted assigns (the “</w:t>
      </w:r>
      <w:r>
        <w:rPr>
          <w:rFonts w:ascii="Arial" w:cs="Arial" w:eastAsia="Arial" w:hAnsi="Arial"/>
          <w:sz w:val="16"/>
          <w:szCs w:val="16"/>
          <w:b w:val="1"/>
          <w:bCs w:val="1"/>
          <w:color w:val="auto"/>
        </w:rPr>
        <w:t>Holder</w:t>
      </w:r>
      <w:r>
        <w:rPr>
          <w:rFonts w:ascii="Arial" w:cs="Arial" w:eastAsia="Arial" w:hAnsi="Arial"/>
          <w:sz w:val="16"/>
          <w:szCs w:val="16"/>
          <w:color w:val="auto"/>
        </w:rPr>
        <w:t>”), is entitled, subject to the terms set forth below, to purchase from the Company, at the Exercise Price (as defined below) then in effect, at any time or times on or after the Issuance Date, but not after 11:59 p.m., New York time, on the Expiration Date, (as defined below), 264,296 duly authorized, validly issued, fully paid, nonassessable shares of Common Stock, subject to adjustment as provided herein (the “</w:t>
      </w:r>
      <w:r>
        <w:rPr>
          <w:rFonts w:ascii="Arial" w:cs="Arial" w:eastAsia="Arial" w:hAnsi="Arial"/>
          <w:sz w:val="16"/>
          <w:szCs w:val="16"/>
          <w:b w:val="1"/>
          <w:bCs w:val="1"/>
          <w:color w:val="auto"/>
        </w:rPr>
        <w:t>Warrant Shares</w:t>
      </w:r>
      <w:r>
        <w:rPr>
          <w:rFonts w:ascii="Arial" w:cs="Arial" w:eastAsia="Arial" w:hAnsi="Arial"/>
          <w:sz w:val="16"/>
          <w:szCs w:val="16"/>
          <w:color w:val="auto"/>
        </w:rPr>
        <w:t>”). Except as otherwise defined herein, capitalized terms in this Warrant to Purchase Common Stock (including any Warrants to Purchase Common Stock issued in exchange, transfer or replacement hereof, this “</w:t>
      </w:r>
      <w:r>
        <w:rPr>
          <w:rFonts w:ascii="Arial" w:cs="Arial" w:eastAsia="Arial" w:hAnsi="Arial"/>
          <w:sz w:val="16"/>
          <w:szCs w:val="16"/>
          <w:b w:val="1"/>
          <w:bCs w:val="1"/>
          <w:color w:val="auto"/>
        </w:rPr>
        <w:t>Warrant</w:t>
      </w:r>
      <w:r>
        <w:rPr>
          <w:rFonts w:ascii="Arial" w:cs="Arial" w:eastAsia="Arial" w:hAnsi="Arial"/>
          <w:sz w:val="16"/>
          <w:szCs w:val="16"/>
          <w:color w:val="auto"/>
        </w:rPr>
        <w:t>”) shall have the meanings set forth in Section 17‎. This Warrant is being issued pursuant to Section 2 of that certain Second Amendment to Credit Agreement, dated May 22, 2023, among E La Carte, LLC, the Company and Metropolitan Partners Group Administration, LLC, as agent (the “</w:t>
      </w:r>
      <w:r>
        <w:rPr>
          <w:rFonts w:ascii="Arial" w:cs="Arial" w:eastAsia="Arial" w:hAnsi="Arial"/>
          <w:sz w:val="16"/>
          <w:szCs w:val="16"/>
          <w:b w:val="1"/>
          <w:bCs w:val="1"/>
          <w:color w:val="auto"/>
        </w:rPr>
        <w:t>Second Amendment</w:t>
      </w:r>
      <w:r>
        <w:rPr>
          <w:rFonts w:ascii="Arial" w:cs="Arial" w:eastAsia="Arial" w:hAnsi="Arial"/>
          <w:sz w:val="16"/>
          <w:szCs w:val="16"/>
          <w:color w:val="auto"/>
        </w:rPr>
        <w:t>”), and to Section 5 of that certain Second Amended and Restated Fee Letter, dated May 22, 2023, among E La Carte, LLC, the Company and Metropolitan Partners Group Administration (the “</w:t>
      </w:r>
      <w:r>
        <w:rPr>
          <w:rFonts w:ascii="Arial" w:cs="Arial" w:eastAsia="Arial" w:hAnsi="Arial"/>
          <w:sz w:val="16"/>
          <w:szCs w:val="16"/>
          <w:b w:val="1"/>
          <w:bCs w:val="1"/>
          <w:color w:val="auto"/>
        </w:rPr>
        <w:t>Fee Letter</w:t>
      </w:r>
      <w:r>
        <w:rPr>
          <w:rFonts w:ascii="Arial" w:cs="Arial" w:eastAsia="Arial" w:hAnsi="Arial"/>
          <w:sz w:val="16"/>
          <w:szCs w:val="16"/>
          <w:color w:val="auto"/>
        </w:rPr>
        <w:t>”). Capitalized terms used herein and not otherwise defined shall have the definitions ascribed to such terms in the Credit Agreement (as defined in the Fee Letter).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407035</wp:posOffset>
            </wp:positionV>
            <wp:extent cx="7132320" cy="171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219" w:name="page220"/>
    <w:bookmarkEnd w:id="219"/>
    <w:p>
      <w:pPr>
        <w:ind w:left="1480" w:hanging="176"/>
        <w:spacing w:after="0"/>
        <w:tabs>
          <w:tab w:leader="none" w:pos="1480" w:val="left"/>
        </w:tabs>
        <w:numPr>
          <w:ilvl w:val="1"/>
          <w:numId w:val="219"/>
        </w:numPr>
        <w:rPr>
          <w:rFonts w:ascii="Arial" w:cs="Arial" w:eastAsia="Arial" w:hAnsi="Arial"/>
          <w:sz w:val="18"/>
          <w:szCs w:val="18"/>
          <w:color w:val="auto"/>
        </w:rPr>
      </w:pPr>
      <w:r>
        <w:rPr>
          <w:rFonts w:ascii="Arial" w:cs="Arial" w:eastAsia="Arial" w:hAnsi="Arial"/>
          <w:sz w:val="18"/>
          <w:szCs w:val="18"/>
          <w:color w:val="auto"/>
        </w:rPr>
        <w:t>EXERCISE OF WARRANT.</w:t>
      </w:r>
    </w:p>
    <w:p>
      <w:pPr>
        <w:spacing w:after="0" w:line="225" w:lineRule="exact"/>
        <w:rPr>
          <w:rFonts w:ascii="Arial" w:cs="Arial" w:eastAsia="Arial" w:hAnsi="Arial"/>
          <w:sz w:val="18"/>
          <w:szCs w:val="18"/>
          <w:color w:val="auto"/>
        </w:rPr>
      </w:pPr>
    </w:p>
    <w:p>
      <w:pPr>
        <w:jc w:val="both"/>
        <w:ind w:firstLine="1952"/>
        <w:spacing w:after="0" w:line="283" w:lineRule="auto"/>
        <w:tabs>
          <w:tab w:leader="none" w:pos="2198" w:val="left"/>
        </w:tabs>
        <w:numPr>
          <w:ilvl w:val="2"/>
          <w:numId w:val="219"/>
        </w:numPr>
        <w:rPr>
          <w:rFonts w:ascii="Arial" w:cs="Arial" w:eastAsia="Arial" w:hAnsi="Arial"/>
          <w:sz w:val="16"/>
          <w:szCs w:val="16"/>
          <w:color w:val="auto"/>
        </w:rPr>
      </w:pPr>
      <w:r>
        <w:rPr>
          <w:rFonts w:ascii="Arial" w:cs="Arial" w:eastAsia="Arial" w:hAnsi="Arial"/>
          <w:sz w:val="16"/>
          <w:szCs w:val="16"/>
          <w:u w:val="single" w:color="auto"/>
          <w:color w:val="auto"/>
        </w:rPr>
        <w:t>Mechanics of Exercise</w:t>
      </w:r>
      <w:r>
        <w:rPr>
          <w:rFonts w:ascii="Arial" w:cs="Arial" w:eastAsia="Arial" w:hAnsi="Arial"/>
          <w:sz w:val="16"/>
          <w:szCs w:val="16"/>
          <w:color w:val="auto"/>
        </w:rPr>
        <w:t xml:space="preserve">. Subject to the terms and conditions hereof (including, without limitation, the limitations set forth in Section </w:t>
      </w:r>
      <w:r>
        <w:rPr>
          <w:rFonts w:ascii="Arial" w:cs="Arial" w:eastAsia="Arial" w:hAnsi="Arial"/>
          <w:sz w:val="19"/>
          <w:szCs w:val="19"/>
          <w:b w:val="1"/>
          <w:bCs w:val="1"/>
          <w:color w:val="auto"/>
        </w:rPr>
        <w:t>‎</w:t>
      </w:r>
      <w:r>
        <w:rPr>
          <w:rFonts w:ascii="Arial" w:cs="Arial" w:eastAsia="Arial" w:hAnsi="Arial"/>
          <w:sz w:val="16"/>
          <w:szCs w:val="16"/>
          <w:color w:val="auto"/>
        </w:rPr>
        <w:t xml:space="preserve">1(f)), this Warrant may be exercised by the Holder at any time or times on or after the Issuance Date, in whole or in part, by (i) delivery (whether via facsimile or otherwise) of a written notice, in the form attached hereto as </w:t>
      </w:r>
      <w:r>
        <w:rPr>
          <w:rFonts w:ascii="Arial" w:cs="Arial" w:eastAsia="Arial" w:hAnsi="Arial"/>
          <w:sz w:val="16"/>
          <w:szCs w:val="16"/>
          <w:u w:val="single" w:color="auto"/>
          <w:color w:val="auto"/>
        </w:rPr>
        <w:t>Exhibit A</w:t>
      </w:r>
      <w:r>
        <w:rPr>
          <w:rFonts w:ascii="Arial" w:cs="Arial" w:eastAsia="Arial" w:hAnsi="Arial"/>
          <w:sz w:val="16"/>
          <w:szCs w:val="16"/>
          <w:color w:val="auto"/>
        </w:rPr>
        <w:t xml:space="preserve"> (the “</w:t>
      </w:r>
      <w:r>
        <w:rPr>
          <w:rFonts w:ascii="Arial" w:cs="Arial" w:eastAsia="Arial" w:hAnsi="Arial"/>
          <w:sz w:val="16"/>
          <w:szCs w:val="16"/>
          <w:b w:val="1"/>
          <w:bCs w:val="1"/>
          <w:color w:val="auto"/>
        </w:rPr>
        <w:t>Exercise Notice</w:t>
      </w:r>
      <w:r>
        <w:rPr>
          <w:rFonts w:ascii="Arial" w:cs="Arial" w:eastAsia="Arial" w:hAnsi="Arial"/>
          <w:sz w:val="16"/>
          <w:szCs w:val="16"/>
          <w:color w:val="auto"/>
        </w:rPr>
        <w:t>”), of the Holder’s election to exercise this Warrant and (ii) (A) payment to the Company of an amount equal to the applicable Exercise Price multiplied by the number of Warrant Shares as to which this Warrant is being exercised (the “</w:t>
      </w:r>
      <w:r>
        <w:rPr>
          <w:rFonts w:ascii="Arial" w:cs="Arial" w:eastAsia="Arial" w:hAnsi="Arial"/>
          <w:sz w:val="16"/>
          <w:szCs w:val="16"/>
          <w:b w:val="1"/>
          <w:bCs w:val="1"/>
          <w:color w:val="auto"/>
        </w:rPr>
        <w:t>Aggregate Exercise Price</w:t>
      </w:r>
      <w:r>
        <w:rPr>
          <w:rFonts w:ascii="Arial" w:cs="Arial" w:eastAsia="Arial" w:hAnsi="Arial"/>
          <w:sz w:val="16"/>
          <w:szCs w:val="16"/>
          <w:color w:val="auto"/>
        </w:rPr>
        <w:t xml:space="preserve">”) in cash by wire transfer of immediately available funds or (B) if the provisions of Section 1(d) are applicable, by notifying the Company that this Warrant is being exercised pursuant to a Cashless Exercise. The Holder shall not be required to physically surrender this Warrant to the Company until the Holder has purchased all of the Warrant Shares available hereunder and the Warrant has been exercised in full, in which case the Holder shall surrender this Warrant to the Company for cancellation within three (3) Trading Days after the date the Warrant Shares which are the subject of the Exercise Notice being delivered to the Holder. Partial exercises of this Warrant resulting in purchases of a portion of the total number of Warrant Shares available hereunder shall have the effect of lowering the outstanding number of Warrant Shares purchasable hereunder in an amount equal to the applicable number of Warrant Shares purchased. The Holder and the Company shall maintain records showing the number of Warrant Shares purchased and the date of such purchases. </w:t>
      </w:r>
      <w:r>
        <w:rPr>
          <w:rFonts w:ascii="Arial" w:cs="Arial" w:eastAsia="Arial" w:hAnsi="Arial"/>
          <w:sz w:val="16"/>
          <w:szCs w:val="16"/>
          <w:b w:val="1"/>
          <w:bCs w:val="1"/>
          <w:color w:val="auto"/>
        </w:rPr>
        <w:t>The Holder and any assignee, by acceptance of this Warrant, acknowledge and</w:t>
      </w:r>
      <w:r>
        <w:rPr>
          <w:rFonts w:ascii="Arial" w:cs="Arial" w:eastAsia="Arial" w:hAnsi="Arial"/>
          <w:sz w:val="16"/>
          <w:szCs w:val="16"/>
          <w:color w:val="auto"/>
        </w:rPr>
        <w:t xml:space="preserve"> </w:t>
      </w:r>
      <w:r>
        <w:rPr>
          <w:rFonts w:ascii="Arial" w:cs="Arial" w:eastAsia="Arial" w:hAnsi="Arial"/>
          <w:sz w:val="16"/>
          <w:szCs w:val="16"/>
          <w:b w:val="1"/>
          <w:bCs w:val="1"/>
          <w:color w:val="auto"/>
        </w:rPr>
        <w:t xml:space="preserve">agree that, by reason of the provisions of this paragraph, following the purchase of a portion of the Warrant Shares hereunder, the number of Warrant Shares available for purchase hereunder at any given time may be less than the amount stated on the face hereof. </w:t>
      </w:r>
      <w:r>
        <w:rPr>
          <w:rFonts w:ascii="Arial" w:cs="Arial" w:eastAsia="Arial" w:hAnsi="Arial"/>
          <w:sz w:val="16"/>
          <w:szCs w:val="16"/>
          <w:color w:val="auto"/>
        </w:rPr>
        <w:t>On or before the third</w:t>
      </w:r>
      <w:r>
        <w:rPr>
          <w:rFonts w:ascii="Arial" w:cs="Arial" w:eastAsia="Arial" w:hAnsi="Arial"/>
          <w:sz w:val="16"/>
          <w:szCs w:val="16"/>
          <w:b w:val="1"/>
          <w:bCs w:val="1"/>
          <w:color w:val="auto"/>
        </w:rPr>
        <w:t xml:space="preserve"> </w:t>
      </w:r>
      <w:r>
        <w:rPr>
          <w:rFonts w:ascii="Arial" w:cs="Arial" w:eastAsia="Arial" w:hAnsi="Arial"/>
          <w:sz w:val="16"/>
          <w:szCs w:val="16"/>
          <w:color w:val="auto"/>
        </w:rPr>
        <w:t>(3rd) Trading Day following the date on which the Company has received the Exercise Notice (the “</w:t>
      </w:r>
      <w:r>
        <w:rPr>
          <w:rFonts w:ascii="Arial" w:cs="Arial" w:eastAsia="Arial" w:hAnsi="Arial"/>
          <w:sz w:val="16"/>
          <w:szCs w:val="16"/>
          <w:b w:val="1"/>
          <w:bCs w:val="1"/>
          <w:color w:val="auto"/>
        </w:rPr>
        <w:t>Share Delivery Date</w:t>
      </w:r>
      <w:r>
        <w:rPr>
          <w:rFonts w:ascii="Arial" w:cs="Arial" w:eastAsia="Arial" w:hAnsi="Arial"/>
          <w:sz w:val="16"/>
          <w:szCs w:val="16"/>
          <w:color w:val="auto"/>
        </w:rPr>
        <w:t>”), so long as the Holder delivers the Aggregate Exercise Price (or notice of a Cashless Exercise) on or prior to the second (2nd) Trading Day following the date on which the Company has received the Exercise Notice (provided that if the Aggregate Exercise Price (or notice of a Cashless Exercise) has not been delivered by such date, the Share Delivery Date shall be extended one (1) Trading Day after the Aggregate Exercise Price (or notice of a Cashless Exercise) is delivered), the Company shall</w:t>
      </w:r>
    </w:p>
    <w:p>
      <w:pPr>
        <w:spacing w:after="0" w:line="10" w:lineRule="exact"/>
        <w:rPr>
          <w:rFonts w:ascii="Arial" w:cs="Arial" w:eastAsia="Arial" w:hAnsi="Arial"/>
          <w:sz w:val="16"/>
          <w:szCs w:val="16"/>
          <w:color w:val="auto"/>
        </w:rPr>
      </w:pPr>
    </w:p>
    <w:p>
      <w:pPr>
        <w:jc w:val="both"/>
        <w:ind w:firstLine="8"/>
        <w:spacing w:after="0" w:line="282" w:lineRule="auto"/>
        <w:tabs>
          <w:tab w:leader="none" w:pos="299" w:val="left"/>
        </w:tabs>
        <w:numPr>
          <w:ilvl w:val="0"/>
          <w:numId w:val="220"/>
        </w:numPr>
        <w:rPr>
          <w:rFonts w:ascii="Arial" w:cs="Arial" w:eastAsia="Arial" w:hAnsi="Arial"/>
          <w:sz w:val="16"/>
          <w:szCs w:val="16"/>
          <w:color w:val="auto"/>
        </w:rPr>
      </w:pPr>
      <w:r>
        <w:rPr>
          <w:rFonts w:ascii="Arial" w:cs="Arial" w:eastAsia="Arial" w:hAnsi="Arial"/>
          <w:sz w:val="16"/>
          <w:szCs w:val="16"/>
          <w:color w:val="auto"/>
        </w:rPr>
        <w:t>provided that the Company’s transfer agent (“</w:t>
      </w:r>
      <w:r>
        <w:rPr>
          <w:rFonts w:ascii="Arial" w:cs="Arial" w:eastAsia="Arial" w:hAnsi="Arial"/>
          <w:sz w:val="16"/>
          <w:szCs w:val="16"/>
          <w:b w:val="1"/>
          <w:bCs w:val="1"/>
          <w:color w:val="auto"/>
        </w:rPr>
        <w:t>Transfer Agent</w:t>
      </w:r>
      <w:r>
        <w:rPr>
          <w:rFonts w:ascii="Arial" w:cs="Arial" w:eastAsia="Arial" w:hAnsi="Arial"/>
          <w:sz w:val="16"/>
          <w:szCs w:val="16"/>
          <w:color w:val="auto"/>
        </w:rPr>
        <w:t>”) is participating in The Depository Trust Company (“</w:t>
      </w:r>
      <w:r>
        <w:rPr>
          <w:rFonts w:ascii="Arial" w:cs="Arial" w:eastAsia="Arial" w:hAnsi="Arial"/>
          <w:sz w:val="16"/>
          <w:szCs w:val="16"/>
          <w:b w:val="1"/>
          <w:bCs w:val="1"/>
          <w:color w:val="auto"/>
        </w:rPr>
        <w:t>DTC</w:t>
      </w:r>
      <w:r>
        <w:rPr>
          <w:rFonts w:ascii="Arial" w:cs="Arial" w:eastAsia="Arial" w:hAnsi="Arial"/>
          <w:sz w:val="16"/>
          <w:szCs w:val="16"/>
          <w:color w:val="auto"/>
        </w:rPr>
        <w:t>”) Fast Automated Securities Transfer Program (“</w:t>
      </w:r>
      <w:r>
        <w:rPr>
          <w:rFonts w:ascii="Arial" w:cs="Arial" w:eastAsia="Arial" w:hAnsi="Arial"/>
          <w:sz w:val="16"/>
          <w:szCs w:val="16"/>
          <w:b w:val="1"/>
          <w:bCs w:val="1"/>
          <w:color w:val="auto"/>
        </w:rPr>
        <w:t>FAST</w:t>
      </w:r>
      <w:r>
        <w:rPr>
          <w:rFonts w:ascii="Arial" w:cs="Arial" w:eastAsia="Arial" w:hAnsi="Arial"/>
          <w:sz w:val="16"/>
          <w:szCs w:val="16"/>
          <w:color w:val="auto"/>
        </w:rPr>
        <w:t xml:space="preserve">”) and the Warrant Shares are eligible to be issued without a restrictive legend, credit such aggregate number of Warrant Shares to which the Holder is entitled pursuant to such exercise to the Holder’s or its designee’s balance account with DTC through its Deposit/Withdrawal At Custodian system, or (Y) if the Transfer Agent is not participating in FAST or the Warrant Shares are not eligible to be issued without a restrictive legend, issue and dispatch by overnight courier to the address as specified in the Exercise Notice, a certificate, registered in the Company’s share register in the name of the Holder or its designee, for the number of Warrant Shares to which the Holder is entitled pursuant to such exercise. The Company shall be responsible for all fees and expenses of the Transfer Agent and all fees and expenses with respect to the issuance of Warrant Shares via DTC, if any. Upon delivery of the Exercise Notice and the Aggregate Exercise Price (or notice of a Cashless Exercise), the Holder shall be deemed for all corporate purposes to have become the holder of record of the Warrant Shares with respect to which this Warrant has been exercised, irrespective of the date such Warrant Shares are credited to the Holder’s DTC account or the date of delivery of the certificates evidencing such Warrant Shares, as the case may be. If this Warrant is submitted in connection with any exercise pursuant to this Section </w:t>
      </w:r>
      <w:r>
        <w:rPr>
          <w:rFonts w:ascii="Arial" w:cs="Arial" w:eastAsia="Arial" w:hAnsi="Arial"/>
          <w:sz w:val="19"/>
          <w:szCs w:val="19"/>
          <w:b w:val="1"/>
          <w:bCs w:val="1"/>
          <w:color w:val="auto"/>
        </w:rPr>
        <w:t>‎</w:t>
      </w:r>
      <w:r>
        <w:rPr>
          <w:rFonts w:ascii="Arial" w:cs="Arial" w:eastAsia="Arial" w:hAnsi="Arial"/>
          <w:sz w:val="16"/>
          <w:szCs w:val="16"/>
          <w:color w:val="auto"/>
        </w:rPr>
        <w:t xml:space="preserve">1(a) and the number of Warrant Shares represented by this Warrant submitted for exercise is greater than the number of Warrant Shares being acquired upon an exercise, then the Company shall as soon as reasonably practicable and in no event later than three (3) Trading Days after any exercise and at its own expense, issue a new Warrant (in accordance with Section </w:t>
      </w:r>
      <w:r>
        <w:rPr>
          <w:rFonts w:ascii="Arial" w:cs="Arial" w:eastAsia="Arial" w:hAnsi="Arial"/>
          <w:sz w:val="19"/>
          <w:szCs w:val="19"/>
          <w:b w:val="1"/>
          <w:bCs w:val="1"/>
          <w:color w:val="auto"/>
        </w:rPr>
        <w:t>‎</w:t>
      </w:r>
      <w:r>
        <w:rPr>
          <w:rFonts w:ascii="Arial" w:cs="Arial" w:eastAsia="Arial" w:hAnsi="Arial"/>
          <w:sz w:val="16"/>
          <w:szCs w:val="16"/>
          <w:color w:val="auto"/>
        </w:rPr>
        <w:t>1(d)) representing the right to purchase the number of Warrant Shares issuable immediately prior to such exercise under this Warrant, less the number of Warrant Shares with respect to which this Warrant is exercised upon surrender of the Warrant so exercised. No fractional Warrant Shares are to be issued upon the exercise of this Warrant, but rather the number of Warrant Shares to be issued shall be rounded down to the nearest whole number. The Company shall pay any and all transfer, stamp, issuance and similar taxes (but not any United States federal, state or local income taxes) that may be payable with respect to the issuance and delivery of Warrant Shares upon exercise of this Warrant. The Company’s obligations to issue and deliver Warrant Shares in accordance with the terms and subject to the conditions hereof are absolute and unconditional, irrespective of any action or inaction by the Holder to enforce the same, any waiver or consent with respect to any provision hereof, the recovery of any judgment against any Person or any action to enforce the same, or any setoff, counterclaim, recoupment, limitation or termination.</w:t>
      </w:r>
    </w:p>
    <w:p>
      <w:pPr>
        <w:spacing w:after="0" w:line="166" w:lineRule="exact"/>
        <w:rPr>
          <w:rFonts w:ascii="Arial" w:cs="Arial" w:eastAsia="Arial" w:hAnsi="Arial"/>
          <w:sz w:val="16"/>
          <w:szCs w:val="16"/>
          <w:color w:val="auto"/>
        </w:rPr>
      </w:pPr>
    </w:p>
    <w:p>
      <w:pPr>
        <w:ind w:left="2200" w:hanging="248"/>
        <w:spacing w:after="0"/>
        <w:tabs>
          <w:tab w:leader="none" w:pos="2200" w:val="left"/>
        </w:tabs>
        <w:numPr>
          <w:ilvl w:val="2"/>
          <w:numId w:val="220"/>
        </w:numPr>
        <w:rPr>
          <w:rFonts w:ascii="Arial" w:cs="Arial" w:eastAsia="Arial" w:hAnsi="Arial"/>
          <w:sz w:val="17"/>
          <w:szCs w:val="17"/>
          <w:color w:val="auto"/>
        </w:rPr>
      </w:pPr>
      <w:r>
        <w:rPr>
          <w:rFonts w:ascii="Arial" w:cs="Arial" w:eastAsia="Arial" w:hAnsi="Arial"/>
          <w:sz w:val="17"/>
          <w:szCs w:val="17"/>
          <w:u w:val="single" w:color="auto"/>
          <w:color w:val="auto"/>
        </w:rPr>
        <w:t>Exercise Price</w:t>
      </w:r>
      <w:r>
        <w:rPr>
          <w:rFonts w:ascii="Arial" w:cs="Arial" w:eastAsia="Arial" w:hAnsi="Arial"/>
          <w:sz w:val="17"/>
          <w:szCs w:val="17"/>
          <w:color w:val="auto"/>
        </w:rPr>
        <w:t>. For purposes of this Warrant, “</w:t>
      </w:r>
      <w:r>
        <w:rPr>
          <w:rFonts w:ascii="Arial" w:cs="Arial" w:eastAsia="Arial" w:hAnsi="Arial"/>
          <w:sz w:val="17"/>
          <w:szCs w:val="17"/>
          <w:b w:val="1"/>
          <w:bCs w:val="1"/>
          <w:color w:val="auto"/>
        </w:rPr>
        <w:t>Exercise Price</w:t>
      </w:r>
      <w:r>
        <w:rPr>
          <w:rFonts w:ascii="Arial" w:cs="Arial" w:eastAsia="Arial" w:hAnsi="Arial"/>
          <w:sz w:val="17"/>
          <w:szCs w:val="17"/>
          <w:color w:val="auto"/>
        </w:rPr>
        <w:t>” means $0.01, subject to adjustment as provided herein.</w:t>
      </w: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20" w:name="page221"/>
    <w:bookmarkEnd w:id="220"/>
    <w:p>
      <w:pPr>
        <w:jc w:val="both"/>
        <w:ind w:firstLine="1952"/>
        <w:spacing w:after="0" w:line="283" w:lineRule="auto"/>
        <w:tabs>
          <w:tab w:leader="none" w:pos="2192" w:val="left"/>
        </w:tabs>
        <w:numPr>
          <w:ilvl w:val="0"/>
          <w:numId w:val="221"/>
        </w:numPr>
        <w:rPr>
          <w:rFonts w:ascii="Arial" w:cs="Arial" w:eastAsia="Arial" w:hAnsi="Arial"/>
          <w:sz w:val="16"/>
          <w:szCs w:val="16"/>
          <w:color w:val="auto"/>
        </w:rPr>
      </w:pPr>
      <w:r>
        <w:rPr>
          <w:rFonts w:ascii="Arial" w:cs="Arial" w:eastAsia="Arial" w:hAnsi="Arial"/>
          <w:sz w:val="16"/>
          <w:szCs w:val="16"/>
          <w:u w:val="single" w:color="auto"/>
          <w:color w:val="auto"/>
        </w:rPr>
        <w:t>Company’s Failure to Timely Deliver Securities</w:t>
      </w:r>
      <w:r>
        <w:rPr>
          <w:rFonts w:ascii="Arial" w:cs="Arial" w:eastAsia="Arial" w:hAnsi="Arial"/>
          <w:sz w:val="16"/>
          <w:szCs w:val="16"/>
          <w:color w:val="auto"/>
        </w:rPr>
        <w:t>. If the Company shall fail, for any reason or for no reason, on or prior to the Share Delivery Date, if the Transfer Agent is not participating in FAST or such shares of Common Stock may not be issued without legends under the Securities Act, to issue and deliver to the Holder (or its designee) a certificate for the number of Warrant Shares to which the Holder is entitled and register such Warrant Shares on the Company’s share register or, if the Transfer Agent is participating in FAST and such shares of Common Stock may not be issued without legends under the Securities Act, to credit the balance account of the Holder or the Holder’s designee with DTC for such number of Warrant Shares to which the Holder is entitled upon the Holder’s exercise of this Warrant (as the case may be) (a “</w:t>
      </w:r>
      <w:r>
        <w:rPr>
          <w:rFonts w:ascii="Arial" w:cs="Arial" w:eastAsia="Arial" w:hAnsi="Arial"/>
          <w:sz w:val="16"/>
          <w:szCs w:val="16"/>
          <w:b w:val="1"/>
          <w:bCs w:val="1"/>
          <w:color w:val="auto"/>
        </w:rPr>
        <w:t>Delivery Failure</w:t>
      </w:r>
      <w:r>
        <w:rPr>
          <w:rFonts w:ascii="Arial" w:cs="Arial" w:eastAsia="Arial" w:hAnsi="Arial"/>
          <w:sz w:val="16"/>
          <w:szCs w:val="16"/>
          <w:color w:val="auto"/>
        </w:rPr>
        <w:t xml:space="preserve">”), then, in addition to all other remedies available to the Holder, (X) the Company shall pay in cash to the Holder on each day after the Share Delivery Date and during such Delivery Failure an amount in cash, as liquidated damages and not as a penalty, equal to 2.0% of the product of (A) the sum of the number of shares of Common Stock not issued to the Holder on or prior to the Share Delivery Date and to which the Holder is entitled, and (B) any trading price of the Common Stock selected by the Holder in writing as in effect at any time during the period beginning on the applicable exercise date and ending on the applicable Share Delivery Date, and (Y) the Holder, upon written notice to the Company, may void its Exercise Notice with respect to, and retain or have returned, as the case may be, any portion of this Warrant that has not been exercised pursuant to such Exercise Notice; provided that the voiding of an Exercise Notice shall not affect the Company’s obligations to make any payments which have accrued prior to the date of such notice pursuant to this Section </w:t>
      </w:r>
      <w:r>
        <w:rPr>
          <w:rFonts w:ascii="Arial" w:cs="Arial" w:eastAsia="Arial" w:hAnsi="Arial"/>
          <w:sz w:val="19"/>
          <w:szCs w:val="19"/>
          <w:b w:val="1"/>
          <w:bCs w:val="1"/>
          <w:color w:val="auto"/>
        </w:rPr>
        <w:t>‎</w:t>
      </w:r>
      <w:r>
        <w:rPr>
          <w:rFonts w:ascii="Arial" w:cs="Arial" w:eastAsia="Arial" w:hAnsi="Arial"/>
          <w:sz w:val="16"/>
          <w:szCs w:val="16"/>
          <w:color w:val="auto"/>
        </w:rPr>
        <w:t>1(c) or otherwise. In addition to the foregoing, if on or after such Share Delivery Date the Holder purchases (in an open market transaction or otherwise) shares of Common Stock to deliver in satisfaction of a sale by the Holder of all or any portion of the number of shares of Common Stock issuable upon such exercise that the Holder is entitled to receive from the Company (a “</w:t>
      </w:r>
      <w:r>
        <w:rPr>
          <w:rFonts w:ascii="Arial" w:cs="Arial" w:eastAsia="Arial" w:hAnsi="Arial"/>
          <w:sz w:val="16"/>
          <w:szCs w:val="16"/>
          <w:b w:val="1"/>
          <w:bCs w:val="1"/>
          <w:color w:val="auto"/>
        </w:rPr>
        <w:t>Buy-In</w:t>
      </w:r>
      <w:r>
        <w:rPr>
          <w:rFonts w:ascii="Arial" w:cs="Arial" w:eastAsia="Arial" w:hAnsi="Arial"/>
          <w:sz w:val="16"/>
          <w:szCs w:val="16"/>
          <w:color w:val="auto"/>
        </w:rPr>
        <w:t>”), then, in addition to all other remedies available to the Holder, the Company shall, within three (3) Business Days after the Holder’s request and in the Holder’s discretion, either (i) pay cash to the Holder in an amount equal to the Holder’s total purchase price (including brokerage commissions and other out-of-pocket expenses, if any) for the shares of Common Stock so purchased (including, without limitation, by any other Person in respect, or on behalf, of the Holder) (the “</w:t>
      </w:r>
      <w:r>
        <w:rPr>
          <w:rFonts w:ascii="Arial" w:cs="Arial" w:eastAsia="Arial" w:hAnsi="Arial"/>
          <w:sz w:val="16"/>
          <w:szCs w:val="16"/>
          <w:b w:val="1"/>
          <w:bCs w:val="1"/>
          <w:color w:val="auto"/>
        </w:rPr>
        <w:t>Buy-In Price</w:t>
      </w:r>
      <w:r>
        <w:rPr>
          <w:rFonts w:ascii="Arial" w:cs="Arial" w:eastAsia="Arial" w:hAnsi="Arial"/>
          <w:sz w:val="16"/>
          <w:szCs w:val="16"/>
          <w:color w:val="auto"/>
        </w:rPr>
        <w:t>”), at which point the Company’s obligation to so issue and deliver such certificate (and to issue such shares of Common Stock) or credit the balance account of such Holder or such Holder’s designee, as applicable, with DTC for the number of Warrant Shares to which the Holder is entitled upon the Holder’s exercise hereunder (as the case may be) (and to issue such Warrant Shares) shall terminate, or (ii) promptly honor its obligation to so issue and deliver to the Holder a certificate or certificates representing such Warrant Shares or credit the balance account of such Holder or such Holder’s designee, as applicable, with DTC for the number of Warrant Shares to which the Holder is entitled upon the Holder’s exercise hereunder (as the case may be) and pay cash to the Holder in an amount equal to the excess (if any) of the Buy-In Price over the product of (A) such number of Warrant Shares multiplied by (B) the Closing Sale Price of the Common Stock on the Share Delivery Date with respect to the related Exercise Notice (the “</w:t>
      </w:r>
      <w:r>
        <w:rPr>
          <w:rFonts w:ascii="Arial" w:cs="Arial" w:eastAsia="Arial" w:hAnsi="Arial"/>
          <w:sz w:val="16"/>
          <w:szCs w:val="16"/>
          <w:b w:val="1"/>
          <w:bCs w:val="1"/>
          <w:color w:val="auto"/>
        </w:rPr>
        <w:t>Buy-In Payment Amount</w:t>
      </w:r>
      <w:r>
        <w:rPr>
          <w:rFonts w:ascii="Arial" w:cs="Arial" w:eastAsia="Arial" w:hAnsi="Arial"/>
          <w:sz w:val="16"/>
          <w:szCs w:val="16"/>
          <w:color w:val="auto"/>
        </w:rPr>
        <w:t>”). The Holder shall provide the Company written notice indicating the amounts payable to the Holder in respect of the Buy-In and, upon request of the Company, evidence of the amount of such loss. Nothing shall limit the Holder’s right to pursue any other remedies available to it hereunder, at law or in equity, including, without limitation, a decree of specific performance and/or injunctive relief with respect to the Company’s failure to timely deliver certificates representing shares of Common Stock (or to electronically deliver such shares of Common Stock) upon the exercise of this Warrant as required pursuant to the terms hereof.</w:t>
      </w:r>
    </w:p>
    <w:p>
      <w:pPr>
        <w:spacing w:after="0" w:line="160" w:lineRule="exact"/>
        <w:rPr>
          <w:rFonts w:ascii="Arial" w:cs="Arial" w:eastAsia="Arial" w:hAnsi="Arial"/>
          <w:sz w:val="16"/>
          <w:szCs w:val="16"/>
          <w:color w:val="auto"/>
        </w:rPr>
      </w:pPr>
    </w:p>
    <w:p>
      <w:pPr>
        <w:jc w:val="both"/>
        <w:ind w:firstLine="1952"/>
        <w:spacing w:after="0" w:line="255" w:lineRule="auto"/>
        <w:tabs>
          <w:tab w:leader="none" w:pos="2218" w:val="left"/>
        </w:tabs>
        <w:numPr>
          <w:ilvl w:val="0"/>
          <w:numId w:val="221"/>
        </w:numPr>
        <w:rPr>
          <w:rFonts w:ascii="Arial" w:cs="Arial" w:eastAsia="Arial" w:hAnsi="Arial"/>
          <w:sz w:val="18"/>
          <w:szCs w:val="18"/>
          <w:color w:val="auto"/>
        </w:rPr>
      </w:pPr>
      <w:r>
        <w:rPr>
          <w:rFonts w:ascii="Arial" w:cs="Arial" w:eastAsia="Arial" w:hAnsi="Arial"/>
          <w:sz w:val="18"/>
          <w:szCs w:val="18"/>
          <w:u w:val="single" w:color="auto"/>
          <w:color w:val="auto"/>
        </w:rPr>
        <w:t>Cashless Exercise</w:t>
      </w:r>
      <w:r>
        <w:rPr>
          <w:rFonts w:ascii="Arial" w:cs="Arial" w:eastAsia="Arial" w:hAnsi="Arial"/>
          <w:sz w:val="18"/>
          <w:szCs w:val="18"/>
          <w:color w:val="auto"/>
        </w:rPr>
        <w:t xml:space="preserve">. Notwithstanding anything contained herein to the contrary (other than Section </w:t>
      </w:r>
      <w:r>
        <w:rPr>
          <w:rFonts w:ascii="Arial" w:cs="Arial" w:eastAsia="Arial" w:hAnsi="Arial"/>
          <w:sz w:val="21"/>
          <w:szCs w:val="21"/>
          <w:b w:val="1"/>
          <w:bCs w:val="1"/>
          <w:color w:val="auto"/>
        </w:rPr>
        <w:t>‎</w:t>
      </w:r>
      <w:r>
        <w:rPr>
          <w:rFonts w:ascii="Arial" w:cs="Arial" w:eastAsia="Arial" w:hAnsi="Arial"/>
          <w:sz w:val="18"/>
          <w:szCs w:val="18"/>
          <w:color w:val="auto"/>
        </w:rPr>
        <w:t xml:space="preserve">1(f) below), the Holder may, in its sole discretion (and without limiting the Holder’s rights and remedies contained herein), exercise this Warrant in whole or in part and, subject to the provisions of Section </w:t>
      </w:r>
      <w:r>
        <w:rPr>
          <w:rFonts w:ascii="Arial" w:cs="Arial" w:eastAsia="Arial" w:hAnsi="Arial"/>
          <w:sz w:val="21"/>
          <w:szCs w:val="21"/>
          <w:b w:val="1"/>
          <w:bCs w:val="1"/>
          <w:color w:val="auto"/>
        </w:rPr>
        <w:t>‎</w:t>
      </w:r>
      <w:r>
        <w:rPr>
          <w:rFonts w:ascii="Arial" w:cs="Arial" w:eastAsia="Arial" w:hAnsi="Arial"/>
          <w:sz w:val="18"/>
          <w:szCs w:val="18"/>
          <w:color w:val="auto"/>
        </w:rPr>
        <w:t>1(a), in lieu of making the cash payment otherwise contemplated to be made to the Company upon such exercise in payment of the Aggregate Exercise Price, elect instead to receive upon such exercise the “Net Number” of Warrant Shares determined according to the following formula:</w:t>
      </w:r>
    </w:p>
    <w:p>
      <w:pPr>
        <w:spacing w:after="0" w:line="19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 xml:space="preserve">Net Number = </w:t>
      </w:r>
      <w:r>
        <w:rPr>
          <w:rFonts w:ascii="Arial" w:cs="Arial" w:eastAsia="Arial" w:hAnsi="Arial"/>
          <w:sz w:val="18"/>
          <w:szCs w:val="18"/>
          <w:u w:val="single" w:color="auto"/>
          <w:color w:val="auto"/>
        </w:rPr>
        <w:t>(A x B) - (A x C)</w:t>
      </w:r>
    </w:p>
    <w:p>
      <w:pPr>
        <w:spacing w:after="0" w:line="23" w:lineRule="exact"/>
        <w:rPr>
          <w:sz w:val="20"/>
          <w:szCs w:val="20"/>
          <w:color w:val="auto"/>
        </w:rPr>
      </w:pPr>
    </w:p>
    <w:p>
      <w:pPr>
        <w:ind w:left="2920"/>
        <w:spacing w:after="0"/>
        <w:rPr>
          <w:sz w:val="20"/>
          <w:szCs w:val="20"/>
          <w:color w:val="auto"/>
        </w:rPr>
      </w:pPr>
      <w:r>
        <w:rPr>
          <w:rFonts w:ascii="Arial" w:cs="Arial" w:eastAsia="Arial" w:hAnsi="Arial"/>
          <w:sz w:val="18"/>
          <w:szCs w:val="18"/>
          <w:color w:val="auto"/>
        </w:rPr>
        <w:t>B</w:t>
      </w:r>
    </w:p>
    <w:p>
      <w:pPr>
        <w:spacing w:after="0" w:line="21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For purposes of the foregoing formula:</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 the total number of shares with respect to which this Warrant is then being exercised.</w:t>
      </w:r>
    </w:p>
    <w:p>
      <w:pPr>
        <w:spacing w:after="0" w:line="225" w:lineRule="exact"/>
        <w:rPr>
          <w:sz w:val="20"/>
          <w:szCs w:val="20"/>
          <w:color w:val="auto"/>
        </w:rPr>
      </w:pPr>
    </w:p>
    <w:p>
      <w:pPr>
        <w:ind w:left="1300"/>
        <w:spacing w:after="0" w:line="342" w:lineRule="auto"/>
        <w:rPr>
          <w:sz w:val="20"/>
          <w:szCs w:val="20"/>
          <w:color w:val="auto"/>
        </w:rPr>
      </w:pPr>
      <w:r>
        <w:rPr>
          <w:rFonts w:ascii="Arial" w:cs="Arial" w:eastAsia="Arial" w:hAnsi="Arial"/>
          <w:sz w:val="16"/>
          <w:szCs w:val="16"/>
          <w:color w:val="auto"/>
        </w:rPr>
        <w:t>B = the quotient of (x) the sum of the VWAP of the Common Stock of each of the five (5) Trading Days ending at the close of business on the Principal Market immediately prior to the time of exercise as set forth in the applicable Exercise Notice, divided by (y) five (5).</w:t>
      </w:r>
    </w:p>
    <w:p>
      <w:pPr>
        <w:spacing w:after="0" w:line="124"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C = the Exercise Price then in effect for the applicable Warrant Shares at the time of such exercise.</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For purposes of Rule 144(d) promulgated under the Securities Act, as in effect on the date hereof, it is intended that the Warrant Shares issued in a Cashless Exercise shall be deemed to have been acquired by the Holder, and the holding period for the Warrant Shares shall be deemed to have commenced, on the date this Warrant was originally issued pursuant to the Credit Agreement.</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21" w:name="page222"/>
    <w:bookmarkEnd w:id="221"/>
    <w:p>
      <w:pPr>
        <w:jc w:val="both"/>
        <w:ind w:firstLine="1952"/>
        <w:spacing w:after="0" w:line="263" w:lineRule="auto"/>
        <w:tabs>
          <w:tab w:leader="none" w:pos="2194" w:val="left"/>
        </w:tabs>
        <w:numPr>
          <w:ilvl w:val="1"/>
          <w:numId w:val="222"/>
        </w:numPr>
        <w:rPr>
          <w:rFonts w:ascii="Arial" w:cs="Arial" w:eastAsia="Arial" w:hAnsi="Arial"/>
          <w:sz w:val="18"/>
          <w:szCs w:val="18"/>
          <w:color w:val="auto"/>
        </w:rPr>
      </w:pPr>
      <w:r>
        <w:rPr>
          <w:rFonts w:ascii="Arial" w:cs="Arial" w:eastAsia="Arial" w:hAnsi="Arial"/>
          <w:sz w:val="18"/>
          <w:szCs w:val="18"/>
          <w:u w:val="single" w:color="auto"/>
          <w:color w:val="auto"/>
        </w:rPr>
        <w:t>Disputes</w:t>
      </w:r>
      <w:r>
        <w:rPr>
          <w:rFonts w:ascii="Arial" w:cs="Arial" w:eastAsia="Arial" w:hAnsi="Arial"/>
          <w:sz w:val="18"/>
          <w:szCs w:val="18"/>
          <w:color w:val="auto"/>
        </w:rPr>
        <w:t xml:space="preserve">. In the case of a dispute as to the determination of the Exercise Price or the arithmetic calculation of the number of Warrant Shares to be issued pursuant to the terms hereof, the Company shall promptly issue to the Holder the number of Warrant Shares that are not disputed and resolve such dispute in accordance with Section </w:t>
      </w:r>
      <w:r>
        <w:rPr>
          <w:rFonts w:ascii="Arial" w:cs="Arial" w:eastAsia="Arial" w:hAnsi="Arial"/>
          <w:sz w:val="21"/>
          <w:szCs w:val="21"/>
          <w:b w:val="1"/>
          <w:bCs w:val="1"/>
          <w:color w:val="auto"/>
        </w:rPr>
        <w:t>‎</w:t>
      </w:r>
      <w:r>
        <w:rPr>
          <w:rFonts w:ascii="Arial" w:cs="Arial" w:eastAsia="Arial" w:hAnsi="Arial"/>
          <w:sz w:val="18"/>
          <w:szCs w:val="18"/>
          <w:color w:val="auto"/>
        </w:rPr>
        <w:t>12.</w:t>
      </w:r>
    </w:p>
    <w:p>
      <w:pPr>
        <w:spacing w:after="0" w:line="172" w:lineRule="exact"/>
        <w:rPr>
          <w:rFonts w:ascii="Arial" w:cs="Arial" w:eastAsia="Arial" w:hAnsi="Arial"/>
          <w:sz w:val="18"/>
          <w:szCs w:val="18"/>
          <w:color w:val="auto"/>
        </w:rPr>
      </w:pPr>
    </w:p>
    <w:p>
      <w:pPr>
        <w:jc w:val="both"/>
        <w:ind w:firstLine="1952"/>
        <w:spacing w:after="0" w:line="281" w:lineRule="auto"/>
        <w:tabs>
          <w:tab w:leader="none" w:pos="2203" w:val="left"/>
        </w:tabs>
        <w:numPr>
          <w:ilvl w:val="1"/>
          <w:numId w:val="222"/>
        </w:numPr>
        <w:rPr>
          <w:rFonts w:ascii="Arial" w:cs="Arial" w:eastAsia="Arial" w:hAnsi="Arial"/>
          <w:sz w:val="16"/>
          <w:szCs w:val="16"/>
          <w:color w:val="auto"/>
        </w:rPr>
      </w:pPr>
      <w:r>
        <w:rPr>
          <w:rFonts w:ascii="Arial" w:cs="Arial" w:eastAsia="Arial" w:hAnsi="Arial"/>
          <w:sz w:val="16"/>
          <w:szCs w:val="16"/>
          <w:u w:val="single" w:color="auto"/>
          <w:color w:val="auto"/>
        </w:rPr>
        <w:t>Limitations on Exercises</w:t>
      </w:r>
      <w:r>
        <w:rPr>
          <w:rFonts w:ascii="Arial" w:cs="Arial" w:eastAsia="Arial" w:hAnsi="Arial"/>
          <w:sz w:val="16"/>
          <w:szCs w:val="16"/>
          <w:color w:val="auto"/>
        </w:rPr>
        <w:t>. Notwithstanding anything to the contrary contained herein, the Company shall not effect the exercise of any portion of this Warrant, and the Holder shall not have the right to exercise any portion of this Warrant, pursuant to the terms and conditions of this Warrant and any such exercise shall be null and void and treated as if never made, to the extent that after giving effect to such exercise, the Holder together with the other Attribution Parties collectively would beneficially own in excess of 4.99% (the “</w:t>
      </w:r>
      <w:r>
        <w:rPr>
          <w:rFonts w:ascii="Arial" w:cs="Arial" w:eastAsia="Arial" w:hAnsi="Arial"/>
          <w:sz w:val="16"/>
          <w:szCs w:val="16"/>
          <w:b w:val="1"/>
          <w:bCs w:val="1"/>
          <w:color w:val="auto"/>
        </w:rPr>
        <w:t>Maximum Percentage</w:t>
      </w:r>
      <w:r>
        <w:rPr>
          <w:rFonts w:ascii="Arial" w:cs="Arial" w:eastAsia="Arial" w:hAnsi="Arial"/>
          <w:sz w:val="16"/>
          <w:szCs w:val="16"/>
          <w:color w:val="auto"/>
        </w:rPr>
        <w:t xml:space="preserve">”) of the number of shares of Common Stock outstanding immediately after giving effect to such exercise. For purposes of the foregoing sentence, the aggregate number of shares of Common Stock beneficially owned by the Holder and the other Attribution Parties shall include the number of shares of Common Stock held by the Holder and all other Attribution Parties plus the number of shares of Common Stock issuable upon exercise of this Warrant with respect to which the determination of such sentence is being made, but shall exclude the number of shares of Common Stock which would be issuable upon (A) exercise of the remaining, unexercised portion of this Warrant beneficially owned by the Holder or any of the other Attribution Parties and (B) exercise or conversion of the unexercised or unconverted portion of any other securities of the Company (including, without limitation, any convertible notes or convertible preferred stock or warrants) beneficially owned by the Holder or any other Attribution Party subject to a limitation on conversion or exercise analogous to the limitation contained in this Section </w:t>
      </w:r>
      <w:r>
        <w:rPr>
          <w:rFonts w:ascii="Arial" w:cs="Arial" w:eastAsia="Arial" w:hAnsi="Arial"/>
          <w:sz w:val="19"/>
          <w:szCs w:val="19"/>
          <w:b w:val="1"/>
          <w:bCs w:val="1"/>
          <w:color w:val="auto"/>
        </w:rPr>
        <w:t>‎</w:t>
      </w:r>
      <w:r>
        <w:rPr>
          <w:rFonts w:ascii="Arial" w:cs="Arial" w:eastAsia="Arial" w:hAnsi="Arial"/>
          <w:sz w:val="16"/>
          <w:szCs w:val="16"/>
          <w:color w:val="auto"/>
        </w:rPr>
        <w:t xml:space="preserve">1(f). For purposes of this Section </w:t>
      </w:r>
      <w:r>
        <w:rPr>
          <w:rFonts w:ascii="Arial" w:cs="Arial" w:eastAsia="Arial" w:hAnsi="Arial"/>
          <w:sz w:val="19"/>
          <w:szCs w:val="19"/>
          <w:b w:val="1"/>
          <w:bCs w:val="1"/>
          <w:color w:val="auto"/>
        </w:rPr>
        <w:t>‎</w:t>
      </w:r>
      <w:r>
        <w:rPr>
          <w:rFonts w:ascii="Arial" w:cs="Arial" w:eastAsia="Arial" w:hAnsi="Arial"/>
          <w:sz w:val="16"/>
          <w:szCs w:val="16"/>
          <w:color w:val="auto"/>
        </w:rPr>
        <w:t>1(f), beneficial ownership shall be calculated in accordance with Section 13(d) of the Securities Exchange Act of 1934, as amended (the “</w:t>
      </w:r>
      <w:r>
        <w:rPr>
          <w:rFonts w:ascii="Arial" w:cs="Arial" w:eastAsia="Arial" w:hAnsi="Arial"/>
          <w:sz w:val="16"/>
          <w:szCs w:val="16"/>
          <w:b w:val="1"/>
          <w:bCs w:val="1"/>
          <w:color w:val="auto"/>
        </w:rPr>
        <w:t>Exchange Act</w:t>
      </w:r>
      <w:r>
        <w:rPr>
          <w:rFonts w:ascii="Arial" w:cs="Arial" w:eastAsia="Arial" w:hAnsi="Arial"/>
          <w:sz w:val="16"/>
          <w:szCs w:val="16"/>
          <w:color w:val="auto"/>
        </w:rPr>
        <w:t>”). For purposes of this Warrant, in determining the number of outstanding shares of Common Stock the Holder may acquire upon the exercise of this Warrant without exceeding the Maximum Percentage, the Holder may rely on the number of outstanding shares of Common Stock as reflected in (x) the Company’s most recent Annual Report on Form 10-K, Quarterly Report on Form 10-Q, Current Report on Form 8-K or other public filing with the Securities and Exchange Commission (the “</w:t>
      </w:r>
      <w:r>
        <w:rPr>
          <w:rFonts w:ascii="Arial" w:cs="Arial" w:eastAsia="Arial" w:hAnsi="Arial"/>
          <w:sz w:val="16"/>
          <w:szCs w:val="16"/>
          <w:b w:val="1"/>
          <w:bCs w:val="1"/>
          <w:color w:val="auto"/>
        </w:rPr>
        <w:t>SEC</w:t>
      </w:r>
      <w:r>
        <w:rPr>
          <w:rFonts w:ascii="Arial" w:cs="Arial" w:eastAsia="Arial" w:hAnsi="Arial"/>
          <w:sz w:val="16"/>
          <w:szCs w:val="16"/>
          <w:color w:val="auto"/>
        </w:rPr>
        <w:t>”), as the case may be, (y) a more recent public announcement by the Company or (z) any other written notice by the Company or the Transfer Agent, if any, setting forth the number of shares of Common Stock outstanding (the “</w:t>
      </w:r>
      <w:r>
        <w:rPr>
          <w:rFonts w:ascii="Arial" w:cs="Arial" w:eastAsia="Arial" w:hAnsi="Arial"/>
          <w:sz w:val="16"/>
          <w:szCs w:val="16"/>
          <w:b w:val="1"/>
          <w:bCs w:val="1"/>
          <w:color w:val="auto"/>
        </w:rPr>
        <w:t>Reported Outstanding Share Number</w:t>
      </w:r>
      <w:r>
        <w:rPr>
          <w:rFonts w:ascii="Arial" w:cs="Arial" w:eastAsia="Arial" w:hAnsi="Arial"/>
          <w:sz w:val="16"/>
          <w:szCs w:val="16"/>
          <w:color w:val="auto"/>
        </w:rPr>
        <w:t xml:space="preserve">”). If the Company receives an Exercise Notice from the Holder at a time when the actual number of outstanding shares of Common Stock is less than the Reported Outstanding Share Number, the Company shall (i) notify the Holder in writing of the number of shares of Common Stock then outstanding and, to the extent that such Exercise Notice would otherwise cause the Holder’s beneficial ownership, as determined pursuant to this Section </w:t>
      </w:r>
      <w:r>
        <w:rPr>
          <w:rFonts w:ascii="Arial" w:cs="Arial" w:eastAsia="Arial" w:hAnsi="Arial"/>
          <w:sz w:val="19"/>
          <w:szCs w:val="19"/>
          <w:b w:val="1"/>
          <w:bCs w:val="1"/>
          <w:color w:val="auto"/>
        </w:rPr>
        <w:t>‎</w:t>
      </w:r>
      <w:r>
        <w:rPr>
          <w:rFonts w:ascii="Arial" w:cs="Arial" w:eastAsia="Arial" w:hAnsi="Arial"/>
          <w:sz w:val="16"/>
          <w:szCs w:val="16"/>
          <w:color w:val="auto"/>
        </w:rPr>
        <w:t>1(f), to exceed the Maximum Percentage, the Holder must notify the Company of a reduced number of Warrant Shares to be purchased pursuant to such Exercise Notice (the number of shares by which such purchase is reduced, the “</w:t>
      </w:r>
      <w:r>
        <w:rPr>
          <w:rFonts w:ascii="Arial" w:cs="Arial" w:eastAsia="Arial" w:hAnsi="Arial"/>
          <w:sz w:val="16"/>
          <w:szCs w:val="16"/>
          <w:b w:val="1"/>
          <w:bCs w:val="1"/>
          <w:color w:val="auto"/>
        </w:rPr>
        <w:t>Reduction Shares</w:t>
      </w:r>
      <w:r>
        <w:rPr>
          <w:rFonts w:ascii="Arial" w:cs="Arial" w:eastAsia="Arial" w:hAnsi="Arial"/>
          <w:sz w:val="16"/>
          <w:szCs w:val="16"/>
          <w:color w:val="auto"/>
        </w:rPr>
        <w:t>”) and</w:t>
      </w:r>
    </w:p>
    <w:p>
      <w:pPr>
        <w:jc w:val="both"/>
        <w:ind w:firstLine="8"/>
        <w:spacing w:after="0" w:line="282" w:lineRule="auto"/>
        <w:tabs>
          <w:tab w:leader="none" w:pos="283" w:val="left"/>
        </w:tabs>
        <w:numPr>
          <w:ilvl w:val="0"/>
          <w:numId w:val="223"/>
        </w:numPr>
        <w:rPr>
          <w:rFonts w:ascii="Arial" w:cs="Arial" w:eastAsia="Arial" w:hAnsi="Arial"/>
          <w:sz w:val="16"/>
          <w:szCs w:val="16"/>
          <w:color w:val="auto"/>
        </w:rPr>
      </w:pPr>
      <w:r>
        <w:rPr>
          <w:rFonts w:ascii="Arial" w:cs="Arial" w:eastAsia="Arial" w:hAnsi="Arial"/>
          <w:sz w:val="16"/>
          <w:szCs w:val="16"/>
          <w:color w:val="auto"/>
        </w:rPr>
        <w:t>as soon as reasonably practicable, the Company shall return to the Holder any exercise price paid by the Holder for the Reduction Shares. For any reason at any time, upon the written or oral request of the Holder, the Company shall within one (1) Business Day confirm orally and in writing or by electronic mail to the Holder the number of shares of Common Stock then outstanding. In any case, the number of outstanding shares of Common Stock shall be determined after giving effect to the conversion or exercise of securities of the Company, including this Warrant, by the Holder and any other Attribution Party since the date as of which the Reported Outstanding Share Number was reported. In the event that the issuance of shares of Common Stock to the Holder upon exercise of this Warrant results in the Holder and the other Attribution Parties being deemed to beneficially own, in the aggregate, more than the Maximum Percentage of the number of outstanding shares of Common Stock (as determined under Section 13(d) of the Exchange Act), the number of shares so issued by which the Holder’s and the other Attribution Parties’ aggregate beneficial ownership exceeds the Maximum Percentage (the “</w:t>
      </w:r>
      <w:r>
        <w:rPr>
          <w:rFonts w:ascii="Arial" w:cs="Arial" w:eastAsia="Arial" w:hAnsi="Arial"/>
          <w:sz w:val="16"/>
          <w:szCs w:val="16"/>
          <w:b w:val="1"/>
          <w:bCs w:val="1"/>
          <w:color w:val="auto"/>
        </w:rPr>
        <w:t>Excess Shares</w:t>
      </w:r>
      <w:r>
        <w:rPr>
          <w:rFonts w:ascii="Arial" w:cs="Arial" w:eastAsia="Arial" w:hAnsi="Arial"/>
          <w:sz w:val="16"/>
          <w:szCs w:val="16"/>
          <w:color w:val="auto"/>
        </w:rPr>
        <w:t xml:space="preserve">”) shall be deemed null and void and shall be cancelled ab initio, and the Holder shall not have the power to vote or to transfer the Excess Shares. As soon as reasonably practicable after the issuance of the Excess Shares has been deemed null and void, the Company shall return to the Holder the exercise price paid by the Holder for the Excess Shares. Upon delivery of a written notice to the Company, the Holder may from time to time increase (with such increase not effective until the sixty-first (61st) day after delivery of such notice) or decrease the Maximum Percentage to any other percentage not in excess of 9.99% as specified in such notice; provided that (i) any such increase in the Maximum Percentage will not be effective until the sixty-first (61st) day after such notice is delivered to the Company and (ii) any such increase or decrease will apply only to the Holder and the other Attribution Parties and not to any other holder that is not an Attribution Party of the Holder. For purposes of clarity, the shares of Common Stock issuable pursuant to the terms of this Warrant in excess of the Maximum Percentage shall not be deemed to be beneficially owned by the Holder for any purpose including for purposes of Section 13(d) or Rule 16a-1(a)(1) of the Exchange Act. No prior inability to exercise this Warrant pursuant to this paragraph shall have any effect on the applicability of the provisions of this paragraph with respect to any subsequent determination of exercisability. The provisions of this paragraph shall be construed and implemented in a manner otherwise than in strict conformity with the terms of this Section </w:t>
      </w:r>
      <w:r>
        <w:rPr>
          <w:rFonts w:ascii="Arial" w:cs="Arial" w:eastAsia="Arial" w:hAnsi="Arial"/>
          <w:sz w:val="19"/>
          <w:szCs w:val="19"/>
          <w:b w:val="1"/>
          <w:bCs w:val="1"/>
          <w:color w:val="auto"/>
        </w:rPr>
        <w:t>‎</w:t>
      </w:r>
      <w:r>
        <w:rPr>
          <w:rFonts w:ascii="Arial" w:cs="Arial" w:eastAsia="Arial" w:hAnsi="Arial"/>
          <w:sz w:val="16"/>
          <w:szCs w:val="16"/>
          <w:color w:val="auto"/>
        </w:rPr>
        <w:t xml:space="preserve">1(f) to the extent necessary to correct this paragraph or any portion of this paragraph which may be defective or inconsistent with the intended beneficial ownership limitation contained in this Section </w:t>
      </w:r>
      <w:r>
        <w:rPr>
          <w:rFonts w:ascii="Arial" w:cs="Arial" w:eastAsia="Arial" w:hAnsi="Arial"/>
          <w:sz w:val="19"/>
          <w:szCs w:val="19"/>
          <w:b w:val="1"/>
          <w:bCs w:val="1"/>
          <w:color w:val="auto"/>
        </w:rPr>
        <w:t>‎</w:t>
      </w:r>
      <w:r>
        <w:rPr>
          <w:rFonts w:ascii="Arial" w:cs="Arial" w:eastAsia="Arial" w:hAnsi="Arial"/>
          <w:sz w:val="16"/>
          <w:szCs w:val="16"/>
          <w:color w:val="auto"/>
        </w:rPr>
        <w:t>1(f) or to make changes or supplements necessary or desirable to properly give effect to such limitation. The limitation contained in this paragraph may not be waived and shall apply to a successor holder of this Warrant.</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22" w:name="page223"/>
    <w:bookmarkEnd w:id="222"/>
    <w:p>
      <w:pPr>
        <w:jc w:val="both"/>
        <w:ind w:firstLine="1952"/>
        <w:spacing w:after="0" w:line="285" w:lineRule="auto"/>
        <w:tabs>
          <w:tab w:leader="none" w:pos="2200" w:val="left"/>
        </w:tabs>
        <w:numPr>
          <w:ilvl w:val="1"/>
          <w:numId w:val="224"/>
        </w:numPr>
        <w:rPr>
          <w:rFonts w:ascii="Arial" w:cs="Arial" w:eastAsia="Arial" w:hAnsi="Arial"/>
          <w:sz w:val="16"/>
          <w:szCs w:val="16"/>
          <w:color w:val="auto"/>
        </w:rPr>
      </w:pPr>
      <w:r>
        <w:rPr>
          <w:rFonts w:ascii="Arial" w:cs="Arial" w:eastAsia="Arial" w:hAnsi="Arial"/>
          <w:sz w:val="16"/>
          <w:szCs w:val="16"/>
          <w:u w:val="single" w:color="auto"/>
          <w:color w:val="auto"/>
        </w:rPr>
        <w:t>Insufficient Authorized Shares</w:t>
      </w:r>
      <w:r>
        <w:rPr>
          <w:rFonts w:ascii="Arial" w:cs="Arial" w:eastAsia="Arial" w:hAnsi="Arial"/>
          <w:sz w:val="16"/>
          <w:szCs w:val="16"/>
          <w:color w:val="auto"/>
        </w:rPr>
        <w:t>. If at any time while this Warrant remains outstanding the Company does not have a sufficient number of authorized and unreserved shares of Common Stock to satisfy its obligation to reserve for issuance upon exercise of this Warrant at least a number of shares of Common Stock equal to the number of shares of Common Stock as shall from time to time be necessary to effect the exercise of all of this Warrant then outstanding (the “</w:t>
      </w:r>
      <w:r>
        <w:rPr>
          <w:rFonts w:ascii="Arial" w:cs="Arial" w:eastAsia="Arial" w:hAnsi="Arial"/>
          <w:sz w:val="16"/>
          <w:szCs w:val="16"/>
          <w:b w:val="1"/>
          <w:bCs w:val="1"/>
          <w:color w:val="auto"/>
        </w:rPr>
        <w:t>Required Reserve Amount</w:t>
      </w:r>
      <w:r>
        <w:rPr>
          <w:rFonts w:ascii="Arial" w:cs="Arial" w:eastAsia="Arial" w:hAnsi="Arial"/>
          <w:sz w:val="16"/>
          <w:szCs w:val="16"/>
          <w:color w:val="auto"/>
        </w:rPr>
        <w:t>” and the failure to have such sufficient number of authorized and unreserved shares of Common Stock, an “</w:t>
      </w:r>
      <w:r>
        <w:rPr>
          <w:rFonts w:ascii="Arial" w:cs="Arial" w:eastAsia="Arial" w:hAnsi="Arial"/>
          <w:sz w:val="16"/>
          <w:szCs w:val="16"/>
          <w:b w:val="1"/>
          <w:bCs w:val="1"/>
          <w:color w:val="auto"/>
        </w:rPr>
        <w:t>Authorized Share Failure</w:t>
      </w:r>
      <w:r>
        <w:rPr>
          <w:rFonts w:ascii="Arial" w:cs="Arial" w:eastAsia="Arial" w:hAnsi="Arial"/>
          <w:sz w:val="16"/>
          <w:szCs w:val="16"/>
          <w:color w:val="auto"/>
        </w:rPr>
        <w:t>”), then the Company shall as soon as reasonably practicable take all action necessary to increase the Company’s authorized shares of Common Stock to an amount sufficient to allow the Company to reserve the Required Reserve Amount for this Warrant then outstanding. Without limiting the generality of the foregoing sentence, as soon as reasonably practicable after the date of the occurrence of an Authorized Share Failure, but in no event later than seventy-five (75) days after the occurrence of such Authorized Share Failure, the Company shall hold a meeting of its stockholders for the approval of an increase in the number of authorized shares of Common Stock. In connection with such meeting, the Company shall provide each stockholder with a proxy statement and shall use its reasonable best efforts to solicit its stockholders’ approval of such increase in authorized shares of Common Stock and to cause its board of directors to recommend to the stockholders that they approve such proposal. In the event that the Company is prohibited from issuing shares of Common Stock upon an exercise of this Warrant due to the failure by the Company to have sufficient shares of Common Stock available out of the authorized but unissued shares of Common Stock (such unavailable number of shares of Common Stock, the “</w:t>
      </w:r>
      <w:r>
        <w:rPr>
          <w:rFonts w:ascii="Arial" w:cs="Arial" w:eastAsia="Arial" w:hAnsi="Arial"/>
          <w:sz w:val="16"/>
          <w:szCs w:val="16"/>
          <w:b w:val="1"/>
          <w:bCs w:val="1"/>
          <w:color w:val="auto"/>
        </w:rPr>
        <w:t>Authorization Failure Shares</w:t>
      </w:r>
      <w:r>
        <w:rPr>
          <w:rFonts w:ascii="Arial" w:cs="Arial" w:eastAsia="Arial" w:hAnsi="Arial"/>
          <w:sz w:val="16"/>
          <w:szCs w:val="16"/>
          <w:color w:val="auto"/>
        </w:rPr>
        <w:t xml:space="preserve">”), in lieu of delivering such Authorization Failure Shares to the Holder, the Company shall pay cash in exchange for the cancellation of such portion of this Warrant exercisable into such Authorization Failure Shares at a price equal to the sum of (i) the product of (x) such number of Authorization Failure Shares and (y) the Closing Sale Price of the Common Stock on the date the Holder delivers the applicable Exercise Notice with respect to such Authorization Failure Shares to the Company; and (ii) to the extent the Holder purchases (in an open market transaction or otherwise) shares of Common Stock to deliver in satisfaction of a sale by the Holder of Authorization Failure Shares, any Buy-In Payment Amount, brokerage commissions and other out-of-pocket expenses, if any, of the Holder incurred in connection therewith. Nothing contained in this Section </w:t>
      </w:r>
      <w:r>
        <w:rPr>
          <w:rFonts w:ascii="Arial" w:cs="Arial" w:eastAsia="Arial" w:hAnsi="Arial"/>
          <w:sz w:val="19"/>
          <w:szCs w:val="19"/>
          <w:b w:val="1"/>
          <w:bCs w:val="1"/>
          <w:color w:val="auto"/>
        </w:rPr>
        <w:t>‎</w:t>
      </w:r>
      <w:r>
        <w:rPr>
          <w:rFonts w:ascii="Arial" w:cs="Arial" w:eastAsia="Arial" w:hAnsi="Arial"/>
          <w:sz w:val="16"/>
          <w:szCs w:val="16"/>
          <w:color w:val="auto"/>
        </w:rPr>
        <w:t>1(g) shall limit any obligations of the Company under any provision of the Credit Agreement.</w:t>
      </w:r>
    </w:p>
    <w:p>
      <w:pPr>
        <w:spacing w:after="0" w:line="152" w:lineRule="exact"/>
        <w:rPr>
          <w:rFonts w:ascii="Arial" w:cs="Arial" w:eastAsia="Arial" w:hAnsi="Arial"/>
          <w:sz w:val="16"/>
          <w:szCs w:val="16"/>
          <w:color w:val="auto"/>
        </w:rPr>
      </w:pPr>
    </w:p>
    <w:p>
      <w:pPr>
        <w:ind w:firstLine="1304"/>
        <w:spacing w:after="0" w:line="277" w:lineRule="auto"/>
        <w:tabs>
          <w:tab w:leader="none" w:pos="1481" w:val="left"/>
        </w:tabs>
        <w:numPr>
          <w:ilvl w:val="0"/>
          <w:numId w:val="225"/>
        </w:numPr>
        <w:rPr>
          <w:rFonts w:ascii="Arial" w:cs="Arial" w:eastAsia="Arial" w:hAnsi="Arial"/>
          <w:sz w:val="18"/>
          <w:szCs w:val="18"/>
          <w:color w:val="auto"/>
        </w:rPr>
      </w:pPr>
      <w:r>
        <w:rPr>
          <w:rFonts w:ascii="Arial" w:cs="Arial" w:eastAsia="Arial" w:hAnsi="Arial"/>
          <w:sz w:val="18"/>
          <w:szCs w:val="18"/>
          <w:u w:val="single" w:color="auto"/>
          <w:color w:val="auto"/>
        </w:rPr>
        <w:t>ADJUSTMENT OF EXERCISE PRICE AND NUMBER OF WARRANT SHARES</w:t>
      </w:r>
      <w:r>
        <w:rPr>
          <w:rFonts w:ascii="Arial" w:cs="Arial" w:eastAsia="Arial" w:hAnsi="Arial"/>
          <w:sz w:val="18"/>
          <w:szCs w:val="18"/>
          <w:color w:val="auto"/>
        </w:rPr>
        <w:t>. The Exercise Price and the number of Warrant Shares issuable upon exercise of this Warrant are subject to adjustments from time to time as set forth in this Section 2.</w:t>
      </w:r>
    </w:p>
    <w:p>
      <w:pPr>
        <w:spacing w:after="0" w:line="170" w:lineRule="exact"/>
        <w:rPr>
          <w:rFonts w:ascii="Arial" w:cs="Arial" w:eastAsia="Arial" w:hAnsi="Arial"/>
          <w:sz w:val="18"/>
          <w:szCs w:val="18"/>
          <w:color w:val="auto"/>
        </w:rPr>
      </w:pPr>
    </w:p>
    <w:p>
      <w:pPr>
        <w:jc w:val="both"/>
        <w:ind w:firstLine="1952"/>
        <w:spacing w:after="0" w:line="272" w:lineRule="auto"/>
        <w:tabs>
          <w:tab w:leader="none" w:pos="2203" w:val="left"/>
        </w:tabs>
        <w:numPr>
          <w:ilvl w:val="1"/>
          <w:numId w:val="225"/>
        </w:numPr>
        <w:rPr>
          <w:rFonts w:ascii="Arial" w:cs="Arial" w:eastAsia="Arial" w:hAnsi="Arial"/>
          <w:sz w:val="17"/>
          <w:szCs w:val="17"/>
          <w:color w:val="auto"/>
        </w:rPr>
      </w:pPr>
      <w:r>
        <w:rPr>
          <w:rFonts w:ascii="Arial" w:cs="Arial" w:eastAsia="Arial" w:hAnsi="Arial"/>
          <w:sz w:val="17"/>
          <w:szCs w:val="17"/>
          <w:u w:val="single" w:color="auto"/>
          <w:color w:val="auto"/>
        </w:rPr>
        <w:t>Adjustment Upon Subdivision or Combination of Shares of Common Stock</w:t>
      </w:r>
      <w:r>
        <w:rPr>
          <w:rFonts w:ascii="Arial" w:cs="Arial" w:eastAsia="Arial" w:hAnsi="Arial"/>
          <w:sz w:val="17"/>
          <w:szCs w:val="17"/>
          <w:color w:val="auto"/>
        </w:rPr>
        <w:t>. If the Company at any time on or after the Issuance Date subdivides (by any stock split, stock dividend, recapitalization or otherwise) one or more classes of its outstanding shares of Common Stock into a greater number of shares, the Exercise Price in effect immediately prior to such subdivision will be proportionately reduced and the number of Warrant Shares will be proportionately increased. If the Company at any time on or after the Issuance Date combines (by combination, reverse stock split or otherwise) one or more classes of its outstanding shares of Common Stock into a smaller number of shares, the Exercise Price in effect immediately prior to such combination will be proportionately increased and the number of Warrant Shares will be proportionately decreased. Any adjustment under this Section 2(a) shall become effective at the close of business on the date the subdivision or combination becomes effective.</w:t>
      </w:r>
    </w:p>
    <w:p>
      <w:pPr>
        <w:spacing w:after="0" w:line="164" w:lineRule="exact"/>
        <w:rPr>
          <w:rFonts w:ascii="Arial" w:cs="Arial" w:eastAsia="Arial" w:hAnsi="Arial"/>
          <w:sz w:val="17"/>
          <w:szCs w:val="17"/>
          <w:color w:val="auto"/>
        </w:rPr>
      </w:pPr>
    </w:p>
    <w:p>
      <w:pPr>
        <w:jc w:val="both"/>
        <w:ind w:firstLine="1952"/>
        <w:spacing w:after="0" w:line="279" w:lineRule="auto"/>
        <w:tabs>
          <w:tab w:leader="none" w:pos="2200" w:val="left"/>
        </w:tabs>
        <w:numPr>
          <w:ilvl w:val="1"/>
          <w:numId w:val="225"/>
        </w:numPr>
        <w:rPr>
          <w:rFonts w:ascii="Arial" w:cs="Arial" w:eastAsia="Arial" w:hAnsi="Arial"/>
          <w:sz w:val="17"/>
          <w:szCs w:val="17"/>
          <w:color w:val="auto"/>
        </w:rPr>
      </w:pPr>
      <w:r>
        <w:rPr>
          <w:rFonts w:ascii="Arial" w:cs="Arial" w:eastAsia="Arial" w:hAnsi="Arial"/>
          <w:sz w:val="17"/>
          <w:szCs w:val="17"/>
          <w:u w:val="single" w:color="auto"/>
          <w:color w:val="auto"/>
        </w:rPr>
        <w:t>Adjustment to Number of Warrant Shares.</w:t>
      </w:r>
      <w:r>
        <w:rPr>
          <w:rFonts w:ascii="Arial" w:cs="Arial" w:eastAsia="Arial" w:hAnsi="Arial"/>
          <w:sz w:val="17"/>
          <w:szCs w:val="17"/>
          <w:color w:val="auto"/>
        </w:rPr>
        <w:t xml:space="preserve"> Simultaneously with any adjustment to the Exercise Price pursuant to Section </w:t>
      </w:r>
      <w:r>
        <w:rPr>
          <w:rFonts w:ascii="Arial" w:cs="Arial" w:eastAsia="Arial" w:hAnsi="Arial"/>
          <w:sz w:val="20"/>
          <w:szCs w:val="20"/>
          <w:b w:val="1"/>
          <w:bCs w:val="1"/>
          <w:color w:val="auto"/>
        </w:rPr>
        <w:t>‎</w:t>
      </w:r>
      <w:r>
        <w:rPr>
          <w:rFonts w:ascii="Arial" w:cs="Arial" w:eastAsia="Arial" w:hAnsi="Arial"/>
          <w:sz w:val="17"/>
          <w:szCs w:val="17"/>
          <w:color w:val="auto"/>
        </w:rPr>
        <w:t>2, the number of Warrant Shares that may be purchased upon exercise of this Warrant shall be increased or decreased proportionately, so that after such adjustment the aggregate Exercise Price payable hereunder for the adjusted number of Warrant Shares shall be the same as the aggregate Exercise Price in effect immediately prior to such adjustment (without regard to any limitations on exercise contained herein).</w:t>
      </w:r>
    </w:p>
    <w:p>
      <w:pPr>
        <w:spacing w:after="0" w:line="171" w:lineRule="exact"/>
        <w:rPr>
          <w:rFonts w:ascii="Arial" w:cs="Arial" w:eastAsia="Arial" w:hAnsi="Arial"/>
          <w:sz w:val="17"/>
          <w:szCs w:val="17"/>
          <w:color w:val="auto"/>
        </w:rPr>
      </w:pPr>
    </w:p>
    <w:p>
      <w:pPr>
        <w:ind w:firstLine="1952"/>
        <w:spacing w:after="0" w:line="277" w:lineRule="auto"/>
        <w:tabs>
          <w:tab w:leader="none" w:pos="2202" w:val="left"/>
        </w:tabs>
        <w:numPr>
          <w:ilvl w:val="1"/>
          <w:numId w:val="225"/>
        </w:numPr>
        <w:rPr>
          <w:rFonts w:ascii="Arial" w:cs="Arial" w:eastAsia="Arial" w:hAnsi="Arial"/>
          <w:sz w:val="18"/>
          <w:szCs w:val="18"/>
          <w:color w:val="auto"/>
        </w:rPr>
      </w:pPr>
      <w:r>
        <w:rPr>
          <w:rFonts w:ascii="Arial" w:cs="Arial" w:eastAsia="Arial" w:hAnsi="Arial"/>
          <w:sz w:val="18"/>
          <w:szCs w:val="18"/>
          <w:u w:val="single" w:color="auto"/>
          <w:color w:val="auto"/>
        </w:rPr>
        <w:t>Par Value</w:t>
      </w:r>
      <w:r>
        <w:rPr>
          <w:rFonts w:ascii="Arial" w:cs="Arial" w:eastAsia="Arial" w:hAnsi="Arial"/>
          <w:sz w:val="18"/>
          <w:szCs w:val="18"/>
          <w:color w:val="auto"/>
        </w:rPr>
        <w:t>. Notwithstanding anything to the contrary in this Warrant, in no event shall the Exercise Price be reduced below the par value of the Company’s Common Stock.</w:t>
      </w:r>
    </w:p>
    <w:p>
      <w:pPr>
        <w:spacing w:after="0" w:line="170" w:lineRule="exact"/>
        <w:rPr>
          <w:rFonts w:ascii="Arial" w:cs="Arial" w:eastAsia="Arial" w:hAnsi="Arial"/>
          <w:sz w:val="18"/>
          <w:szCs w:val="18"/>
          <w:color w:val="auto"/>
        </w:rPr>
      </w:pPr>
    </w:p>
    <w:p>
      <w:pPr>
        <w:jc w:val="both"/>
        <w:ind w:firstLine="1952"/>
        <w:spacing w:after="0" w:line="263" w:lineRule="auto"/>
        <w:tabs>
          <w:tab w:leader="none" w:pos="2205" w:val="left"/>
        </w:tabs>
        <w:numPr>
          <w:ilvl w:val="1"/>
          <w:numId w:val="225"/>
        </w:numPr>
        <w:rPr>
          <w:rFonts w:ascii="Arial" w:cs="Arial" w:eastAsia="Arial" w:hAnsi="Arial"/>
          <w:sz w:val="18"/>
          <w:szCs w:val="18"/>
          <w:color w:val="auto"/>
        </w:rPr>
      </w:pPr>
      <w:r>
        <w:rPr>
          <w:rFonts w:ascii="Arial" w:cs="Arial" w:eastAsia="Arial" w:hAnsi="Arial"/>
          <w:sz w:val="18"/>
          <w:szCs w:val="18"/>
          <w:u w:val="single" w:color="auto"/>
          <w:color w:val="auto"/>
        </w:rPr>
        <w:t>Voluntary Adjustment by Company</w:t>
      </w:r>
      <w:r>
        <w:rPr>
          <w:rFonts w:ascii="Arial" w:cs="Arial" w:eastAsia="Arial" w:hAnsi="Arial"/>
          <w:sz w:val="18"/>
          <w:szCs w:val="18"/>
          <w:color w:val="auto"/>
        </w:rPr>
        <w:t>. Subject to Section 2(c), the Company may at any time during the term of this Warrant, with prior written notice to the Holder, reduce the then current Exercise Price to any amount and for any period of time deemed appropriate by the board of directors of the Company.</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23" w:name="page224"/>
    <w:bookmarkEnd w:id="223"/>
    <w:p>
      <w:pPr>
        <w:jc w:val="both"/>
        <w:ind w:firstLine="1304"/>
        <w:spacing w:after="0" w:line="268" w:lineRule="auto"/>
        <w:tabs>
          <w:tab w:leader="none" w:pos="1497" w:val="left"/>
        </w:tabs>
        <w:numPr>
          <w:ilvl w:val="0"/>
          <w:numId w:val="226"/>
        </w:numPr>
        <w:rPr>
          <w:rFonts w:ascii="Arial" w:cs="Arial" w:eastAsia="Arial" w:hAnsi="Arial"/>
          <w:sz w:val="17"/>
          <w:szCs w:val="17"/>
          <w:color w:val="auto"/>
        </w:rPr>
      </w:pPr>
      <w:r>
        <w:rPr>
          <w:rFonts w:ascii="Arial" w:cs="Arial" w:eastAsia="Arial" w:hAnsi="Arial"/>
          <w:sz w:val="17"/>
          <w:szCs w:val="17"/>
          <w:u w:val="single" w:color="auto"/>
          <w:color w:val="auto"/>
        </w:rPr>
        <w:t>RIGHTS UPON DISTRIBUTION OF ASSETS</w:t>
      </w:r>
      <w:r>
        <w:rPr>
          <w:rFonts w:ascii="Arial" w:cs="Arial" w:eastAsia="Arial" w:hAnsi="Arial"/>
          <w:sz w:val="17"/>
          <w:szCs w:val="17"/>
          <w:color w:val="auto"/>
        </w:rPr>
        <w:t xml:space="preserve">. In addition to any adjustments pursuant to Section </w:t>
      </w:r>
      <w:r>
        <w:rPr>
          <w:rFonts w:ascii="Arial" w:cs="Arial" w:eastAsia="Arial" w:hAnsi="Arial"/>
          <w:sz w:val="20"/>
          <w:szCs w:val="20"/>
          <w:b w:val="1"/>
          <w:bCs w:val="1"/>
          <w:color w:val="auto"/>
        </w:rPr>
        <w:t>‎</w:t>
      </w:r>
      <w:r>
        <w:rPr>
          <w:rFonts w:ascii="Arial" w:cs="Arial" w:eastAsia="Arial" w:hAnsi="Arial"/>
          <w:sz w:val="17"/>
          <w:szCs w:val="17"/>
          <w:color w:val="auto"/>
        </w:rPr>
        <w:t>2 above, if the Company shall declare or make any dividend or other distribution of its assets (or rights to acquire its assets) to holders of shares of Common Stock, by way of return of capital or otherwise (including, without limitation, any distribution of cash, stock or other securities, property, options, evidence of indebtedness or any other assets by way of a dividend, spin off, reclassification, corporate rearrangement, scheme of arrangement or other similar transaction) (a “</w:t>
      </w:r>
      <w:r>
        <w:rPr>
          <w:rFonts w:ascii="Arial" w:cs="Arial" w:eastAsia="Arial" w:hAnsi="Arial"/>
          <w:sz w:val="17"/>
          <w:szCs w:val="17"/>
          <w:b w:val="1"/>
          <w:bCs w:val="1"/>
          <w:color w:val="auto"/>
        </w:rPr>
        <w:t>Distribution</w:t>
      </w:r>
      <w:r>
        <w:rPr>
          <w:rFonts w:ascii="Arial" w:cs="Arial" w:eastAsia="Arial" w:hAnsi="Arial"/>
          <w:sz w:val="17"/>
          <w:szCs w:val="17"/>
          <w:color w:val="auto"/>
        </w:rPr>
        <w:t>”), at any time after the issuance of this Warrant, then, in each such case, the Holder shall be entitled to participate in such Distribution to the same extent that the Holder would have participated therein if the Holder had held the number of shares of Common Stock acquirable upon complete exercise of this Warrant (without regard to any limitations or restrictions on exercise of this Warrant, including without limitation, the Maximum Percentage) immediately before the date on which a record is taken for such Distribution, or, if no such record is taken, the date as of which the record holders of shares of Common Stock are to be determined for the participation in such Distribution (provided, however, that to the extent that the Holder’s right to participate in any such Distribution would result in the Holder and the other Attribution Parties exceeding the Maximum Percentage, then the Holder shall not be entitled to participate in such Distribution to the extent of the Maximum Percentage (and shall not be entitled to beneficial ownership of such shares of Common Stock as a result of such Distribution (and beneficial ownership) to the extent of any such excess) and the portion of such Distribution shall be held in abeyance for the benefit of the Holder until such time or times, if ever, as its right thereto would not result in the Holder and the other Attribution Parties exceeding the Maximum Percentage, at which time or times the Holder shall be granted such Distribution (and any Distributions declared or made on such initial Distribution or on any subsequent Distribution held similarly in abeyance) to the same extent as if there had been no such limitation).</w:t>
      </w:r>
    </w:p>
    <w:p>
      <w:pPr>
        <w:spacing w:after="0" w:line="181" w:lineRule="exact"/>
        <w:rPr>
          <w:rFonts w:ascii="Arial" w:cs="Arial" w:eastAsia="Arial" w:hAnsi="Arial"/>
          <w:sz w:val="17"/>
          <w:szCs w:val="17"/>
          <w:color w:val="auto"/>
        </w:rPr>
      </w:pPr>
    </w:p>
    <w:p>
      <w:pPr>
        <w:ind w:left="1480" w:hanging="176"/>
        <w:spacing w:after="0"/>
        <w:tabs>
          <w:tab w:leader="none" w:pos="1480" w:val="left"/>
        </w:tabs>
        <w:numPr>
          <w:ilvl w:val="0"/>
          <w:numId w:val="226"/>
        </w:numPr>
        <w:rPr>
          <w:rFonts w:ascii="Arial" w:cs="Arial" w:eastAsia="Arial" w:hAnsi="Arial"/>
          <w:sz w:val="18"/>
          <w:szCs w:val="18"/>
          <w:color w:val="auto"/>
        </w:rPr>
      </w:pPr>
      <w:r>
        <w:rPr>
          <w:rFonts w:ascii="Arial" w:cs="Arial" w:eastAsia="Arial" w:hAnsi="Arial"/>
          <w:sz w:val="18"/>
          <w:szCs w:val="18"/>
          <w:u w:val="single" w:color="auto"/>
          <w:color w:val="auto"/>
        </w:rPr>
        <w:t>PURCHASE RIGHTS; FUNDAMENTAL TRANSACTIONS</w:t>
      </w:r>
      <w:r>
        <w:rPr>
          <w:rFonts w:ascii="Arial" w:cs="Arial" w:eastAsia="Arial" w:hAnsi="Arial"/>
          <w:sz w:val="18"/>
          <w:szCs w:val="18"/>
          <w:color w:val="auto"/>
        </w:rPr>
        <w:t>.</w:t>
      </w:r>
    </w:p>
    <w:p>
      <w:pPr>
        <w:spacing w:after="0" w:line="211" w:lineRule="exact"/>
        <w:rPr>
          <w:rFonts w:ascii="Arial" w:cs="Arial" w:eastAsia="Arial" w:hAnsi="Arial"/>
          <w:sz w:val="18"/>
          <w:szCs w:val="18"/>
          <w:color w:val="auto"/>
        </w:rPr>
      </w:pPr>
    </w:p>
    <w:p>
      <w:pPr>
        <w:jc w:val="both"/>
        <w:ind w:firstLine="1952"/>
        <w:spacing w:after="0" w:line="268" w:lineRule="auto"/>
        <w:tabs>
          <w:tab w:leader="none" w:pos="2204" w:val="left"/>
        </w:tabs>
        <w:numPr>
          <w:ilvl w:val="1"/>
          <w:numId w:val="226"/>
        </w:numPr>
        <w:rPr>
          <w:rFonts w:ascii="Arial" w:cs="Arial" w:eastAsia="Arial" w:hAnsi="Arial"/>
          <w:sz w:val="17"/>
          <w:szCs w:val="17"/>
          <w:color w:val="auto"/>
        </w:rPr>
      </w:pPr>
      <w:r>
        <w:rPr>
          <w:rFonts w:ascii="Arial" w:cs="Arial" w:eastAsia="Arial" w:hAnsi="Arial"/>
          <w:sz w:val="17"/>
          <w:szCs w:val="17"/>
          <w:u w:val="single" w:color="auto"/>
          <w:color w:val="auto"/>
        </w:rPr>
        <w:t>Purchase Rights</w:t>
      </w:r>
      <w:r>
        <w:rPr>
          <w:rFonts w:ascii="Arial" w:cs="Arial" w:eastAsia="Arial" w:hAnsi="Arial"/>
          <w:sz w:val="17"/>
          <w:szCs w:val="17"/>
          <w:color w:val="auto"/>
        </w:rPr>
        <w:t xml:space="preserve">. In addition to any adjustments pursuant to Section </w:t>
      </w:r>
      <w:r>
        <w:rPr>
          <w:rFonts w:ascii="Arial" w:cs="Arial" w:eastAsia="Arial" w:hAnsi="Arial"/>
          <w:sz w:val="20"/>
          <w:szCs w:val="20"/>
          <w:b w:val="1"/>
          <w:bCs w:val="1"/>
          <w:color w:val="auto"/>
        </w:rPr>
        <w:t>‎</w:t>
      </w:r>
      <w:r>
        <w:rPr>
          <w:rFonts w:ascii="Arial" w:cs="Arial" w:eastAsia="Arial" w:hAnsi="Arial"/>
          <w:sz w:val="17"/>
          <w:szCs w:val="17"/>
          <w:color w:val="auto"/>
        </w:rPr>
        <w:t>2 above, if at any time the Company grants, issues or sells any Options, Convertible Securities or rights to purchase stock, warrants, securities or other property pro rata to the record holders of any class of Common Stock (the “</w:t>
      </w:r>
      <w:r>
        <w:rPr>
          <w:rFonts w:ascii="Arial" w:cs="Arial" w:eastAsia="Arial" w:hAnsi="Arial"/>
          <w:sz w:val="17"/>
          <w:szCs w:val="17"/>
          <w:b w:val="1"/>
          <w:bCs w:val="1"/>
          <w:color w:val="auto"/>
        </w:rPr>
        <w:t>Purchase Rights</w:t>
      </w:r>
      <w:r>
        <w:rPr>
          <w:rFonts w:ascii="Arial" w:cs="Arial" w:eastAsia="Arial" w:hAnsi="Arial"/>
          <w:sz w:val="17"/>
          <w:szCs w:val="17"/>
          <w:color w:val="auto"/>
        </w:rPr>
        <w:t>”), then the Holder will be entitled to acquire, upon the terms applicable to such Purchase Rights, the aggregate Purchase Rights which the Holder could have acquired if the Holder had held the number of shares of Common Stock acquirable upon complete exercise of this Warrant (without regard to any limitations or restrictions on exercise of this Warrant, including without limitation, the Maximum Percentage) immediately before the date on which a record is taken for the grant, issuance or sale of such Purchase Rights, or, if no such record is taken, the date as of which the record holders of shares of Common Stock are to be determined for the grant, issuance or sale of such Purchase Rights (provided, however, that to the extent that the Holder’s right to participate in any such Purchase Right would result in the Holder and the other Attribution Parties exceeding the Maximum Percentage, then the Holder shall not be entitled to participate in such Purchase Right to the extent of the Maximum Percentage (and shall not be entitled to beneficial ownership of such shares of Common Stock as a result of such Purchase Right (and beneficial ownership) to the extent of any such excess) and such Purchase Right to such extent shall be held in abeyance for the benefit of the Holder until such time or times, if ever, as its right thereto would not result in the Holder and the other Attribution Parties exceeding the Maximum Percentage, at which time or times the Holder shall be granted such right (and any Purchase Right granted, issued or sold on such initial Purchase Right or on any subsequent Purchase Right held similarly in abeyance) to the same extent as if there had been no such limitation).</w:t>
      </w:r>
    </w:p>
    <w:p>
      <w:pPr>
        <w:spacing w:after="0" w:line="185" w:lineRule="exact"/>
        <w:rPr>
          <w:rFonts w:ascii="Arial" w:cs="Arial" w:eastAsia="Arial" w:hAnsi="Arial"/>
          <w:sz w:val="17"/>
          <w:szCs w:val="17"/>
          <w:color w:val="auto"/>
        </w:rPr>
      </w:pPr>
    </w:p>
    <w:p>
      <w:pPr>
        <w:ind w:left="2200" w:hanging="248"/>
        <w:spacing w:after="0"/>
        <w:tabs>
          <w:tab w:leader="none" w:pos="2200" w:val="left"/>
        </w:tabs>
        <w:numPr>
          <w:ilvl w:val="1"/>
          <w:numId w:val="226"/>
        </w:numPr>
        <w:rPr>
          <w:rFonts w:ascii="Arial" w:cs="Arial" w:eastAsia="Arial" w:hAnsi="Arial"/>
          <w:sz w:val="18"/>
          <w:szCs w:val="18"/>
          <w:color w:val="auto"/>
        </w:rPr>
      </w:pPr>
      <w:r>
        <w:rPr>
          <w:rFonts w:ascii="Arial" w:cs="Arial" w:eastAsia="Arial" w:hAnsi="Arial"/>
          <w:sz w:val="18"/>
          <w:szCs w:val="18"/>
          <w:u w:val="single" w:color="auto"/>
          <w:color w:val="auto"/>
        </w:rPr>
        <w:t>Fundamental Transactions</w:t>
      </w:r>
      <w:r>
        <w:rPr>
          <w:rFonts w:ascii="Arial" w:cs="Arial" w:eastAsia="Arial" w:hAnsi="Arial"/>
          <w:sz w:val="18"/>
          <w:szCs w:val="18"/>
          <w:color w:val="auto"/>
        </w:rPr>
        <w:t>. The Company shall not enter into or be party to a Fundamental Transaction unless:</w:t>
      </w:r>
    </w:p>
    <w:p>
      <w:pPr>
        <w:spacing w:after="0" w:line="225" w:lineRule="exact"/>
        <w:rPr>
          <w:rFonts w:ascii="Arial" w:cs="Arial" w:eastAsia="Arial" w:hAnsi="Arial"/>
          <w:sz w:val="18"/>
          <w:szCs w:val="18"/>
          <w:color w:val="auto"/>
        </w:rPr>
      </w:pPr>
    </w:p>
    <w:p>
      <w:pPr>
        <w:jc w:val="both"/>
        <w:ind w:firstLine="2600"/>
        <w:spacing w:after="0" w:line="273" w:lineRule="auto"/>
        <w:tabs>
          <w:tab w:leader="none" w:pos="2808" w:val="left"/>
        </w:tabs>
        <w:numPr>
          <w:ilvl w:val="2"/>
          <w:numId w:val="226"/>
        </w:numPr>
        <w:rPr>
          <w:rFonts w:ascii="Arial" w:cs="Arial" w:eastAsia="Arial" w:hAnsi="Arial"/>
          <w:sz w:val="17"/>
          <w:szCs w:val="17"/>
          <w:color w:val="auto"/>
        </w:rPr>
      </w:pPr>
      <w:r>
        <w:rPr>
          <w:rFonts w:ascii="Arial" w:cs="Arial" w:eastAsia="Arial" w:hAnsi="Arial"/>
          <w:sz w:val="17"/>
          <w:szCs w:val="17"/>
          <w:color w:val="auto"/>
        </w:rPr>
        <w:t>in the event that the Successor Entity (including its Parent Entity) is not a publicly traded entity with common equity quoted on or listed for trading on an Eligible Market and registered under the Exchange Act, the Company or the Successor Entity, as applicable, shall, on or prior to the date of consummation of such Fundamental Transaction, purchase this Warrant from the Holder by paying to the Holder cash in an amount equal to the Black Scholes Going Private Value (without regard to the limitation set forth in Section 1(f))</w:t>
      </w:r>
      <w:r>
        <w:rPr>
          <w:rFonts w:ascii="Arial" w:cs="Arial" w:eastAsia="Arial" w:hAnsi="Arial"/>
          <w:sz w:val="17"/>
          <w:szCs w:val="17"/>
          <w:b w:val="1"/>
          <w:bCs w:val="1"/>
          <w:color w:val="auto"/>
        </w:rPr>
        <w:t>‎</w:t>
      </w:r>
      <w:r>
        <w:rPr>
          <w:rFonts w:ascii="Arial" w:cs="Arial" w:eastAsia="Arial" w:hAnsi="Arial"/>
          <w:sz w:val="17"/>
          <w:szCs w:val="17"/>
          <w:color w:val="auto"/>
        </w:rPr>
        <w:t xml:space="preserve"> whereupon the Successor Entity shall have no obligation to assume the obligations of the Company under this Warrant and the other Loan Documents, including any obligation to deliver to the Holder in exchange for this Warrant any security of the Successor Entity, and</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224" w:name="page225"/>
    <w:bookmarkEnd w:id="224"/>
    <w:p>
      <w:pPr>
        <w:jc w:val="both"/>
        <w:ind w:firstLine="2600"/>
        <w:spacing w:after="0" w:line="291" w:lineRule="auto"/>
        <w:tabs>
          <w:tab w:leader="none" w:pos="2870" w:val="left"/>
        </w:tabs>
        <w:numPr>
          <w:ilvl w:val="0"/>
          <w:numId w:val="227"/>
        </w:numPr>
        <w:rPr>
          <w:rFonts w:ascii="Arial" w:cs="Arial" w:eastAsia="Arial" w:hAnsi="Arial"/>
          <w:sz w:val="16"/>
          <w:szCs w:val="16"/>
          <w:color w:val="auto"/>
        </w:rPr>
      </w:pPr>
      <w:r>
        <w:rPr>
          <w:rFonts w:ascii="Arial" w:cs="Arial" w:eastAsia="Arial" w:hAnsi="Arial"/>
          <w:sz w:val="16"/>
          <w:szCs w:val="16"/>
          <w:color w:val="auto"/>
        </w:rPr>
        <w:t>in the event that the Successor Entity (including its Parent Entity) is a publicly traded entity with common equity quoted on or listed for trading on an Eligible Market and registered under the Exchange Act, the Successor Entity assumes in writing all of the obligations</w:t>
      </w:r>
    </w:p>
    <w:p>
      <w:pPr>
        <w:jc w:val="both"/>
        <w:spacing w:after="0" w:line="281" w:lineRule="auto"/>
        <w:rPr>
          <w:rFonts w:ascii="Arial" w:cs="Arial" w:eastAsia="Arial" w:hAnsi="Arial"/>
          <w:sz w:val="16"/>
          <w:szCs w:val="16"/>
          <w:color w:val="auto"/>
        </w:rPr>
      </w:pPr>
      <w:r>
        <w:rPr>
          <w:rFonts w:ascii="Arial" w:cs="Arial" w:eastAsia="Arial" w:hAnsi="Arial"/>
          <w:sz w:val="16"/>
          <w:szCs w:val="16"/>
          <w:color w:val="auto"/>
        </w:rPr>
        <w:t>of the Company under this Warrant and the other Loan Documents in accordance with the provisions of this Section 4(b)(ii)</w:t>
      </w:r>
      <w:r>
        <w:rPr>
          <w:rFonts w:ascii="Arial" w:cs="Arial" w:eastAsia="Arial" w:hAnsi="Arial"/>
          <w:sz w:val="16"/>
          <w:szCs w:val="16"/>
          <w:b w:val="1"/>
          <w:bCs w:val="1"/>
          <w:color w:val="auto"/>
        </w:rPr>
        <w:t>‎</w:t>
      </w:r>
      <w:r>
        <w:rPr>
          <w:rFonts w:ascii="Arial" w:cs="Arial" w:eastAsia="Arial" w:hAnsi="Arial"/>
          <w:sz w:val="16"/>
          <w:szCs w:val="16"/>
          <w:color w:val="auto"/>
        </w:rPr>
        <w:t xml:space="preserve"> pursuant to written agreements in form and substance satisfactory to the Holder and approved by the Holder prior to such Fundamental Transaction, including agreements to deliver to the Holder in exchange for this Warrant a security of the Successor Entity evidenced by a written instrument substantially similar in form and substance to this Warrant, including, without limitation, which is exercisable for a corresponding number of shares of capital stock equivalent to the shares of Common Stock acquirable and receivable upon exercise of this Warrant (without regard to any limitations on the exercise of this Warrant) prior to such Fundamental Transaction, and with an exercise price which applies the exercise price hereunder to such shares of capital stock (but taking into account the relative value of the shares of Common Stock pursuant to such Fundamental Transaction and the value of such shares of capital stock, such adjustments to the number of shares of capital stock and such exercise price being for the purpose of protecting the economic value of this Warrant immediately prior to the</w:t>
      </w:r>
    </w:p>
    <w:p>
      <w:pPr>
        <w:spacing w:after="0" w:line="4" w:lineRule="exact"/>
        <w:rPr>
          <w:rFonts w:ascii="Arial" w:cs="Arial" w:eastAsia="Arial" w:hAnsi="Arial"/>
          <w:sz w:val="16"/>
          <w:szCs w:val="16"/>
          <w:color w:val="auto"/>
        </w:rPr>
      </w:pPr>
    </w:p>
    <w:p>
      <w:pPr>
        <w:jc w:val="both"/>
        <w:spacing w:after="0" w:line="281" w:lineRule="auto"/>
        <w:rPr>
          <w:rFonts w:ascii="Arial" w:cs="Arial" w:eastAsia="Arial" w:hAnsi="Arial"/>
          <w:sz w:val="16"/>
          <w:szCs w:val="16"/>
          <w:color w:val="auto"/>
        </w:rPr>
      </w:pPr>
      <w:r>
        <w:rPr>
          <w:rFonts w:ascii="Arial" w:cs="Arial" w:eastAsia="Arial" w:hAnsi="Arial"/>
          <w:sz w:val="16"/>
          <w:szCs w:val="16"/>
          <w:color w:val="auto"/>
        </w:rPr>
        <w:t>consummation of such Fundamental Transaction). Upon the consummation of each Fundamental Transaction described in this Section 4(b)(ii)</w:t>
      </w:r>
      <w:r>
        <w:rPr>
          <w:rFonts w:ascii="Arial" w:cs="Arial" w:eastAsia="Arial" w:hAnsi="Arial"/>
          <w:sz w:val="16"/>
          <w:szCs w:val="16"/>
          <w:b w:val="1"/>
          <w:bCs w:val="1"/>
          <w:color w:val="auto"/>
        </w:rPr>
        <w:t>‎</w:t>
      </w:r>
      <w:r>
        <w:rPr>
          <w:rFonts w:ascii="Arial" w:cs="Arial" w:eastAsia="Arial" w:hAnsi="Arial"/>
          <w:sz w:val="16"/>
          <w:szCs w:val="16"/>
          <w:color w:val="auto"/>
        </w:rPr>
        <w:t xml:space="preserve"> (each such Fundamental Transaction, a “</w:t>
      </w:r>
      <w:r>
        <w:rPr>
          <w:rFonts w:ascii="Arial" w:cs="Arial" w:eastAsia="Arial" w:hAnsi="Arial"/>
          <w:sz w:val="16"/>
          <w:szCs w:val="16"/>
          <w:b w:val="1"/>
          <w:bCs w:val="1"/>
          <w:color w:val="auto"/>
        </w:rPr>
        <w:t>Public Fundamental Transaction</w:t>
      </w:r>
      <w:r>
        <w:rPr>
          <w:rFonts w:ascii="Arial" w:cs="Arial" w:eastAsia="Arial" w:hAnsi="Arial"/>
          <w:sz w:val="16"/>
          <w:szCs w:val="16"/>
          <w:color w:val="auto"/>
        </w:rPr>
        <w:t>”), the Successor Entity shall (x) succeed to, and be substituted for (so that from and after the date of the applicable Public Fundamental Transaction, the provisions of this Warrant and the other Loan Documents referring to the “Company” or the “Borrower” shall refer instead to the Successor Entity), and may exercise every right and power of the Company and shall assume all of the obligations of the Company under this Warrant and the other Loan Documents with the same effect as if such Successor Entity had been named as the Company herein or therein, and (y) deliver to the Holder confirmation that there shall be issued upon exercise of this Warrant at any time after the consummation of the applicable Public Fundamental Transaction, in lieu of the shares of Common Stock (or other securities, cash, assets or other property (except such items still issuable under Sections 3</w:t>
      </w:r>
      <w:r>
        <w:rPr>
          <w:rFonts w:ascii="Arial" w:cs="Arial" w:eastAsia="Arial" w:hAnsi="Arial"/>
          <w:sz w:val="16"/>
          <w:szCs w:val="16"/>
          <w:b w:val="1"/>
          <w:bCs w:val="1"/>
          <w:color w:val="auto"/>
        </w:rPr>
        <w:t>‎</w:t>
      </w:r>
      <w:r>
        <w:rPr>
          <w:rFonts w:ascii="Arial" w:cs="Arial" w:eastAsia="Arial" w:hAnsi="Arial"/>
          <w:sz w:val="16"/>
          <w:szCs w:val="16"/>
          <w:color w:val="auto"/>
        </w:rPr>
        <w:t xml:space="preserve"> and 4(a)</w:t>
      </w:r>
      <w:r>
        <w:rPr>
          <w:rFonts w:ascii="Arial" w:cs="Arial" w:eastAsia="Arial" w:hAnsi="Arial"/>
          <w:sz w:val="16"/>
          <w:szCs w:val="16"/>
          <w:b w:val="1"/>
          <w:bCs w:val="1"/>
          <w:color w:val="auto"/>
        </w:rPr>
        <w:t>‎</w:t>
      </w:r>
      <w:r>
        <w:rPr>
          <w:rFonts w:ascii="Arial" w:cs="Arial" w:eastAsia="Arial" w:hAnsi="Arial"/>
          <w:sz w:val="16"/>
          <w:szCs w:val="16"/>
          <w:color w:val="auto"/>
        </w:rPr>
        <w:t xml:space="preserve"> above, which shall continue to be receivable thereafter)) issuable upon the exercise of this Warrant prior to the applicable Public Fundamental Transaction, such shares of publicly traded common stock (or its equivalent) of the Successor Entity (including its Parent Entity) which the Holder would have been entitled to receive upon the happening of the applicable Public Fundamental Transaction had this Warrant been exercised immediately prior to the applicable Public Fundamental Transaction (without regard to any limitations on the exercise of this Warrant), as adjusted in accordance with the provisions of this Warrant. Notwithstanding the foregoing, and without limiting Section 1(f)</w:t>
      </w:r>
      <w:r>
        <w:rPr>
          <w:rFonts w:ascii="Arial" w:cs="Arial" w:eastAsia="Arial" w:hAnsi="Arial"/>
          <w:sz w:val="16"/>
          <w:szCs w:val="16"/>
          <w:b w:val="1"/>
          <w:bCs w:val="1"/>
          <w:color w:val="auto"/>
        </w:rPr>
        <w:t>‎</w:t>
      </w:r>
      <w:r>
        <w:rPr>
          <w:rFonts w:ascii="Arial" w:cs="Arial" w:eastAsia="Arial" w:hAnsi="Arial"/>
          <w:sz w:val="16"/>
          <w:szCs w:val="16"/>
          <w:color w:val="auto"/>
        </w:rPr>
        <w:t xml:space="preserve"> hereof, the Holder may elect,</w:t>
      </w:r>
    </w:p>
    <w:p>
      <w:pPr>
        <w:spacing w:after="0" w:line="7" w:lineRule="exact"/>
        <w:rPr>
          <w:rFonts w:ascii="Arial" w:cs="Arial" w:eastAsia="Arial" w:hAnsi="Arial"/>
          <w:sz w:val="16"/>
          <w:szCs w:val="16"/>
          <w:color w:val="auto"/>
        </w:rPr>
      </w:pPr>
    </w:p>
    <w:p>
      <w:pPr>
        <w:spacing w:after="0" w:line="260" w:lineRule="auto"/>
        <w:rPr>
          <w:rFonts w:ascii="Arial" w:cs="Arial" w:eastAsia="Arial" w:hAnsi="Arial"/>
          <w:sz w:val="16"/>
          <w:szCs w:val="16"/>
          <w:color w:val="auto"/>
        </w:rPr>
      </w:pPr>
      <w:r>
        <w:rPr>
          <w:rFonts w:ascii="Arial" w:cs="Arial" w:eastAsia="Arial" w:hAnsi="Arial"/>
          <w:sz w:val="18"/>
          <w:szCs w:val="18"/>
          <w:color w:val="auto"/>
        </w:rPr>
        <w:t>at its sole option, by delivery of written notice to the Company to waive this Section 4(b)(ii)</w:t>
      </w:r>
      <w:r>
        <w:rPr>
          <w:rFonts w:ascii="Arial" w:cs="Arial" w:eastAsia="Arial" w:hAnsi="Arial"/>
          <w:sz w:val="18"/>
          <w:szCs w:val="18"/>
          <w:b w:val="1"/>
          <w:bCs w:val="1"/>
          <w:color w:val="auto"/>
        </w:rPr>
        <w:t>‎</w:t>
      </w:r>
      <w:r>
        <w:rPr>
          <w:rFonts w:ascii="Arial" w:cs="Arial" w:eastAsia="Arial" w:hAnsi="Arial"/>
          <w:sz w:val="18"/>
          <w:szCs w:val="18"/>
          <w:color w:val="auto"/>
        </w:rPr>
        <w:t xml:space="preserve"> to permit the Public Fundamental Transaction without the assumption of this Warrant.</w:t>
      </w:r>
    </w:p>
    <w:p>
      <w:pPr>
        <w:spacing w:after="0" w:line="185"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In addition to and not in substitution for any other rights hereunder, prior to the consummation of each Fundamental Transaction pursuant to which holders of shares of Common Stock are entitled to receive securities or other assets with respect to or in exchange for shares of Common Stock (a “</w:t>
      </w:r>
      <w:r>
        <w:rPr>
          <w:rFonts w:ascii="Arial" w:cs="Arial" w:eastAsia="Arial" w:hAnsi="Arial"/>
          <w:sz w:val="17"/>
          <w:szCs w:val="17"/>
          <w:b w:val="1"/>
          <w:bCs w:val="1"/>
          <w:color w:val="auto"/>
        </w:rPr>
        <w:t>Corporate</w:t>
      </w:r>
      <w:r>
        <w:rPr>
          <w:rFonts w:ascii="Arial" w:cs="Arial" w:eastAsia="Arial" w:hAnsi="Arial"/>
          <w:sz w:val="17"/>
          <w:szCs w:val="17"/>
          <w:color w:val="auto"/>
        </w:rPr>
        <w:t xml:space="preserve"> </w:t>
      </w:r>
      <w:r>
        <w:rPr>
          <w:rFonts w:ascii="Arial" w:cs="Arial" w:eastAsia="Arial" w:hAnsi="Arial"/>
          <w:sz w:val="17"/>
          <w:szCs w:val="17"/>
          <w:b w:val="1"/>
          <w:bCs w:val="1"/>
          <w:color w:val="auto"/>
        </w:rPr>
        <w:t>Event</w:t>
      </w:r>
      <w:r>
        <w:rPr>
          <w:rFonts w:ascii="Arial" w:cs="Arial" w:eastAsia="Arial" w:hAnsi="Arial"/>
          <w:sz w:val="17"/>
          <w:szCs w:val="17"/>
          <w:color w:val="auto"/>
        </w:rPr>
        <w:t>”), the Company shall make appropriate provision to insure that the Holder will thereafter have the right to receive upon an exercise of this Warrant</w:t>
      </w:r>
      <w:r>
        <w:rPr>
          <w:rFonts w:ascii="Arial" w:cs="Arial" w:eastAsia="Arial" w:hAnsi="Arial"/>
          <w:sz w:val="17"/>
          <w:szCs w:val="17"/>
          <w:b w:val="1"/>
          <w:bCs w:val="1"/>
          <w:color w:val="auto"/>
        </w:rPr>
        <w:t xml:space="preserve"> </w:t>
      </w:r>
      <w:r>
        <w:rPr>
          <w:rFonts w:ascii="Arial" w:cs="Arial" w:eastAsia="Arial" w:hAnsi="Arial"/>
          <w:sz w:val="17"/>
          <w:szCs w:val="17"/>
          <w:color w:val="auto"/>
        </w:rPr>
        <w:t>at any time after the consummation of the applicable Fundamental Transaction but prior to the Expiration Date, in lieu of the shares of the Common Stock (or other securities, cash, assets or other property (except such items still issuable under Sections 3‎ and 4(a)‎ above, which shall continue to be receivable thereafter)) issuable upon the exercise of the Warrant prior to such Fundamental Transaction, such shares of stock, securities, cash, assets or any other property whatsoever (including warrants or other purchase or subscription rights) which the Holder would have been entitled to receive upon the happening of the applicable Fundamental Transaction had this Warrant been exercised immediately prior to the applicable Fundamental Transaction (without regard to any limitations on the exercise of this Warrant). Provision made pursuant to the preceding sentence shall be in a form and substance reasonably satisfactory to the Holder.</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25" w:name="page226"/>
    <w:bookmarkEnd w:id="225"/>
    <w:p>
      <w:pPr>
        <w:jc w:val="both"/>
        <w:ind w:firstLine="1952"/>
        <w:spacing w:after="0" w:line="271" w:lineRule="auto"/>
        <w:tabs>
          <w:tab w:leader="none" w:pos="2198" w:val="left"/>
        </w:tabs>
        <w:numPr>
          <w:ilvl w:val="1"/>
          <w:numId w:val="228"/>
        </w:numPr>
        <w:rPr>
          <w:rFonts w:ascii="Arial" w:cs="Arial" w:eastAsia="Arial" w:hAnsi="Arial"/>
          <w:sz w:val="17"/>
          <w:szCs w:val="17"/>
          <w:color w:val="auto"/>
        </w:rPr>
      </w:pPr>
      <w:r>
        <w:rPr>
          <w:rFonts w:ascii="Arial" w:cs="Arial" w:eastAsia="Arial" w:hAnsi="Arial"/>
          <w:sz w:val="17"/>
          <w:szCs w:val="17"/>
          <w:u w:val="single" w:color="auto"/>
          <w:color w:val="auto"/>
        </w:rPr>
        <w:t>Holder Optional Redemptions</w:t>
      </w:r>
      <w:r>
        <w:rPr>
          <w:rFonts w:ascii="Arial" w:cs="Arial" w:eastAsia="Arial" w:hAnsi="Arial"/>
          <w:sz w:val="17"/>
          <w:szCs w:val="17"/>
          <w:color w:val="auto"/>
        </w:rPr>
        <w:t xml:space="preserve">. Notwithstanding the foregoing and the provisions of Section </w:t>
      </w:r>
      <w:r>
        <w:rPr>
          <w:rFonts w:ascii="Arial" w:cs="Arial" w:eastAsia="Arial" w:hAnsi="Arial"/>
          <w:sz w:val="20"/>
          <w:szCs w:val="20"/>
          <w:b w:val="1"/>
          <w:bCs w:val="1"/>
          <w:color w:val="auto"/>
        </w:rPr>
        <w:t>‎</w:t>
      </w:r>
      <w:r>
        <w:rPr>
          <w:rFonts w:ascii="Arial" w:cs="Arial" w:eastAsia="Arial" w:hAnsi="Arial"/>
          <w:sz w:val="17"/>
          <w:szCs w:val="17"/>
          <w:color w:val="auto"/>
        </w:rPr>
        <w:t>4(b)(ii) above, at the request of the Holder delivered at any time commencing on the earliest to occur of (x) the public disclosure of any Public Fundamental Transaction, (y) the consummation of any Public Fundamental Transaction and (z) the Holder first becoming aware of any Public Fundamental Transaction through the date that is ninety (90) days after the public disclosure of the consummation of such Public Fundamental Transaction by the Company pursuant to a Current Report on Form 8-K filed with the SEC, the Company or the Successor Entity (as the case may be) shall purchase this Warrant from the Holder on the date of such request by paying to the Holder cash in an amount equal to the Black Scholes Value. Payment of such amounts shall be made by the Company (or at the Company’s direction) to the Holder on or prior to the later of (x) the second (2nd) Trading Day after the date of such request and (y) the date of consummation of such Public Fundamental Transaction.</w:t>
      </w:r>
    </w:p>
    <w:p>
      <w:pPr>
        <w:spacing w:after="0" w:line="166" w:lineRule="exact"/>
        <w:rPr>
          <w:rFonts w:ascii="Arial" w:cs="Arial" w:eastAsia="Arial" w:hAnsi="Arial"/>
          <w:sz w:val="17"/>
          <w:szCs w:val="17"/>
          <w:color w:val="auto"/>
        </w:rPr>
      </w:pPr>
    </w:p>
    <w:p>
      <w:pPr>
        <w:jc w:val="both"/>
        <w:ind w:firstLine="1952"/>
        <w:spacing w:after="0" w:line="300" w:lineRule="auto"/>
        <w:tabs>
          <w:tab w:leader="none" w:pos="2200" w:val="left"/>
        </w:tabs>
        <w:numPr>
          <w:ilvl w:val="1"/>
          <w:numId w:val="228"/>
        </w:numPr>
        <w:rPr>
          <w:rFonts w:ascii="Arial" w:cs="Arial" w:eastAsia="Arial" w:hAnsi="Arial"/>
          <w:sz w:val="16"/>
          <w:szCs w:val="16"/>
          <w:color w:val="auto"/>
        </w:rPr>
      </w:pPr>
      <w:r>
        <w:rPr>
          <w:rFonts w:ascii="Arial" w:cs="Arial" w:eastAsia="Arial" w:hAnsi="Arial"/>
          <w:sz w:val="16"/>
          <w:szCs w:val="16"/>
          <w:u w:val="single" w:color="auto"/>
          <w:color w:val="auto"/>
        </w:rPr>
        <w:t>Application</w:t>
      </w:r>
      <w:r>
        <w:rPr>
          <w:rFonts w:ascii="Arial" w:cs="Arial" w:eastAsia="Arial" w:hAnsi="Arial"/>
          <w:sz w:val="16"/>
          <w:szCs w:val="16"/>
          <w:color w:val="auto"/>
        </w:rPr>
        <w:t xml:space="preserve">. The provisions of this Section </w:t>
      </w:r>
      <w:r>
        <w:rPr>
          <w:rFonts w:ascii="Arial" w:cs="Arial" w:eastAsia="Arial" w:hAnsi="Arial"/>
          <w:sz w:val="19"/>
          <w:szCs w:val="19"/>
          <w:b w:val="1"/>
          <w:bCs w:val="1"/>
          <w:color w:val="auto"/>
        </w:rPr>
        <w:t>‎</w:t>
      </w:r>
      <w:r>
        <w:rPr>
          <w:rFonts w:ascii="Arial" w:cs="Arial" w:eastAsia="Arial" w:hAnsi="Arial"/>
          <w:sz w:val="16"/>
          <w:szCs w:val="16"/>
          <w:color w:val="auto"/>
        </w:rPr>
        <w:t>4 shall apply similarly and equally to successive Fundamental Transactions and Corporate Events and shall be applied as if this Warrant (and any such subsequent warrants) were fully exercisable and without regard to any limitations on the exercise of this Warrant (provided that the Holder shall continue to be entitled to the benefit of the Maximum Percentage, applied however with respect to shares of capital stock registered under the Exchange Act and thereafter receivable upon exercise of this Warrant (or any such other warrant)).</w:t>
      </w:r>
    </w:p>
    <w:p>
      <w:pPr>
        <w:spacing w:after="0" w:line="157" w:lineRule="exact"/>
        <w:rPr>
          <w:rFonts w:ascii="Arial" w:cs="Arial" w:eastAsia="Arial" w:hAnsi="Arial"/>
          <w:sz w:val="16"/>
          <w:szCs w:val="16"/>
          <w:color w:val="auto"/>
        </w:rPr>
      </w:pPr>
    </w:p>
    <w:p>
      <w:pPr>
        <w:jc w:val="both"/>
        <w:ind w:firstLine="1304"/>
        <w:spacing w:after="0" w:line="268" w:lineRule="auto"/>
        <w:tabs>
          <w:tab w:leader="none" w:pos="1484" w:val="left"/>
        </w:tabs>
        <w:numPr>
          <w:ilvl w:val="0"/>
          <w:numId w:val="229"/>
        </w:numPr>
        <w:rPr>
          <w:rFonts w:ascii="Arial" w:cs="Arial" w:eastAsia="Arial" w:hAnsi="Arial"/>
          <w:sz w:val="17"/>
          <w:szCs w:val="17"/>
          <w:color w:val="auto"/>
        </w:rPr>
      </w:pPr>
      <w:r>
        <w:rPr>
          <w:rFonts w:ascii="Arial" w:cs="Arial" w:eastAsia="Arial" w:hAnsi="Arial"/>
          <w:sz w:val="17"/>
          <w:szCs w:val="17"/>
          <w:u w:val="single" w:color="auto"/>
          <w:color w:val="auto"/>
        </w:rPr>
        <w:t>NONCIRCUMVENTION</w:t>
      </w:r>
      <w:r>
        <w:rPr>
          <w:rFonts w:ascii="Arial" w:cs="Arial" w:eastAsia="Arial" w:hAnsi="Arial"/>
          <w:sz w:val="17"/>
          <w:szCs w:val="17"/>
          <w:color w:val="auto"/>
        </w:rPr>
        <w:t>. The Company hereby covenants and agrees that the Company will not, by amendment of its Certificate of Incorporation or Bylaws, or through any reorganization, transfer of assets, consolidation, merger, scheme of arrangement, dissolution, issuance or sale of securities, or any other voluntary action, avoid or seek to avoid the observance or performance of any of the terms of this Warrant, and will at all times in good faith carry out all of the provisions of this Warrant and take all action as may be required to protect the rights of the Holder. Without limiting the generality of the foregoing, the Company (i) shall not increase the par value of any shares of Common Stock receivable upon the exercise of this Warrant above the Exercise Price then in effect, (ii) shall take all such actions as may be necessary or appropriate in order that the Company may validly and legally issue fully paid and nonassessable shares of Common Stock upon the proper exercise of this Warrant by the Holder, and (iii) shall, so long as this Warrant is outstanding, take all action necessary to reserve and keep available out of its authorized and unissued shares of Common Stock, solely for the purpose of effecting the exercise of this Warrant, the number of shares of Common Stock as shall from time to time be necessary to effect the exercise of this Warrant (without regard to any limitations on exercise). Notwithstanding anything herein to the contrary, if after the sixty (60) calendar day anniversary of the Issuance Date, the Holder is not permitted to exercise this Warrant in full for any reason (other than pursuant to restrictions set forth in Section 1(f) hereof), the Company shall use its reasonable best efforts to promptly remedy such failure, including, without limitation, obtaining such consents or approvals as necessary to permit such exercise into shares of Common Stock.</w:t>
      </w:r>
    </w:p>
    <w:p>
      <w:pPr>
        <w:spacing w:after="0" w:line="186" w:lineRule="exact"/>
        <w:rPr>
          <w:rFonts w:ascii="Arial" w:cs="Arial" w:eastAsia="Arial" w:hAnsi="Arial"/>
          <w:sz w:val="17"/>
          <w:szCs w:val="17"/>
          <w:color w:val="auto"/>
        </w:rPr>
      </w:pPr>
    </w:p>
    <w:p>
      <w:pPr>
        <w:jc w:val="both"/>
        <w:ind w:firstLine="1304"/>
        <w:spacing w:after="0" w:line="287" w:lineRule="auto"/>
        <w:tabs>
          <w:tab w:leader="none" w:pos="1488" w:val="left"/>
        </w:tabs>
        <w:numPr>
          <w:ilvl w:val="0"/>
          <w:numId w:val="229"/>
        </w:numPr>
        <w:rPr>
          <w:rFonts w:ascii="Arial" w:cs="Arial" w:eastAsia="Arial" w:hAnsi="Arial"/>
          <w:sz w:val="16"/>
          <w:szCs w:val="16"/>
          <w:color w:val="auto"/>
        </w:rPr>
      </w:pPr>
      <w:r>
        <w:rPr>
          <w:rFonts w:ascii="Arial" w:cs="Arial" w:eastAsia="Arial" w:hAnsi="Arial"/>
          <w:sz w:val="16"/>
          <w:szCs w:val="16"/>
          <w:u w:val="single" w:color="auto"/>
          <w:color w:val="auto"/>
        </w:rPr>
        <w:t>WARRANT HOLDER NOT DEEMED A STOCKHOLDER</w:t>
      </w:r>
      <w:r>
        <w:rPr>
          <w:rFonts w:ascii="Arial" w:cs="Arial" w:eastAsia="Arial" w:hAnsi="Arial"/>
          <w:sz w:val="16"/>
          <w:szCs w:val="16"/>
          <w:color w:val="auto"/>
        </w:rPr>
        <w:t xml:space="preserve">. Except as otherwise specifically provided herein, the Holder, solely in such Person’s capacity as a holder of this Warrant, shall not be entitled to vote or receive dividends or be deemed the holder of share capital of the Company for any purpose, nor shall anything contained in this Warrant be construed to confer upon the Holder, solely in such Person’s capacity as the Holder of this Warrant, any of the rights of a stockholder of the Company or any right to vote, give or withhold consent to any corporate action (whether any reorganization, issue of stock, reclassification of stock, consolidation, merger, conveyance or otherwise), receive notice of meetings, receive dividends or subscription rights, or otherwise, prior to the issuance to the Holder of the Warrant Shares which such Person is then entitled to receive upon the due exercise of this Warrant. In addition, nothing contained in this Warrant shall be construed as imposing any liabilities on the Holder to purchase any securities (upon exercise of this Warrant or otherwise) or as a stockholder of the Company, whether such liabilities are asserted by the Company or by creditors of the Company. Notwithstanding this Section </w:t>
      </w:r>
      <w:r>
        <w:rPr>
          <w:rFonts w:ascii="Arial" w:cs="Arial" w:eastAsia="Arial" w:hAnsi="Arial"/>
          <w:sz w:val="19"/>
          <w:szCs w:val="19"/>
          <w:b w:val="1"/>
          <w:bCs w:val="1"/>
          <w:color w:val="auto"/>
        </w:rPr>
        <w:t>‎</w:t>
      </w:r>
      <w:r>
        <w:rPr>
          <w:rFonts w:ascii="Arial" w:cs="Arial" w:eastAsia="Arial" w:hAnsi="Arial"/>
          <w:sz w:val="16"/>
          <w:szCs w:val="16"/>
          <w:color w:val="auto"/>
        </w:rPr>
        <w:t>6, the Company shall provide the Holder with copies of the same notices and other information given to the stockholders of the Company generally, contemporaneously with the giving thereof to the stockholders.</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226" w:name="page227"/>
    <w:bookmarkEnd w:id="226"/>
    <w:p>
      <w:pPr>
        <w:ind w:left="1480" w:hanging="176"/>
        <w:spacing w:after="0"/>
        <w:tabs>
          <w:tab w:leader="none" w:pos="1480" w:val="left"/>
        </w:tabs>
        <w:numPr>
          <w:ilvl w:val="0"/>
          <w:numId w:val="230"/>
        </w:numPr>
        <w:rPr>
          <w:rFonts w:ascii="Arial" w:cs="Arial" w:eastAsia="Arial" w:hAnsi="Arial"/>
          <w:sz w:val="18"/>
          <w:szCs w:val="18"/>
          <w:color w:val="auto"/>
        </w:rPr>
      </w:pPr>
      <w:r>
        <w:rPr>
          <w:rFonts w:ascii="Arial" w:cs="Arial" w:eastAsia="Arial" w:hAnsi="Arial"/>
          <w:sz w:val="18"/>
          <w:szCs w:val="18"/>
          <w:u w:val="single" w:color="auto"/>
          <w:color w:val="auto"/>
        </w:rPr>
        <w:t>REISSUANCE OF WARRANTS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firstLine="1952"/>
        <w:spacing w:after="0" w:line="250" w:lineRule="auto"/>
        <w:tabs>
          <w:tab w:leader="none" w:pos="2190" w:val="left"/>
        </w:tabs>
        <w:numPr>
          <w:ilvl w:val="1"/>
          <w:numId w:val="230"/>
        </w:numPr>
        <w:rPr>
          <w:rFonts w:ascii="Arial" w:cs="Arial" w:eastAsia="Arial" w:hAnsi="Arial"/>
          <w:sz w:val="18"/>
          <w:szCs w:val="18"/>
          <w:color w:val="auto"/>
        </w:rPr>
      </w:pPr>
      <w:r>
        <w:rPr>
          <w:rFonts w:ascii="Arial" w:cs="Arial" w:eastAsia="Arial" w:hAnsi="Arial"/>
          <w:sz w:val="18"/>
          <w:szCs w:val="18"/>
          <w:u w:val="single" w:color="auto"/>
          <w:color w:val="auto"/>
        </w:rPr>
        <w:t>Transfer of Warrant</w:t>
      </w:r>
      <w:r>
        <w:rPr>
          <w:rFonts w:ascii="Arial" w:cs="Arial" w:eastAsia="Arial" w:hAnsi="Arial"/>
          <w:sz w:val="18"/>
          <w:szCs w:val="18"/>
          <w:color w:val="auto"/>
        </w:rPr>
        <w:t xml:space="preserve">. If this Warrant is to be transferred and reissued to the transferee, the Holder shall surrender this Warrant to the Company together with a written assignment of this Warrant substantially in the form attached hereto duly executed by the Holder or its agent or attorney and funds sufficient to pay any transfer taxes payable upon the making of such transfer, whereupon the Company will forthwith issue and deliver upon the order of the Holder a new Warrant (in accordance with Section </w:t>
      </w:r>
      <w:r>
        <w:rPr>
          <w:rFonts w:ascii="Arial" w:cs="Arial" w:eastAsia="Arial" w:hAnsi="Arial"/>
          <w:sz w:val="21"/>
          <w:szCs w:val="21"/>
          <w:b w:val="1"/>
          <w:bCs w:val="1"/>
          <w:color w:val="auto"/>
        </w:rPr>
        <w:t>‎</w:t>
      </w:r>
      <w:r>
        <w:rPr>
          <w:rFonts w:ascii="Arial" w:cs="Arial" w:eastAsia="Arial" w:hAnsi="Arial"/>
          <w:sz w:val="18"/>
          <w:szCs w:val="18"/>
          <w:color w:val="auto"/>
        </w:rPr>
        <w:t xml:space="preserve">7(d)), registered as the Holder may request, representing the right to purchase the number of Warrant Shares being transferred by the Holder and, if less than the total number of Warrant Shares then underlying this Warrant is being transferred, a new Warrant (in accordance with Section </w:t>
      </w:r>
      <w:r>
        <w:rPr>
          <w:rFonts w:ascii="Arial" w:cs="Arial" w:eastAsia="Arial" w:hAnsi="Arial"/>
          <w:sz w:val="21"/>
          <w:szCs w:val="21"/>
          <w:b w:val="1"/>
          <w:bCs w:val="1"/>
          <w:color w:val="auto"/>
        </w:rPr>
        <w:t>‎</w:t>
      </w:r>
      <w:r>
        <w:rPr>
          <w:rFonts w:ascii="Arial" w:cs="Arial" w:eastAsia="Arial" w:hAnsi="Arial"/>
          <w:sz w:val="18"/>
          <w:szCs w:val="18"/>
          <w:color w:val="auto"/>
        </w:rPr>
        <w:t xml:space="preserve">7(d)) to the Holder representing the right to purchase the number of Warrant Shares not being transferred. For the avoidance of doubt, this Section </w:t>
      </w:r>
      <w:r>
        <w:rPr>
          <w:rFonts w:ascii="Arial" w:cs="Arial" w:eastAsia="Arial" w:hAnsi="Arial"/>
          <w:sz w:val="21"/>
          <w:szCs w:val="21"/>
          <w:b w:val="1"/>
          <w:bCs w:val="1"/>
          <w:color w:val="auto"/>
        </w:rPr>
        <w:t>‎</w:t>
      </w:r>
      <w:r>
        <w:rPr>
          <w:rFonts w:ascii="Arial" w:cs="Arial" w:eastAsia="Arial" w:hAnsi="Arial"/>
          <w:sz w:val="18"/>
          <w:szCs w:val="18"/>
          <w:color w:val="auto"/>
        </w:rPr>
        <w:t>7(a) will not apply to a sale, transfer, pledge or assignment of this Warrant that does not involve a reissuance of this Warrant.</w:t>
      </w:r>
    </w:p>
    <w:p>
      <w:pPr>
        <w:spacing w:after="0" w:line="192" w:lineRule="exact"/>
        <w:rPr>
          <w:rFonts w:ascii="Arial" w:cs="Arial" w:eastAsia="Arial" w:hAnsi="Arial"/>
          <w:sz w:val="18"/>
          <w:szCs w:val="18"/>
          <w:color w:val="auto"/>
        </w:rPr>
      </w:pPr>
    </w:p>
    <w:p>
      <w:pPr>
        <w:jc w:val="both"/>
        <w:ind w:firstLine="1952"/>
        <w:spacing w:after="0" w:line="275" w:lineRule="auto"/>
        <w:tabs>
          <w:tab w:leader="none" w:pos="2205" w:val="left"/>
        </w:tabs>
        <w:numPr>
          <w:ilvl w:val="1"/>
          <w:numId w:val="230"/>
        </w:numPr>
        <w:rPr>
          <w:rFonts w:ascii="Arial" w:cs="Arial" w:eastAsia="Arial" w:hAnsi="Arial"/>
          <w:sz w:val="17"/>
          <w:szCs w:val="17"/>
          <w:color w:val="auto"/>
        </w:rPr>
      </w:pPr>
      <w:r>
        <w:rPr>
          <w:rFonts w:ascii="Arial" w:cs="Arial" w:eastAsia="Arial" w:hAnsi="Arial"/>
          <w:sz w:val="17"/>
          <w:szCs w:val="17"/>
          <w:u w:val="single" w:color="auto"/>
          <w:color w:val="auto"/>
        </w:rPr>
        <w:t>Lost, Stolen or Mutilated Warrant</w:t>
      </w:r>
      <w:r>
        <w:rPr>
          <w:rFonts w:ascii="Arial" w:cs="Arial" w:eastAsia="Arial" w:hAnsi="Arial"/>
          <w:sz w:val="17"/>
          <w:szCs w:val="17"/>
          <w:color w:val="auto"/>
        </w:rPr>
        <w:t xml:space="preserve">. Upon receipt by the Company of evidence reasonably satisfactory to the Company of the loss, theft, destruction or mutilation of this Warrant (as to which a written certification and the indemnification contemplated below shall suffice as such evidence), and, in the case of loss, theft or destruction, of any indemnification undertaking by the Holder to the Company in customary and reasonable form and, in the case of mutilation, upon surrender and cancellation of this Warrant, the Company shall execute and deliver to the Holder a new Warrant (in accordance with Section </w:t>
      </w:r>
      <w:r>
        <w:rPr>
          <w:rFonts w:ascii="Arial" w:cs="Arial" w:eastAsia="Arial" w:hAnsi="Arial"/>
          <w:sz w:val="20"/>
          <w:szCs w:val="20"/>
          <w:b w:val="1"/>
          <w:bCs w:val="1"/>
          <w:color w:val="auto"/>
        </w:rPr>
        <w:t>‎</w:t>
      </w:r>
      <w:r>
        <w:rPr>
          <w:rFonts w:ascii="Arial" w:cs="Arial" w:eastAsia="Arial" w:hAnsi="Arial"/>
          <w:sz w:val="17"/>
          <w:szCs w:val="17"/>
          <w:color w:val="auto"/>
        </w:rPr>
        <w:t>7(d)) representing the right to purchase the Warrant Shares then underlying this Warrant.</w:t>
      </w:r>
    </w:p>
    <w:p>
      <w:pPr>
        <w:spacing w:after="0" w:line="163" w:lineRule="exact"/>
        <w:rPr>
          <w:rFonts w:ascii="Arial" w:cs="Arial" w:eastAsia="Arial" w:hAnsi="Arial"/>
          <w:sz w:val="17"/>
          <w:szCs w:val="17"/>
          <w:color w:val="auto"/>
        </w:rPr>
      </w:pPr>
    </w:p>
    <w:p>
      <w:pPr>
        <w:jc w:val="both"/>
        <w:ind w:firstLine="1952"/>
        <w:spacing w:after="0" w:line="295" w:lineRule="auto"/>
        <w:tabs>
          <w:tab w:leader="none" w:pos="2195" w:val="left"/>
        </w:tabs>
        <w:numPr>
          <w:ilvl w:val="1"/>
          <w:numId w:val="230"/>
        </w:numPr>
        <w:rPr>
          <w:rFonts w:ascii="Arial" w:cs="Arial" w:eastAsia="Arial" w:hAnsi="Arial"/>
          <w:sz w:val="16"/>
          <w:szCs w:val="16"/>
          <w:color w:val="auto"/>
        </w:rPr>
      </w:pPr>
      <w:r>
        <w:rPr>
          <w:rFonts w:ascii="Arial" w:cs="Arial" w:eastAsia="Arial" w:hAnsi="Arial"/>
          <w:sz w:val="16"/>
          <w:szCs w:val="16"/>
          <w:u w:val="single" w:color="auto"/>
          <w:color w:val="auto"/>
        </w:rPr>
        <w:t>Exchangeable for Multiple Warrants</w:t>
      </w:r>
      <w:r>
        <w:rPr>
          <w:rFonts w:ascii="Arial" w:cs="Arial" w:eastAsia="Arial" w:hAnsi="Arial"/>
          <w:sz w:val="16"/>
          <w:szCs w:val="16"/>
          <w:color w:val="auto"/>
        </w:rPr>
        <w:t xml:space="preserve">. This Warrant is exchangeable, upon the surrender hereof by the Holder at the principal office of the Company, for a new Warrant or Warrants (in accordance with Section </w:t>
      </w:r>
      <w:r>
        <w:rPr>
          <w:rFonts w:ascii="Arial" w:cs="Arial" w:eastAsia="Arial" w:hAnsi="Arial"/>
          <w:sz w:val="19"/>
          <w:szCs w:val="19"/>
          <w:b w:val="1"/>
          <w:bCs w:val="1"/>
          <w:color w:val="auto"/>
        </w:rPr>
        <w:t>‎</w:t>
      </w:r>
      <w:r>
        <w:rPr>
          <w:rFonts w:ascii="Arial" w:cs="Arial" w:eastAsia="Arial" w:hAnsi="Arial"/>
          <w:sz w:val="16"/>
          <w:szCs w:val="16"/>
          <w:color w:val="auto"/>
        </w:rPr>
        <w:t xml:space="preserve">7(d)) representing in the aggregate the right to purchase the number of Warrant Shares then underlying this Warrant, and each such new Warrant will represent the right to purchase such portion of such Warrant Shares as is designated by the Holder at the time of such surrender;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no warrants for fractional shares of Common Stock shall be given.</w:t>
      </w:r>
    </w:p>
    <w:p>
      <w:pPr>
        <w:spacing w:after="0" w:line="159" w:lineRule="exact"/>
        <w:rPr>
          <w:rFonts w:ascii="Arial" w:cs="Arial" w:eastAsia="Arial" w:hAnsi="Arial"/>
          <w:sz w:val="16"/>
          <w:szCs w:val="16"/>
          <w:color w:val="auto"/>
        </w:rPr>
      </w:pPr>
    </w:p>
    <w:p>
      <w:pPr>
        <w:jc w:val="both"/>
        <w:ind w:firstLine="1952"/>
        <w:spacing w:after="0" w:line="290" w:lineRule="auto"/>
        <w:tabs>
          <w:tab w:leader="none" w:pos="2204" w:val="left"/>
        </w:tabs>
        <w:numPr>
          <w:ilvl w:val="1"/>
          <w:numId w:val="230"/>
        </w:numPr>
        <w:rPr>
          <w:rFonts w:ascii="Arial" w:cs="Arial" w:eastAsia="Arial" w:hAnsi="Arial"/>
          <w:sz w:val="16"/>
          <w:szCs w:val="16"/>
          <w:color w:val="auto"/>
        </w:rPr>
      </w:pPr>
      <w:r>
        <w:rPr>
          <w:rFonts w:ascii="Arial" w:cs="Arial" w:eastAsia="Arial" w:hAnsi="Arial"/>
          <w:sz w:val="16"/>
          <w:szCs w:val="16"/>
          <w:u w:val="single" w:color="auto"/>
          <w:color w:val="auto"/>
        </w:rPr>
        <w:t>Issuance of New Warrants</w:t>
      </w:r>
      <w:r>
        <w:rPr>
          <w:rFonts w:ascii="Arial" w:cs="Arial" w:eastAsia="Arial" w:hAnsi="Arial"/>
          <w:sz w:val="16"/>
          <w:szCs w:val="16"/>
          <w:color w:val="auto"/>
        </w:rPr>
        <w:t xml:space="preserve">. Whenever the Company is required to issue a new Warrant pursuant to the terms of this Warrant, such new Warrant (i) shall be of like tenor with this Warrant, (ii) shall represent, as indicated on the face of such new Warrant, the right to purchase the Warrant Shares then underlying this Warrant (or in the case of a new Warrant being issued pursuant to Section </w:t>
      </w:r>
      <w:r>
        <w:rPr>
          <w:rFonts w:ascii="Arial" w:cs="Arial" w:eastAsia="Arial" w:hAnsi="Arial"/>
          <w:sz w:val="19"/>
          <w:szCs w:val="19"/>
          <w:b w:val="1"/>
          <w:bCs w:val="1"/>
          <w:color w:val="auto"/>
        </w:rPr>
        <w:t>‎</w:t>
      </w:r>
      <w:r>
        <w:rPr>
          <w:rFonts w:ascii="Arial" w:cs="Arial" w:eastAsia="Arial" w:hAnsi="Arial"/>
          <w:sz w:val="16"/>
          <w:szCs w:val="16"/>
          <w:color w:val="auto"/>
        </w:rPr>
        <w:t xml:space="preserve">7(a) or Section </w:t>
      </w:r>
      <w:r>
        <w:rPr>
          <w:rFonts w:ascii="Arial" w:cs="Arial" w:eastAsia="Arial" w:hAnsi="Arial"/>
          <w:sz w:val="19"/>
          <w:szCs w:val="19"/>
          <w:b w:val="1"/>
          <w:bCs w:val="1"/>
          <w:color w:val="auto"/>
        </w:rPr>
        <w:t>‎</w:t>
      </w:r>
      <w:r>
        <w:rPr>
          <w:rFonts w:ascii="Arial" w:cs="Arial" w:eastAsia="Arial" w:hAnsi="Arial"/>
          <w:sz w:val="16"/>
          <w:szCs w:val="16"/>
          <w:color w:val="auto"/>
        </w:rPr>
        <w:t>7(c), the Warrant Shares designated by the Holder which, when added to the number of shares of Common Stock underlying the other new Warrants issued in connection with such issuance, does not exceed the number of Warrant Shares then underlying this Warrant), (iii) shall have an issuance date, as indicated on the face of such new Warrant which is the same as the Issuance Date, and (iv) shall have the same rights and conditions as this Warrant.</w:t>
      </w:r>
    </w:p>
    <w:p>
      <w:pPr>
        <w:spacing w:after="0" w:line="163" w:lineRule="exact"/>
        <w:rPr>
          <w:rFonts w:ascii="Arial" w:cs="Arial" w:eastAsia="Arial" w:hAnsi="Arial"/>
          <w:sz w:val="16"/>
          <w:szCs w:val="16"/>
          <w:color w:val="auto"/>
        </w:rPr>
      </w:pPr>
    </w:p>
    <w:p>
      <w:pPr>
        <w:jc w:val="both"/>
        <w:ind w:firstLine="1304"/>
        <w:spacing w:after="0" w:line="296" w:lineRule="auto"/>
        <w:tabs>
          <w:tab w:leader="none" w:pos="1496" w:val="left"/>
        </w:tabs>
        <w:numPr>
          <w:ilvl w:val="0"/>
          <w:numId w:val="230"/>
        </w:numPr>
        <w:rPr>
          <w:rFonts w:ascii="Arial" w:cs="Arial" w:eastAsia="Arial" w:hAnsi="Arial"/>
          <w:sz w:val="16"/>
          <w:szCs w:val="16"/>
          <w:color w:val="auto"/>
        </w:rPr>
      </w:pPr>
      <w:r>
        <w:rPr>
          <w:rFonts w:ascii="Arial" w:cs="Arial" w:eastAsia="Arial" w:hAnsi="Arial"/>
          <w:sz w:val="16"/>
          <w:szCs w:val="16"/>
          <w:u w:val="single" w:color="auto"/>
          <w:color w:val="auto"/>
        </w:rPr>
        <w:t>NOTICES OF CHANGES IN WARRANT</w:t>
      </w:r>
      <w:r>
        <w:rPr>
          <w:rFonts w:ascii="Arial" w:cs="Arial" w:eastAsia="Arial" w:hAnsi="Arial"/>
          <w:sz w:val="16"/>
          <w:szCs w:val="16"/>
          <w:color w:val="auto"/>
        </w:rPr>
        <w:t>. Whenever notice is required to be given under this Warrant, unless otherwise provided herein, such notice shall be given in accordance with Section 8.2 of the Credit Agreement. Upon every adjustment of the Exercise Price or the number of shares of Common Stock issuable upon exercise of a Warrant, the Company shall give written notice thereof to the Holders, which notice shall state the Exercise Price resulting from such adjustment and the increase or decrease, if any, in the number of Warrant Shares purchasable at such price upon the exercise of a Warrant, setting forth in reasonable detail the method of calculation and the facts upon which such calculation is based.</w:t>
      </w:r>
    </w:p>
    <w:p>
      <w:pPr>
        <w:spacing w:after="0" w:line="161" w:lineRule="exact"/>
        <w:rPr>
          <w:rFonts w:ascii="Arial" w:cs="Arial" w:eastAsia="Arial" w:hAnsi="Arial"/>
          <w:sz w:val="16"/>
          <w:szCs w:val="16"/>
          <w:color w:val="auto"/>
        </w:rPr>
      </w:pPr>
    </w:p>
    <w:p>
      <w:pPr>
        <w:jc w:val="both"/>
        <w:ind w:firstLine="1304"/>
        <w:spacing w:after="0" w:line="301" w:lineRule="auto"/>
        <w:tabs>
          <w:tab w:leader="none" w:pos="1475" w:val="left"/>
        </w:tabs>
        <w:numPr>
          <w:ilvl w:val="0"/>
          <w:numId w:val="230"/>
        </w:numPr>
        <w:rPr>
          <w:rFonts w:ascii="Arial" w:cs="Arial" w:eastAsia="Arial" w:hAnsi="Arial"/>
          <w:sz w:val="16"/>
          <w:szCs w:val="16"/>
          <w:color w:val="auto"/>
        </w:rPr>
      </w:pPr>
      <w:r>
        <w:rPr>
          <w:rFonts w:ascii="Arial" w:cs="Arial" w:eastAsia="Arial" w:hAnsi="Arial"/>
          <w:sz w:val="16"/>
          <w:szCs w:val="16"/>
          <w:u w:val="single" w:color="auto"/>
          <w:color w:val="auto"/>
        </w:rPr>
        <w:t>AMENDMENT AND WAIVER</w:t>
      </w:r>
      <w:r>
        <w:rPr>
          <w:rFonts w:ascii="Arial" w:cs="Arial" w:eastAsia="Arial" w:hAnsi="Arial"/>
          <w:sz w:val="16"/>
          <w:szCs w:val="16"/>
          <w:color w:val="auto"/>
        </w:rPr>
        <w:t>. Except as otherwise provided herein, the provisions of this Warrant may be amended or waived and the Company may take any action herein prohibited, or omit to perform any act herein required to be performed by it, only if the Company has obtained the written consent of (i) the Holder, if there is one Holder, or (ii) the Holder or Holders of the Warrant or Warrants representing the majority of Warrant Shares if there is more than one Holder, and with respect to any amendment, the amendment is in writing and signed by the Company and the Holder.</w:t>
      </w:r>
    </w:p>
    <w:p>
      <w:pPr>
        <w:spacing w:after="0" w:line="36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27" w:name="page228"/>
    <w:bookmarkEnd w:id="227"/>
    <w:p>
      <w:pPr>
        <w:jc w:val="both"/>
        <w:ind w:firstLine="1304"/>
        <w:spacing w:after="0" w:line="283" w:lineRule="auto"/>
        <w:tabs>
          <w:tab w:leader="none" w:pos="1573" w:val="left"/>
        </w:tabs>
        <w:numPr>
          <w:ilvl w:val="0"/>
          <w:numId w:val="231"/>
        </w:numPr>
        <w:rPr>
          <w:rFonts w:ascii="Arial" w:cs="Arial" w:eastAsia="Arial" w:hAnsi="Arial"/>
          <w:sz w:val="16"/>
          <w:szCs w:val="16"/>
          <w:color w:val="auto"/>
        </w:rPr>
      </w:pPr>
      <w:r>
        <w:rPr>
          <w:rFonts w:ascii="Arial" w:cs="Arial" w:eastAsia="Arial" w:hAnsi="Arial"/>
          <w:sz w:val="16"/>
          <w:szCs w:val="16"/>
          <w:u w:val="single" w:color="auto"/>
          <w:color w:val="auto"/>
        </w:rPr>
        <w:t>GOVERNING LAW; JURISDICTION; JURY TRIAL</w:t>
      </w:r>
      <w:r>
        <w:rPr>
          <w:rFonts w:ascii="Arial" w:cs="Arial" w:eastAsia="Arial" w:hAnsi="Arial"/>
          <w:sz w:val="16"/>
          <w:szCs w:val="16"/>
          <w:color w:val="auto"/>
        </w:rPr>
        <w:t xml:space="preserve">. This Warrant shall be governed by and construed and enforced in accordance with, and all questions concerning the construction, validity, interpretation and performance of this Warrant shall be governed by, the internal laws of the State of New York, without giving effect to any choice of law or conflict of law provision or rule (whether of the State of New York or any other jurisdictions) that would cause the application of the laws of any jurisdictions other than the State of New York. The Company and the Holder each hereby irrevocably submits to the exclusive jurisdiction of the state and federal courts sitting in The City of New York, Borough of Manhattan, for the adjudication of any dispute hereunder or in connection herewith or with any transaction contemplated hereby or discussed herein, and hereby irrevocably waives, and agrees not to assert in any suit, action or proceeding, any claim that it is not personally subject to the jurisdiction of any such court, that such suit, action or proceeding is brought in an inconvenient forum or that the venue of such suit, action or proceeding is improper. The Company and the Holder each hereby irrevocably waives personal service of process and consents to process being served in any such suit, action or proceeding by mailing a copy thereof to the Company or such Holder, as applicable at the address set forth in Section 8.2 of the Credit Agreement and agrees that such service shall constitute good and sufficient service of process and notice thereof. Nothing contained herein shall be deemed to limit in any way any right to serve process in any manner permitted by law. Nothing contained herein shall be deemed or operate to preclude the Holder from bringing suit or taking other legal action against the Company in any other jurisdiction to collect on the Company’s obligations to the Holder, to realize on any collateral or any other security for such obligations, or to enforce a judgment or other court ruling in favor of the Holder. </w:t>
      </w:r>
      <w:r>
        <w:rPr>
          <w:rFonts w:ascii="Arial" w:cs="Arial" w:eastAsia="Arial" w:hAnsi="Arial"/>
          <w:sz w:val="16"/>
          <w:szCs w:val="16"/>
          <w:b w:val="1"/>
          <w:bCs w:val="1"/>
          <w:color w:val="auto"/>
        </w:rPr>
        <w:t>THE COMPANY HEREBY AND THE HOLDER EACH</w:t>
      </w:r>
    </w:p>
    <w:p>
      <w:pPr>
        <w:spacing w:after="0" w:line="1" w:lineRule="exact"/>
        <w:rPr>
          <w:rFonts w:ascii="Arial" w:cs="Arial" w:eastAsia="Arial" w:hAnsi="Arial"/>
          <w:sz w:val="16"/>
          <w:szCs w:val="16"/>
          <w:color w:val="auto"/>
        </w:rPr>
      </w:pPr>
    </w:p>
    <w:p>
      <w:pPr>
        <w:jc w:val="both"/>
        <w:spacing w:after="0" w:line="255" w:lineRule="auto"/>
        <w:rPr>
          <w:rFonts w:ascii="Arial" w:cs="Arial" w:eastAsia="Arial" w:hAnsi="Arial"/>
          <w:sz w:val="16"/>
          <w:szCs w:val="16"/>
          <w:color w:val="auto"/>
        </w:rPr>
      </w:pPr>
      <w:r>
        <w:rPr>
          <w:rFonts w:ascii="Arial" w:cs="Arial" w:eastAsia="Arial" w:hAnsi="Arial"/>
          <w:sz w:val="18"/>
          <w:szCs w:val="18"/>
          <w:b w:val="1"/>
          <w:bCs w:val="1"/>
          <w:color w:val="auto"/>
        </w:rPr>
        <w:t>IRREVOCABLY WAIVES ANY RIGHT IT MAY HAVE, AND AGREES NOT TO REQUEST, A JURY TRIAL FOR THE ADJUDICATION OF ANY DISPUTE HEREUNDER OR IN CONNECTION WITH OR ARISING OUT OF THIS WARRANT OR ANY TRANSACTION CONTEMPLATED HEREBY.</w:t>
      </w:r>
    </w:p>
    <w:p>
      <w:pPr>
        <w:spacing w:after="0" w:line="189" w:lineRule="exact"/>
        <w:rPr>
          <w:rFonts w:ascii="Arial" w:cs="Arial" w:eastAsia="Arial" w:hAnsi="Arial"/>
          <w:sz w:val="16"/>
          <w:szCs w:val="16"/>
          <w:color w:val="auto"/>
        </w:rPr>
      </w:pPr>
    </w:p>
    <w:p>
      <w:pPr>
        <w:jc w:val="both"/>
        <w:ind w:firstLine="1304"/>
        <w:spacing w:after="0" w:line="301" w:lineRule="auto"/>
        <w:tabs>
          <w:tab w:leader="none" w:pos="1576" w:val="left"/>
        </w:tabs>
        <w:numPr>
          <w:ilvl w:val="0"/>
          <w:numId w:val="231"/>
        </w:numPr>
        <w:rPr>
          <w:rFonts w:ascii="Arial" w:cs="Arial" w:eastAsia="Arial" w:hAnsi="Arial"/>
          <w:sz w:val="16"/>
          <w:szCs w:val="16"/>
          <w:color w:val="auto"/>
        </w:rPr>
      </w:pPr>
      <w:r>
        <w:rPr>
          <w:rFonts w:ascii="Arial" w:cs="Arial" w:eastAsia="Arial" w:hAnsi="Arial"/>
          <w:sz w:val="16"/>
          <w:szCs w:val="16"/>
          <w:u w:val="single" w:color="auto"/>
          <w:color w:val="auto"/>
        </w:rPr>
        <w:t>CONSTRUCTION; HEADINGS; BUSINESS DAYS</w:t>
      </w:r>
      <w:r>
        <w:rPr>
          <w:rFonts w:ascii="Arial" w:cs="Arial" w:eastAsia="Arial" w:hAnsi="Arial"/>
          <w:sz w:val="16"/>
          <w:szCs w:val="16"/>
          <w:color w:val="auto"/>
        </w:rPr>
        <w:t>. This Warrant shall be deemed to be jointly drafted by the Company and the Holder and shall not be construed against any Person as the drafter hereof. The headings of this Warrant are for convenience of reference and shall not form part of, or affect the interpretation of, this Warrant. If the last or appointed day for the taking of any action or the expiration of any right required or granted herein shall not be a Business Day, then, such action may be taken or such right may be exercised on the next succeeding Business Day.</w:t>
      </w:r>
    </w:p>
    <w:p>
      <w:pPr>
        <w:spacing w:after="0" w:line="157" w:lineRule="exact"/>
        <w:rPr>
          <w:rFonts w:ascii="Arial" w:cs="Arial" w:eastAsia="Arial" w:hAnsi="Arial"/>
          <w:sz w:val="16"/>
          <w:szCs w:val="16"/>
          <w:color w:val="auto"/>
        </w:rPr>
      </w:pPr>
    </w:p>
    <w:p>
      <w:pPr>
        <w:jc w:val="both"/>
        <w:ind w:firstLine="1304"/>
        <w:spacing w:after="0" w:line="268" w:lineRule="auto"/>
        <w:tabs>
          <w:tab w:leader="none" w:pos="1577" w:val="left"/>
        </w:tabs>
        <w:numPr>
          <w:ilvl w:val="0"/>
          <w:numId w:val="231"/>
        </w:numPr>
        <w:rPr>
          <w:rFonts w:ascii="Arial" w:cs="Arial" w:eastAsia="Arial" w:hAnsi="Arial"/>
          <w:sz w:val="17"/>
          <w:szCs w:val="17"/>
          <w:color w:val="auto"/>
        </w:rPr>
      </w:pPr>
      <w:r>
        <w:rPr>
          <w:rFonts w:ascii="Arial" w:cs="Arial" w:eastAsia="Arial" w:hAnsi="Arial"/>
          <w:sz w:val="17"/>
          <w:szCs w:val="17"/>
          <w:u w:val="single" w:color="auto"/>
          <w:color w:val="auto"/>
        </w:rPr>
        <w:t>DISPUTE RESOLUTION</w:t>
      </w:r>
      <w:r>
        <w:rPr>
          <w:rFonts w:ascii="Arial" w:cs="Arial" w:eastAsia="Arial" w:hAnsi="Arial"/>
          <w:sz w:val="17"/>
          <w:szCs w:val="17"/>
          <w:color w:val="auto"/>
        </w:rPr>
        <w:t xml:space="preserve">. In the case of a dispute as to the determination of the Exercise Price or the arithmetic calculation of the Warrant Shares, the Company shall submit the disputed determinations or arithmetic calculations via facsimile or electronic mail within two (2) Business Days of receipt of the Exercise Notice giving rise to such dispute, as the case may be, to the Holder. If the Holder and the Company are unable to agree upon such determination or calculation of the Exercise Price or the Warrant Shares within three (3) Business Days of such disputed determination or arithmetic calculation being submitted to the Holder, then the Company shall, within two (2) Business Days submit via facsimile or electronic mail the dispute to a nationally recognized accounting firm selected by the Holder and reasonably satisfactory to the Company. If the Company does not object in writing to the selection of the accounting firm within two (2) Business Days of notice of the Holder’s selection, the Company will have deemed to have consented to such selection. If the Company does object, the Company shall provide the Holder its rationale for such rejection and five (5) acceptable alternative firms. The Company shall cause at its expense the accepted accounting firm to perform the determinations or calculations and notify the Company and the Holder of the results no later than three (3) Business Days from the time it receives the disputed determinations or calculations. Such accounting firm’s determination or calculation, as the case may be, shall be binding upon all parties absent demonstrable error. In the event that the accounting firm resolves the dispute in the Holder’s favor, a Delivery Failure will be deemed to have occurred and the Buy-In and other remedies available to the Holder under Section </w:t>
      </w:r>
      <w:r>
        <w:rPr>
          <w:rFonts w:ascii="Arial" w:cs="Arial" w:eastAsia="Arial" w:hAnsi="Arial"/>
          <w:sz w:val="20"/>
          <w:szCs w:val="20"/>
          <w:b w:val="1"/>
          <w:bCs w:val="1"/>
          <w:color w:val="auto"/>
        </w:rPr>
        <w:t>‎</w:t>
      </w:r>
      <w:r>
        <w:rPr>
          <w:rFonts w:ascii="Arial" w:cs="Arial" w:eastAsia="Arial" w:hAnsi="Arial"/>
          <w:sz w:val="17"/>
          <w:szCs w:val="17"/>
          <w:color w:val="auto"/>
        </w:rPr>
        <w:t>1(c) will apply.</w:t>
      </w:r>
    </w:p>
    <w:p>
      <w:pPr>
        <w:spacing w:after="0" w:line="174" w:lineRule="exact"/>
        <w:rPr>
          <w:rFonts w:ascii="Arial" w:cs="Arial" w:eastAsia="Arial" w:hAnsi="Arial"/>
          <w:sz w:val="17"/>
          <w:szCs w:val="17"/>
          <w:color w:val="auto"/>
        </w:rPr>
      </w:pPr>
    </w:p>
    <w:p>
      <w:pPr>
        <w:jc w:val="both"/>
        <w:ind w:firstLine="1304"/>
        <w:spacing w:after="0" w:line="272" w:lineRule="auto"/>
        <w:tabs>
          <w:tab w:leader="none" w:pos="1579" w:val="left"/>
        </w:tabs>
        <w:numPr>
          <w:ilvl w:val="0"/>
          <w:numId w:val="231"/>
        </w:numPr>
        <w:rPr>
          <w:rFonts w:ascii="Arial" w:cs="Arial" w:eastAsia="Arial" w:hAnsi="Arial"/>
          <w:sz w:val="17"/>
          <w:szCs w:val="17"/>
          <w:color w:val="auto"/>
        </w:rPr>
      </w:pPr>
      <w:r>
        <w:rPr>
          <w:rFonts w:ascii="Arial" w:cs="Arial" w:eastAsia="Arial" w:hAnsi="Arial"/>
          <w:sz w:val="17"/>
          <w:szCs w:val="17"/>
          <w:u w:val="single" w:color="auto"/>
          <w:color w:val="auto"/>
        </w:rPr>
        <w:t>REMEDIES, OTHER OBLIGATIONS, BREACHES AND INJUNCTIVE RELIEF</w:t>
      </w:r>
      <w:r>
        <w:rPr>
          <w:rFonts w:ascii="Arial" w:cs="Arial" w:eastAsia="Arial" w:hAnsi="Arial"/>
          <w:sz w:val="17"/>
          <w:szCs w:val="17"/>
          <w:color w:val="auto"/>
        </w:rPr>
        <w:t>. The remedies provided in this Warrant shall be cumulative and in addition to all other remedies available under this Warrant and the other Loan Documents, at law or in equity (including a decree of specific performance and/or other injunctive relief), and nothing herein shall limit the right of the Holder to pursue actual damages for any failure by the Company to comply with the terms of this Warrant. The Company acknowledges that a breach by it of its obligations hereunder will cause irreparable harm to the Holder and that the remedy at law for any such breach may be inadequate. The Company therefore agrees that, in the event of any such breach or threatened breach, the Holder shall be entitled, in addition to all other available remedies, to an injunction restraining any breach, without the necessity of showing economic loss and without any bond or other security being required.</w:t>
      </w:r>
    </w:p>
    <w:p>
      <w:pPr>
        <w:spacing w:after="0" w:line="177" w:lineRule="exact"/>
        <w:rPr>
          <w:rFonts w:ascii="Arial" w:cs="Arial" w:eastAsia="Arial" w:hAnsi="Arial"/>
          <w:sz w:val="17"/>
          <w:szCs w:val="17"/>
          <w:color w:val="auto"/>
        </w:rPr>
      </w:pPr>
    </w:p>
    <w:p>
      <w:pPr>
        <w:jc w:val="both"/>
        <w:ind w:firstLine="1304"/>
        <w:spacing w:after="0" w:line="259" w:lineRule="auto"/>
        <w:tabs>
          <w:tab w:leader="none" w:pos="1566" w:val="left"/>
        </w:tabs>
        <w:numPr>
          <w:ilvl w:val="0"/>
          <w:numId w:val="231"/>
        </w:numPr>
        <w:rPr>
          <w:rFonts w:ascii="Arial" w:cs="Arial" w:eastAsia="Arial" w:hAnsi="Arial"/>
          <w:sz w:val="18"/>
          <w:szCs w:val="18"/>
          <w:color w:val="auto"/>
        </w:rPr>
      </w:pPr>
      <w:r>
        <w:rPr>
          <w:rFonts w:ascii="Arial" w:cs="Arial" w:eastAsia="Arial" w:hAnsi="Arial"/>
          <w:sz w:val="18"/>
          <w:szCs w:val="18"/>
          <w:u w:val="single" w:color="auto"/>
          <w:color w:val="auto"/>
        </w:rPr>
        <w:t>TRANSFER</w:t>
      </w:r>
      <w:r>
        <w:rPr>
          <w:rFonts w:ascii="Arial" w:cs="Arial" w:eastAsia="Arial" w:hAnsi="Arial"/>
          <w:sz w:val="18"/>
          <w:szCs w:val="18"/>
          <w:color w:val="auto"/>
        </w:rPr>
        <w:t>. This Warrant and the Warrant Shares may be offered for sale, sold, transferred, pledged or assigned without the consent of the Company, subject to compliance with applicable state and federal securities laws. The Holder acknowledges that the Warrant Shares acquired upon the exercise of this Warrant, if not registered, and the Holder does not utilize cashless exercise, will have restrictions upon resale imposed by state and federal securities laws.</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28" w:name="page229"/>
    <w:bookmarkEnd w:id="228"/>
    <w:p>
      <w:pPr>
        <w:jc w:val="both"/>
        <w:ind w:firstLine="1304"/>
        <w:spacing w:after="0" w:line="271" w:lineRule="auto"/>
        <w:tabs>
          <w:tab w:leader="none" w:pos="1576" w:val="left"/>
        </w:tabs>
        <w:numPr>
          <w:ilvl w:val="0"/>
          <w:numId w:val="232"/>
        </w:numPr>
        <w:rPr>
          <w:rFonts w:ascii="Arial" w:cs="Arial" w:eastAsia="Arial" w:hAnsi="Arial"/>
          <w:sz w:val="17"/>
          <w:szCs w:val="17"/>
          <w:color w:val="auto"/>
        </w:rPr>
      </w:pPr>
      <w:r>
        <w:rPr>
          <w:rFonts w:ascii="Arial" w:cs="Arial" w:eastAsia="Arial" w:hAnsi="Arial"/>
          <w:sz w:val="17"/>
          <w:szCs w:val="17"/>
          <w:u w:val="single" w:color="auto"/>
          <w:color w:val="auto"/>
        </w:rPr>
        <w:t>SEVERABILITY</w:t>
      </w:r>
      <w:r>
        <w:rPr>
          <w:rFonts w:ascii="Arial" w:cs="Arial" w:eastAsia="Arial" w:hAnsi="Arial"/>
          <w:sz w:val="17"/>
          <w:szCs w:val="17"/>
          <w:color w:val="auto"/>
        </w:rPr>
        <w:t>. If any provision of this Warrant is prohibited by law or otherwise determined to be invalid or unenforceable by a court of competent jurisdiction, the provision that would otherwise be prohibited, invalid or unenforceable shall be deemed amended to apply to the broadest extent that it would be valid and enforceable, and the invalidity or unenforceability of such provision shall not affect the validity of the remaining provisions of this Warrant so long as this Warrant as so modified continues to express, without material change, the original intentions of the parties as to the subject matter hereof and the prohibited nature, invalidity or unenforceability of the provision(s) in question does not substantially impair the respective expectations or reciprocal obligations of the parties or the practical realization of the benefits that would otherwise be conferred upon the parties. The parties will endeavor in good faith negotiations to replace the prohibited, invalid or unenforceable provision(s) with a valid provision(s), the effect of which comes as close as possible to that of the prohibited, invalid or unenforceable provision(s).</w:t>
      </w:r>
    </w:p>
    <w:p>
      <w:pPr>
        <w:spacing w:after="0" w:line="178" w:lineRule="exact"/>
        <w:rPr>
          <w:rFonts w:ascii="Arial" w:cs="Arial" w:eastAsia="Arial" w:hAnsi="Arial"/>
          <w:sz w:val="17"/>
          <w:szCs w:val="17"/>
          <w:color w:val="auto"/>
        </w:rPr>
      </w:pPr>
    </w:p>
    <w:p>
      <w:pPr>
        <w:ind w:firstLine="1304"/>
        <w:spacing w:after="0" w:line="277" w:lineRule="auto"/>
        <w:tabs>
          <w:tab w:leader="none" w:pos="1566" w:val="left"/>
        </w:tabs>
        <w:numPr>
          <w:ilvl w:val="0"/>
          <w:numId w:val="232"/>
        </w:numPr>
        <w:rPr>
          <w:rFonts w:ascii="Arial" w:cs="Arial" w:eastAsia="Arial" w:hAnsi="Arial"/>
          <w:sz w:val="18"/>
          <w:szCs w:val="18"/>
          <w:color w:val="auto"/>
        </w:rPr>
      </w:pPr>
      <w:r>
        <w:rPr>
          <w:rFonts w:ascii="Arial" w:cs="Arial" w:eastAsia="Arial" w:hAnsi="Arial"/>
          <w:sz w:val="18"/>
          <w:szCs w:val="18"/>
          <w:u w:val="single" w:color="auto"/>
          <w:color w:val="auto"/>
        </w:rPr>
        <w:t>NO DISCLOSURE</w:t>
      </w:r>
      <w:r>
        <w:rPr>
          <w:rFonts w:ascii="Arial" w:cs="Arial" w:eastAsia="Arial" w:hAnsi="Arial"/>
          <w:sz w:val="18"/>
          <w:szCs w:val="18"/>
          <w:color w:val="auto"/>
        </w:rPr>
        <w:t>. The Company shall not provide material, non-public information or confidential or proprietary information to the Holder without such Holder’s written consent.</w:t>
      </w:r>
    </w:p>
    <w:p>
      <w:pPr>
        <w:spacing w:after="0" w:line="170" w:lineRule="exact"/>
        <w:rPr>
          <w:rFonts w:ascii="Arial" w:cs="Arial" w:eastAsia="Arial" w:hAnsi="Arial"/>
          <w:sz w:val="18"/>
          <w:szCs w:val="18"/>
          <w:color w:val="auto"/>
        </w:rPr>
      </w:pPr>
    </w:p>
    <w:p>
      <w:pPr>
        <w:ind w:left="1580" w:hanging="276"/>
        <w:spacing w:after="0"/>
        <w:tabs>
          <w:tab w:leader="none" w:pos="1580" w:val="left"/>
        </w:tabs>
        <w:numPr>
          <w:ilvl w:val="0"/>
          <w:numId w:val="232"/>
        </w:numPr>
        <w:rPr>
          <w:rFonts w:ascii="Arial" w:cs="Arial" w:eastAsia="Arial" w:hAnsi="Arial"/>
          <w:sz w:val="18"/>
          <w:szCs w:val="18"/>
          <w:color w:val="auto"/>
        </w:rPr>
      </w:pPr>
      <w:r>
        <w:rPr>
          <w:rFonts w:ascii="Arial" w:cs="Arial" w:eastAsia="Arial" w:hAnsi="Arial"/>
          <w:sz w:val="18"/>
          <w:szCs w:val="18"/>
          <w:u w:val="single" w:color="auto"/>
          <w:color w:val="auto"/>
        </w:rPr>
        <w:t>REPRESENTATIONS OF HOLDERS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firstLine="1952"/>
        <w:spacing w:after="0" w:line="263" w:lineRule="auto"/>
        <w:tabs>
          <w:tab w:leader="none" w:pos="2193" w:val="left"/>
        </w:tabs>
        <w:numPr>
          <w:ilvl w:val="1"/>
          <w:numId w:val="232"/>
        </w:numPr>
        <w:rPr>
          <w:rFonts w:ascii="Arial" w:cs="Arial" w:eastAsia="Arial" w:hAnsi="Arial"/>
          <w:sz w:val="18"/>
          <w:szCs w:val="18"/>
          <w:color w:val="auto"/>
        </w:rPr>
      </w:pPr>
      <w:r>
        <w:rPr>
          <w:rFonts w:ascii="Arial" w:cs="Arial" w:eastAsia="Arial" w:hAnsi="Arial"/>
          <w:sz w:val="18"/>
          <w:szCs w:val="18"/>
          <w:u w:val="single" w:color="auto"/>
          <w:color w:val="auto"/>
        </w:rPr>
        <w:t>Investment Intent</w:t>
      </w:r>
      <w:r>
        <w:rPr>
          <w:rFonts w:ascii="Arial" w:cs="Arial" w:eastAsia="Arial" w:hAnsi="Arial"/>
          <w:sz w:val="18"/>
          <w:szCs w:val="18"/>
          <w:color w:val="auto"/>
        </w:rPr>
        <w:t>. Each Holder represents and warrants that it is acquiring this Warrant and the Warrant Shares (collectively, the “</w:t>
      </w:r>
      <w:r>
        <w:rPr>
          <w:rFonts w:ascii="Arial" w:cs="Arial" w:eastAsia="Arial" w:hAnsi="Arial"/>
          <w:sz w:val="18"/>
          <w:szCs w:val="18"/>
          <w:b w:val="1"/>
          <w:bCs w:val="1"/>
          <w:color w:val="auto"/>
        </w:rPr>
        <w:t>Securities</w:t>
      </w:r>
      <w:r>
        <w:rPr>
          <w:rFonts w:ascii="Arial" w:cs="Arial" w:eastAsia="Arial" w:hAnsi="Arial"/>
          <w:sz w:val="18"/>
          <w:szCs w:val="18"/>
          <w:color w:val="auto"/>
        </w:rPr>
        <w:t>”), solely for its beneficial account, for investment purposes, and not with a view to, or for resale in connection with, any distribution of the Securities in violation of applicable securities laws.</w:t>
      </w:r>
    </w:p>
    <w:p>
      <w:pPr>
        <w:spacing w:after="0" w:line="183" w:lineRule="exact"/>
        <w:rPr>
          <w:rFonts w:ascii="Arial" w:cs="Arial" w:eastAsia="Arial" w:hAnsi="Arial"/>
          <w:sz w:val="18"/>
          <w:szCs w:val="18"/>
          <w:color w:val="auto"/>
        </w:rPr>
      </w:pPr>
    </w:p>
    <w:p>
      <w:pPr>
        <w:jc w:val="both"/>
        <w:ind w:firstLine="1952"/>
        <w:spacing w:after="0" w:line="286" w:lineRule="auto"/>
        <w:tabs>
          <w:tab w:leader="none" w:pos="2206" w:val="left"/>
        </w:tabs>
        <w:numPr>
          <w:ilvl w:val="1"/>
          <w:numId w:val="232"/>
        </w:numPr>
        <w:rPr>
          <w:rFonts w:ascii="Arial" w:cs="Arial" w:eastAsia="Arial" w:hAnsi="Arial"/>
          <w:sz w:val="17"/>
          <w:szCs w:val="17"/>
          <w:color w:val="auto"/>
        </w:rPr>
      </w:pPr>
      <w:r>
        <w:rPr>
          <w:rFonts w:ascii="Arial" w:cs="Arial" w:eastAsia="Arial" w:hAnsi="Arial"/>
          <w:sz w:val="17"/>
          <w:szCs w:val="17"/>
          <w:u w:val="single" w:color="auto"/>
          <w:color w:val="auto"/>
        </w:rPr>
        <w:t>Unregistered Securities</w:t>
      </w:r>
      <w:r>
        <w:rPr>
          <w:rFonts w:ascii="Arial" w:cs="Arial" w:eastAsia="Arial" w:hAnsi="Arial"/>
          <w:sz w:val="17"/>
          <w:szCs w:val="17"/>
          <w:color w:val="auto"/>
        </w:rPr>
        <w:t>. Each Holder represents and warrants that it understands that the Securities have not been registered under the Securities Act or any state securities laws by reason of specific exemptions under the provisions thereof, the availability of which depend in part upon the bona fide nature of its investment intent and upon the accuracy of its representations made herein.</w:t>
      </w:r>
    </w:p>
    <w:p>
      <w:pPr>
        <w:spacing w:after="0" w:line="165" w:lineRule="exact"/>
        <w:rPr>
          <w:rFonts w:ascii="Arial" w:cs="Arial" w:eastAsia="Arial" w:hAnsi="Arial"/>
          <w:sz w:val="17"/>
          <w:szCs w:val="17"/>
          <w:color w:val="auto"/>
        </w:rPr>
      </w:pPr>
    </w:p>
    <w:p>
      <w:pPr>
        <w:jc w:val="both"/>
        <w:ind w:firstLine="1952"/>
        <w:spacing w:after="0" w:line="263" w:lineRule="auto"/>
        <w:tabs>
          <w:tab w:leader="none" w:pos="2249" w:val="left"/>
        </w:tabs>
        <w:numPr>
          <w:ilvl w:val="1"/>
          <w:numId w:val="232"/>
        </w:numPr>
        <w:rPr>
          <w:rFonts w:ascii="Arial" w:cs="Arial" w:eastAsia="Arial" w:hAnsi="Arial"/>
          <w:sz w:val="18"/>
          <w:szCs w:val="18"/>
          <w:color w:val="auto"/>
        </w:rPr>
      </w:pPr>
      <w:r>
        <w:rPr>
          <w:rFonts w:ascii="Arial" w:cs="Arial" w:eastAsia="Arial" w:hAnsi="Arial"/>
          <w:sz w:val="18"/>
          <w:szCs w:val="18"/>
          <w:u w:val="single" w:color="auto"/>
          <w:color w:val="auto"/>
        </w:rPr>
        <w:t>Reliance</w:t>
      </w:r>
      <w:r>
        <w:rPr>
          <w:rFonts w:ascii="Arial" w:cs="Arial" w:eastAsia="Arial" w:hAnsi="Arial"/>
          <w:sz w:val="18"/>
          <w:szCs w:val="18"/>
          <w:color w:val="auto"/>
        </w:rPr>
        <w:t>. Each Holder represents and warrants that it understands that the Company is relying in part upon the representations and agreements of the Holders contained herein for the purpose of determining whether the offer, sale and issuance of the Securities meet the requirements for such exemptions described in Section 17(b).</w:t>
      </w:r>
    </w:p>
    <w:p>
      <w:pPr>
        <w:spacing w:after="0" w:line="183" w:lineRule="exact"/>
        <w:rPr>
          <w:rFonts w:ascii="Arial" w:cs="Arial" w:eastAsia="Arial" w:hAnsi="Arial"/>
          <w:sz w:val="18"/>
          <w:szCs w:val="18"/>
          <w:color w:val="auto"/>
        </w:rPr>
      </w:pPr>
    </w:p>
    <w:p>
      <w:pPr>
        <w:ind w:left="2200" w:hanging="248"/>
        <w:spacing w:after="0"/>
        <w:tabs>
          <w:tab w:leader="none" w:pos="2200" w:val="left"/>
        </w:tabs>
        <w:numPr>
          <w:ilvl w:val="1"/>
          <w:numId w:val="232"/>
        </w:numPr>
        <w:rPr>
          <w:rFonts w:ascii="Arial" w:cs="Arial" w:eastAsia="Arial" w:hAnsi="Arial"/>
          <w:sz w:val="16"/>
          <w:szCs w:val="16"/>
          <w:color w:val="auto"/>
        </w:rPr>
      </w:pPr>
      <w:r>
        <w:rPr>
          <w:rFonts w:ascii="Arial" w:cs="Arial" w:eastAsia="Arial" w:hAnsi="Arial"/>
          <w:sz w:val="16"/>
          <w:szCs w:val="16"/>
          <w:u w:val="single" w:color="auto"/>
          <w:color w:val="auto"/>
        </w:rPr>
        <w:t>Accredited Investor</w:t>
      </w:r>
      <w:r>
        <w:rPr>
          <w:rFonts w:ascii="Arial" w:cs="Arial" w:eastAsia="Arial" w:hAnsi="Arial"/>
          <w:sz w:val="16"/>
          <w:szCs w:val="16"/>
          <w:color w:val="auto"/>
        </w:rPr>
        <w:t>. Each Holder represents and warrants that it is an “accredited investor” as defined in Rule 501(a) under</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the Securities Act.</w:t>
      </w:r>
    </w:p>
    <w:p>
      <w:pPr>
        <w:spacing w:after="0" w:line="210" w:lineRule="exact"/>
        <w:rPr>
          <w:rFonts w:ascii="Arial" w:cs="Arial" w:eastAsia="Arial" w:hAnsi="Arial"/>
          <w:sz w:val="16"/>
          <w:szCs w:val="16"/>
          <w:color w:val="auto"/>
        </w:rPr>
      </w:pPr>
    </w:p>
    <w:p>
      <w:pPr>
        <w:jc w:val="both"/>
        <w:ind w:firstLine="1952"/>
        <w:spacing w:after="0" w:line="263" w:lineRule="auto"/>
        <w:tabs>
          <w:tab w:leader="none" w:pos="2209" w:val="left"/>
        </w:tabs>
        <w:numPr>
          <w:ilvl w:val="1"/>
          <w:numId w:val="232"/>
        </w:numPr>
        <w:rPr>
          <w:rFonts w:ascii="Arial" w:cs="Arial" w:eastAsia="Arial" w:hAnsi="Arial"/>
          <w:sz w:val="18"/>
          <w:szCs w:val="18"/>
          <w:color w:val="auto"/>
        </w:rPr>
      </w:pPr>
      <w:r>
        <w:rPr>
          <w:rFonts w:ascii="Arial" w:cs="Arial" w:eastAsia="Arial" w:hAnsi="Arial"/>
          <w:sz w:val="18"/>
          <w:szCs w:val="18"/>
          <w:u w:val="single" w:color="auto"/>
          <w:color w:val="auto"/>
        </w:rPr>
        <w:t>Sophisticated Investor</w:t>
      </w:r>
      <w:r>
        <w:rPr>
          <w:rFonts w:ascii="Arial" w:cs="Arial" w:eastAsia="Arial" w:hAnsi="Arial"/>
          <w:sz w:val="18"/>
          <w:szCs w:val="18"/>
          <w:color w:val="auto"/>
        </w:rPr>
        <w:t>. Each Holder represents and warrants that it has such knowledge, skill and experience in business, financial and investment matters that it is capable of evaluating the merits and risks of an investment in the Securities, including experience in and knowledge of the industry in which the Company operates.</w:t>
      </w:r>
    </w:p>
    <w:p>
      <w:pPr>
        <w:spacing w:after="0" w:line="183" w:lineRule="exact"/>
        <w:rPr>
          <w:rFonts w:ascii="Arial" w:cs="Arial" w:eastAsia="Arial" w:hAnsi="Arial"/>
          <w:sz w:val="18"/>
          <w:szCs w:val="18"/>
          <w:color w:val="auto"/>
        </w:rPr>
      </w:pPr>
    </w:p>
    <w:p>
      <w:pPr>
        <w:jc w:val="both"/>
        <w:ind w:firstLine="1952"/>
        <w:spacing w:after="0" w:line="263" w:lineRule="auto"/>
        <w:tabs>
          <w:tab w:leader="none" w:pos="2173" w:val="left"/>
        </w:tabs>
        <w:numPr>
          <w:ilvl w:val="1"/>
          <w:numId w:val="232"/>
        </w:numPr>
        <w:rPr>
          <w:rFonts w:ascii="Arial" w:cs="Arial" w:eastAsia="Arial" w:hAnsi="Arial"/>
          <w:sz w:val="18"/>
          <w:szCs w:val="18"/>
          <w:color w:val="auto"/>
        </w:rPr>
      </w:pPr>
      <w:r>
        <w:rPr>
          <w:rFonts w:ascii="Arial" w:cs="Arial" w:eastAsia="Arial" w:hAnsi="Arial"/>
          <w:sz w:val="18"/>
          <w:szCs w:val="18"/>
          <w:u w:val="single" w:color="auto"/>
          <w:color w:val="auto"/>
        </w:rPr>
        <w:t>Restricted Securities</w:t>
      </w:r>
      <w:r>
        <w:rPr>
          <w:rFonts w:ascii="Arial" w:cs="Arial" w:eastAsia="Arial" w:hAnsi="Arial"/>
          <w:sz w:val="18"/>
          <w:szCs w:val="18"/>
          <w:color w:val="auto"/>
        </w:rPr>
        <w:t>. Each Holder represents and warrants that it understand that the Securities will be “restricted securities” under applicable federal securities laws and that the Securities Act and the rules of the SEC provide in substance that it may dispose of the Securities only pursuant to an effective registration statement under the Securities Act or an exemption therefrom.</w:t>
      </w:r>
    </w:p>
    <w:p>
      <w:pPr>
        <w:spacing w:after="0" w:line="183" w:lineRule="exact"/>
        <w:rPr>
          <w:rFonts w:ascii="Arial" w:cs="Arial" w:eastAsia="Arial" w:hAnsi="Arial"/>
          <w:sz w:val="18"/>
          <w:szCs w:val="18"/>
          <w:color w:val="auto"/>
        </w:rPr>
      </w:pPr>
    </w:p>
    <w:p>
      <w:pPr>
        <w:jc w:val="both"/>
        <w:ind w:firstLine="1952"/>
        <w:spacing w:after="0" w:line="270" w:lineRule="auto"/>
        <w:tabs>
          <w:tab w:leader="none" w:pos="2215" w:val="left"/>
        </w:tabs>
        <w:numPr>
          <w:ilvl w:val="1"/>
          <w:numId w:val="232"/>
        </w:numPr>
        <w:rPr>
          <w:rFonts w:ascii="Arial" w:cs="Arial" w:eastAsia="Arial" w:hAnsi="Arial"/>
          <w:sz w:val="17"/>
          <w:szCs w:val="17"/>
          <w:color w:val="auto"/>
        </w:rPr>
      </w:pPr>
      <w:r>
        <w:rPr>
          <w:rFonts w:ascii="Arial" w:cs="Arial" w:eastAsia="Arial" w:hAnsi="Arial"/>
          <w:sz w:val="17"/>
          <w:szCs w:val="17"/>
          <w:u w:val="single" w:color="auto"/>
          <w:color w:val="auto"/>
        </w:rPr>
        <w:t>Information</w:t>
      </w:r>
      <w:r>
        <w:rPr>
          <w:rFonts w:ascii="Arial" w:cs="Arial" w:eastAsia="Arial" w:hAnsi="Arial"/>
          <w:sz w:val="17"/>
          <w:szCs w:val="17"/>
          <w:color w:val="auto"/>
        </w:rPr>
        <w:t>. Each Holder represents and warrants that it has been furnished by the Company all information (or provided access to all information) regarding the business and financial condition of the Company, the attributes of the Securities, and the merits and risks of an investment in such Securities which it has requested or otherwise needs to evaluate the investment in such Securities; that in making the proposed investment decision, such Holder is relying solely on such information, the representations, warranties and agreements of the Company and the other Loan Parties contained herein and in the other Loan Documents and on investigations made by it and its representatives; that the offer to sell the Securities hereunder was communicated to such Holder in such a manner that it was able to ask questions of and receive answers from the management of the Company concerning the terms and conditions of the proposed transaction and that at no time was it presented with or solicited by or through any leaflet, public promotional meeting, television advertisement or any other form of general or public advertising or solicitation; and such Holder recognizes that an investment in the Securities involves risks and can result in a total loss of all funds invested.</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29" w:name="page230"/>
    <w:bookmarkEnd w:id="229"/>
    <w:p>
      <w:pPr>
        <w:jc w:val="both"/>
        <w:ind w:firstLine="1952"/>
        <w:spacing w:after="0" w:line="287" w:lineRule="auto"/>
        <w:tabs>
          <w:tab w:leader="none" w:pos="2209" w:val="left"/>
        </w:tabs>
        <w:numPr>
          <w:ilvl w:val="2"/>
          <w:numId w:val="233"/>
        </w:numPr>
        <w:rPr>
          <w:rFonts w:ascii="Arial" w:cs="Arial" w:eastAsia="Arial" w:hAnsi="Arial"/>
          <w:sz w:val="16"/>
          <w:szCs w:val="16"/>
          <w:color w:val="auto"/>
        </w:rPr>
      </w:pPr>
      <w:r>
        <w:rPr>
          <w:rFonts w:ascii="Arial" w:cs="Arial" w:eastAsia="Arial" w:hAnsi="Arial"/>
          <w:sz w:val="16"/>
          <w:szCs w:val="16"/>
          <w:u w:val="single" w:color="auto"/>
          <w:color w:val="auto"/>
        </w:rPr>
        <w:t>Non-Reliance</w:t>
      </w:r>
      <w:r>
        <w:rPr>
          <w:rFonts w:ascii="Arial" w:cs="Arial" w:eastAsia="Arial" w:hAnsi="Arial"/>
          <w:sz w:val="16"/>
          <w:szCs w:val="16"/>
          <w:color w:val="auto"/>
        </w:rPr>
        <w:t xml:space="preserve">. Notwithstanding anything in this Warrant to the contrary, each Holder hereby acknowledges, with respect to itself, that the Company may possess material non-public information with respect to the Company and/or its securities not known to each Holder as of the date hereof or at a time when each Holder exercises its right to purchase Warrant Shares pursuant to this Warrant and that any such information may impact the value of the Warrant and the Warrant Shares. Each Holder with respect to itself irrevocably waives any claim, or potential claim, that it may have based on the failure of the Company or its Affiliates, officers, directors, employees, agents or other representatives to disclose such information in connection with the execution and delivery of this Warrant or the purchase of Warrant Shares hereunder;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notwithstanding anything in this Section 17(h) or otherwise to the contrary, each Holder does not and shall not be deemed to have waived or otherwise compromised any rights or claims based upon or arising out of (i) the Company’s disclosure obligations under the federal securities laws with respect to any untrue statement of a material fact or omission to state a material fact necessary in order to make the statements made, in the light of the circumstances under which they were made, not misleading in any public statement or filing made by the Company pursuant to the Exchange Act, or (ii) any breach or inaccuracy of any representation or warranty of the Company or any other Loan Party in the Credit Agreement or any other Loan Document. Each Holder with respect to itself acknowledges that the Company would not enter into this Warrant in the absence of the agreements set forth in this Section 17.</w:t>
      </w:r>
    </w:p>
    <w:p>
      <w:pPr>
        <w:spacing w:after="0" w:line="167" w:lineRule="exact"/>
        <w:rPr>
          <w:rFonts w:ascii="Arial" w:cs="Arial" w:eastAsia="Arial" w:hAnsi="Arial"/>
          <w:sz w:val="16"/>
          <w:szCs w:val="16"/>
          <w:color w:val="auto"/>
        </w:rPr>
      </w:pPr>
    </w:p>
    <w:p>
      <w:pPr>
        <w:ind w:left="1580" w:hanging="276"/>
        <w:spacing w:after="0"/>
        <w:tabs>
          <w:tab w:leader="none" w:pos="1580" w:val="left"/>
        </w:tabs>
        <w:numPr>
          <w:ilvl w:val="1"/>
          <w:numId w:val="234"/>
        </w:numPr>
        <w:rPr>
          <w:rFonts w:ascii="Arial" w:cs="Arial" w:eastAsia="Arial" w:hAnsi="Arial"/>
          <w:sz w:val="18"/>
          <w:szCs w:val="18"/>
          <w:color w:val="auto"/>
        </w:rPr>
      </w:pPr>
      <w:r>
        <w:rPr>
          <w:rFonts w:ascii="Arial" w:cs="Arial" w:eastAsia="Arial" w:hAnsi="Arial"/>
          <w:sz w:val="18"/>
          <w:szCs w:val="18"/>
          <w:u w:val="single" w:color="auto"/>
          <w:color w:val="auto"/>
        </w:rPr>
        <w:t>REPRESENTATIONS OF THE COMPANY</w:t>
      </w:r>
      <w:r>
        <w:rPr>
          <w:rFonts w:ascii="Arial" w:cs="Arial" w:eastAsia="Arial" w:hAnsi="Arial"/>
          <w:sz w:val="18"/>
          <w:szCs w:val="18"/>
          <w:color w:val="auto"/>
        </w:rPr>
        <w:t>. The Company represents and warrants to the Holder that:</w:t>
      </w:r>
    </w:p>
    <w:p>
      <w:pPr>
        <w:spacing w:after="0" w:line="225" w:lineRule="exact"/>
        <w:rPr>
          <w:rFonts w:ascii="Arial" w:cs="Arial" w:eastAsia="Arial" w:hAnsi="Arial"/>
          <w:sz w:val="18"/>
          <w:szCs w:val="18"/>
          <w:color w:val="auto"/>
        </w:rPr>
      </w:pPr>
    </w:p>
    <w:p>
      <w:pPr>
        <w:ind w:left="2200" w:hanging="248"/>
        <w:spacing w:after="0"/>
        <w:tabs>
          <w:tab w:leader="none" w:pos="2200" w:val="left"/>
        </w:tabs>
        <w:numPr>
          <w:ilvl w:val="2"/>
          <w:numId w:val="234"/>
        </w:numPr>
        <w:rPr>
          <w:rFonts w:ascii="Arial" w:cs="Arial" w:eastAsia="Arial" w:hAnsi="Arial"/>
          <w:sz w:val="16"/>
          <w:szCs w:val="16"/>
          <w:color w:val="auto"/>
        </w:rPr>
      </w:pPr>
      <w:r>
        <w:rPr>
          <w:rFonts w:ascii="Arial" w:cs="Arial" w:eastAsia="Arial" w:hAnsi="Arial"/>
          <w:sz w:val="16"/>
          <w:szCs w:val="16"/>
          <w:color w:val="auto"/>
        </w:rPr>
        <w:t>The Company (i) is duly organized, validly existing and in good standing under the laws of its jurisdiction of incorporation;</w:t>
      </w:r>
    </w:p>
    <w:p>
      <w:pPr>
        <w:spacing w:after="0" w:line="46" w:lineRule="exact"/>
        <w:rPr>
          <w:rFonts w:ascii="Arial" w:cs="Arial" w:eastAsia="Arial" w:hAnsi="Arial"/>
          <w:sz w:val="16"/>
          <w:szCs w:val="16"/>
          <w:color w:val="auto"/>
        </w:rPr>
      </w:pPr>
    </w:p>
    <w:p>
      <w:pPr>
        <w:jc w:val="both"/>
        <w:ind w:firstLine="8"/>
        <w:spacing w:after="0" w:line="286" w:lineRule="auto"/>
        <w:tabs>
          <w:tab w:leader="none" w:pos="278" w:val="left"/>
        </w:tabs>
        <w:numPr>
          <w:ilvl w:val="0"/>
          <w:numId w:val="235"/>
        </w:numPr>
        <w:rPr>
          <w:rFonts w:ascii="Arial" w:cs="Arial" w:eastAsia="Arial" w:hAnsi="Arial"/>
          <w:sz w:val="16"/>
          <w:szCs w:val="16"/>
          <w:color w:val="auto"/>
        </w:rPr>
      </w:pPr>
      <w:r>
        <w:rPr>
          <w:rFonts w:ascii="Arial" w:cs="Arial" w:eastAsia="Arial" w:hAnsi="Arial"/>
          <w:sz w:val="16"/>
          <w:szCs w:val="16"/>
          <w:color w:val="auto"/>
        </w:rPr>
        <w:t>has the requisite power and authority to own, lease and operate its properties, to carry on its business as it is now being conducted and to enter into, deliver and perform its obligations under this Warrant; and (iii) is duly licensed or qualified to conduct its business and, if applicable, is in good standing under the laws of each jurisdiction (other than its jurisdiction of incorporation) in which the conduct of its business or the ownership of its properties or assets requires such license or qualification, except, with respect to the foregoing clause (iii), where the failure to be in good standing would not reasonably be expected to have a Company Material Adverse Effect. For purposes of this Warrant, a “</w:t>
      </w:r>
      <w:r>
        <w:rPr>
          <w:rFonts w:ascii="Arial" w:cs="Arial" w:eastAsia="Arial" w:hAnsi="Arial"/>
          <w:sz w:val="16"/>
          <w:szCs w:val="16"/>
          <w:b w:val="1"/>
          <w:bCs w:val="1"/>
          <w:color w:val="auto"/>
        </w:rPr>
        <w:t>Company Material Adverse Effect</w:t>
      </w:r>
      <w:r>
        <w:rPr>
          <w:rFonts w:ascii="Arial" w:cs="Arial" w:eastAsia="Arial" w:hAnsi="Arial"/>
          <w:sz w:val="16"/>
          <w:szCs w:val="16"/>
          <w:color w:val="auto"/>
        </w:rPr>
        <w:t>” means an event, change, development, occurrence, condition or effect with respect to the Company and its subsidiaries, taken together as a whole (on a consolidated basis), that, individually or in the aggregate, (A) would reasonably be expected to have a material adverse effect on the business, financial condition or results of operations of the Company and its subsidiaries, taken together as a whole (on a consolidated basis) or (B) would prevent, materially delay or materially impede the performance by the Company or its subsidiaries of their respective obligations under this Warrant or the other Loan Documents.</w:t>
      </w:r>
    </w:p>
    <w:p>
      <w:pPr>
        <w:spacing w:after="0" w:line="172" w:lineRule="exact"/>
        <w:rPr>
          <w:rFonts w:ascii="Arial" w:cs="Arial" w:eastAsia="Arial" w:hAnsi="Arial"/>
          <w:sz w:val="16"/>
          <w:szCs w:val="16"/>
          <w:color w:val="auto"/>
        </w:rPr>
      </w:pPr>
    </w:p>
    <w:p>
      <w:pPr>
        <w:jc w:val="both"/>
        <w:ind w:firstLine="1952"/>
        <w:spacing w:after="0" w:line="301" w:lineRule="auto"/>
        <w:tabs>
          <w:tab w:leader="none" w:pos="2239" w:val="left"/>
        </w:tabs>
        <w:numPr>
          <w:ilvl w:val="2"/>
          <w:numId w:val="235"/>
        </w:numPr>
        <w:rPr>
          <w:rFonts w:ascii="Arial" w:cs="Arial" w:eastAsia="Arial" w:hAnsi="Arial"/>
          <w:sz w:val="16"/>
          <w:szCs w:val="16"/>
          <w:color w:val="auto"/>
        </w:rPr>
      </w:pPr>
      <w:r>
        <w:rPr>
          <w:rFonts w:ascii="Arial" w:cs="Arial" w:eastAsia="Arial" w:hAnsi="Arial"/>
          <w:sz w:val="16"/>
          <w:szCs w:val="16"/>
          <w:color w:val="auto"/>
        </w:rPr>
        <w:t>This Warrant is duly authorized, validly issued and constitutes legal, valid and binding obligations of the Company, enforceable against the Company in accordance with its terms, except that the enforcement thereof may be subject to applicable bankruptcy, insolvency or similar laws affecting creditors’ rights generally or by equitable principles relating to enforceability (collectively, the “</w:t>
      </w:r>
      <w:r>
        <w:rPr>
          <w:rFonts w:ascii="Arial" w:cs="Arial" w:eastAsia="Arial" w:hAnsi="Arial"/>
          <w:sz w:val="16"/>
          <w:szCs w:val="16"/>
          <w:b w:val="1"/>
          <w:bCs w:val="1"/>
          <w:color w:val="auto"/>
        </w:rPr>
        <w:t>Enforceability Exceptions</w:t>
      </w:r>
      <w:r>
        <w:rPr>
          <w:rFonts w:ascii="Arial" w:cs="Arial" w:eastAsia="Arial" w:hAnsi="Arial"/>
          <w:sz w:val="16"/>
          <w:szCs w:val="16"/>
          <w:color w:val="auto"/>
        </w:rPr>
        <w:t>”), and has not been issued in violation of any preemptive rights created under the Company’s organizational documents or the laws of the State of Delaware.</w:t>
      </w:r>
    </w:p>
    <w:p>
      <w:pPr>
        <w:spacing w:after="0" w:line="157" w:lineRule="exact"/>
        <w:rPr>
          <w:rFonts w:ascii="Arial" w:cs="Arial" w:eastAsia="Arial" w:hAnsi="Arial"/>
          <w:sz w:val="16"/>
          <w:szCs w:val="16"/>
          <w:color w:val="auto"/>
        </w:rPr>
      </w:pPr>
    </w:p>
    <w:p>
      <w:pPr>
        <w:jc w:val="both"/>
        <w:ind w:firstLine="1952"/>
        <w:spacing w:after="0" w:line="263" w:lineRule="auto"/>
        <w:tabs>
          <w:tab w:leader="none" w:pos="2220" w:val="left"/>
        </w:tabs>
        <w:numPr>
          <w:ilvl w:val="2"/>
          <w:numId w:val="235"/>
        </w:numPr>
        <w:rPr>
          <w:rFonts w:ascii="Arial" w:cs="Arial" w:eastAsia="Arial" w:hAnsi="Arial"/>
          <w:sz w:val="18"/>
          <w:szCs w:val="18"/>
          <w:color w:val="auto"/>
        </w:rPr>
      </w:pPr>
      <w:r>
        <w:rPr>
          <w:rFonts w:ascii="Arial" w:cs="Arial" w:eastAsia="Arial" w:hAnsi="Arial"/>
          <w:sz w:val="18"/>
          <w:szCs w:val="18"/>
          <w:color w:val="auto"/>
        </w:rPr>
        <w:t>The Warrant Shares have been duly authorized and, when issued and delivered to the Holder upon conversion of this Warrant, will be validly issued, fully paid and nonassessable and will not have been issued in violation of any preemptive rights created under the Company’s organizational documents or the laws of the State of Delaware.</w:t>
      </w:r>
    </w:p>
    <w:p>
      <w:pPr>
        <w:spacing w:after="0" w:line="183" w:lineRule="exact"/>
        <w:rPr>
          <w:rFonts w:ascii="Arial" w:cs="Arial" w:eastAsia="Arial" w:hAnsi="Arial"/>
          <w:sz w:val="18"/>
          <w:szCs w:val="18"/>
          <w:color w:val="auto"/>
        </w:rPr>
      </w:pPr>
    </w:p>
    <w:p>
      <w:pPr>
        <w:jc w:val="both"/>
        <w:ind w:firstLine="1952"/>
        <w:spacing w:after="0" w:line="270" w:lineRule="auto"/>
        <w:tabs>
          <w:tab w:leader="none" w:pos="2212" w:val="left"/>
        </w:tabs>
        <w:numPr>
          <w:ilvl w:val="2"/>
          <w:numId w:val="235"/>
        </w:numPr>
        <w:rPr>
          <w:rFonts w:ascii="Arial" w:cs="Arial" w:eastAsia="Arial" w:hAnsi="Arial"/>
          <w:sz w:val="17"/>
          <w:szCs w:val="17"/>
          <w:color w:val="auto"/>
        </w:rPr>
      </w:pPr>
      <w:r>
        <w:rPr>
          <w:rFonts w:ascii="Arial" w:cs="Arial" w:eastAsia="Arial" w:hAnsi="Arial"/>
          <w:sz w:val="17"/>
          <w:szCs w:val="17"/>
          <w:color w:val="auto"/>
        </w:rPr>
        <w:t>The execution and delivery of this Warrant, the issuance and delivery of the Warrant Shares in accordance with the terms hereof and the compliance by the Company with all of the provisions of this Warrant and the consummation of the transactions contemplated herein will not conflict with or result in a breach or violation of any of the terms or provisions of, or constitute a default under, or result in the creation or imposition of any lien, charge or encumbrance upon any of the property or assets of the Company pursuant to the terms of (i) any indenture, mortgage, deed of trust, loan agreement, lease, license or other agreement or instrument to which the Company is a party or by which the Company is bound or to which any of the property or assets of the Company is subject; (ii) the organizational documents of the Company; or (iii) any statute or any judgment, order, rule or regulation of any court or governmental agency or body, domestic or foreign, having jurisdiction over the Company or any of its properties that, in the case of clauses (i) and (iii), would reasonably be expected to have a Company Material Adverse Effect or have a material adverse effect on the Company’s ability to consummate the transactions contemplated hereby.</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30" w:name="page231"/>
    <w:bookmarkEnd w:id="230"/>
    <w:p>
      <w:pPr>
        <w:jc w:val="both"/>
        <w:ind w:firstLine="1952"/>
        <w:spacing w:after="0" w:line="285" w:lineRule="auto"/>
        <w:tabs>
          <w:tab w:leader="none" w:pos="2208" w:val="left"/>
        </w:tabs>
        <w:numPr>
          <w:ilvl w:val="1"/>
          <w:numId w:val="236"/>
        </w:numPr>
        <w:rPr>
          <w:rFonts w:ascii="Arial" w:cs="Arial" w:eastAsia="Arial" w:hAnsi="Arial"/>
          <w:sz w:val="16"/>
          <w:szCs w:val="16"/>
          <w:color w:val="auto"/>
        </w:rPr>
      </w:pPr>
      <w:r>
        <w:rPr>
          <w:rFonts w:ascii="Arial" w:cs="Arial" w:eastAsia="Arial" w:hAnsi="Arial"/>
          <w:sz w:val="16"/>
          <w:szCs w:val="16"/>
          <w:color w:val="auto"/>
        </w:rPr>
        <w:t>Assuming the accuracy of the representations and warranties of the Holder, the Company is not required to obtain any consent, waiver, authorization or order of, give any notice to, or make any filing or registration with, any court or other federal, state, local or other governmental authority, self-regulatory organization (including the Nasdaq Stock Market) or other person in connection with the execution, delivery and performance of this Warrant, other than (i) filings required by applicable state securities laws, (ii) the filing of the registration statement pursuant to the First Amendment Registration Rights Agreement, (iii) the filing of a Notice of Exempt Offering of Securities on Form D with the SEC, if applicable and</w:t>
      </w:r>
    </w:p>
    <w:p>
      <w:pPr>
        <w:spacing w:after="0" w:line="1" w:lineRule="exact"/>
        <w:rPr>
          <w:rFonts w:ascii="Arial" w:cs="Arial" w:eastAsia="Arial" w:hAnsi="Arial"/>
          <w:sz w:val="16"/>
          <w:szCs w:val="16"/>
          <w:color w:val="auto"/>
        </w:rPr>
      </w:pPr>
    </w:p>
    <w:p>
      <w:pPr>
        <w:ind w:firstLine="8"/>
        <w:spacing w:after="0" w:line="260" w:lineRule="auto"/>
        <w:tabs>
          <w:tab w:leader="none" w:pos="307" w:val="left"/>
        </w:tabs>
        <w:numPr>
          <w:ilvl w:val="0"/>
          <w:numId w:val="237"/>
        </w:numPr>
        <w:rPr>
          <w:rFonts w:ascii="Arial" w:cs="Arial" w:eastAsia="Arial" w:hAnsi="Arial"/>
          <w:sz w:val="18"/>
          <w:szCs w:val="18"/>
          <w:color w:val="auto"/>
        </w:rPr>
      </w:pPr>
      <w:r>
        <w:rPr>
          <w:rFonts w:ascii="Arial" w:cs="Arial" w:eastAsia="Arial" w:hAnsi="Arial"/>
          <w:sz w:val="18"/>
          <w:szCs w:val="18"/>
          <w:color w:val="auto"/>
        </w:rPr>
        <w:t>those the failure of which to obtain would not be reasonably likely to have a Company Material Adverse Effect or have a material adverse effect on the Company’s ability to consummate the transactions contemplated hereby.</w:t>
      </w:r>
    </w:p>
    <w:p>
      <w:pPr>
        <w:spacing w:after="0" w:line="185" w:lineRule="exact"/>
        <w:rPr>
          <w:rFonts w:ascii="Arial" w:cs="Arial" w:eastAsia="Arial" w:hAnsi="Arial"/>
          <w:sz w:val="18"/>
          <w:szCs w:val="18"/>
          <w:color w:val="auto"/>
        </w:rPr>
      </w:pPr>
    </w:p>
    <w:p>
      <w:pPr>
        <w:jc w:val="both"/>
        <w:ind w:firstLine="1952"/>
        <w:spacing w:after="0" w:line="291" w:lineRule="auto"/>
        <w:tabs>
          <w:tab w:leader="none" w:pos="2168" w:val="left"/>
        </w:tabs>
        <w:numPr>
          <w:ilvl w:val="1"/>
          <w:numId w:val="237"/>
        </w:numPr>
        <w:rPr>
          <w:rFonts w:ascii="Arial" w:cs="Arial" w:eastAsia="Arial" w:hAnsi="Arial"/>
          <w:sz w:val="16"/>
          <w:szCs w:val="16"/>
          <w:color w:val="auto"/>
        </w:rPr>
      </w:pPr>
      <w:r>
        <w:rPr>
          <w:rFonts w:ascii="Arial" w:cs="Arial" w:eastAsia="Arial" w:hAnsi="Arial"/>
          <w:sz w:val="16"/>
          <w:szCs w:val="16"/>
          <w:color w:val="auto"/>
        </w:rPr>
        <w:t>As of their respective dates, all reports required to be filed by the Company with the SEC (the “</w:t>
      </w:r>
      <w:r>
        <w:rPr>
          <w:rFonts w:ascii="Arial" w:cs="Arial" w:eastAsia="Arial" w:hAnsi="Arial"/>
          <w:sz w:val="16"/>
          <w:szCs w:val="16"/>
          <w:b w:val="1"/>
          <w:bCs w:val="1"/>
          <w:i w:val="1"/>
          <w:iCs w:val="1"/>
          <w:color w:val="auto"/>
        </w:rPr>
        <w:t>SEC Reports</w:t>
      </w:r>
      <w:r>
        <w:rPr>
          <w:rFonts w:ascii="Arial" w:cs="Arial" w:eastAsia="Arial" w:hAnsi="Arial"/>
          <w:sz w:val="16"/>
          <w:szCs w:val="16"/>
          <w:color w:val="auto"/>
        </w:rPr>
        <w:t>”) complied in all material respects with the requirements of the Exchange Act, and the rules and regulations of the SEC promulgated thereunder, and none of the SEC Reports, when filed, contained any untrue statement of a material fact or omitted to state a material fact required to be stated therein or necessary in order to make the statements therein, in the light of the circumstances under which they were made, not misleading. The financial statements of the Company included in the SEC Reports comply in all material respects with applicable accounting requirements and the rules and regulations of the SEC with respect thereto as in effect at the time of filing and fairly present in all material respects the financial position of the Company as of and for the dates thereof and the results of operations and cash flows for the periods then ended, subject, in the case of unaudited statements, to normal, year-end audit adjustments.</w:t>
      </w:r>
    </w:p>
    <w:p>
      <w:pPr>
        <w:spacing w:after="0" w:line="166" w:lineRule="exact"/>
        <w:rPr>
          <w:rFonts w:ascii="Arial" w:cs="Arial" w:eastAsia="Arial" w:hAnsi="Arial"/>
          <w:sz w:val="16"/>
          <w:szCs w:val="16"/>
          <w:color w:val="auto"/>
        </w:rPr>
      </w:pPr>
    </w:p>
    <w:p>
      <w:pPr>
        <w:jc w:val="both"/>
        <w:ind w:firstLine="1952"/>
        <w:spacing w:after="0" w:line="275" w:lineRule="auto"/>
        <w:tabs>
          <w:tab w:leader="none" w:pos="2208" w:val="left"/>
        </w:tabs>
        <w:numPr>
          <w:ilvl w:val="1"/>
          <w:numId w:val="237"/>
        </w:numPr>
        <w:rPr>
          <w:rFonts w:ascii="Arial" w:cs="Arial" w:eastAsia="Arial" w:hAnsi="Arial"/>
          <w:sz w:val="17"/>
          <w:szCs w:val="17"/>
          <w:color w:val="auto"/>
        </w:rPr>
      </w:pPr>
      <w:r>
        <w:rPr>
          <w:rFonts w:ascii="Arial" w:cs="Arial" w:eastAsia="Arial" w:hAnsi="Arial"/>
          <w:sz w:val="17"/>
          <w:szCs w:val="17"/>
          <w:color w:val="auto"/>
        </w:rPr>
        <w:t>Except for such matters as have not had and would not be reasonably likely to have a Company Material Adverse Effect or have a material adverse effect on the Company’s ability to consummate the transactions contemplated hereby, there is no (i) suit, action, investigation, proceeding or arbitration before a governmental authority or arbitrator pending, or, to the knowledge of the Company, threatened in writing against the Company or any of its directors or officers in their capacities as such or (ii) judgment, decree, injunction, ruling or order of any governmental authority or arbitrator outstanding against the Company or any of its directors or officers in their capacities as such.</w:t>
      </w:r>
    </w:p>
    <w:p>
      <w:pPr>
        <w:spacing w:after="0" w:line="176" w:lineRule="exact"/>
        <w:rPr>
          <w:rFonts w:ascii="Arial" w:cs="Arial" w:eastAsia="Arial" w:hAnsi="Arial"/>
          <w:sz w:val="17"/>
          <w:szCs w:val="17"/>
          <w:color w:val="auto"/>
        </w:rPr>
      </w:pPr>
    </w:p>
    <w:p>
      <w:pPr>
        <w:jc w:val="both"/>
        <w:ind w:firstLine="1952"/>
        <w:spacing w:after="0" w:line="255" w:lineRule="auto"/>
        <w:tabs>
          <w:tab w:leader="none" w:pos="2208" w:val="left"/>
        </w:tabs>
        <w:numPr>
          <w:ilvl w:val="1"/>
          <w:numId w:val="237"/>
        </w:numPr>
        <w:rPr>
          <w:rFonts w:ascii="Arial" w:cs="Arial" w:eastAsia="Arial" w:hAnsi="Arial"/>
          <w:sz w:val="18"/>
          <w:szCs w:val="18"/>
          <w:color w:val="auto"/>
        </w:rPr>
      </w:pPr>
      <w:r>
        <w:rPr>
          <w:rFonts w:ascii="Arial" w:cs="Arial" w:eastAsia="Arial" w:hAnsi="Arial"/>
          <w:sz w:val="18"/>
          <w:szCs w:val="18"/>
          <w:color w:val="auto"/>
        </w:rPr>
        <w:t>Except for such matters as have not had and would not be reasonably likely to have a Company Material Adverse Effect or have a material adverse effect on the Company’s ability to consummate the transactions contemplated hereby, the Company is, and has been since its inception, in compliance with all laws applicable to the conduct of the business of the Company. The Company has not received any written, or to its knowledge, other communication from a governmental entity that alleges that the Company is not in compliance with or is in default or violation of any applicable law, except where such noncompliance, default or violation would not be reasonably expected to have, individually or in the aggregate, a Company Material Adverse Effect.</w:t>
      </w:r>
    </w:p>
    <w:p>
      <w:pPr>
        <w:spacing w:after="0" w:line="192" w:lineRule="exact"/>
        <w:rPr>
          <w:rFonts w:ascii="Arial" w:cs="Arial" w:eastAsia="Arial" w:hAnsi="Arial"/>
          <w:sz w:val="18"/>
          <w:szCs w:val="18"/>
          <w:color w:val="auto"/>
        </w:rPr>
      </w:pPr>
    </w:p>
    <w:p>
      <w:pPr>
        <w:jc w:val="both"/>
        <w:ind w:firstLine="1952"/>
        <w:spacing w:after="0" w:line="263" w:lineRule="auto"/>
        <w:tabs>
          <w:tab w:leader="none" w:pos="2162" w:val="left"/>
        </w:tabs>
        <w:numPr>
          <w:ilvl w:val="1"/>
          <w:numId w:val="237"/>
        </w:numPr>
        <w:rPr>
          <w:rFonts w:ascii="Arial" w:cs="Arial" w:eastAsia="Arial" w:hAnsi="Arial"/>
          <w:sz w:val="18"/>
          <w:szCs w:val="18"/>
          <w:color w:val="auto"/>
        </w:rPr>
      </w:pPr>
      <w:r>
        <w:rPr>
          <w:rFonts w:ascii="Arial" w:cs="Arial" w:eastAsia="Arial" w:hAnsi="Arial"/>
          <w:sz w:val="18"/>
          <w:szCs w:val="18"/>
          <w:color w:val="auto"/>
        </w:rPr>
        <w:t>The Company has all franchises, permits, licenses and any similar authority necessary for the conduct of its business as now being conducted by it, the lack of which would have a material adverse effect, and to the Company’s knowledge, the Company is not in default in any material respect under any of such franchises, permits, licenses or other authority.</w:t>
      </w:r>
    </w:p>
    <w:p>
      <w:pPr>
        <w:spacing w:after="0" w:line="183" w:lineRule="exact"/>
        <w:rPr>
          <w:rFonts w:ascii="Arial" w:cs="Arial" w:eastAsia="Arial" w:hAnsi="Arial"/>
          <w:sz w:val="18"/>
          <w:szCs w:val="18"/>
          <w:color w:val="auto"/>
        </w:rPr>
      </w:pPr>
    </w:p>
    <w:p>
      <w:pPr>
        <w:jc w:val="both"/>
        <w:ind w:firstLine="1952"/>
        <w:spacing w:after="0" w:line="259" w:lineRule="auto"/>
        <w:tabs>
          <w:tab w:leader="none" w:pos="2160" w:val="left"/>
        </w:tabs>
        <w:numPr>
          <w:ilvl w:val="1"/>
          <w:numId w:val="237"/>
        </w:numPr>
        <w:rPr>
          <w:rFonts w:ascii="Arial" w:cs="Arial" w:eastAsia="Arial" w:hAnsi="Arial"/>
          <w:sz w:val="18"/>
          <w:szCs w:val="18"/>
          <w:color w:val="auto"/>
        </w:rPr>
      </w:pPr>
      <w:r>
        <w:rPr>
          <w:rFonts w:ascii="Arial" w:cs="Arial" w:eastAsia="Arial" w:hAnsi="Arial"/>
          <w:sz w:val="18"/>
          <w:szCs w:val="18"/>
          <w:color w:val="auto"/>
        </w:rPr>
        <w:t>There is no action, suit, proceeding or investigation pending or, to the Company’s knowledge, currently threatened in writing against the Company that questions the validity of this Warrant or the right of the Company to enter into this Warrant, or to consummate the transactions contemplated hereby, or that might result, if determined adversely to the Company, in a material adverse effect, or in any material change in the current equity ownership of the Company.</w:t>
      </w:r>
    </w:p>
    <w:p>
      <w:pPr>
        <w:spacing w:after="0" w:line="186" w:lineRule="exact"/>
        <w:rPr>
          <w:rFonts w:ascii="Arial" w:cs="Arial" w:eastAsia="Arial" w:hAnsi="Arial"/>
          <w:sz w:val="18"/>
          <w:szCs w:val="18"/>
          <w:color w:val="auto"/>
        </w:rPr>
      </w:pPr>
    </w:p>
    <w:p>
      <w:pPr>
        <w:jc w:val="both"/>
        <w:ind w:firstLine="1952"/>
        <w:spacing w:after="0" w:line="291" w:lineRule="auto"/>
        <w:tabs>
          <w:tab w:leader="none" w:pos="2210" w:val="left"/>
        </w:tabs>
        <w:numPr>
          <w:ilvl w:val="1"/>
          <w:numId w:val="237"/>
        </w:numPr>
        <w:rPr>
          <w:rFonts w:ascii="Arial" w:cs="Arial" w:eastAsia="Arial" w:hAnsi="Arial"/>
          <w:sz w:val="16"/>
          <w:szCs w:val="16"/>
          <w:color w:val="auto"/>
        </w:rPr>
      </w:pPr>
      <w:r>
        <w:rPr>
          <w:rFonts w:ascii="Arial" w:cs="Arial" w:eastAsia="Arial" w:hAnsi="Arial"/>
          <w:sz w:val="16"/>
          <w:szCs w:val="16"/>
          <w:color w:val="auto"/>
        </w:rPr>
        <w:t>To the Company’s knowledge, the Company owns or possesses sufficient legal rights to all (a) patents, patent applications and inventions; (b) trademarks, service marks, trade names, trade dress, logos, domain names or corporate names and registrations and applications for registration thereof, together with all of the goodwill associated therewith; (c) copyrights (registered or unregistered) and copyrightable works and registrations and applications for registrations thereof; (d) computer software, data, and databases and documentation thereof; (e) trade secrets and other confidential information; and (f) licenses, information and proprietary rights and processes necessary for its business as now conducted. The Company has not received any written communications alleging that the Company has violated or, by conducting its business as proposed, would violate any of the patents, trademarks, service marks, trade names, copyrights or trade secrets or other proprietary rights of any other person or entity.</w:t>
      </w:r>
    </w:p>
    <w:p>
      <w:pPr>
        <w:spacing w:after="0" w:line="37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31" w:name="page232"/>
    <w:bookmarkEnd w:id="231"/>
    <w:p>
      <w:pPr>
        <w:ind w:left="1580" w:hanging="276"/>
        <w:spacing w:after="0"/>
        <w:tabs>
          <w:tab w:leader="none" w:pos="1580" w:val="left"/>
        </w:tabs>
        <w:numPr>
          <w:ilvl w:val="0"/>
          <w:numId w:val="238"/>
        </w:numPr>
        <w:rPr>
          <w:rFonts w:ascii="Arial" w:cs="Arial" w:eastAsia="Arial" w:hAnsi="Arial"/>
          <w:sz w:val="18"/>
          <w:szCs w:val="18"/>
          <w:color w:val="auto"/>
        </w:rPr>
      </w:pPr>
      <w:r>
        <w:rPr>
          <w:rFonts w:ascii="Arial" w:cs="Arial" w:eastAsia="Arial" w:hAnsi="Arial"/>
          <w:sz w:val="18"/>
          <w:szCs w:val="18"/>
          <w:u w:val="single" w:color="auto"/>
          <w:color w:val="auto"/>
        </w:rPr>
        <w:t>CERTAIN DEFINITIONS</w:t>
      </w:r>
      <w:r>
        <w:rPr>
          <w:rFonts w:ascii="Arial" w:cs="Arial" w:eastAsia="Arial" w:hAnsi="Arial"/>
          <w:sz w:val="18"/>
          <w:szCs w:val="18"/>
          <w:color w:val="auto"/>
        </w:rPr>
        <w:t>. For purposes of this Warrant, the following terms shall have the following meanings:</w:t>
      </w:r>
    </w:p>
    <w:p>
      <w:pPr>
        <w:spacing w:after="0" w:line="221" w:lineRule="exact"/>
        <w:rPr>
          <w:rFonts w:ascii="Arial" w:cs="Arial" w:eastAsia="Arial" w:hAnsi="Arial"/>
          <w:sz w:val="18"/>
          <w:szCs w:val="18"/>
          <w:color w:val="auto"/>
        </w:rPr>
      </w:pPr>
    </w:p>
    <w:p>
      <w:pPr>
        <w:ind w:firstLine="1952"/>
        <w:spacing w:after="0" w:line="282" w:lineRule="auto"/>
        <w:tabs>
          <w:tab w:leader="none" w:pos="2191" w:val="left"/>
        </w:tabs>
        <w:numPr>
          <w:ilvl w:val="1"/>
          <w:numId w:val="23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Affiliate</w:t>
      </w:r>
      <w:r>
        <w:rPr>
          <w:rFonts w:ascii="Arial" w:cs="Arial" w:eastAsia="Arial" w:hAnsi="Arial"/>
          <w:sz w:val="18"/>
          <w:szCs w:val="18"/>
          <w:color w:val="auto"/>
        </w:rPr>
        <w:t>” means any Person that, directly or indirectly through one or more intermediaries, controls or is controlled by or is under common control with a Person, as such terms are used in and construed under Rule 405 under the Securities Act.</w:t>
      </w:r>
    </w:p>
    <w:p>
      <w:pPr>
        <w:spacing w:after="0" w:line="161" w:lineRule="exact"/>
        <w:rPr>
          <w:rFonts w:ascii="Arial" w:cs="Arial" w:eastAsia="Arial" w:hAnsi="Arial"/>
          <w:sz w:val="18"/>
          <w:szCs w:val="18"/>
          <w:color w:val="auto"/>
        </w:rPr>
      </w:pPr>
    </w:p>
    <w:p>
      <w:pPr>
        <w:jc w:val="both"/>
        <w:ind w:firstLine="1952"/>
        <w:spacing w:after="0" w:line="294" w:lineRule="auto"/>
        <w:tabs>
          <w:tab w:leader="none" w:pos="2223" w:val="left"/>
        </w:tabs>
        <w:numPr>
          <w:ilvl w:val="1"/>
          <w:numId w:val="238"/>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Attribution Parties</w:t>
      </w:r>
      <w:r>
        <w:rPr>
          <w:rFonts w:ascii="Arial" w:cs="Arial" w:eastAsia="Arial" w:hAnsi="Arial"/>
          <w:sz w:val="16"/>
          <w:szCs w:val="16"/>
          <w:color w:val="auto"/>
        </w:rPr>
        <w:t>” means, collectively, the following Persons and entities: (i) any investment vehicle, including, any funds, feeder funds or managed accounts, currently, or from time to time after the Issuance Date, directly or indirectly managed or advised by the Holder’s investment manager or any of its Affiliates or principals, (ii) any direct or indirect Affiliates of the Holder or any of the foregoing, (iii) any Person acting or who could be deemed to be acting as a Group together with the Holder or any of the foregoing and (iv) any other Persons whose beneficial ownership of the Company’s Common Stock would or could be aggregated with the Holder’s and the other Attribution Parties for purposes of Section 13(d) of the Exchange Act. For clarity, the purpose of the foregoing is to subject collectively the Holder and all other Attribution Parties to the Maximum Percentage.</w:t>
      </w:r>
    </w:p>
    <w:p>
      <w:pPr>
        <w:spacing w:after="0" w:line="159" w:lineRule="exact"/>
        <w:rPr>
          <w:rFonts w:ascii="Arial" w:cs="Arial" w:eastAsia="Arial" w:hAnsi="Arial"/>
          <w:sz w:val="16"/>
          <w:szCs w:val="16"/>
          <w:color w:val="auto"/>
        </w:rPr>
      </w:pPr>
    </w:p>
    <w:p>
      <w:pPr>
        <w:jc w:val="both"/>
        <w:ind w:firstLine="1952"/>
        <w:spacing w:after="0" w:line="267" w:lineRule="auto"/>
        <w:tabs>
          <w:tab w:leader="none" w:pos="2198" w:val="left"/>
        </w:tabs>
        <w:numPr>
          <w:ilvl w:val="1"/>
          <w:numId w:val="238"/>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Black Scholes Going Private Value</w:t>
      </w:r>
      <w:r>
        <w:rPr>
          <w:rFonts w:ascii="Arial" w:cs="Arial" w:eastAsia="Arial" w:hAnsi="Arial"/>
          <w:sz w:val="17"/>
          <w:szCs w:val="17"/>
          <w:color w:val="auto"/>
        </w:rPr>
        <w:t xml:space="preserve">” means the value of the unexercised portion of this Warrant remaining on the date of the consummation of the Fundamental Transaction referred to in Section </w:t>
      </w:r>
      <w:r>
        <w:rPr>
          <w:rFonts w:ascii="Arial" w:cs="Arial" w:eastAsia="Arial" w:hAnsi="Arial"/>
          <w:sz w:val="20"/>
          <w:szCs w:val="20"/>
          <w:b w:val="1"/>
          <w:bCs w:val="1"/>
          <w:color w:val="auto"/>
        </w:rPr>
        <w:t>‎</w:t>
      </w:r>
      <w:r>
        <w:rPr>
          <w:rFonts w:ascii="Arial" w:cs="Arial" w:eastAsia="Arial" w:hAnsi="Arial"/>
          <w:sz w:val="17"/>
          <w:szCs w:val="17"/>
          <w:color w:val="auto"/>
        </w:rPr>
        <w:t>4(b)(i), which value is calculated using the Black Scholes Option Pricing Model obtained from the “OV” function on Bloomberg utilizing (i) an underlying price per share equal to the greater of (1) the highest Closing Sale Price of the Common Stock during the period beginning on the Trading Day immediately preceding the announcement of the applicable Fundamental Transaction (or the consummation of the applicable Fundamental Transaction, if earlier) and ending on the date of consummation of the applicable Fundamental Transaction and (2) the sum of the price per share being offered in cash in the applicable Fundamental Transaction (if any) plus the value of the non-cash consideration being offered in the applicable Fundamental Transaction (if any), (ii) a strike price equal to the Exercise Price in effect on the date of consummation of the applicable Fundamental Transaction, (iii) a risk-free interest rate corresponding to the U.S. Treasury rate for a period equal to the greater of (1) the remaining term of this Warrant as of the date of consummation of the applicable Fundamental Transaction and (2) the remaining term of this Warrant as of the date of consummation of the applicable Fundamental Transaction, (iv) a zero cost of borrow and (v) an expected volatility equal to the greater of 100% and the 60 day volatility obtained from the “HVT” function on Bloomberg (determined utilizing a 365 day annualization factor) as of the Trading Day immediately following the earliest to occur of (A) the public disclosure of the applicable Fundamental Transaction, and (B) the consummation of the applicable Fundamental Transaction.</w:t>
      </w:r>
    </w:p>
    <w:p>
      <w:pPr>
        <w:spacing w:after="0" w:line="185" w:lineRule="exact"/>
        <w:rPr>
          <w:rFonts w:ascii="Arial" w:cs="Arial" w:eastAsia="Arial" w:hAnsi="Arial"/>
          <w:sz w:val="17"/>
          <w:szCs w:val="17"/>
          <w:color w:val="auto"/>
        </w:rPr>
      </w:pPr>
    </w:p>
    <w:p>
      <w:pPr>
        <w:jc w:val="both"/>
        <w:ind w:firstLine="1952"/>
        <w:spacing w:after="0" w:line="263" w:lineRule="auto"/>
        <w:tabs>
          <w:tab w:leader="none" w:pos="2217" w:val="left"/>
        </w:tabs>
        <w:numPr>
          <w:ilvl w:val="1"/>
          <w:numId w:val="238"/>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Black Scholes Value</w:t>
      </w:r>
      <w:r>
        <w:rPr>
          <w:rFonts w:ascii="Arial" w:cs="Arial" w:eastAsia="Arial" w:hAnsi="Arial"/>
          <w:sz w:val="17"/>
          <w:szCs w:val="17"/>
          <w:color w:val="auto"/>
        </w:rPr>
        <w:t xml:space="preserve">” means the value of the unexercised portion of this Warrant remaining on the date of the Holder’s request pursuant to Section </w:t>
      </w:r>
      <w:r>
        <w:rPr>
          <w:rFonts w:ascii="Arial" w:cs="Arial" w:eastAsia="Arial" w:hAnsi="Arial"/>
          <w:sz w:val="20"/>
          <w:szCs w:val="20"/>
          <w:b w:val="1"/>
          <w:bCs w:val="1"/>
          <w:color w:val="auto"/>
        </w:rPr>
        <w:t>‎</w:t>
      </w:r>
      <w:r>
        <w:rPr>
          <w:rFonts w:ascii="Arial" w:cs="Arial" w:eastAsia="Arial" w:hAnsi="Arial"/>
          <w:sz w:val="17"/>
          <w:szCs w:val="17"/>
          <w:color w:val="auto"/>
        </w:rPr>
        <w:t xml:space="preserve">4(c), which value is calculated using the Black Scholes Option Pricing Model obtained from the “OV” function on Bloomberg utilizing (i) an underlying price per share equal to the greater of (1) the highest Closing Sale Price of the Common Stock during the period beginning on the Trading Day immediately preceding the announcement of the applicable Fundamental Transaction (or the consummation of the applicable Fundamental Transaction, if earlier) and ending on the Trading Day of the Holder’s request pursuant to Section </w:t>
      </w:r>
      <w:r>
        <w:rPr>
          <w:rFonts w:ascii="Arial" w:cs="Arial" w:eastAsia="Arial" w:hAnsi="Arial"/>
          <w:sz w:val="20"/>
          <w:szCs w:val="20"/>
          <w:b w:val="1"/>
          <w:bCs w:val="1"/>
          <w:color w:val="auto"/>
        </w:rPr>
        <w:t>‎</w:t>
      </w:r>
      <w:r>
        <w:rPr>
          <w:rFonts w:ascii="Arial" w:cs="Arial" w:eastAsia="Arial" w:hAnsi="Arial"/>
          <w:sz w:val="17"/>
          <w:szCs w:val="17"/>
          <w:color w:val="auto"/>
        </w:rPr>
        <w:t xml:space="preserve">4(c) and (2) the sum of the price per share being offered in cash in the applicable Fundamental Transaction (if any) plus the value of the non-cash consideration being offered in the applicable Fundamental Transaction (if any), (ii) a strike price equal to the Exercise Price in effect on the date of the Holder’s request pursuant to Section </w:t>
      </w:r>
      <w:r>
        <w:rPr>
          <w:rFonts w:ascii="Arial" w:cs="Arial" w:eastAsia="Arial" w:hAnsi="Arial"/>
          <w:sz w:val="20"/>
          <w:szCs w:val="20"/>
          <w:b w:val="1"/>
          <w:bCs w:val="1"/>
          <w:color w:val="auto"/>
        </w:rPr>
        <w:t>‎</w:t>
      </w:r>
      <w:r>
        <w:rPr>
          <w:rFonts w:ascii="Arial" w:cs="Arial" w:eastAsia="Arial" w:hAnsi="Arial"/>
          <w:sz w:val="17"/>
          <w:szCs w:val="17"/>
          <w:color w:val="auto"/>
        </w:rPr>
        <w:t xml:space="preserve">4(c), (iii) a risk-free interest rate corresponding to the U.S. Treasury rate for a period equal to the greater of (1) the remaining term of this Warrant as of the date of the Holder’s request pursuant to Section </w:t>
      </w:r>
      <w:r>
        <w:rPr>
          <w:rFonts w:ascii="Arial" w:cs="Arial" w:eastAsia="Arial" w:hAnsi="Arial"/>
          <w:sz w:val="20"/>
          <w:szCs w:val="20"/>
          <w:b w:val="1"/>
          <w:bCs w:val="1"/>
          <w:color w:val="auto"/>
        </w:rPr>
        <w:t>‎</w:t>
      </w:r>
      <w:r>
        <w:rPr>
          <w:rFonts w:ascii="Arial" w:cs="Arial" w:eastAsia="Arial" w:hAnsi="Arial"/>
          <w:sz w:val="17"/>
          <w:szCs w:val="17"/>
          <w:color w:val="auto"/>
        </w:rPr>
        <w:t xml:space="preserve">4(c) and (2) the remaining term of this Warrant as of the date of consummation of the applicable Fundamental Transaction or as of the date of the Holder’s request pursuant to Section </w:t>
      </w:r>
      <w:r>
        <w:rPr>
          <w:rFonts w:ascii="Arial" w:cs="Arial" w:eastAsia="Arial" w:hAnsi="Arial"/>
          <w:sz w:val="20"/>
          <w:szCs w:val="20"/>
          <w:b w:val="1"/>
          <w:bCs w:val="1"/>
          <w:color w:val="auto"/>
        </w:rPr>
        <w:t>‎</w:t>
      </w:r>
      <w:r>
        <w:rPr>
          <w:rFonts w:ascii="Arial" w:cs="Arial" w:eastAsia="Arial" w:hAnsi="Arial"/>
          <w:sz w:val="17"/>
          <w:szCs w:val="17"/>
          <w:color w:val="auto"/>
        </w:rPr>
        <w:t>4(c) if such request is prior to the date of the consummation of the applicable Fundamental Transaction, (iv) a zero cost of borrow and (v) an expected volatility equal to the greater of 100% and the 60 day volatility obtained from the “HVT” function on Bloomberg (determined utilizing a 365 day annualization factor) as of the Trading Day immediately following the earliest to occur of (A) the public disclosure of the applicable Fundamental Transaction, (B) the consummation of the applicable Fundamental Transaction and (C) the date on which the Holder first became aware of the applicable Fundamental Transaction.</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32" w:name="page233"/>
    <w:bookmarkEnd w:id="232"/>
    <w:p>
      <w:pPr>
        <w:ind w:left="2200" w:hanging="248"/>
        <w:spacing w:after="0"/>
        <w:tabs>
          <w:tab w:leader="none" w:pos="2200" w:val="left"/>
        </w:tabs>
        <w:numPr>
          <w:ilvl w:val="0"/>
          <w:numId w:val="23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Bloomberg</w:t>
      </w:r>
      <w:r>
        <w:rPr>
          <w:rFonts w:ascii="Arial" w:cs="Arial" w:eastAsia="Arial" w:hAnsi="Arial"/>
          <w:sz w:val="18"/>
          <w:szCs w:val="18"/>
          <w:color w:val="auto"/>
        </w:rPr>
        <w:t>” means Bloomberg, L.P.</w:t>
      </w:r>
    </w:p>
    <w:p>
      <w:pPr>
        <w:spacing w:after="0" w:line="225" w:lineRule="exact"/>
        <w:rPr>
          <w:rFonts w:ascii="Arial" w:cs="Arial" w:eastAsia="Arial" w:hAnsi="Arial"/>
          <w:sz w:val="18"/>
          <w:szCs w:val="18"/>
          <w:color w:val="auto"/>
        </w:rPr>
      </w:pPr>
    </w:p>
    <w:p>
      <w:pPr>
        <w:ind w:firstLine="1952"/>
        <w:spacing w:after="0" w:line="347" w:lineRule="auto"/>
        <w:tabs>
          <w:tab w:leader="none" w:pos="2189" w:val="left"/>
        </w:tabs>
        <w:numPr>
          <w:ilvl w:val="0"/>
          <w:numId w:val="239"/>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Business Day</w:t>
      </w:r>
      <w:r>
        <w:rPr>
          <w:rFonts w:ascii="Arial" w:cs="Arial" w:eastAsia="Arial" w:hAnsi="Arial"/>
          <w:sz w:val="16"/>
          <w:szCs w:val="16"/>
          <w:color w:val="auto"/>
        </w:rPr>
        <w:t>” means any day except any Saturday, any Sunday, any day which is a federal legal holiday in the United States or any day on which banking institutions in the State of New York are authorized or required by law or other governmental action to close.</w:t>
      </w:r>
    </w:p>
    <w:p>
      <w:pPr>
        <w:spacing w:after="0" w:line="115" w:lineRule="exact"/>
        <w:rPr>
          <w:rFonts w:ascii="Arial" w:cs="Arial" w:eastAsia="Arial" w:hAnsi="Arial"/>
          <w:sz w:val="16"/>
          <w:szCs w:val="16"/>
          <w:color w:val="auto"/>
        </w:rPr>
      </w:pPr>
    </w:p>
    <w:p>
      <w:pPr>
        <w:jc w:val="both"/>
        <w:ind w:firstLine="1952"/>
        <w:spacing w:after="0" w:line="268" w:lineRule="auto"/>
        <w:tabs>
          <w:tab w:leader="none" w:pos="2218" w:val="left"/>
        </w:tabs>
        <w:numPr>
          <w:ilvl w:val="0"/>
          <w:numId w:val="239"/>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Closing Bid Price</w:t>
      </w:r>
      <w:r>
        <w:rPr>
          <w:rFonts w:ascii="Arial" w:cs="Arial" w:eastAsia="Arial" w:hAnsi="Arial"/>
          <w:sz w:val="17"/>
          <w:szCs w:val="17"/>
          <w:color w:val="auto"/>
        </w:rPr>
        <w:t>” and “</w:t>
      </w:r>
      <w:r>
        <w:rPr>
          <w:rFonts w:ascii="Arial" w:cs="Arial" w:eastAsia="Arial" w:hAnsi="Arial"/>
          <w:sz w:val="17"/>
          <w:szCs w:val="17"/>
          <w:b w:val="1"/>
          <w:bCs w:val="1"/>
          <w:color w:val="auto"/>
        </w:rPr>
        <w:t>Closing Sale Price</w:t>
      </w:r>
      <w:r>
        <w:rPr>
          <w:rFonts w:ascii="Arial" w:cs="Arial" w:eastAsia="Arial" w:hAnsi="Arial"/>
          <w:sz w:val="17"/>
          <w:szCs w:val="17"/>
          <w:color w:val="auto"/>
        </w:rPr>
        <w:t xml:space="preserve">” means, for any security as of any date, the last closing bid price and last closing trade price, respectively, for such security on the Principal Market, as reported by Bloomberg, or, if the Principal Market begins to operate on an extended hours basis and does not designate the closing bid price or the closing trade price, as the case may be, then the last bid price or the last trade price, respectively, of such security prior to 4:00:00 p.m., New York time, as reported by Bloomberg, or, if the Principal Market is not the principal securities exchange or trading market for such security, the last closing bid price or last trade price, respectively, of such security on the principal securities exchange or trading market where such security is listed or traded as reported by Bloomberg, or if the foregoing do not apply, the last closing bid price or last trade price, respectively, of such security in the over-the-counter market on the electronic bulletin board for such security as reported by Bloomberg, or, if no closing bid price or last trade price, respectively, is reported for such security by Bloomberg, the average of the bid prices, or the ask prices, respectively, of any market makers for such security as reported in the OTC Link or “pink sheets” by OTC Markets Group Inc. (formerly Pink OTC Markets Inc.). If the Closing Bid Price or the Closing Sale Price cannot be calculated for a security on a particular date on any of the foregoing bases, the Closing Bid Price or the Closing Sale Price, as the case may be, of such security on such date shall be the fair market value as mutually determined by the Company and the Holder. If the Company and the Holder are unable to agree upon the fair market value of such security, then such dispute shall be resolved pursuant to Section </w:t>
      </w:r>
      <w:r>
        <w:rPr>
          <w:rFonts w:ascii="Arial" w:cs="Arial" w:eastAsia="Arial" w:hAnsi="Arial"/>
          <w:sz w:val="20"/>
          <w:szCs w:val="20"/>
          <w:b w:val="1"/>
          <w:bCs w:val="1"/>
          <w:color w:val="auto"/>
        </w:rPr>
        <w:t>‎</w:t>
      </w:r>
      <w:r>
        <w:rPr>
          <w:rFonts w:ascii="Arial" w:cs="Arial" w:eastAsia="Arial" w:hAnsi="Arial"/>
          <w:sz w:val="17"/>
          <w:szCs w:val="17"/>
          <w:color w:val="auto"/>
        </w:rPr>
        <w:t>12. All such determinations to be appropriately adjusted for any stock dividend, stock split, stock combination, reclassification or other similar transaction during the applicable calculation period.</w:t>
      </w:r>
    </w:p>
    <w:p>
      <w:pPr>
        <w:spacing w:after="0" w:line="172" w:lineRule="exact"/>
        <w:rPr>
          <w:rFonts w:ascii="Arial" w:cs="Arial" w:eastAsia="Arial" w:hAnsi="Arial"/>
          <w:sz w:val="17"/>
          <w:szCs w:val="17"/>
          <w:color w:val="auto"/>
        </w:rPr>
      </w:pPr>
    </w:p>
    <w:p>
      <w:pPr>
        <w:ind w:firstLine="1952"/>
        <w:spacing w:after="0" w:line="312" w:lineRule="auto"/>
        <w:tabs>
          <w:tab w:leader="none" w:pos="2204" w:val="left"/>
        </w:tabs>
        <w:numPr>
          <w:ilvl w:val="0"/>
          <w:numId w:val="239"/>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Common Stock</w:t>
      </w:r>
      <w:r>
        <w:rPr>
          <w:rFonts w:ascii="Arial" w:cs="Arial" w:eastAsia="Arial" w:hAnsi="Arial"/>
          <w:sz w:val="17"/>
          <w:szCs w:val="17"/>
          <w:color w:val="auto"/>
        </w:rPr>
        <w:t>” means (i) the Company’s shares of common stock, par value $0.0001 per share, and (ii) any share capital into which such common stock shall have been changed or any share capital resulting from a reclassification of such common stock.</w:t>
      </w:r>
    </w:p>
    <w:p>
      <w:pPr>
        <w:spacing w:after="0" w:line="139" w:lineRule="exact"/>
        <w:rPr>
          <w:rFonts w:ascii="Arial" w:cs="Arial" w:eastAsia="Arial" w:hAnsi="Arial"/>
          <w:sz w:val="17"/>
          <w:szCs w:val="17"/>
          <w:color w:val="auto"/>
        </w:rPr>
      </w:pPr>
    </w:p>
    <w:p>
      <w:pPr>
        <w:ind w:firstLine="1952"/>
        <w:spacing w:after="0" w:line="282" w:lineRule="auto"/>
        <w:tabs>
          <w:tab w:leader="none" w:pos="2200" w:val="left"/>
        </w:tabs>
        <w:numPr>
          <w:ilvl w:val="0"/>
          <w:numId w:val="23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Convertible Securities</w:t>
      </w:r>
      <w:r>
        <w:rPr>
          <w:rFonts w:ascii="Arial" w:cs="Arial" w:eastAsia="Arial" w:hAnsi="Arial"/>
          <w:sz w:val="18"/>
          <w:szCs w:val="18"/>
          <w:color w:val="auto"/>
        </w:rPr>
        <w:t>” means any stock or securities (other than Options) directly or indirectly convertible into or exercisable or exchangeable for shares of Common Stock.</w:t>
      </w:r>
    </w:p>
    <w:p>
      <w:pPr>
        <w:spacing w:after="0" w:line="161" w:lineRule="exact"/>
        <w:rPr>
          <w:rFonts w:ascii="Arial" w:cs="Arial" w:eastAsia="Arial" w:hAnsi="Arial"/>
          <w:sz w:val="18"/>
          <w:szCs w:val="18"/>
          <w:color w:val="auto"/>
        </w:rPr>
      </w:pPr>
    </w:p>
    <w:p>
      <w:pPr>
        <w:ind w:firstLine="1952"/>
        <w:spacing w:after="0" w:line="282" w:lineRule="auto"/>
        <w:tabs>
          <w:tab w:leader="none" w:pos="2174" w:val="left"/>
        </w:tabs>
        <w:numPr>
          <w:ilvl w:val="0"/>
          <w:numId w:val="23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Eligible Market</w:t>
      </w:r>
      <w:r>
        <w:rPr>
          <w:rFonts w:ascii="Arial" w:cs="Arial" w:eastAsia="Arial" w:hAnsi="Arial"/>
          <w:sz w:val="18"/>
          <w:szCs w:val="18"/>
          <w:color w:val="auto"/>
        </w:rPr>
        <w:t>” means The Nasdaq Capital Market, The Nasdaq Global Select Market, The Nasdaq Global Market, the NYSE American, or The New York Stock Exchange.</w:t>
      </w:r>
    </w:p>
    <w:p>
      <w:pPr>
        <w:spacing w:after="0" w:line="161" w:lineRule="exact"/>
        <w:rPr>
          <w:rFonts w:ascii="Arial" w:cs="Arial" w:eastAsia="Arial" w:hAnsi="Arial"/>
          <w:sz w:val="18"/>
          <w:szCs w:val="18"/>
          <w:color w:val="auto"/>
        </w:rPr>
      </w:pPr>
    </w:p>
    <w:p>
      <w:pPr>
        <w:ind w:firstLine="1952"/>
        <w:spacing w:after="0" w:line="312" w:lineRule="auto"/>
        <w:tabs>
          <w:tab w:leader="none" w:pos="2213" w:val="left"/>
        </w:tabs>
        <w:numPr>
          <w:ilvl w:val="0"/>
          <w:numId w:val="239"/>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Expiration Date</w:t>
      </w:r>
      <w:r>
        <w:rPr>
          <w:rFonts w:ascii="Arial" w:cs="Arial" w:eastAsia="Arial" w:hAnsi="Arial"/>
          <w:sz w:val="17"/>
          <w:szCs w:val="17"/>
          <w:color w:val="auto"/>
        </w:rPr>
        <w:t>” means the date that is the five (5) year anniversary of the Issuance Date or, if such date falls on a day other than a Trading Day or on which trading does not take place on the Principal Market (a “</w:t>
      </w:r>
      <w:r>
        <w:rPr>
          <w:rFonts w:ascii="Arial" w:cs="Arial" w:eastAsia="Arial" w:hAnsi="Arial"/>
          <w:sz w:val="17"/>
          <w:szCs w:val="17"/>
          <w:b w:val="1"/>
          <w:bCs w:val="1"/>
          <w:color w:val="auto"/>
        </w:rPr>
        <w:t>Holiday</w:t>
      </w:r>
      <w:r>
        <w:rPr>
          <w:rFonts w:ascii="Arial" w:cs="Arial" w:eastAsia="Arial" w:hAnsi="Arial"/>
          <w:sz w:val="17"/>
          <w:szCs w:val="17"/>
          <w:color w:val="auto"/>
        </w:rPr>
        <w:t>”), the next date that is not a Holiday.</w:t>
      </w:r>
    </w:p>
    <w:p>
      <w:pPr>
        <w:spacing w:after="0" w:line="35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33" w:name="page234"/>
    <w:bookmarkEnd w:id="233"/>
    <w:p>
      <w:pPr>
        <w:jc w:val="both"/>
        <w:ind w:firstLine="1952"/>
        <w:spacing w:after="0" w:line="284" w:lineRule="auto"/>
        <w:tabs>
          <w:tab w:leader="none" w:pos="2198" w:val="left"/>
        </w:tabs>
        <w:numPr>
          <w:ilvl w:val="0"/>
          <w:numId w:val="240"/>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Fundamental Transaction</w:t>
      </w:r>
      <w:r>
        <w:rPr>
          <w:rFonts w:ascii="Arial" w:cs="Arial" w:eastAsia="Arial" w:hAnsi="Arial"/>
          <w:sz w:val="16"/>
          <w:szCs w:val="16"/>
          <w:color w:val="auto"/>
        </w:rPr>
        <w:t>” means (A) that the Company shall, directly or indirectly, including through subsidiaries, Affiliates or otherwise, in one or more related transactions, (i) consolidate or merge with or into (whether or not the Company is the surviving corporation) another Subject Entity, or (ii) sell, assign, transfer, convey or otherwise dispose of all or substantially all of the properties or assets of the Company or any of its “significant subsidiaries” (as defined in Rule 1-02 of Regulation S-X) to one or more Subject Entities, or (iii) make, or allow one or more Subject Entities to make, or allow the Company to be subject to or have its Common Stock be subject to or party to one or more Subject Entities making, a purchase, tender or exchange offer that is accepted by the holders of at least either (x) 50% of the outstanding shares of Common Stock, (y) 50% of the outstanding shares of Common Stock calculated as if any shares of Common Stock held by all Subject Entities making or party to, or Affiliated with any Subject Entities making or party to, such purchase, tender or exchange offer were not outstanding; or (z) such number of shares of Common Stock such that all Subject Entities making or party to, or Affiliated with any Subject Entity making or party to, such purchase, tender or exchange offer, become collectively the beneficial owners (as defined in Rule 13d-3 under the Exchange Act) of at least 50% of the outstanding shares of Common Stock, or (iv) consummate a stock purchase agreement or other business combination (including, without limitation, a reorganization, recapitalization, spin-off or scheme of arrangement) with one or more Subject Entities whereby all such Subject Entities, individually or in the aggregate, acquire, either (x) at least 50% of the outstanding shares of Common Stock, (y) at least 50% of the outstanding shares of Common Stock calculated as if any shares of Common Stock held by all the Subject Entities making or party to, or Affiliated with any Subject Entity making or party to, such stock purchase agreement or other business combination were not outstanding; or (z) such number of shares of Common Stock such that the Subject Entities become collectively the beneficial owners (as defined in Rule 13d-3 under the Exchange Act) of at least 50% of the outstanding shares of Common Stock, or (v) reorganize, recapitalize or reclassify its Common Stock, (B) that the Company shall, directly or indirectly, including through subsidiaries, Affiliates or otherwise, in one or more related transactions, allow any Subject Entity individually or the Subject Entities in the aggregate to be or become the “beneficial owner” (as defined in Rule 13d-3 under the Exchange Act), directly or indirectly, whether through acquisition, purchase, assignment, conveyance, tender, tender offer, exchange, reduction in outstanding shares of Common Stock, merger, consolidation, business combination, reorganization, recapitalization, spin-off, scheme of arrangement, reorganization, recapitalization or reclassification or otherwise in any manner whatsoever, of either (x) at least 50% of the aggregate ordinary voting power represented by issued and outstanding Common Stock, (y) at least 50% of the aggregate ordinary voting power represented by issued and outstanding Common Stock not held by all such Subject Entities as of the date of this Warrant calculated as if any shares of Common Stock held by all such Subject Entities were not outstanding, or (z) a percentage of the aggregate ordinary voting power represented by issued and outstanding shares of Common Stock or other equity securities of the Company sufficient to allow such Subject Entities to effect a statutory short form merger or other transaction requiring other stockholders of the Company to surrender their shares of Common Stock without approval of the stockholders of the Company or (C) directly or indirectly, including through subsidiaries, Affiliates or otherwise, in one or more related transactions, the issuance of or the entering into any other instrument or transaction structured in a manner to circumvent, or that circumvents, the intent of this definition in which case this definition shall be construed and implemented in a manner otherwise than in strict conformity with the terms of this definition to the extent necessary to correct this definition or any portion of this definition which may be defective or inconsistent with the intended treatment of such instrument or transaction.</w:t>
      </w:r>
    </w:p>
    <w:p>
      <w:pPr>
        <w:spacing w:after="0" w:line="164" w:lineRule="exact"/>
        <w:rPr>
          <w:rFonts w:ascii="Arial" w:cs="Arial" w:eastAsia="Arial" w:hAnsi="Arial"/>
          <w:sz w:val="16"/>
          <w:szCs w:val="16"/>
          <w:color w:val="auto"/>
        </w:rPr>
      </w:pPr>
    </w:p>
    <w:p>
      <w:pPr>
        <w:ind w:left="2300" w:hanging="348"/>
        <w:spacing w:after="0"/>
        <w:tabs>
          <w:tab w:leader="none" w:pos="2300" w:val="left"/>
        </w:tabs>
        <w:numPr>
          <w:ilvl w:val="0"/>
          <w:numId w:val="240"/>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Group</w:t>
      </w:r>
      <w:r>
        <w:rPr>
          <w:rFonts w:ascii="Arial" w:cs="Arial" w:eastAsia="Arial" w:hAnsi="Arial"/>
          <w:sz w:val="17"/>
          <w:szCs w:val="17"/>
          <w:color w:val="auto"/>
        </w:rPr>
        <w:t>” means a “group” as that term is used in Section 13(d) of the Exchange Act and as defined in Rule 13d-5</w:t>
      </w:r>
    </w:p>
    <w:p>
      <w:pPr>
        <w:spacing w:after="0" w:line="38"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thereunder.</w:t>
      </w:r>
    </w:p>
    <w:p>
      <w:pPr>
        <w:spacing w:after="0" w:line="206" w:lineRule="exact"/>
        <w:rPr>
          <w:rFonts w:ascii="Arial" w:cs="Arial" w:eastAsia="Arial" w:hAnsi="Arial"/>
          <w:sz w:val="17"/>
          <w:szCs w:val="17"/>
          <w:color w:val="auto"/>
        </w:rPr>
      </w:pPr>
    </w:p>
    <w:p>
      <w:pPr>
        <w:ind w:left="2240" w:hanging="288"/>
        <w:spacing w:after="0"/>
        <w:tabs>
          <w:tab w:leader="none" w:pos="2240" w:val="left"/>
        </w:tabs>
        <w:numPr>
          <w:ilvl w:val="0"/>
          <w:numId w:val="240"/>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Options</w:t>
      </w:r>
      <w:r>
        <w:rPr>
          <w:rFonts w:ascii="Arial" w:cs="Arial" w:eastAsia="Arial" w:hAnsi="Arial"/>
          <w:sz w:val="17"/>
          <w:szCs w:val="17"/>
          <w:color w:val="auto"/>
        </w:rPr>
        <w:t>” means any rights, warrants or options to subscribe for or purchase shares of Common Stock or Convertible</w:t>
      </w:r>
    </w:p>
    <w:p>
      <w:pPr>
        <w:spacing w:after="0" w:line="38"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Securities.</w:t>
      </w:r>
    </w:p>
    <w:p>
      <w:pPr>
        <w:spacing w:after="0" w:line="206" w:lineRule="exact"/>
        <w:rPr>
          <w:rFonts w:ascii="Arial" w:cs="Arial" w:eastAsia="Arial" w:hAnsi="Arial"/>
          <w:sz w:val="17"/>
          <w:szCs w:val="17"/>
          <w:color w:val="auto"/>
        </w:rPr>
      </w:pPr>
    </w:p>
    <w:p>
      <w:pPr>
        <w:jc w:val="both"/>
        <w:ind w:firstLine="1952"/>
        <w:spacing w:after="0" w:line="258" w:lineRule="auto"/>
        <w:tabs>
          <w:tab w:leader="none" w:pos="2203" w:val="left"/>
        </w:tabs>
        <w:numPr>
          <w:ilvl w:val="0"/>
          <w:numId w:val="24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Parent Entity</w:t>
      </w:r>
      <w:r>
        <w:rPr>
          <w:rFonts w:ascii="Arial" w:cs="Arial" w:eastAsia="Arial" w:hAnsi="Arial"/>
          <w:sz w:val="18"/>
          <w:szCs w:val="18"/>
          <w:color w:val="auto"/>
        </w:rPr>
        <w:t>” of a Person means an entity that, directly or indirectly, controls the applicable Person, including such entity whose common shares or common stock or equivalent equity security is quoted or listed on an Eligible Market (or, if so elected by the Holder, any other market, exchange or quotation system), or, if there is more than one such Person or such entity, the Person or such entity designated by the Holder or in the absence of such designation, such Person or entity with the largest public market capitalization as of the date of consummation of the Fundamental Transaction.</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34" w:name="page235"/>
    <w:bookmarkEnd w:id="234"/>
    <w:p>
      <w:pPr>
        <w:ind w:firstLine="1952"/>
        <w:spacing w:after="0" w:line="282" w:lineRule="auto"/>
        <w:tabs>
          <w:tab w:leader="none" w:pos="2217" w:val="left"/>
        </w:tabs>
        <w:numPr>
          <w:ilvl w:val="0"/>
          <w:numId w:val="24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Person</w:t>
      </w:r>
      <w:r>
        <w:rPr>
          <w:rFonts w:ascii="Arial" w:cs="Arial" w:eastAsia="Arial" w:hAnsi="Arial"/>
          <w:sz w:val="18"/>
          <w:szCs w:val="18"/>
          <w:color w:val="auto"/>
        </w:rPr>
        <w:t>” means an individual or corporation, partnership, trust, incorporated or unincorporated association, joint venture, limited liability company, joint stock company, government (or an agency or subdivision thereof) or other entity of any kind.</w:t>
      </w:r>
    </w:p>
    <w:p>
      <w:pPr>
        <w:spacing w:after="0" w:line="161" w:lineRule="exact"/>
        <w:rPr>
          <w:rFonts w:ascii="Arial" w:cs="Arial" w:eastAsia="Arial" w:hAnsi="Arial"/>
          <w:sz w:val="18"/>
          <w:szCs w:val="18"/>
          <w:color w:val="auto"/>
        </w:rPr>
      </w:pPr>
    </w:p>
    <w:p>
      <w:pPr>
        <w:ind w:firstLine="1952"/>
        <w:spacing w:after="0" w:line="282" w:lineRule="auto"/>
        <w:tabs>
          <w:tab w:leader="none" w:pos="2228" w:val="left"/>
        </w:tabs>
        <w:numPr>
          <w:ilvl w:val="0"/>
          <w:numId w:val="24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Principal Market</w:t>
      </w:r>
      <w:r>
        <w:rPr>
          <w:rFonts w:ascii="Arial" w:cs="Arial" w:eastAsia="Arial" w:hAnsi="Arial"/>
          <w:sz w:val="18"/>
          <w:szCs w:val="18"/>
          <w:color w:val="auto"/>
        </w:rPr>
        <w:t>” means the OTC Bulletin Board or any other Eligible Market, or any national securities exchange, market or trading or quotation facility on which the Common Stock is then listed or quoted.</w:t>
      </w:r>
    </w:p>
    <w:p>
      <w:pPr>
        <w:spacing w:after="0" w:line="161" w:lineRule="exact"/>
        <w:rPr>
          <w:rFonts w:ascii="Arial" w:cs="Arial" w:eastAsia="Arial" w:hAnsi="Arial"/>
          <w:sz w:val="18"/>
          <w:szCs w:val="18"/>
          <w:color w:val="auto"/>
        </w:rPr>
      </w:pPr>
    </w:p>
    <w:p>
      <w:pPr>
        <w:ind w:left="2180" w:hanging="228"/>
        <w:spacing w:after="0"/>
        <w:tabs>
          <w:tab w:leader="none" w:pos="2180" w:val="left"/>
        </w:tabs>
        <w:numPr>
          <w:ilvl w:val="0"/>
          <w:numId w:val="24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Securities Act</w:t>
      </w:r>
      <w:r>
        <w:rPr>
          <w:rFonts w:ascii="Arial" w:cs="Arial" w:eastAsia="Arial" w:hAnsi="Arial"/>
          <w:sz w:val="18"/>
          <w:szCs w:val="18"/>
          <w:color w:val="auto"/>
        </w:rPr>
        <w:t>” means the Securities Act of 1933, as amended.</w:t>
      </w:r>
    </w:p>
    <w:p>
      <w:pPr>
        <w:spacing w:after="0" w:line="225" w:lineRule="exact"/>
        <w:rPr>
          <w:rFonts w:ascii="Arial" w:cs="Arial" w:eastAsia="Arial" w:hAnsi="Arial"/>
          <w:sz w:val="18"/>
          <w:szCs w:val="18"/>
          <w:color w:val="auto"/>
        </w:rPr>
      </w:pPr>
    </w:p>
    <w:p>
      <w:pPr>
        <w:ind w:left="2180" w:hanging="228"/>
        <w:spacing w:after="0"/>
        <w:tabs>
          <w:tab w:leader="none" w:pos="2180" w:val="left"/>
        </w:tabs>
        <w:numPr>
          <w:ilvl w:val="0"/>
          <w:numId w:val="241"/>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Subject Entity</w:t>
      </w:r>
      <w:r>
        <w:rPr>
          <w:rFonts w:ascii="Arial" w:cs="Arial" w:eastAsia="Arial" w:hAnsi="Arial"/>
          <w:sz w:val="16"/>
          <w:szCs w:val="16"/>
          <w:color w:val="auto"/>
        </w:rPr>
        <w:t>” means any Person, Persons or Group or any Affiliate or associate of any such Person, Persons or Group.</w:t>
      </w:r>
    </w:p>
    <w:p>
      <w:pPr>
        <w:spacing w:after="0" w:line="248" w:lineRule="exact"/>
        <w:rPr>
          <w:rFonts w:ascii="Arial" w:cs="Arial" w:eastAsia="Arial" w:hAnsi="Arial"/>
          <w:sz w:val="16"/>
          <w:szCs w:val="16"/>
          <w:color w:val="auto"/>
        </w:rPr>
      </w:pPr>
    </w:p>
    <w:p>
      <w:pPr>
        <w:jc w:val="both"/>
        <w:ind w:firstLine="1952"/>
        <w:spacing w:after="0" w:line="266" w:lineRule="auto"/>
        <w:tabs>
          <w:tab w:leader="none" w:pos="2176" w:val="left"/>
        </w:tabs>
        <w:numPr>
          <w:ilvl w:val="0"/>
          <w:numId w:val="24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Successor Entity</w:t>
      </w:r>
      <w:r>
        <w:rPr>
          <w:rFonts w:ascii="Arial" w:cs="Arial" w:eastAsia="Arial" w:hAnsi="Arial"/>
          <w:sz w:val="18"/>
          <w:szCs w:val="18"/>
          <w:color w:val="auto"/>
        </w:rPr>
        <w:t>” means one or more Person or Persons (or, if so elected by the Holder, the Company or Parent Entity) formed by, resulting from or surviving any Fundamental Transaction or one or more Person or Persons (or, if so elected by the Holder, the Company or the Parent Entity) with which such Fundamental Transaction shall have been entered into.</w:t>
      </w:r>
    </w:p>
    <w:p>
      <w:pPr>
        <w:spacing w:after="0" w:line="175" w:lineRule="exact"/>
        <w:rPr>
          <w:rFonts w:ascii="Arial" w:cs="Arial" w:eastAsia="Arial" w:hAnsi="Arial"/>
          <w:sz w:val="18"/>
          <w:szCs w:val="18"/>
          <w:color w:val="auto"/>
        </w:rPr>
      </w:pPr>
    </w:p>
    <w:p>
      <w:pPr>
        <w:jc w:val="both"/>
        <w:ind w:firstLine="1952"/>
        <w:spacing w:after="0" w:line="298" w:lineRule="auto"/>
        <w:tabs>
          <w:tab w:leader="none" w:pos="2204" w:val="left"/>
        </w:tabs>
        <w:numPr>
          <w:ilvl w:val="0"/>
          <w:numId w:val="241"/>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Trading Day</w:t>
      </w:r>
      <w:r>
        <w:rPr>
          <w:rFonts w:ascii="Arial" w:cs="Arial" w:eastAsia="Arial" w:hAnsi="Arial"/>
          <w:sz w:val="16"/>
          <w:szCs w:val="16"/>
          <w:color w:val="auto"/>
        </w:rPr>
        <w:t xml:space="preserve">” means any day on which the Common Stock is traded on the Principal Market, or, if the Principal Market is not the principal trading market for the Common Stock, then on the principal securities exchange or securities market on which the Common Stock is then traded;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“Trading Day” shall not include any day on which the Common Stock is scheduled to trade on such exchange or market for less than 4.5 hours or any day that the Common Stock is suspended from trading during the final hour of trading on such exchange or market (or if such exchange or market does not designate in advance the closing time of trading on such exchange or market, then during the hour ending at 4:00:00 p.m., New York time).</w:t>
      </w:r>
    </w:p>
    <w:p>
      <w:pPr>
        <w:spacing w:after="0" w:line="153" w:lineRule="exact"/>
        <w:rPr>
          <w:rFonts w:ascii="Arial" w:cs="Arial" w:eastAsia="Arial" w:hAnsi="Arial"/>
          <w:sz w:val="16"/>
          <w:szCs w:val="16"/>
          <w:color w:val="auto"/>
        </w:rPr>
      </w:pPr>
    </w:p>
    <w:p>
      <w:pPr>
        <w:jc w:val="both"/>
        <w:ind w:firstLine="1952"/>
        <w:spacing w:after="0" w:line="267" w:lineRule="auto"/>
        <w:tabs>
          <w:tab w:leader="none" w:pos="2202" w:val="left"/>
        </w:tabs>
        <w:numPr>
          <w:ilvl w:val="0"/>
          <w:numId w:val="241"/>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VWAP</w:t>
      </w:r>
      <w:r>
        <w:rPr>
          <w:rFonts w:ascii="Arial" w:cs="Arial" w:eastAsia="Arial" w:hAnsi="Arial"/>
          <w:sz w:val="17"/>
          <w:szCs w:val="17"/>
          <w:color w:val="auto"/>
        </w:rPr>
        <w:t xml:space="preserve">” means, for any security as of any date, the dollar volume-weighted average price for such security on the Principal Market during the period beginning at 9:30:01 a.m., New York time (or such other time as the Principal Market publicly announces is the official open of trading), and ending at 4:00:00 p.m., New York time (or such other time as the Principal Market publicly announces is the official close of trading), as reported by Bloomberg through its “Volume at Price” function or, if the foregoing does not apply, the dollar volume-weighted average price of such security in the over-the-counter market on the electronic bulletin board for such security during the period beginning at 9:30:01 a.m., New York time (or such other time as such market publicly announces is the official open of trading), and ending at 4:00:00 p.m., New York time (or such other time as such market publicly announces is the official close of trading), as reported by Bloomberg, or, if no dollar volume-weighted average price is reported for such security by Bloomberg for such hours, the average of the highest Closing Bid Price and the lowest closing ask price of any of the market makers for such security as reported in the OTC Link or “pink sheets” by OTC Markets Group Inc. (formerly Pink OTC Markets Inc.). If the VWAP cannot be calculated for a security on a particular date on any of the foregoing bases, the VWAP of such security on such date shall be the fair market value as mutually determined by the Company and the Holder. If the Company and the Holder are unable to agree upon the fair market value of such security, then such dispute shall be resolved pursuant to Section </w:t>
      </w:r>
      <w:r>
        <w:rPr>
          <w:rFonts w:ascii="Arial" w:cs="Arial" w:eastAsia="Arial" w:hAnsi="Arial"/>
          <w:sz w:val="20"/>
          <w:szCs w:val="20"/>
          <w:b w:val="1"/>
          <w:bCs w:val="1"/>
          <w:color w:val="auto"/>
        </w:rPr>
        <w:t>‎</w:t>
      </w:r>
      <w:r>
        <w:rPr>
          <w:rFonts w:ascii="Arial" w:cs="Arial" w:eastAsia="Arial" w:hAnsi="Arial"/>
          <w:sz w:val="17"/>
          <w:szCs w:val="17"/>
          <w:color w:val="auto"/>
        </w:rPr>
        <w:t>12 with the term “VWAP” being substituted for the term “Exercise Price.” All such determinations shall be appropriately adjusted for any stock dividend, stock split, stock combination, reclassification or other similar transaction during the applicable calculation period.</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 Page Follows]</w:t>
      </w: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35" w:name="page236"/>
    <w:bookmarkEnd w:id="235"/>
    <w:p>
      <w:pPr>
        <w:ind w:left="660"/>
        <w:spacing w:after="0"/>
        <w:rPr>
          <w:sz w:val="20"/>
          <w:szCs w:val="20"/>
          <w:color w:val="auto"/>
        </w:rPr>
      </w:pPr>
      <w:r>
        <w:rPr>
          <w:rFonts w:ascii="Arial" w:cs="Arial" w:eastAsia="Arial" w:hAnsi="Arial"/>
          <w:sz w:val="16"/>
          <w:szCs w:val="16"/>
          <w:b w:val="1"/>
          <w:bCs w:val="1"/>
          <w:color w:val="auto"/>
        </w:rPr>
        <w:t xml:space="preserve">IN WITNESS WHEREOF, </w:t>
      </w:r>
      <w:r>
        <w:rPr>
          <w:rFonts w:ascii="Arial" w:cs="Arial" w:eastAsia="Arial" w:hAnsi="Arial"/>
          <w:sz w:val="16"/>
          <w:szCs w:val="16"/>
          <w:color w:val="auto"/>
        </w:rPr>
        <w:t>the Company has caused this Warrant to Purchase Common Stock to be duly executed as of the Issuance Date set out</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above.</w:t>
      </w:r>
    </w:p>
    <w:p>
      <w:pPr>
        <w:spacing w:after="0" w:line="207" w:lineRule="exact"/>
        <w:rPr>
          <w:sz w:val="20"/>
          <w:szCs w:val="20"/>
          <w:color w:val="auto"/>
        </w:rPr>
      </w:pPr>
    </w:p>
    <w:p>
      <w:pPr>
        <w:ind w:left="6700"/>
        <w:spacing w:after="0"/>
        <w:rPr>
          <w:sz w:val="20"/>
          <w:szCs w:val="20"/>
          <w:color w:val="auto"/>
        </w:rPr>
      </w:pPr>
      <w:r>
        <w:rPr>
          <w:rFonts w:ascii="Arial" w:cs="Arial" w:eastAsia="Arial" w:hAnsi="Arial"/>
          <w:sz w:val="18"/>
          <w:szCs w:val="18"/>
          <w:b w:val="1"/>
          <w:bCs w:val="1"/>
          <w:color w:val="auto"/>
        </w:rPr>
        <w:t>PRESTO AUTOMATION INC.</w:t>
      </w:r>
    </w:p>
    <w:p>
      <w:pPr>
        <w:spacing w:after="0" w:line="229" w:lineRule="exact"/>
        <w:rPr>
          <w:sz w:val="20"/>
          <w:szCs w:val="20"/>
          <w:color w:val="auto"/>
        </w:rPr>
      </w:pPr>
    </w:p>
    <w:p>
      <w:pPr>
        <w:ind w:left="670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4582795</wp:posOffset>
            </wp:positionH>
            <wp:positionV relativeFrom="paragraph">
              <wp:posOffset>14605</wp:posOffset>
            </wp:positionV>
            <wp:extent cx="2554605" cy="1714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3">
                      <a:extLst>
                        <a:ext uri="{28A0092B-C50C-407E-A947-70E740481C1C}"/>
                      </a:extLst>
                    </a:blip>
                    <a:srcRect/>
                    <a:stretch>
                      <a:fillRect/>
                    </a:stretch>
                  </pic:blipFill>
                  <pic:spPr bwMode="auto">
                    <a:xfrm>
                      <a:off x="0" y="0"/>
                      <a:ext cx="2554605" cy="17145"/>
                    </a:xfrm>
                    <a:prstGeom prst="rect">
                      <a:avLst/>
                    </a:prstGeom>
                    <a:noFill/>
                  </pic:spPr>
                </pic:pic>
              </a:graphicData>
            </a:graphic>
          </wp:anchor>
        </w:drawing>
      </w:r>
    </w:p>
    <w:p>
      <w:pPr>
        <w:spacing w:after="0" w:line="3" w:lineRule="exact"/>
        <w:rPr>
          <w:sz w:val="20"/>
          <w:szCs w:val="20"/>
          <w:color w:val="auto"/>
        </w:rPr>
      </w:pPr>
    </w:p>
    <w:p>
      <w:pPr>
        <w:ind w:left="670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670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1714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36" w:name="page237"/>
    <w:bookmarkEnd w:id="236"/>
    <w:p>
      <w:pPr>
        <w:ind w:left="10300"/>
        <w:spacing w:after="0"/>
        <w:rPr>
          <w:sz w:val="20"/>
          <w:szCs w:val="20"/>
          <w:color w:val="auto"/>
        </w:rPr>
      </w:pPr>
      <w:r>
        <w:rPr>
          <w:rFonts w:ascii="Arial" w:cs="Arial" w:eastAsia="Arial" w:hAnsi="Arial"/>
          <w:sz w:val="18"/>
          <w:szCs w:val="18"/>
          <w:b w:val="1"/>
          <w:bCs w:val="1"/>
          <w:color w:val="auto"/>
        </w:rPr>
        <w:t>EXHIBIT 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EXERCISE NOTICE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 BE EXECUTED BY THE REGISTERED HOLDER TO EXERCISE THIS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WARRANT TO PURCHASE COMMON STOCK</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PRESTO AUTOMATION INC.</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undersigned holder hereby exercises the right to purchase _________________ of the shares of Common Stock (“</w:t>
      </w:r>
      <w:r>
        <w:rPr>
          <w:rFonts w:ascii="Arial" w:cs="Arial" w:eastAsia="Arial" w:hAnsi="Arial"/>
          <w:sz w:val="17"/>
          <w:szCs w:val="17"/>
          <w:b w:val="1"/>
          <w:bCs w:val="1"/>
          <w:color w:val="auto"/>
        </w:rPr>
        <w:t>Warrant Shares</w:t>
      </w:r>
      <w:r>
        <w:rPr>
          <w:rFonts w:ascii="Arial" w:cs="Arial" w:eastAsia="Arial" w:hAnsi="Arial"/>
          <w:sz w:val="17"/>
          <w:szCs w:val="17"/>
          <w:color w:val="auto"/>
        </w:rPr>
        <w:t>”) of</w:t>
      </w:r>
    </w:p>
    <w:p>
      <w:pPr>
        <w:spacing w:after="0" w:line="39" w:lineRule="exact"/>
        <w:rPr>
          <w:sz w:val="20"/>
          <w:szCs w:val="20"/>
          <w:color w:val="auto"/>
        </w:rPr>
      </w:pPr>
    </w:p>
    <w:p>
      <w:pPr>
        <w:spacing w:after="0"/>
        <w:rPr>
          <w:sz w:val="20"/>
          <w:szCs w:val="20"/>
          <w:color w:val="auto"/>
        </w:rPr>
      </w:pPr>
      <w:r>
        <w:rPr>
          <w:rFonts w:ascii="Arial" w:cs="Arial" w:eastAsia="Arial" w:hAnsi="Arial"/>
          <w:sz w:val="17"/>
          <w:szCs w:val="17"/>
          <w:color w:val="auto"/>
        </w:rPr>
        <w:t>Presto Automation Inc., a Delaware corporation (the “</w:t>
      </w:r>
      <w:r>
        <w:rPr>
          <w:rFonts w:ascii="Arial" w:cs="Arial" w:eastAsia="Arial" w:hAnsi="Arial"/>
          <w:sz w:val="17"/>
          <w:szCs w:val="17"/>
          <w:b w:val="1"/>
          <w:bCs w:val="1"/>
          <w:color w:val="auto"/>
        </w:rPr>
        <w:t>Company</w:t>
      </w:r>
      <w:r>
        <w:rPr>
          <w:rFonts w:ascii="Arial" w:cs="Arial" w:eastAsia="Arial" w:hAnsi="Arial"/>
          <w:sz w:val="17"/>
          <w:szCs w:val="17"/>
          <w:color w:val="auto"/>
        </w:rPr>
        <w:t>”), evidenced by the attached Warrant to Purchase Common Stock (the “</w:t>
      </w:r>
      <w:r>
        <w:rPr>
          <w:rFonts w:ascii="Arial" w:cs="Arial" w:eastAsia="Arial" w:hAnsi="Arial"/>
          <w:sz w:val="17"/>
          <w:szCs w:val="17"/>
          <w:b w:val="1"/>
          <w:bCs w:val="1"/>
          <w:color w:val="auto"/>
        </w:rPr>
        <w:t>Warrant</w:t>
      </w:r>
      <w:r>
        <w:rPr>
          <w:rFonts w:ascii="Arial" w:cs="Arial" w:eastAsia="Arial" w:hAnsi="Arial"/>
          <w:sz w:val="17"/>
          <w:szCs w:val="17"/>
          <w:color w:val="auto"/>
        </w:rPr>
        <w:t>”).</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Capitalized terms used herein and not otherwise defined shall have the respective meanings set forth in the Warrant.</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1. Form of Exercise Price. The Holder intends that payment of the Exercise Price shall be made as:</w:t>
      </w:r>
    </w:p>
    <w:p>
      <w:pPr>
        <w:spacing w:after="0" w:line="225" w:lineRule="exact"/>
        <w:rPr>
          <w:sz w:val="20"/>
          <w:szCs w:val="20"/>
          <w:color w:val="auto"/>
        </w:rPr>
      </w:pPr>
    </w:p>
    <w:p>
      <w:pPr>
        <w:ind w:left="1300"/>
        <w:spacing w:after="0"/>
        <w:tabs>
          <w:tab w:leader="none" w:pos="2580" w:val="left"/>
        </w:tabs>
        <w:rPr>
          <w:sz w:val="20"/>
          <w:szCs w:val="20"/>
          <w:color w:val="auto"/>
        </w:rPr>
      </w:pPr>
      <w:r>
        <w:rPr>
          <w:rFonts w:ascii="Arial" w:cs="Arial" w:eastAsia="Arial" w:hAnsi="Arial"/>
          <w:sz w:val="18"/>
          <w:szCs w:val="18"/>
          <w:color w:val="auto"/>
        </w:rPr>
        <w:t>____________</w:t>
        <w:tab/>
        <w:t>a “</w:t>
      </w:r>
      <w:r>
        <w:rPr>
          <w:rFonts w:ascii="Arial" w:cs="Arial" w:eastAsia="Arial" w:hAnsi="Arial"/>
          <w:sz w:val="18"/>
          <w:szCs w:val="18"/>
          <w:u w:val="single" w:color="auto"/>
          <w:color w:val="auto"/>
        </w:rPr>
        <w:t>Cash Exercise</w:t>
      </w:r>
      <w:r>
        <w:rPr>
          <w:rFonts w:ascii="Arial" w:cs="Arial" w:eastAsia="Arial" w:hAnsi="Arial"/>
          <w:sz w:val="18"/>
          <w:szCs w:val="18"/>
          <w:color w:val="auto"/>
        </w:rPr>
        <w:t>” with respect to _________________ Warrant Shares; and/or</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____________ a “</w:t>
      </w:r>
      <w:r>
        <w:rPr>
          <w:rFonts w:ascii="Arial" w:cs="Arial" w:eastAsia="Arial" w:hAnsi="Arial"/>
          <w:sz w:val="18"/>
          <w:szCs w:val="18"/>
          <w:u w:val="single" w:color="auto"/>
          <w:color w:val="auto"/>
        </w:rPr>
        <w:t>Cashless Exercise</w:t>
      </w:r>
      <w:r>
        <w:rPr>
          <w:rFonts w:ascii="Arial" w:cs="Arial" w:eastAsia="Arial" w:hAnsi="Arial"/>
          <w:sz w:val="18"/>
          <w:szCs w:val="18"/>
          <w:color w:val="auto"/>
        </w:rPr>
        <w:t>” with respect to _______________ Warrant Shares.</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In the event that the Holder has elected a Cashless Exercise with respect to some or all of the Warrant Shares to be issued pursuant hereto, the Holder hereby represents and warrants that this Exercise Notice was executed by the Holder at [a.m.][p.m.] on the date set forth below.</w:t>
      </w:r>
    </w:p>
    <w:p>
      <w:pPr>
        <w:spacing w:after="0" w:line="170" w:lineRule="exact"/>
        <w:rPr>
          <w:sz w:val="20"/>
          <w:szCs w:val="20"/>
          <w:color w:val="auto"/>
        </w:rPr>
      </w:pPr>
    </w:p>
    <w:p>
      <w:pPr>
        <w:jc w:val="both"/>
        <w:ind w:firstLine="656"/>
        <w:spacing w:after="0" w:line="263" w:lineRule="auto"/>
        <w:tabs>
          <w:tab w:leader="none" w:pos="846" w:val="left"/>
        </w:tabs>
        <w:numPr>
          <w:ilvl w:val="0"/>
          <w:numId w:val="242"/>
        </w:numPr>
        <w:rPr>
          <w:rFonts w:ascii="Arial" w:cs="Arial" w:eastAsia="Arial" w:hAnsi="Arial"/>
          <w:sz w:val="18"/>
          <w:szCs w:val="18"/>
          <w:color w:val="auto"/>
        </w:rPr>
      </w:pPr>
      <w:r>
        <w:rPr>
          <w:rFonts w:ascii="Arial" w:cs="Arial" w:eastAsia="Arial" w:hAnsi="Arial"/>
          <w:sz w:val="18"/>
          <w:szCs w:val="18"/>
          <w:color w:val="auto"/>
        </w:rPr>
        <w:t>Payment of Exercise Price. In the event that the holder has elected a Cash Exercise with respect to some or all of the Warrant Shares to be issued pursuant hereto, the holder shall pay the Aggregate Exercise Price in the sum of $___________________ to the Company in accordance with the terms of the Warrant.</w:t>
      </w:r>
    </w:p>
    <w:p>
      <w:pPr>
        <w:spacing w:after="0" w:line="183" w:lineRule="exact"/>
        <w:rPr>
          <w:rFonts w:ascii="Arial" w:cs="Arial" w:eastAsia="Arial" w:hAnsi="Arial"/>
          <w:sz w:val="18"/>
          <w:szCs w:val="18"/>
          <w:color w:val="auto"/>
        </w:rPr>
      </w:pPr>
    </w:p>
    <w:p>
      <w:pPr>
        <w:ind w:left="840" w:hanging="184"/>
        <w:spacing w:after="0"/>
        <w:tabs>
          <w:tab w:leader="none" w:pos="840" w:val="left"/>
        </w:tabs>
        <w:numPr>
          <w:ilvl w:val="0"/>
          <w:numId w:val="242"/>
        </w:numPr>
        <w:rPr>
          <w:rFonts w:ascii="Arial" w:cs="Arial" w:eastAsia="Arial" w:hAnsi="Arial"/>
          <w:sz w:val="16"/>
          <w:szCs w:val="16"/>
          <w:color w:val="auto"/>
        </w:rPr>
      </w:pPr>
      <w:r>
        <w:rPr>
          <w:rFonts w:ascii="Arial" w:cs="Arial" w:eastAsia="Arial" w:hAnsi="Arial"/>
          <w:sz w:val="16"/>
          <w:szCs w:val="16"/>
          <w:color w:val="auto"/>
        </w:rPr>
        <w:t>Delivery of Warrant Shares. The Company shall deliver to the holder __________ Warrant Shares in accordance with the terms of the Warrant.</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4500" w:type="dxa"/>
            <w:vAlign w:val="bottom"/>
            <w:gridSpan w:val="2"/>
          </w:tcPr>
          <w:p>
            <w:pPr>
              <w:spacing w:after="0"/>
              <w:rPr>
                <w:sz w:val="20"/>
                <w:szCs w:val="20"/>
                <w:color w:val="auto"/>
              </w:rPr>
            </w:pPr>
            <w:r>
              <w:rPr>
                <w:rFonts w:ascii="Arial" w:cs="Arial" w:eastAsia="Arial" w:hAnsi="Arial"/>
                <w:sz w:val="18"/>
                <w:szCs w:val="18"/>
                <w:color w:val="auto"/>
              </w:rPr>
              <w:t>_______ Electronic Delivery</w:t>
            </w:r>
          </w:p>
        </w:tc>
        <w:tc>
          <w:tcPr>
            <w:tcW w:w="6740" w:type="dxa"/>
            <w:vAlign w:val="bottom"/>
            <w:gridSpan w:val="2"/>
          </w:tcPr>
          <w:p>
            <w:pPr>
              <w:jc w:val="right"/>
              <w:ind w:right="3760"/>
              <w:spacing w:after="0"/>
              <w:rPr>
                <w:sz w:val="20"/>
                <w:szCs w:val="20"/>
                <w:color w:val="auto"/>
              </w:rPr>
            </w:pPr>
            <w:r>
              <w:rPr>
                <w:rFonts w:ascii="Arial" w:cs="Arial" w:eastAsia="Arial" w:hAnsi="Arial"/>
                <w:sz w:val="18"/>
                <w:szCs w:val="18"/>
                <w:color w:val="auto"/>
              </w:rPr>
              <w:t>DTC Participant:</w:t>
            </w:r>
          </w:p>
        </w:tc>
        <w:tc>
          <w:tcPr>
            <w:tcW w:w="0" w:type="dxa"/>
            <w:vAlign w:val="bottom"/>
          </w:tcPr>
          <w:p>
            <w:pPr>
              <w:spacing w:after="0"/>
              <w:rPr>
                <w:sz w:val="1"/>
                <w:szCs w:val="1"/>
                <w:color w:val="auto"/>
              </w:rPr>
            </w:pPr>
          </w:p>
        </w:tc>
      </w:tr>
      <w:tr>
        <w:trPr>
          <w:trHeight w:val="223"/>
        </w:trPr>
        <w:tc>
          <w:tcPr>
            <w:tcW w:w="460" w:type="dxa"/>
            <w:vAlign w:val="bottom"/>
          </w:tcPr>
          <w:p>
            <w:pPr>
              <w:spacing w:after="0"/>
              <w:rPr>
                <w:sz w:val="19"/>
                <w:szCs w:val="19"/>
                <w:color w:val="auto"/>
              </w:rPr>
            </w:pPr>
          </w:p>
        </w:tc>
        <w:tc>
          <w:tcPr>
            <w:tcW w:w="4040" w:type="dxa"/>
            <w:vAlign w:val="bottom"/>
          </w:tcPr>
          <w:p>
            <w:pPr>
              <w:spacing w:after="0"/>
              <w:rPr>
                <w:sz w:val="19"/>
                <w:szCs w:val="19"/>
                <w:color w:val="auto"/>
              </w:rPr>
            </w:pPr>
          </w:p>
        </w:tc>
        <w:tc>
          <w:tcPr>
            <w:tcW w:w="3020" w:type="dxa"/>
            <w:vAlign w:val="bottom"/>
          </w:tcPr>
          <w:p>
            <w:pPr>
              <w:jc w:val="right"/>
              <w:spacing w:after="0" w:line="203" w:lineRule="exact"/>
              <w:rPr>
                <w:sz w:val="20"/>
                <w:szCs w:val="20"/>
                <w:color w:val="auto"/>
              </w:rPr>
            </w:pPr>
            <w:r>
              <w:rPr>
                <w:rFonts w:ascii="Arial" w:cs="Arial" w:eastAsia="Arial" w:hAnsi="Arial"/>
                <w:sz w:val="18"/>
                <w:szCs w:val="18"/>
                <w:color w:val="auto"/>
              </w:rPr>
              <w:t>DTC Number:</w:t>
            </w:r>
          </w:p>
        </w:tc>
        <w:tc>
          <w:tcPr>
            <w:tcW w:w="3720" w:type="dxa"/>
            <w:vAlign w:val="bottom"/>
            <w:tcBorders>
              <w:top w:val="single" w:sz="8" w:color="auto"/>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60" w:type="dxa"/>
            <w:vAlign w:val="bottom"/>
          </w:tcPr>
          <w:p>
            <w:pPr>
              <w:spacing w:after="0"/>
              <w:rPr>
                <w:sz w:val="19"/>
                <w:szCs w:val="19"/>
                <w:color w:val="auto"/>
              </w:rPr>
            </w:pPr>
          </w:p>
        </w:tc>
        <w:tc>
          <w:tcPr>
            <w:tcW w:w="4040" w:type="dxa"/>
            <w:vAlign w:val="bottom"/>
          </w:tcPr>
          <w:p>
            <w:pPr>
              <w:spacing w:after="0"/>
              <w:rPr>
                <w:sz w:val="19"/>
                <w:szCs w:val="19"/>
                <w:color w:val="auto"/>
              </w:rPr>
            </w:pPr>
          </w:p>
        </w:tc>
        <w:tc>
          <w:tcPr>
            <w:tcW w:w="3020" w:type="dxa"/>
            <w:vAlign w:val="bottom"/>
          </w:tcPr>
          <w:p>
            <w:pPr>
              <w:jc w:val="right"/>
              <w:spacing w:after="0" w:line="202" w:lineRule="exact"/>
              <w:rPr>
                <w:sz w:val="20"/>
                <w:szCs w:val="20"/>
                <w:color w:val="auto"/>
              </w:rPr>
            </w:pPr>
            <w:r>
              <w:rPr>
                <w:rFonts w:ascii="Arial" w:cs="Arial" w:eastAsia="Arial" w:hAnsi="Arial"/>
                <w:sz w:val="18"/>
                <w:szCs w:val="18"/>
                <w:color w:val="auto"/>
              </w:rPr>
              <w:t>Account Name:</w:t>
            </w:r>
          </w:p>
        </w:tc>
        <w:tc>
          <w:tcPr>
            <w:tcW w:w="37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60" w:type="dxa"/>
            <w:vAlign w:val="bottom"/>
          </w:tcPr>
          <w:p>
            <w:pPr>
              <w:spacing w:after="0"/>
              <w:rPr>
                <w:sz w:val="19"/>
                <w:szCs w:val="19"/>
                <w:color w:val="auto"/>
              </w:rPr>
            </w:pPr>
          </w:p>
        </w:tc>
        <w:tc>
          <w:tcPr>
            <w:tcW w:w="4040" w:type="dxa"/>
            <w:vAlign w:val="bottom"/>
          </w:tcPr>
          <w:p>
            <w:pPr>
              <w:spacing w:after="0"/>
              <w:rPr>
                <w:sz w:val="19"/>
                <w:szCs w:val="19"/>
                <w:color w:val="auto"/>
              </w:rPr>
            </w:pPr>
          </w:p>
        </w:tc>
        <w:tc>
          <w:tcPr>
            <w:tcW w:w="3020" w:type="dxa"/>
            <w:vAlign w:val="bottom"/>
          </w:tcPr>
          <w:p>
            <w:pPr>
              <w:jc w:val="right"/>
              <w:spacing w:after="0" w:line="202" w:lineRule="exact"/>
              <w:rPr>
                <w:sz w:val="20"/>
                <w:szCs w:val="20"/>
                <w:color w:val="auto"/>
              </w:rPr>
            </w:pPr>
            <w:r>
              <w:rPr>
                <w:rFonts w:ascii="Arial" w:cs="Arial" w:eastAsia="Arial" w:hAnsi="Arial"/>
                <w:sz w:val="18"/>
                <w:szCs w:val="18"/>
                <w:color w:val="auto"/>
              </w:rPr>
              <w:t>Account Number:</w:t>
            </w:r>
          </w:p>
        </w:tc>
        <w:tc>
          <w:tcPr>
            <w:tcW w:w="37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39"/>
        </w:trPr>
        <w:tc>
          <w:tcPr>
            <w:tcW w:w="4500" w:type="dxa"/>
            <w:vAlign w:val="bottom"/>
            <w:gridSpan w:val="2"/>
          </w:tcPr>
          <w:p>
            <w:pPr>
              <w:spacing w:after="0"/>
              <w:rPr>
                <w:sz w:val="20"/>
                <w:szCs w:val="20"/>
                <w:color w:val="auto"/>
              </w:rPr>
            </w:pPr>
            <w:r>
              <w:rPr>
                <w:rFonts w:ascii="Arial" w:cs="Arial" w:eastAsia="Arial" w:hAnsi="Arial"/>
                <w:sz w:val="18"/>
                <w:szCs w:val="18"/>
                <w:color w:val="auto"/>
              </w:rPr>
              <w:t>_______ Physical Delivery</w:t>
            </w:r>
          </w:p>
        </w:tc>
        <w:tc>
          <w:tcPr>
            <w:tcW w:w="6740" w:type="dxa"/>
            <w:vAlign w:val="bottom"/>
            <w:gridSpan w:val="2"/>
          </w:tcPr>
          <w:p>
            <w:pPr>
              <w:jc w:val="right"/>
              <w:ind w:right="3760"/>
              <w:spacing w:after="0"/>
              <w:rPr>
                <w:sz w:val="20"/>
                <w:szCs w:val="20"/>
                <w:color w:val="auto"/>
              </w:rPr>
            </w:pPr>
            <w:r>
              <w:rPr>
                <w:rFonts w:ascii="Arial" w:cs="Arial" w:eastAsia="Arial" w:hAnsi="Arial"/>
                <w:sz w:val="18"/>
                <w:szCs w:val="18"/>
                <w:color w:val="auto"/>
              </w:rPr>
              <w:t>Address:</w:t>
            </w:r>
          </w:p>
        </w:tc>
        <w:tc>
          <w:tcPr>
            <w:tcW w:w="0" w:type="dxa"/>
            <w:vAlign w:val="bottom"/>
          </w:tcPr>
          <w:p>
            <w:pPr>
              <w:spacing w:after="0"/>
              <w:rPr>
                <w:sz w:val="1"/>
                <w:szCs w:val="1"/>
                <w:color w:val="auto"/>
              </w:rPr>
            </w:pPr>
          </w:p>
        </w:tc>
      </w:tr>
      <w:tr>
        <w:trPr>
          <w:trHeight w:val="223"/>
        </w:trPr>
        <w:tc>
          <w:tcPr>
            <w:tcW w:w="4500" w:type="dxa"/>
            <w:vAlign w:val="bottom"/>
            <w:gridSpan w:val="2"/>
            <w:vMerge w:val="restart"/>
          </w:tcPr>
          <w:p>
            <w:pPr>
              <w:spacing w:after="0"/>
              <w:rPr>
                <w:sz w:val="20"/>
                <w:szCs w:val="20"/>
                <w:color w:val="auto"/>
              </w:rPr>
            </w:pPr>
            <w:r>
              <w:rPr>
                <w:rFonts w:ascii="Arial" w:cs="Arial" w:eastAsia="Arial" w:hAnsi="Arial"/>
                <w:sz w:val="18"/>
                <w:szCs w:val="18"/>
                <w:color w:val="auto"/>
              </w:rPr>
              <w:t>Date: _______________ __, ______</w:t>
            </w:r>
          </w:p>
        </w:tc>
        <w:tc>
          <w:tcPr>
            <w:tcW w:w="3020" w:type="dxa"/>
            <w:vAlign w:val="bottom"/>
          </w:tcPr>
          <w:p>
            <w:pPr>
              <w:spacing w:after="0"/>
              <w:rPr>
                <w:sz w:val="19"/>
                <w:szCs w:val="19"/>
                <w:color w:val="auto"/>
              </w:rPr>
            </w:pPr>
          </w:p>
        </w:tc>
        <w:tc>
          <w:tcPr>
            <w:tcW w:w="3720" w:type="dxa"/>
            <w:vAlign w:val="bottom"/>
            <w:tcBorders>
              <w:top w:val="single" w:sz="8" w:color="auto"/>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500" w:type="dxa"/>
            <w:vAlign w:val="bottom"/>
            <w:gridSpan w:val="2"/>
            <w:vMerge w:val="continue"/>
          </w:tcPr>
          <w:p>
            <w:pPr>
              <w:spacing w:after="0"/>
              <w:rPr>
                <w:sz w:val="19"/>
                <w:szCs w:val="19"/>
                <w:color w:val="auto"/>
              </w:rPr>
            </w:pPr>
          </w:p>
        </w:tc>
        <w:tc>
          <w:tcPr>
            <w:tcW w:w="3020" w:type="dxa"/>
            <w:vAlign w:val="bottom"/>
          </w:tcPr>
          <w:p>
            <w:pPr>
              <w:spacing w:after="0"/>
              <w:rPr>
                <w:sz w:val="19"/>
                <w:szCs w:val="19"/>
                <w:color w:val="auto"/>
              </w:rPr>
            </w:pPr>
          </w:p>
        </w:tc>
        <w:tc>
          <w:tcPr>
            <w:tcW w:w="37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32"/>
        </w:trPr>
        <w:tc>
          <w:tcPr>
            <w:tcW w:w="4500" w:type="dxa"/>
            <w:vAlign w:val="bottom"/>
            <w:gridSpan w:val="2"/>
            <w:vMerge w:val="continue"/>
          </w:tcPr>
          <w:p>
            <w:pPr>
              <w:spacing w:after="0"/>
              <w:rPr>
                <w:sz w:val="24"/>
                <w:szCs w:val="24"/>
                <w:color w:val="auto"/>
              </w:rPr>
            </w:pPr>
          </w:p>
        </w:tc>
        <w:tc>
          <w:tcPr>
            <w:tcW w:w="3020" w:type="dxa"/>
            <w:vAlign w:val="bottom"/>
          </w:tcPr>
          <w:p>
            <w:pPr>
              <w:spacing w:after="0"/>
              <w:rPr>
                <w:sz w:val="24"/>
                <w:szCs w:val="24"/>
                <w:color w:val="auto"/>
              </w:rPr>
            </w:pPr>
          </w:p>
        </w:tc>
        <w:tc>
          <w:tcPr>
            <w:tcW w:w="3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4500" w:type="dxa"/>
            <w:vAlign w:val="bottom"/>
            <w:gridSpan w:val="2"/>
          </w:tcPr>
          <w:p>
            <w:pPr>
              <w:spacing w:after="0"/>
              <w:rPr>
                <w:sz w:val="20"/>
                <w:szCs w:val="20"/>
                <w:color w:val="auto"/>
              </w:rPr>
            </w:pPr>
            <w:r>
              <w:rPr>
                <w:rFonts w:ascii="Arial" w:cs="Arial" w:eastAsia="Arial" w:hAnsi="Arial"/>
                <w:sz w:val="18"/>
                <w:szCs w:val="18"/>
                <w:color w:val="auto"/>
              </w:rPr>
              <w:t>___________________________</w:t>
            </w:r>
          </w:p>
        </w:tc>
        <w:tc>
          <w:tcPr>
            <w:tcW w:w="3020" w:type="dxa"/>
            <w:vAlign w:val="bottom"/>
          </w:tcPr>
          <w:p>
            <w:pPr>
              <w:spacing w:after="0"/>
              <w:rPr>
                <w:sz w:val="24"/>
                <w:szCs w:val="24"/>
                <w:color w:val="auto"/>
              </w:rPr>
            </w:pPr>
          </w:p>
        </w:tc>
        <w:tc>
          <w:tcPr>
            <w:tcW w:w="3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500" w:type="dxa"/>
            <w:vAlign w:val="bottom"/>
            <w:gridSpan w:val="2"/>
          </w:tcPr>
          <w:p>
            <w:pPr>
              <w:spacing w:after="0"/>
              <w:rPr>
                <w:sz w:val="20"/>
                <w:szCs w:val="20"/>
                <w:color w:val="auto"/>
              </w:rPr>
            </w:pPr>
            <w:r>
              <w:rPr>
                <w:rFonts w:ascii="Arial" w:cs="Arial" w:eastAsia="Arial" w:hAnsi="Arial"/>
                <w:sz w:val="18"/>
                <w:szCs w:val="18"/>
                <w:color w:val="auto"/>
              </w:rPr>
              <w:t>Name of Registered Holder</w:t>
            </w:r>
          </w:p>
        </w:tc>
        <w:tc>
          <w:tcPr>
            <w:tcW w:w="3020" w:type="dxa"/>
            <w:vAlign w:val="bottom"/>
          </w:tcPr>
          <w:p>
            <w:pPr>
              <w:spacing w:after="0"/>
              <w:rPr>
                <w:sz w:val="20"/>
                <w:szCs w:val="20"/>
                <w:color w:val="auto"/>
              </w:rPr>
            </w:pPr>
          </w:p>
        </w:tc>
        <w:tc>
          <w:tcPr>
            <w:tcW w:w="3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9"/>
        </w:trPr>
        <w:tc>
          <w:tcPr>
            <w:tcW w:w="4500" w:type="dxa"/>
            <w:vAlign w:val="bottom"/>
            <w:gridSpan w:val="2"/>
          </w:tcPr>
          <w:p>
            <w:pPr>
              <w:spacing w:after="0"/>
              <w:rPr>
                <w:sz w:val="20"/>
                <w:szCs w:val="20"/>
                <w:color w:val="auto"/>
              </w:rPr>
            </w:pPr>
            <w:r>
              <w:rPr>
                <w:rFonts w:ascii="Arial" w:cs="Arial" w:eastAsia="Arial" w:hAnsi="Arial"/>
                <w:sz w:val="18"/>
                <w:szCs w:val="18"/>
                <w:color w:val="auto"/>
              </w:rPr>
              <w:t>By:</w:t>
            </w:r>
          </w:p>
        </w:tc>
        <w:tc>
          <w:tcPr>
            <w:tcW w:w="3020" w:type="dxa"/>
            <w:vAlign w:val="bottom"/>
          </w:tcPr>
          <w:p>
            <w:pPr>
              <w:spacing w:after="0"/>
              <w:rPr>
                <w:sz w:val="24"/>
                <w:szCs w:val="24"/>
                <w:color w:val="auto"/>
              </w:rPr>
            </w:pPr>
          </w:p>
        </w:tc>
        <w:tc>
          <w:tcPr>
            <w:tcW w:w="3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460" w:type="dxa"/>
            <w:vAlign w:val="bottom"/>
          </w:tcPr>
          <w:p>
            <w:pPr>
              <w:spacing w:after="0"/>
              <w:rPr>
                <w:sz w:val="17"/>
                <w:szCs w:val="17"/>
                <w:color w:val="auto"/>
              </w:rPr>
            </w:pPr>
          </w:p>
        </w:tc>
        <w:tc>
          <w:tcPr>
            <w:tcW w:w="404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Name:</w:t>
            </w:r>
          </w:p>
        </w:tc>
        <w:tc>
          <w:tcPr>
            <w:tcW w:w="3020" w:type="dxa"/>
            <w:vAlign w:val="bottom"/>
          </w:tcPr>
          <w:p>
            <w:pPr>
              <w:spacing w:after="0"/>
              <w:rPr>
                <w:sz w:val="17"/>
                <w:szCs w:val="17"/>
                <w:color w:val="auto"/>
              </w:rPr>
            </w:pPr>
          </w:p>
        </w:tc>
        <w:tc>
          <w:tcPr>
            <w:tcW w:w="3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60" w:type="dxa"/>
            <w:vAlign w:val="bottom"/>
          </w:tcPr>
          <w:p>
            <w:pPr>
              <w:spacing w:after="0"/>
              <w:rPr>
                <w:sz w:val="20"/>
                <w:szCs w:val="20"/>
                <w:color w:val="auto"/>
              </w:rPr>
            </w:pPr>
          </w:p>
        </w:tc>
        <w:tc>
          <w:tcPr>
            <w:tcW w:w="4040" w:type="dxa"/>
            <w:vAlign w:val="bottom"/>
          </w:tcPr>
          <w:p>
            <w:pPr>
              <w:spacing w:after="0"/>
              <w:rPr>
                <w:sz w:val="20"/>
                <w:szCs w:val="20"/>
                <w:color w:val="auto"/>
              </w:rPr>
            </w:pPr>
            <w:r>
              <w:rPr>
                <w:rFonts w:ascii="Arial" w:cs="Arial" w:eastAsia="Arial" w:hAnsi="Arial"/>
                <w:sz w:val="18"/>
                <w:szCs w:val="18"/>
                <w:color w:val="auto"/>
              </w:rPr>
              <w:t>Title:</w:t>
            </w:r>
          </w:p>
        </w:tc>
        <w:tc>
          <w:tcPr>
            <w:tcW w:w="3020" w:type="dxa"/>
            <w:vAlign w:val="bottom"/>
          </w:tcPr>
          <w:p>
            <w:pPr>
              <w:spacing w:after="0"/>
              <w:rPr>
                <w:sz w:val="20"/>
                <w:szCs w:val="20"/>
                <w:color w:val="auto"/>
              </w:rPr>
            </w:pPr>
          </w:p>
        </w:tc>
        <w:tc>
          <w:tcPr>
            <w:tcW w:w="3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82"/>
        </w:trPr>
        <w:tc>
          <w:tcPr>
            <w:tcW w:w="460" w:type="dxa"/>
            <w:vAlign w:val="bottom"/>
            <w:tcBorders>
              <w:bottom w:val="single" w:sz="8" w:color="auto"/>
            </w:tcBorders>
          </w:tcPr>
          <w:p>
            <w:pPr>
              <w:spacing w:after="0"/>
              <w:rPr>
                <w:sz w:val="24"/>
                <w:szCs w:val="24"/>
                <w:color w:val="auto"/>
              </w:rPr>
            </w:pPr>
          </w:p>
        </w:tc>
        <w:tc>
          <w:tcPr>
            <w:tcW w:w="4040" w:type="dxa"/>
            <w:vAlign w:val="bottom"/>
            <w:tcBorders>
              <w:bottom w:val="single" w:sz="8" w:color="auto"/>
            </w:tcBorders>
          </w:tcPr>
          <w:p>
            <w:pPr>
              <w:spacing w:after="0"/>
              <w:rPr>
                <w:sz w:val="24"/>
                <w:szCs w:val="24"/>
                <w:color w:val="auto"/>
              </w:rPr>
            </w:pPr>
          </w:p>
        </w:tc>
        <w:tc>
          <w:tcPr>
            <w:tcW w:w="3020" w:type="dxa"/>
            <w:vAlign w:val="bottom"/>
            <w:tcBorders>
              <w:bottom w:val="single" w:sz="8" w:color="auto"/>
            </w:tcBorders>
          </w:tcPr>
          <w:p>
            <w:pPr>
              <w:spacing w:after="0"/>
              <w:rPr>
                <w:sz w:val="24"/>
                <w:szCs w:val="24"/>
                <w:color w:val="auto"/>
              </w:rPr>
            </w:pPr>
          </w:p>
        </w:tc>
        <w:tc>
          <w:tcPr>
            <w:tcW w:w="37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904" w:right="339" w:bottom="1440" w:gutter="0" w:footer="0" w:header="0"/>
        </w:sectPr>
      </w:pPr>
    </w:p>
    <w:bookmarkStart w:id="237" w:name="page238"/>
    <w:bookmarkEnd w:id="237"/>
    <w:p>
      <w:pPr>
        <w:jc w:val="center"/>
        <w:spacing w:after="0"/>
        <w:rPr>
          <w:sz w:val="20"/>
          <w:szCs w:val="20"/>
          <w:color w:val="auto"/>
        </w:rPr>
      </w:pPr>
      <w:r>
        <w:rPr>
          <w:rFonts w:ascii="Arial" w:cs="Arial" w:eastAsia="Arial" w:hAnsi="Arial"/>
          <w:sz w:val="18"/>
          <w:szCs w:val="18"/>
          <w:b w:val="1"/>
          <w:bCs w:val="1"/>
          <w:color w:val="auto"/>
        </w:rPr>
        <w:t>ACKNOWLEDGMENT</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Company hereby acknowledges this Exercise Notice and hereby directs [TRANSFER AGENT] to issue the above indicated number of shares of Common Stock in accordance with the Transfer Agent Instructions dated _________________ from the Company and acknowledged and agreed to by [TRANSFER AGENT].</w:t>
      </w:r>
    </w:p>
    <w:p>
      <w:pPr>
        <w:spacing w:after="0" w:line="180" w:lineRule="exact"/>
        <w:rPr>
          <w:sz w:val="20"/>
          <w:szCs w:val="20"/>
          <w:color w:val="auto"/>
        </w:rPr>
      </w:pPr>
    </w:p>
    <w:p>
      <w:pPr>
        <w:ind w:left="6740"/>
        <w:spacing w:after="0"/>
        <w:rPr>
          <w:sz w:val="20"/>
          <w:szCs w:val="20"/>
          <w:color w:val="auto"/>
        </w:rPr>
      </w:pPr>
      <w:r>
        <w:rPr>
          <w:rFonts w:ascii="Arial" w:cs="Arial" w:eastAsia="Arial" w:hAnsi="Arial"/>
          <w:sz w:val="18"/>
          <w:szCs w:val="18"/>
          <w:b w:val="1"/>
          <w:bCs w:val="1"/>
          <w:color w:val="auto"/>
        </w:rPr>
        <w:t>PRESTO AUTOMATION INC.</w:t>
      </w:r>
    </w:p>
    <w:p>
      <w:pPr>
        <w:spacing w:after="0" w:line="229"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14605</wp:posOffset>
            </wp:positionV>
            <wp:extent cx="2494915" cy="1714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5">
                      <a:extLst>
                        <a:ext uri="{28A0092B-C50C-407E-A947-70E740481C1C}"/>
                      </a:extLst>
                    </a:blip>
                    <a:srcRect/>
                    <a:stretch>
                      <a:fillRect/>
                    </a:stretch>
                  </pic:blipFill>
                  <pic:spPr bwMode="auto">
                    <a:xfrm>
                      <a:off x="0" y="0"/>
                      <a:ext cx="2494915" cy="17145"/>
                    </a:xfrm>
                    <a:prstGeom prst="rect">
                      <a:avLst/>
                    </a:prstGeom>
                    <a:noFill/>
                  </pic:spPr>
                </pic:pic>
              </a:graphicData>
            </a:graphic>
          </wp:anchor>
        </w:drawing>
      </w:r>
    </w:p>
    <w:p>
      <w:pPr>
        <w:spacing w:after="0" w:line="16"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1714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38" w:name="page239"/>
    <w:bookmarkEnd w:id="238"/>
    <w:p>
      <w:pPr>
        <w:jc w:val="center"/>
        <w:spacing w:after="0"/>
        <w:rPr>
          <w:sz w:val="20"/>
          <w:szCs w:val="20"/>
          <w:color w:val="auto"/>
        </w:rPr>
      </w:pPr>
      <w:r>
        <w:rPr>
          <w:rFonts w:ascii="Arial" w:cs="Arial" w:eastAsia="Arial" w:hAnsi="Arial"/>
          <w:sz w:val="18"/>
          <w:szCs w:val="18"/>
          <w:b w:val="1"/>
          <w:bCs w:val="1"/>
          <w:color w:val="auto"/>
        </w:rPr>
        <w:t>ASSIGNMENT FORM</w:t>
      </w:r>
    </w:p>
    <w:p>
      <w:pPr>
        <w:spacing w:after="0" w:line="229" w:lineRule="exact"/>
        <w:rPr>
          <w:sz w:val="20"/>
          <w:szCs w:val="20"/>
          <w:color w:val="auto"/>
        </w:rPr>
      </w:pPr>
    </w:p>
    <w:p>
      <w:pPr>
        <w:ind w:left="4140"/>
        <w:spacing w:after="0"/>
        <w:rPr>
          <w:sz w:val="20"/>
          <w:szCs w:val="20"/>
          <w:color w:val="auto"/>
        </w:rPr>
      </w:pPr>
      <w:r>
        <w:rPr>
          <w:rFonts w:ascii="Arial" w:cs="Arial" w:eastAsia="Arial" w:hAnsi="Arial"/>
          <w:sz w:val="18"/>
          <w:szCs w:val="18"/>
          <w:color w:val="auto"/>
        </w:rPr>
        <w:t>(To assign the foregoing warrant, execute</w:t>
      </w:r>
    </w:p>
    <w:p>
      <w:pPr>
        <w:spacing w:after="0" w:line="23" w:lineRule="exact"/>
        <w:rPr>
          <w:sz w:val="20"/>
          <w:szCs w:val="20"/>
          <w:color w:val="auto"/>
        </w:rPr>
      </w:pPr>
    </w:p>
    <w:p>
      <w:pPr>
        <w:ind w:left="4080"/>
        <w:spacing w:after="0"/>
        <w:rPr>
          <w:sz w:val="20"/>
          <w:szCs w:val="20"/>
          <w:color w:val="auto"/>
        </w:rPr>
      </w:pPr>
      <w:r>
        <w:rPr>
          <w:rFonts w:ascii="Arial" w:cs="Arial" w:eastAsia="Arial" w:hAnsi="Arial"/>
          <w:sz w:val="18"/>
          <w:szCs w:val="18"/>
          <w:color w:val="auto"/>
        </w:rPr>
        <w:t>this form and supply required information.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 not use this form to exercise the warrant.)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FOR VALUE RECEIVED, all of or shares of the foregoing Warrant and all rights evidenced thereby are hereby assigned to</w:t>
      </w:r>
    </w:p>
    <w:p>
      <w:pPr>
        <w:spacing w:after="0" w:line="225" w:lineRule="exact"/>
        <w:rPr>
          <w:sz w:val="20"/>
          <w:szCs w:val="20"/>
          <w:color w:val="auto"/>
        </w:rPr>
      </w:pPr>
    </w:p>
    <w:p>
      <w:pPr>
        <w:ind w:left="9000"/>
        <w:spacing w:after="0"/>
        <w:rPr>
          <w:sz w:val="20"/>
          <w:szCs w:val="20"/>
          <w:color w:val="auto"/>
        </w:rPr>
      </w:pPr>
      <w:r>
        <w:rPr>
          <w:rFonts w:ascii="Arial" w:cs="Arial" w:eastAsia="Arial" w:hAnsi="Arial"/>
          <w:sz w:val="18"/>
          <w:szCs w:val="18"/>
          <w:color w:val="auto"/>
        </w:rPr>
        <w:t>whose address 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5709285" cy="825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7">
                      <a:extLst>
                        <a:ext uri="{28A0092B-C50C-407E-A947-70E740481C1C}"/>
                      </a:extLst>
                    </a:blip>
                    <a:srcRect/>
                    <a:stretch>
                      <a:fillRect/>
                    </a:stretch>
                  </pic:blipFill>
                  <pic:spPr bwMode="auto">
                    <a:xfrm>
                      <a:off x="0" y="0"/>
                      <a:ext cx="570928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151765</wp:posOffset>
            </wp:positionV>
            <wp:extent cx="5709285" cy="825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8">
                      <a:extLst>
                        <a:ext uri="{28A0092B-C50C-407E-A947-70E740481C1C}"/>
                      </a:extLst>
                    </a:blip>
                    <a:srcRect/>
                    <a:stretch>
                      <a:fillRect/>
                    </a:stretch>
                  </pic:blipFill>
                  <pic:spPr bwMode="auto">
                    <a:xfrm>
                      <a:off x="0" y="0"/>
                      <a:ext cx="570928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288925</wp:posOffset>
            </wp:positionV>
            <wp:extent cx="5709285" cy="889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9">
                      <a:extLst>
                        <a:ext uri="{28A0092B-C50C-407E-A947-70E740481C1C}"/>
                      </a:extLst>
                    </a:blip>
                    <a:srcRect/>
                    <a:stretch>
                      <a:fillRect/>
                    </a:stretch>
                  </pic:blipFill>
                  <pic:spPr bwMode="auto">
                    <a:xfrm>
                      <a:off x="0" y="0"/>
                      <a:ext cx="570928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8640"/>
        <w:spacing w:after="0"/>
        <w:rPr>
          <w:sz w:val="20"/>
          <w:szCs w:val="20"/>
          <w:color w:val="auto"/>
        </w:rPr>
      </w:pPr>
      <w:r>
        <w:rPr>
          <w:rFonts w:ascii="Arial" w:cs="Arial" w:eastAsia="Arial" w:hAnsi="Arial"/>
          <w:sz w:val="16"/>
          <w:szCs w:val="16"/>
          <w:color w:val="auto"/>
        </w:rPr>
        <w:t>Dated: __________________, ____</w:t>
      </w:r>
    </w:p>
    <w:p>
      <w:pPr>
        <w:spacing w:after="0" w:line="248" w:lineRule="exact"/>
        <w:rPr>
          <w:sz w:val="20"/>
          <w:szCs w:val="20"/>
          <w:color w:val="auto"/>
        </w:rPr>
      </w:pPr>
    </w:p>
    <w:p>
      <w:pPr>
        <w:ind w:left="3940"/>
        <w:spacing w:after="0"/>
        <w:rPr>
          <w:sz w:val="20"/>
          <w:szCs w:val="20"/>
          <w:color w:val="auto"/>
        </w:rPr>
      </w:pPr>
      <w:r>
        <w:rPr>
          <w:rFonts w:ascii="Arial" w:cs="Arial" w:eastAsia="Arial" w:hAnsi="Arial"/>
          <w:sz w:val="18"/>
          <w:szCs w:val="18"/>
          <w:color w:val="auto"/>
        </w:rPr>
        <w:t>Holder’s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14605</wp:posOffset>
            </wp:positionV>
            <wp:extent cx="1997075" cy="1714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60">
                      <a:extLst>
                        <a:ext uri="{28A0092B-C50C-407E-A947-70E740481C1C}"/>
                      </a:extLst>
                    </a:blip>
                    <a:srcRect/>
                    <a:stretch>
                      <a:fillRect/>
                    </a:stretch>
                  </pic:blipFill>
                  <pic:spPr bwMode="auto">
                    <a:xfrm>
                      <a:off x="0" y="0"/>
                      <a:ext cx="1997075" cy="17145"/>
                    </a:xfrm>
                    <a:prstGeom prst="rect">
                      <a:avLst/>
                    </a:prstGeom>
                    <a:noFill/>
                  </pic:spPr>
                </pic:pic>
              </a:graphicData>
            </a:graphic>
          </wp:anchor>
        </w:drawing>
      </w:r>
    </w:p>
    <w:p>
      <w:pPr>
        <w:spacing w:after="0" w:line="3" w:lineRule="exact"/>
        <w:rPr>
          <w:sz w:val="20"/>
          <w:szCs w:val="20"/>
          <w:color w:val="auto"/>
        </w:rPr>
      </w:pPr>
    </w:p>
    <w:p>
      <w:pPr>
        <w:ind w:left="3940"/>
        <w:spacing w:after="0"/>
        <w:rPr>
          <w:sz w:val="20"/>
          <w:szCs w:val="20"/>
          <w:color w:val="auto"/>
        </w:rPr>
      </w:pPr>
      <w:r>
        <w:rPr>
          <w:rFonts w:ascii="Arial" w:cs="Arial" w:eastAsia="Arial" w:hAnsi="Arial"/>
          <w:sz w:val="18"/>
          <w:szCs w:val="18"/>
          <w:color w:val="auto"/>
        </w:rPr>
        <w:t>Holder’s 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22860</wp:posOffset>
            </wp:positionV>
            <wp:extent cx="1997075" cy="1714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1">
                      <a:extLst>
                        <a:ext uri="{28A0092B-C50C-407E-A947-70E740481C1C}"/>
                      </a:extLst>
                    </a:blip>
                    <a:srcRect/>
                    <a:stretch>
                      <a:fillRect/>
                    </a:stretch>
                  </pic:blipFill>
                  <pic:spPr bwMode="auto">
                    <a:xfrm>
                      <a:off x="0" y="0"/>
                      <a:ext cx="1997075" cy="17145"/>
                    </a:xfrm>
                    <a:prstGeom prst="rect">
                      <a:avLst/>
                    </a:prstGeom>
                    <a:noFill/>
                  </pic:spPr>
                </pic:pic>
              </a:graphicData>
            </a:graphic>
          </wp:anchor>
        </w:drawing>
        <w:drawing>
          <wp:anchor simplePos="0" relativeHeight="251657728" behindDoc="1" locked="0" layoutInCell="0" allowOverlap="1">
            <wp:simplePos x="0" y="0"/>
            <wp:positionH relativeFrom="column">
              <wp:posOffset>3571240</wp:posOffset>
            </wp:positionH>
            <wp:positionV relativeFrom="paragraph">
              <wp:posOffset>177165</wp:posOffset>
            </wp:positionV>
            <wp:extent cx="1997075" cy="1714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2">
                      <a:extLst>
                        <a:ext uri="{28A0092B-C50C-407E-A947-70E740481C1C}"/>
                      </a:extLst>
                    </a:blip>
                    <a:srcRect/>
                    <a:stretch>
                      <a:fillRect/>
                    </a:stretch>
                  </pic:blipFill>
                  <pic:spPr bwMode="auto">
                    <a:xfrm>
                      <a:off x="0" y="0"/>
                      <a:ext cx="1997075" cy="17145"/>
                    </a:xfrm>
                    <a:prstGeom prst="rect">
                      <a:avLst/>
                    </a:prstGeom>
                    <a:noFill/>
                  </pic:spPr>
                </pic:pic>
              </a:graphicData>
            </a:graphic>
          </wp:anchor>
        </w:drawing>
      </w:r>
    </w:p>
    <w:p>
      <w:pPr>
        <w:spacing w:after="0" w:line="200" w:lineRule="exact"/>
        <w:rPr>
          <w:sz w:val="20"/>
          <w:szCs w:val="20"/>
          <w:color w:val="auto"/>
        </w:rPr>
      </w:pPr>
    </w:p>
    <w:p>
      <w:pPr>
        <w:spacing w:after="0" w:line="288"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NOTE: The signature to this Assignment Form must correspond with the name as it appears on the face of the Warrant, without alteration or enlargement or any change whatsoever.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391795</wp:posOffset>
            </wp:positionV>
            <wp:extent cx="7132320" cy="1714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39" w:name="page240"/>
    <w:bookmarkEnd w:id="239"/>
    <w:p>
      <w:pPr>
        <w:jc w:val="right"/>
        <w:spacing w:after="0"/>
        <w:rPr>
          <w:sz w:val="20"/>
          <w:szCs w:val="20"/>
          <w:color w:val="auto"/>
        </w:rPr>
      </w:pPr>
      <w:r>
        <w:rPr>
          <w:rFonts w:ascii="Arial" w:cs="Arial" w:eastAsia="Arial" w:hAnsi="Arial"/>
          <w:sz w:val="18"/>
          <w:szCs w:val="18"/>
          <w:b w:val="1"/>
          <w:bCs w:val="1"/>
          <w:color w:val="auto"/>
        </w:rPr>
        <w:t>Exhibit 10.8</w:t>
      </w:r>
    </w:p>
    <w:p>
      <w:pPr>
        <w:spacing w:after="0" w:line="229" w:lineRule="exact"/>
        <w:rPr>
          <w:sz w:val="20"/>
          <w:szCs w:val="20"/>
          <w:color w:val="auto"/>
        </w:rPr>
      </w:pPr>
    </w:p>
    <w:p>
      <w:pPr>
        <w:ind w:left="9880"/>
        <w:spacing w:after="0"/>
        <w:rPr>
          <w:sz w:val="20"/>
          <w:szCs w:val="20"/>
          <w:color w:val="auto"/>
        </w:rPr>
      </w:pPr>
      <w:r>
        <w:rPr>
          <w:rFonts w:ascii="Arial" w:cs="Arial" w:eastAsia="Arial" w:hAnsi="Arial"/>
          <w:sz w:val="15"/>
          <w:szCs w:val="15"/>
          <w:b w:val="1"/>
          <w:bCs w:val="1"/>
          <w:i w:val="1"/>
          <w:iCs w:val="1"/>
          <w:color w:val="auto"/>
        </w:rPr>
        <w:t>Execution Version</w:t>
      </w:r>
    </w:p>
    <w:p>
      <w:pPr>
        <w:spacing w:after="0" w:line="256" w:lineRule="exact"/>
        <w:rPr>
          <w:sz w:val="20"/>
          <w:szCs w:val="20"/>
          <w:color w:val="auto"/>
        </w:rPr>
      </w:pPr>
    </w:p>
    <w:p>
      <w:pPr>
        <w:jc w:val="both"/>
        <w:spacing w:after="0" w:line="253" w:lineRule="auto"/>
        <w:rPr>
          <w:sz w:val="20"/>
          <w:szCs w:val="20"/>
          <w:color w:val="auto"/>
        </w:rPr>
      </w:pPr>
      <w:r>
        <w:rPr>
          <w:rFonts w:ascii="Arial" w:cs="Arial" w:eastAsia="Arial" w:hAnsi="Arial"/>
          <w:sz w:val="18"/>
          <w:szCs w:val="18"/>
          <w:b w:val="1"/>
          <w:bCs w:val="1"/>
          <w:color w:val="auto"/>
        </w:rPr>
        <w:t>NEITHER THIS WARRANT, NOR THE SECURITIES ISSUABLE UPON EXERCISE OF THIS WARRANT (COLLECTIVELY, THE “SECURITIES”), HAVE BEEN REGISTERED UNDER THE SECURITIES ACT OF 1933, AS AMENDED (THE “SECURITIES ACT”), OR UNDER ANY STATE SECURITIES OR BLUE SKY LAWS. THE SECURITIES ARE SUBJECT TO RESTRICTIONS ON TRANSFERABILITY AND RESALE AND MAY NOT BE OFFERED, FOR SALE, SOLD, PLEDGED, HYPOTHECATED OR OTHERWISE TRANSFERRED OR ASSIGNED EXCEPT AS PERMITTED UNDER THE SECURITIES ACT AND APPLICABLE STATE SECURITIES OR BLUE SKY LAWS, PURSUANT TO REGISTRATION OR QUALIFICATION OR EXEMPTION THEREFROM. INVESTORS SHOULD BE AWARE THAT THEY MAY BE REQUIRED TO BEAR THE FINANCIAL RISKS OF THIS INVESTMENT FOR AN INDEFINITE PERIOD OF TIME. THE COMPANY MAY REQUIRE AN OPINION OF COUNSEL IN FORM AND SUBSTANCE REASONABLY SATISFACTORY TO THE COMPANY TO THE EFFECT THAT ANY PROPOSED TRANSFER IS IN COMPLIANCE WITH THE SECURITIES ACT AND ANY APPLICABLE STATE SECURITIES OR BLUE SKY LAWS.</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PRESTO AUTOMATION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w:t>
      </w:r>
      <w:r>
        <w:rPr>
          <w:rFonts w:ascii="Arial" w:cs="Arial" w:eastAsia="Arial" w:hAnsi="Arial"/>
          <w:sz w:val="12"/>
          <w:szCs w:val="12"/>
          <w:b w:val="1"/>
          <w:bCs w:val="1"/>
          <w:color w:val="auto"/>
        </w:rPr>
        <w:t>arrant</w:t>
      </w:r>
      <w:r>
        <w:rPr>
          <w:rFonts w:ascii="Arial" w:cs="Arial" w:eastAsia="Arial" w:hAnsi="Arial"/>
          <w:sz w:val="18"/>
          <w:szCs w:val="18"/>
          <w:b w:val="1"/>
          <w:bCs w:val="1"/>
          <w:color w:val="auto"/>
        </w:rPr>
        <w:t xml:space="preserve"> T</w:t>
      </w:r>
      <w:r>
        <w:rPr>
          <w:rFonts w:ascii="Arial" w:cs="Arial" w:eastAsia="Arial" w:hAnsi="Arial"/>
          <w:sz w:val="12"/>
          <w:szCs w:val="12"/>
          <w:b w:val="1"/>
          <w:bCs w:val="1"/>
          <w:color w:val="auto"/>
        </w:rPr>
        <w:t>o</w:t>
      </w:r>
      <w:r>
        <w:rPr>
          <w:rFonts w:ascii="Arial" w:cs="Arial" w:eastAsia="Arial" w:hAnsi="Arial"/>
          <w:sz w:val="18"/>
          <w:szCs w:val="18"/>
          <w:b w:val="1"/>
          <w:bCs w:val="1"/>
          <w:color w:val="auto"/>
        </w:rPr>
        <w:t xml:space="preserve"> P</w:t>
      </w:r>
      <w:r>
        <w:rPr>
          <w:rFonts w:ascii="Arial" w:cs="Arial" w:eastAsia="Arial" w:hAnsi="Arial"/>
          <w:sz w:val="12"/>
          <w:szCs w:val="12"/>
          <w:b w:val="1"/>
          <w:bCs w:val="1"/>
          <w:color w:val="auto"/>
        </w:rPr>
        <w:t>urchase</w:t>
      </w:r>
      <w:r>
        <w:rPr>
          <w:rFonts w:ascii="Arial" w:cs="Arial" w:eastAsia="Arial" w:hAnsi="Arial"/>
          <w:sz w:val="18"/>
          <w:szCs w:val="18"/>
          <w:b w:val="1"/>
          <w:bCs w:val="1"/>
          <w:color w:val="auto"/>
        </w:rPr>
        <w:t xml:space="preserve"> C</w:t>
      </w:r>
      <w:r>
        <w:rPr>
          <w:rFonts w:ascii="Arial" w:cs="Arial" w:eastAsia="Arial" w:hAnsi="Arial"/>
          <w:sz w:val="12"/>
          <w:szCs w:val="12"/>
          <w:b w:val="1"/>
          <w:bCs w:val="1"/>
          <w:color w:val="auto"/>
        </w:rPr>
        <w:t>ommon</w:t>
      </w:r>
      <w:r>
        <w:rPr>
          <w:rFonts w:ascii="Arial" w:cs="Arial" w:eastAsia="Arial" w:hAnsi="Arial"/>
          <w:sz w:val="18"/>
          <w:szCs w:val="18"/>
          <w:b w:val="1"/>
          <w:bCs w:val="1"/>
          <w:color w:val="auto"/>
        </w:rPr>
        <w:t xml:space="preserve"> S</w:t>
      </w:r>
      <w:r>
        <w:rPr>
          <w:rFonts w:ascii="Arial" w:cs="Arial" w:eastAsia="Arial" w:hAnsi="Arial"/>
          <w:sz w:val="12"/>
          <w:szCs w:val="12"/>
          <w:b w:val="1"/>
          <w:bCs w:val="1"/>
          <w:color w:val="auto"/>
        </w:rPr>
        <w:t>tock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Warrant No.: 2023-8</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Number of Shares of Common Stock: 318,181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Date of Issuance: May 22, 2023 (“</w:t>
      </w:r>
      <w:r>
        <w:rPr>
          <w:rFonts w:ascii="Arial" w:cs="Arial" w:eastAsia="Arial" w:hAnsi="Arial"/>
          <w:sz w:val="18"/>
          <w:szCs w:val="18"/>
          <w:b w:val="1"/>
          <w:bCs w:val="1"/>
          <w:color w:val="auto"/>
        </w:rPr>
        <w:t>Issuance Date</w:t>
      </w:r>
      <w:r>
        <w:rPr>
          <w:rFonts w:ascii="Arial" w:cs="Arial" w:eastAsia="Arial" w:hAnsi="Arial"/>
          <w:sz w:val="18"/>
          <w:szCs w:val="18"/>
          <w:color w:val="auto"/>
        </w:rPr>
        <w:t>”)</w:t>
      </w:r>
    </w:p>
    <w:p>
      <w:pPr>
        <w:spacing w:after="0" w:line="207" w:lineRule="exact"/>
        <w:rPr>
          <w:sz w:val="20"/>
          <w:szCs w:val="20"/>
          <w:color w:val="auto"/>
        </w:rPr>
      </w:pPr>
    </w:p>
    <w:p>
      <w:pPr>
        <w:jc w:val="both"/>
        <w:ind w:firstLine="1296"/>
        <w:spacing w:after="0" w:line="269" w:lineRule="auto"/>
        <w:rPr>
          <w:sz w:val="20"/>
          <w:szCs w:val="20"/>
          <w:color w:val="auto"/>
        </w:rPr>
      </w:pPr>
      <w:r>
        <w:rPr>
          <w:rFonts w:ascii="Arial" w:cs="Arial" w:eastAsia="Arial" w:hAnsi="Arial"/>
          <w:sz w:val="17"/>
          <w:szCs w:val="17"/>
          <w:color w:val="auto"/>
        </w:rPr>
        <w:t>Presto Automation Inc., a Delaware corporation (the “</w:t>
      </w:r>
      <w:r>
        <w:rPr>
          <w:rFonts w:ascii="Arial" w:cs="Arial" w:eastAsia="Arial" w:hAnsi="Arial"/>
          <w:sz w:val="17"/>
          <w:szCs w:val="17"/>
          <w:b w:val="1"/>
          <w:bCs w:val="1"/>
          <w:color w:val="auto"/>
        </w:rPr>
        <w:t>Company</w:t>
      </w:r>
      <w:r>
        <w:rPr>
          <w:rFonts w:ascii="Arial" w:cs="Arial" w:eastAsia="Arial" w:hAnsi="Arial"/>
          <w:sz w:val="17"/>
          <w:szCs w:val="17"/>
          <w:color w:val="auto"/>
        </w:rPr>
        <w:t>”), hereby certifies that, for good and valuable consideration, the receipt and sufficiency of which are hereby acknowledged, CEOF Holdings LP, the registered holder hereof or its permitted assigns (the “</w:t>
      </w:r>
      <w:r>
        <w:rPr>
          <w:rFonts w:ascii="Arial" w:cs="Arial" w:eastAsia="Arial" w:hAnsi="Arial"/>
          <w:sz w:val="17"/>
          <w:szCs w:val="17"/>
          <w:b w:val="1"/>
          <w:bCs w:val="1"/>
          <w:color w:val="auto"/>
        </w:rPr>
        <w:t>Holder</w:t>
      </w:r>
      <w:r>
        <w:rPr>
          <w:rFonts w:ascii="Arial" w:cs="Arial" w:eastAsia="Arial" w:hAnsi="Arial"/>
          <w:sz w:val="17"/>
          <w:szCs w:val="17"/>
          <w:color w:val="auto"/>
        </w:rPr>
        <w:t>”), is entitled, subject to the terms set forth below, to purchase from the Company, at the Exercise Price (as defined below) then in effect, at any time or times on or after the Issuance Date, but not after 11:59 p.m., New York time, on the Expiration Date, (as defined below), 318,181 duly authorized, validly issued, fully paid, nonassessable shares of Common Stock, subject to adjustment as provided herein (the “</w:t>
      </w:r>
      <w:r>
        <w:rPr>
          <w:rFonts w:ascii="Arial" w:cs="Arial" w:eastAsia="Arial" w:hAnsi="Arial"/>
          <w:sz w:val="17"/>
          <w:szCs w:val="17"/>
          <w:b w:val="1"/>
          <w:bCs w:val="1"/>
          <w:color w:val="auto"/>
        </w:rPr>
        <w:t>Warrant Shares</w:t>
      </w:r>
      <w:r>
        <w:rPr>
          <w:rFonts w:ascii="Arial" w:cs="Arial" w:eastAsia="Arial" w:hAnsi="Arial"/>
          <w:sz w:val="17"/>
          <w:szCs w:val="17"/>
          <w:color w:val="auto"/>
        </w:rPr>
        <w:t>”). Except as otherwise defined herein, capitalized terms in this Warrant to Purchase Common Stock (including any Warrants to Purchase Common Stock issued in exchange, transfer or replacement hereof, this “</w:t>
      </w:r>
      <w:r>
        <w:rPr>
          <w:rFonts w:ascii="Arial" w:cs="Arial" w:eastAsia="Arial" w:hAnsi="Arial"/>
          <w:sz w:val="17"/>
          <w:szCs w:val="17"/>
          <w:b w:val="1"/>
          <w:bCs w:val="1"/>
          <w:color w:val="auto"/>
        </w:rPr>
        <w:t>Warrant</w:t>
      </w:r>
      <w:r>
        <w:rPr>
          <w:rFonts w:ascii="Arial" w:cs="Arial" w:eastAsia="Arial" w:hAnsi="Arial"/>
          <w:sz w:val="17"/>
          <w:szCs w:val="17"/>
          <w:color w:val="auto"/>
        </w:rPr>
        <w:t>”) shall have the meanings set forth in Section 17‎. This Warrant is being issued pursuant to Section 2 of that certain Second Amendment to Credit Agreement, dated May 22, 2023, among E La Carte, LLC, the Company and Metropolitan Partners Group Administration, LLC, as agent (the “</w:t>
      </w:r>
      <w:r>
        <w:rPr>
          <w:rFonts w:ascii="Arial" w:cs="Arial" w:eastAsia="Arial" w:hAnsi="Arial"/>
          <w:sz w:val="17"/>
          <w:szCs w:val="17"/>
          <w:b w:val="1"/>
          <w:bCs w:val="1"/>
          <w:color w:val="auto"/>
        </w:rPr>
        <w:t>Second Amendment</w:t>
      </w:r>
      <w:r>
        <w:rPr>
          <w:rFonts w:ascii="Arial" w:cs="Arial" w:eastAsia="Arial" w:hAnsi="Arial"/>
          <w:sz w:val="17"/>
          <w:szCs w:val="17"/>
          <w:color w:val="auto"/>
        </w:rPr>
        <w:t>”), and to Section 5 of that certain Second Amended and Restated Fee Letter, dated May 22, 2023, among E La Carte, LLC, the Company and Metropolitan Partners Group Administration (the “</w:t>
      </w:r>
      <w:r>
        <w:rPr>
          <w:rFonts w:ascii="Arial" w:cs="Arial" w:eastAsia="Arial" w:hAnsi="Arial"/>
          <w:sz w:val="17"/>
          <w:szCs w:val="17"/>
          <w:b w:val="1"/>
          <w:bCs w:val="1"/>
          <w:color w:val="auto"/>
        </w:rPr>
        <w:t>Fee Letter</w:t>
      </w:r>
      <w:r>
        <w:rPr>
          <w:rFonts w:ascii="Arial" w:cs="Arial" w:eastAsia="Arial" w:hAnsi="Arial"/>
          <w:sz w:val="17"/>
          <w:szCs w:val="17"/>
          <w:color w:val="auto"/>
        </w:rPr>
        <w:t>”). Capitalized terms used herein and not otherwise defined shall have the definitions ascribed to such terms in the Credit Agreement (as defined in the Fee Letter).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418465</wp:posOffset>
            </wp:positionV>
            <wp:extent cx="7132320" cy="1714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0" w:name="page241"/>
    <w:bookmarkEnd w:id="240"/>
    <w:p>
      <w:pPr>
        <w:ind w:left="1480" w:hanging="176"/>
        <w:spacing w:after="0"/>
        <w:tabs>
          <w:tab w:leader="none" w:pos="1480" w:val="left"/>
        </w:tabs>
        <w:numPr>
          <w:ilvl w:val="1"/>
          <w:numId w:val="243"/>
        </w:numPr>
        <w:rPr>
          <w:rFonts w:ascii="Arial" w:cs="Arial" w:eastAsia="Arial" w:hAnsi="Arial"/>
          <w:sz w:val="18"/>
          <w:szCs w:val="18"/>
          <w:color w:val="auto"/>
        </w:rPr>
      </w:pPr>
      <w:r>
        <w:rPr>
          <w:rFonts w:ascii="Arial" w:cs="Arial" w:eastAsia="Arial" w:hAnsi="Arial"/>
          <w:sz w:val="18"/>
          <w:szCs w:val="18"/>
          <w:color w:val="auto"/>
        </w:rPr>
        <w:t>EXERCISE OF WARRANT.</w:t>
      </w:r>
    </w:p>
    <w:p>
      <w:pPr>
        <w:spacing w:after="0" w:line="225" w:lineRule="exact"/>
        <w:rPr>
          <w:rFonts w:ascii="Arial" w:cs="Arial" w:eastAsia="Arial" w:hAnsi="Arial"/>
          <w:sz w:val="18"/>
          <w:szCs w:val="18"/>
          <w:color w:val="auto"/>
        </w:rPr>
      </w:pPr>
    </w:p>
    <w:p>
      <w:pPr>
        <w:jc w:val="both"/>
        <w:ind w:firstLine="1952"/>
        <w:spacing w:after="0" w:line="283" w:lineRule="auto"/>
        <w:tabs>
          <w:tab w:leader="none" w:pos="2198" w:val="left"/>
        </w:tabs>
        <w:numPr>
          <w:ilvl w:val="2"/>
          <w:numId w:val="243"/>
        </w:numPr>
        <w:rPr>
          <w:rFonts w:ascii="Arial" w:cs="Arial" w:eastAsia="Arial" w:hAnsi="Arial"/>
          <w:sz w:val="16"/>
          <w:szCs w:val="16"/>
          <w:color w:val="auto"/>
        </w:rPr>
      </w:pPr>
      <w:r>
        <w:rPr>
          <w:rFonts w:ascii="Arial" w:cs="Arial" w:eastAsia="Arial" w:hAnsi="Arial"/>
          <w:sz w:val="16"/>
          <w:szCs w:val="16"/>
          <w:u w:val="single" w:color="auto"/>
          <w:color w:val="auto"/>
        </w:rPr>
        <w:t>Mechanics of Exercise</w:t>
      </w:r>
      <w:r>
        <w:rPr>
          <w:rFonts w:ascii="Arial" w:cs="Arial" w:eastAsia="Arial" w:hAnsi="Arial"/>
          <w:sz w:val="16"/>
          <w:szCs w:val="16"/>
          <w:color w:val="auto"/>
        </w:rPr>
        <w:t xml:space="preserve">. Subject to the terms and conditions hereof (including, without limitation, the limitations set forth in Section </w:t>
      </w:r>
      <w:r>
        <w:rPr>
          <w:rFonts w:ascii="Arial" w:cs="Arial" w:eastAsia="Arial" w:hAnsi="Arial"/>
          <w:sz w:val="19"/>
          <w:szCs w:val="19"/>
          <w:b w:val="1"/>
          <w:bCs w:val="1"/>
          <w:color w:val="auto"/>
        </w:rPr>
        <w:t>‎</w:t>
      </w:r>
      <w:r>
        <w:rPr>
          <w:rFonts w:ascii="Arial" w:cs="Arial" w:eastAsia="Arial" w:hAnsi="Arial"/>
          <w:sz w:val="16"/>
          <w:szCs w:val="16"/>
          <w:color w:val="auto"/>
        </w:rPr>
        <w:t xml:space="preserve">1(f)), this Warrant may be exercised by the Holder at any time or times on or after the Issuance Date, in whole or in part, by (i) delivery (whether via facsimile or otherwise) of a written notice, in the form attached hereto as </w:t>
      </w:r>
      <w:r>
        <w:rPr>
          <w:rFonts w:ascii="Arial" w:cs="Arial" w:eastAsia="Arial" w:hAnsi="Arial"/>
          <w:sz w:val="16"/>
          <w:szCs w:val="16"/>
          <w:u w:val="single" w:color="auto"/>
          <w:color w:val="auto"/>
        </w:rPr>
        <w:t>Exhibit A</w:t>
      </w:r>
      <w:r>
        <w:rPr>
          <w:rFonts w:ascii="Arial" w:cs="Arial" w:eastAsia="Arial" w:hAnsi="Arial"/>
          <w:sz w:val="16"/>
          <w:szCs w:val="16"/>
          <w:color w:val="auto"/>
        </w:rPr>
        <w:t xml:space="preserve"> (the “</w:t>
      </w:r>
      <w:r>
        <w:rPr>
          <w:rFonts w:ascii="Arial" w:cs="Arial" w:eastAsia="Arial" w:hAnsi="Arial"/>
          <w:sz w:val="16"/>
          <w:szCs w:val="16"/>
          <w:b w:val="1"/>
          <w:bCs w:val="1"/>
          <w:color w:val="auto"/>
        </w:rPr>
        <w:t>Exercise Notice</w:t>
      </w:r>
      <w:r>
        <w:rPr>
          <w:rFonts w:ascii="Arial" w:cs="Arial" w:eastAsia="Arial" w:hAnsi="Arial"/>
          <w:sz w:val="16"/>
          <w:szCs w:val="16"/>
          <w:color w:val="auto"/>
        </w:rPr>
        <w:t>”), of the Holder’s election to exercise this Warrant and (ii) (A) payment to the Company of an amount equal to the applicable Exercise Price multiplied by the number of Warrant Shares as to which this Warrant is being exercised (the “</w:t>
      </w:r>
      <w:r>
        <w:rPr>
          <w:rFonts w:ascii="Arial" w:cs="Arial" w:eastAsia="Arial" w:hAnsi="Arial"/>
          <w:sz w:val="16"/>
          <w:szCs w:val="16"/>
          <w:b w:val="1"/>
          <w:bCs w:val="1"/>
          <w:color w:val="auto"/>
        </w:rPr>
        <w:t>Aggregate Exercise Price</w:t>
      </w:r>
      <w:r>
        <w:rPr>
          <w:rFonts w:ascii="Arial" w:cs="Arial" w:eastAsia="Arial" w:hAnsi="Arial"/>
          <w:sz w:val="16"/>
          <w:szCs w:val="16"/>
          <w:color w:val="auto"/>
        </w:rPr>
        <w:t xml:space="preserve">”) in cash by wire transfer of immediately available funds or (B) if the provisions of Section 1(d) are applicable, by notifying the Company that this Warrant is being exercised pursuant to a Cashless Exercise. The Holder shall not be required to physically surrender this Warrant to the Company until the Holder has purchased all of the Warrant Shares available hereunder and the Warrant has been exercised in full, in which case the Holder shall surrender this Warrant to the Company for cancellation within three (3) Trading Days after the date the Warrant Shares which are the subject of the Exercise Notice being delivered to the Holder. Partial exercises of this Warrant resulting in purchases of a portion of the total number of Warrant Shares available hereunder shall have the effect of lowering the outstanding number of Warrant Shares purchasable hereunder in an amount equal to the applicable number of Warrant Shares purchased. The Holder and the Company shall maintain records showing the number of Warrant Shares purchased and the date of such purchases. </w:t>
      </w:r>
      <w:r>
        <w:rPr>
          <w:rFonts w:ascii="Arial" w:cs="Arial" w:eastAsia="Arial" w:hAnsi="Arial"/>
          <w:sz w:val="16"/>
          <w:szCs w:val="16"/>
          <w:b w:val="1"/>
          <w:bCs w:val="1"/>
          <w:color w:val="auto"/>
        </w:rPr>
        <w:t>The Holder and any assignee, by acceptance of this Warrant, acknowledge and</w:t>
      </w:r>
      <w:r>
        <w:rPr>
          <w:rFonts w:ascii="Arial" w:cs="Arial" w:eastAsia="Arial" w:hAnsi="Arial"/>
          <w:sz w:val="16"/>
          <w:szCs w:val="16"/>
          <w:color w:val="auto"/>
        </w:rPr>
        <w:t xml:space="preserve"> </w:t>
      </w:r>
      <w:r>
        <w:rPr>
          <w:rFonts w:ascii="Arial" w:cs="Arial" w:eastAsia="Arial" w:hAnsi="Arial"/>
          <w:sz w:val="16"/>
          <w:szCs w:val="16"/>
          <w:b w:val="1"/>
          <w:bCs w:val="1"/>
          <w:color w:val="auto"/>
        </w:rPr>
        <w:t xml:space="preserve">agree that, by reason of the provisions of this paragraph, following the purchase of a portion of the Warrant Shares hereunder, the number of Warrant Shares available for purchase hereunder at any given time may be less than the amount stated on the face hereof. </w:t>
      </w:r>
      <w:r>
        <w:rPr>
          <w:rFonts w:ascii="Arial" w:cs="Arial" w:eastAsia="Arial" w:hAnsi="Arial"/>
          <w:sz w:val="16"/>
          <w:szCs w:val="16"/>
          <w:color w:val="auto"/>
        </w:rPr>
        <w:t>On or before the third</w:t>
      </w:r>
      <w:r>
        <w:rPr>
          <w:rFonts w:ascii="Arial" w:cs="Arial" w:eastAsia="Arial" w:hAnsi="Arial"/>
          <w:sz w:val="16"/>
          <w:szCs w:val="16"/>
          <w:b w:val="1"/>
          <w:bCs w:val="1"/>
          <w:color w:val="auto"/>
        </w:rPr>
        <w:t xml:space="preserve"> </w:t>
      </w:r>
      <w:r>
        <w:rPr>
          <w:rFonts w:ascii="Arial" w:cs="Arial" w:eastAsia="Arial" w:hAnsi="Arial"/>
          <w:sz w:val="16"/>
          <w:szCs w:val="16"/>
          <w:color w:val="auto"/>
        </w:rPr>
        <w:t>(3rd) Trading Day following the date on which the Company has received the Exercise Notice (the “</w:t>
      </w:r>
      <w:r>
        <w:rPr>
          <w:rFonts w:ascii="Arial" w:cs="Arial" w:eastAsia="Arial" w:hAnsi="Arial"/>
          <w:sz w:val="16"/>
          <w:szCs w:val="16"/>
          <w:b w:val="1"/>
          <w:bCs w:val="1"/>
          <w:color w:val="auto"/>
        </w:rPr>
        <w:t>Share Delivery Date</w:t>
      </w:r>
      <w:r>
        <w:rPr>
          <w:rFonts w:ascii="Arial" w:cs="Arial" w:eastAsia="Arial" w:hAnsi="Arial"/>
          <w:sz w:val="16"/>
          <w:szCs w:val="16"/>
          <w:color w:val="auto"/>
        </w:rPr>
        <w:t>”), so long as the Holder delivers the Aggregate Exercise Price (or notice of a Cashless Exercise) on or prior to the second (2nd) Trading Day following the date on which the Company has received the Exercise Notice (provided that if the Aggregate Exercise Price (or notice of a Cashless Exercise) has not been delivered by such date, the Share Delivery Date shall be extended one (1) Trading Day after the Aggregate Exercise Price (or notice of a Cashless Exercise) is delivered), the Company shall</w:t>
      </w:r>
    </w:p>
    <w:p>
      <w:pPr>
        <w:spacing w:after="0" w:line="10" w:lineRule="exact"/>
        <w:rPr>
          <w:rFonts w:ascii="Arial" w:cs="Arial" w:eastAsia="Arial" w:hAnsi="Arial"/>
          <w:sz w:val="16"/>
          <w:szCs w:val="16"/>
          <w:color w:val="auto"/>
        </w:rPr>
      </w:pPr>
    </w:p>
    <w:p>
      <w:pPr>
        <w:jc w:val="both"/>
        <w:ind w:firstLine="8"/>
        <w:spacing w:after="0" w:line="282" w:lineRule="auto"/>
        <w:tabs>
          <w:tab w:leader="none" w:pos="299" w:val="left"/>
        </w:tabs>
        <w:numPr>
          <w:ilvl w:val="0"/>
          <w:numId w:val="244"/>
        </w:numPr>
        <w:rPr>
          <w:rFonts w:ascii="Arial" w:cs="Arial" w:eastAsia="Arial" w:hAnsi="Arial"/>
          <w:sz w:val="16"/>
          <w:szCs w:val="16"/>
          <w:color w:val="auto"/>
        </w:rPr>
      </w:pPr>
      <w:r>
        <w:rPr>
          <w:rFonts w:ascii="Arial" w:cs="Arial" w:eastAsia="Arial" w:hAnsi="Arial"/>
          <w:sz w:val="16"/>
          <w:szCs w:val="16"/>
          <w:color w:val="auto"/>
        </w:rPr>
        <w:t>provided that the Company’s transfer agent (“</w:t>
      </w:r>
      <w:r>
        <w:rPr>
          <w:rFonts w:ascii="Arial" w:cs="Arial" w:eastAsia="Arial" w:hAnsi="Arial"/>
          <w:sz w:val="16"/>
          <w:szCs w:val="16"/>
          <w:b w:val="1"/>
          <w:bCs w:val="1"/>
          <w:color w:val="auto"/>
        </w:rPr>
        <w:t>Transfer Agent</w:t>
      </w:r>
      <w:r>
        <w:rPr>
          <w:rFonts w:ascii="Arial" w:cs="Arial" w:eastAsia="Arial" w:hAnsi="Arial"/>
          <w:sz w:val="16"/>
          <w:szCs w:val="16"/>
          <w:color w:val="auto"/>
        </w:rPr>
        <w:t>”) is participating in The Depository Trust Company (“</w:t>
      </w:r>
      <w:r>
        <w:rPr>
          <w:rFonts w:ascii="Arial" w:cs="Arial" w:eastAsia="Arial" w:hAnsi="Arial"/>
          <w:sz w:val="16"/>
          <w:szCs w:val="16"/>
          <w:b w:val="1"/>
          <w:bCs w:val="1"/>
          <w:color w:val="auto"/>
        </w:rPr>
        <w:t>DTC</w:t>
      </w:r>
      <w:r>
        <w:rPr>
          <w:rFonts w:ascii="Arial" w:cs="Arial" w:eastAsia="Arial" w:hAnsi="Arial"/>
          <w:sz w:val="16"/>
          <w:szCs w:val="16"/>
          <w:color w:val="auto"/>
        </w:rPr>
        <w:t>”) Fast Automated Securities Transfer Program (“</w:t>
      </w:r>
      <w:r>
        <w:rPr>
          <w:rFonts w:ascii="Arial" w:cs="Arial" w:eastAsia="Arial" w:hAnsi="Arial"/>
          <w:sz w:val="16"/>
          <w:szCs w:val="16"/>
          <w:b w:val="1"/>
          <w:bCs w:val="1"/>
          <w:color w:val="auto"/>
        </w:rPr>
        <w:t>FAST</w:t>
      </w:r>
      <w:r>
        <w:rPr>
          <w:rFonts w:ascii="Arial" w:cs="Arial" w:eastAsia="Arial" w:hAnsi="Arial"/>
          <w:sz w:val="16"/>
          <w:szCs w:val="16"/>
          <w:color w:val="auto"/>
        </w:rPr>
        <w:t xml:space="preserve">”) and the Warrant Shares are eligible to be issued without a restrictive legend, credit such aggregate number of Warrant Shares to which the Holder is entitled pursuant to such exercise to the Holder’s or its designee’s balance account with DTC through its Deposit/Withdrawal At Custodian system, or (Y) if the Transfer Agent is not participating in FAST or the Warrant Shares are not eligible to be issued without a restrictive legend, issue and dispatch by overnight courier to the address as specified in the Exercise Notice, a certificate, registered in the Company’s share register in the name of the Holder or its designee, for the number of Warrant Shares to which the Holder is entitled pursuant to such exercise. The Company shall be responsible for all fees and expenses of the Transfer Agent and all fees and expenses with respect to the issuance of Warrant Shares via DTC, if any. Upon delivery of the Exercise Notice and the Aggregate Exercise Price (or notice of a Cashless Exercise), the Holder shall be deemed for all corporate purposes to have become the holder of record of the Warrant Shares with respect to which this Warrant has been exercised, irrespective of the date such Warrant Shares are credited to the Holder’s DTC account or the date of delivery of the certificates evidencing such Warrant Shares, as the case may be. If this Warrant is submitted in connection with any exercise pursuant to this Section </w:t>
      </w:r>
      <w:r>
        <w:rPr>
          <w:rFonts w:ascii="Arial" w:cs="Arial" w:eastAsia="Arial" w:hAnsi="Arial"/>
          <w:sz w:val="19"/>
          <w:szCs w:val="19"/>
          <w:b w:val="1"/>
          <w:bCs w:val="1"/>
          <w:color w:val="auto"/>
        </w:rPr>
        <w:t>‎</w:t>
      </w:r>
      <w:r>
        <w:rPr>
          <w:rFonts w:ascii="Arial" w:cs="Arial" w:eastAsia="Arial" w:hAnsi="Arial"/>
          <w:sz w:val="16"/>
          <w:szCs w:val="16"/>
          <w:color w:val="auto"/>
        </w:rPr>
        <w:t xml:space="preserve">1(a) and the number of Warrant Shares represented by this Warrant submitted for exercise is greater than the number of Warrant Shares being acquired upon an exercise, then the Company shall as soon as reasonably practicable and in no event later than three (3) Trading Days after any exercise and at its own expense, issue a new Warrant (in accordance with Section </w:t>
      </w:r>
      <w:r>
        <w:rPr>
          <w:rFonts w:ascii="Arial" w:cs="Arial" w:eastAsia="Arial" w:hAnsi="Arial"/>
          <w:sz w:val="19"/>
          <w:szCs w:val="19"/>
          <w:b w:val="1"/>
          <w:bCs w:val="1"/>
          <w:color w:val="auto"/>
        </w:rPr>
        <w:t>‎</w:t>
      </w:r>
      <w:r>
        <w:rPr>
          <w:rFonts w:ascii="Arial" w:cs="Arial" w:eastAsia="Arial" w:hAnsi="Arial"/>
          <w:sz w:val="16"/>
          <w:szCs w:val="16"/>
          <w:color w:val="auto"/>
        </w:rPr>
        <w:t>1(d)) representing the right to purchase the number of Warrant Shares issuable immediately prior to such exercise under this Warrant, less the number of Warrant Shares with respect to which this Warrant is exercised upon surrender of the Warrant so exercised. No fractional Warrant Shares are to be issued upon the exercise of this Warrant, but rather the number of Warrant Shares to be issued shall be rounded down to the nearest whole number. The Company shall pay any and all transfer, stamp, issuance and similar taxes (but not any United States federal, state or local income taxes) that may be payable with respect to the issuance and delivery of Warrant Shares upon exercise of this Warrant. The Company’s obligations to issue and deliver Warrant Shares in accordance with the terms and subject to the conditions hereof are absolute and unconditional, irrespective of any action or inaction by the Holder to enforce the same, any waiver or consent with respect to any provision hereof, the recovery of any judgment against any Person or any action to enforce the same, or any setoff, counterclaim, recoupment, limitation or termination.</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41" w:name="page242"/>
    <w:bookmarkEnd w:id="241"/>
    <w:p>
      <w:pPr>
        <w:ind w:left="2200" w:hanging="248"/>
        <w:spacing w:after="0"/>
        <w:tabs>
          <w:tab w:leader="none" w:pos="2200" w:val="left"/>
        </w:tabs>
        <w:numPr>
          <w:ilvl w:val="0"/>
          <w:numId w:val="245"/>
        </w:numPr>
        <w:rPr>
          <w:rFonts w:ascii="Arial" w:cs="Arial" w:eastAsia="Arial" w:hAnsi="Arial"/>
          <w:sz w:val="17"/>
          <w:szCs w:val="17"/>
          <w:color w:val="auto"/>
        </w:rPr>
      </w:pPr>
      <w:r>
        <w:rPr>
          <w:rFonts w:ascii="Arial" w:cs="Arial" w:eastAsia="Arial" w:hAnsi="Arial"/>
          <w:sz w:val="17"/>
          <w:szCs w:val="17"/>
          <w:u w:val="single" w:color="auto"/>
          <w:color w:val="auto"/>
        </w:rPr>
        <w:t>Exercise Price</w:t>
      </w:r>
      <w:r>
        <w:rPr>
          <w:rFonts w:ascii="Arial" w:cs="Arial" w:eastAsia="Arial" w:hAnsi="Arial"/>
          <w:sz w:val="17"/>
          <w:szCs w:val="17"/>
          <w:color w:val="auto"/>
        </w:rPr>
        <w:t>. For purposes of this Warrant, “</w:t>
      </w:r>
      <w:r>
        <w:rPr>
          <w:rFonts w:ascii="Arial" w:cs="Arial" w:eastAsia="Arial" w:hAnsi="Arial"/>
          <w:sz w:val="17"/>
          <w:szCs w:val="17"/>
          <w:b w:val="1"/>
          <w:bCs w:val="1"/>
          <w:color w:val="auto"/>
        </w:rPr>
        <w:t>Exercise Price</w:t>
      </w:r>
      <w:r>
        <w:rPr>
          <w:rFonts w:ascii="Arial" w:cs="Arial" w:eastAsia="Arial" w:hAnsi="Arial"/>
          <w:sz w:val="17"/>
          <w:szCs w:val="17"/>
          <w:color w:val="auto"/>
        </w:rPr>
        <w:t>” means $0.01, subject to adjustment as provided herein.</w:t>
      </w:r>
    </w:p>
    <w:p>
      <w:pPr>
        <w:spacing w:after="0" w:line="240" w:lineRule="exact"/>
        <w:rPr>
          <w:rFonts w:ascii="Arial" w:cs="Arial" w:eastAsia="Arial" w:hAnsi="Arial"/>
          <w:sz w:val="17"/>
          <w:szCs w:val="17"/>
          <w:color w:val="auto"/>
        </w:rPr>
      </w:pPr>
    </w:p>
    <w:p>
      <w:pPr>
        <w:jc w:val="both"/>
        <w:ind w:firstLine="1952"/>
        <w:spacing w:after="0" w:line="283" w:lineRule="auto"/>
        <w:tabs>
          <w:tab w:leader="none" w:pos="2192" w:val="left"/>
        </w:tabs>
        <w:numPr>
          <w:ilvl w:val="0"/>
          <w:numId w:val="245"/>
        </w:numPr>
        <w:rPr>
          <w:rFonts w:ascii="Arial" w:cs="Arial" w:eastAsia="Arial" w:hAnsi="Arial"/>
          <w:sz w:val="16"/>
          <w:szCs w:val="16"/>
          <w:color w:val="auto"/>
        </w:rPr>
      </w:pPr>
      <w:r>
        <w:rPr>
          <w:rFonts w:ascii="Arial" w:cs="Arial" w:eastAsia="Arial" w:hAnsi="Arial"/>
          <w:sz w:val="16"/>
          <w:szCs w:val="16"/>
          <w:u w:val="single" w:color="auto"/>
          <w:color w:val="auto"/>
        </w:rPr>
        <w:t>Company’s Failure to Timely Deliver Securities</w:t>
      </w:r>
      <w:r>
        <w:rPr>
          <w:rFonts w:ascii="Arial" w:cs="Arial" w:eastAsia="Arial" w:hAnsi="Arial"/>
          <w:sz w:val="16"/>
          <w:szCs w:val="16"/>
          <w:color w:val="auto"/>
        </w:rPr>
        <w:t>. If the Company shall fail, for any reason or for no reason, on or prior to the Share Delivery Date, if the Transfer Agent is not participating in FAST or such shares of Common Stock may not be issued without legends under the Securities Act, to issue and deliver to the Holder (or its designee) a certificate for the number of Warrant Shares to which the Holder is entitled and register such Warrant Shares on the Company’s share register or, if the Transfer Agent is participating in FAST and such shares of Common Stock may not be issued without legends under the Securities Act, to credit the balance account of the Holder or the Holder’s designee with DTC for such number of Warrant Shares to which the Holder is entitled upon the Holder’s exercise of this Warrant (as the case may be) (a “</w:t>
      </w:r>
      <w:r>
        <w:rPr>
          <w:rFonts w:ascii="Arial" w:cs="Arial" w:eastAsia="Arial" w:hAnsi="Arial"/>
          <w:sz w:val="16"/>
          <w:szCs w:val="16"/>
          <w:b w:val="1"/>
          <w:bCs w:val="1"/>
          <w:color w:val="auto"/>
        </w:rPr>
        <w:t>Delivery Failure</w:t>
      </w:r>
      <w:r>
        <w:rPr>
          <w:rFonts w:ascii="Arial" w:cs="Arial" w:eastAsia="Arial" w:hAnsi="Arial"/>
          <w:sz w:val="16"/>
          <w:szCs w:val="16"/>
          <w:color w:val="auto"/>
        </w:rPr>
        <w:t xml:space="preserve">”), then, in addition to all other remedies available to the Holder, (X) the Company shall pay in cash to the Holder on each day after the Share Delivery Date and during such Delivery Failure an amount in cash, as liquidated damages and not as a penalty, equal to 2.0% of the product of (A) the sum of the number of shares of Common Stock not issued to the Holder on or prior to the Share Delivery Date and to which the Holder is entitled, and (B) any trading price of the Common Stock selected by the Holder in writing as in effect at any time during the period beginning on the applicable exercise date and ending on the applicable Share Delivery Date, and (Y) the Holder, upon written notice to the Company, may void its Exercise Notice with respect to, and retain or have returned, as the case may be, any portion of this Warrant that has not been exercised pursuant to such Exercise Notice; provided that the voiding of an Exercise Notice shall not affect the Company’s obligations to make any payments which have accrued prior to the date of such notice pursuant to this Section </w:t>
      </w:r>
      <w:r>
        <w:rPr>
          <w:rFonts w:ascii="Arial" w:cs="Arial" w:eastAsia="Arial" w:hAnsi="Arial"/>
          <w:sz w:val="19"/>
          <w:szCs w:val="19"/>
          <w:b w:val="1"/>
          <w:bCs w:val="1"/>
          <w:color w:val="auto"/>
        </w:rPr>
        <w:t>‎</w:t>
      </w:r>
      <w:r>
        <w:rPr>
          <w:rFonts w:ascii="Arial" w:cs="Arial" w:eastAsia="Arial" w:hAnsi="Arial"/>
          <w:sz w:val="16"/>
          <w:szCs w:val="16"/>
          <w:color w:val="auto"/>
        </w:rPr>
        <w:t>1(c) or otherwise. In addition to the foregoing, if on or after such Share Delivery Date the Holder purchases (in an open market transaction or otherwise) shares of Common Stock to deliver in satisfaction of a sale by the Holder of all or any portion of the number of shares of Common Stock issuable upon such exercise that the Holder is entitled to receive from the Company (a “</w:t>
      </w:r>
      <w:r>
        <w:rPr>
          <w:rFonts w:ascii="Arial" w:cs="Arial" w:eastAsia="Arial" w:hAnsi="Arial"/>
          <w:sz w:val="16"/>
          <w:szCs w:val="16"/>
          <w:b w:val="1"/>
          <w:bCs w:val="1"/>
          <w:color w:val="auto"/>
        </w:rPr>
        <w:t>Buy-In</w:t>
      </w:r>
      <w:r>
        <w:rPr>
          <w:rFonts w:ascii="Arial" w:cs="Arial" w:eastAsia="Arial" w:hAnsi="Arial"/>
          <w:sz w:val="16"/>
          <w:szCs w:val="16"/>
          <w:color w:val="auto"/>
        </w:rPr>
        <w:t>”), then, in addition to all other remedies available to the Holder, the Company shall, within three (3) Business Days after the Holder’s request and in the Holder’s discretion, either (i) pay cash to the Holder in an amount equal to the Holder’s total purchase price (including brokerage commissions and other out-of-pocket expenses, if any) for the shares of Common Stock so purchased (including, without limitation, by any other Person in respect, or on behalf, of the Holder) (the “</w:t>
      </w:r>
      <w:r>
        <w:rPr>
          <w:rFonts w:ascii="Arial" w:cs="Arial" w:eastAsia="Arial" w:hAnsi="Arial"/>
          <w:sz w:val="16"/>
          <w:szCs w:val="16"/>
          <w:b w:val="1"/>
          <w:bCs w:val="1"/>
          <w:color w:val="auto"/>
        </w:rPr>
        <w:t>Buy-In Price</w:t>
      </w:r>
      <w:r>
        <w:rPr>
          <w:rFonts w:ascii="Arial" w:cs="Arial" w:eastAsia="Arial" w:hAnsi="Arial"/>
          <w:sz w:val="16"/>
          <w:szCs w:val="16"/>
          <w:color w:val="auto"/>
        </w:rPr>
        <w:t>”), at which point the Company’s obligation to so issue and deliver such certificate (and to issue such shares of Common Stock) or credit the balance account of such Holder or such Holder’s designee, as applicable, with DTC for the number of Warrant Shares to which the Holder is entitled upon the Holder’s exercise hereunder (as the case may be) (and to issue such Warrant Shares) shall terminate, or (ii) promptly honor its obligation to so issue and deliver to the Holder a certificate or certificates representing such Warrant Shares or credit the balance account of such Holder or such Holder’s designee, as applicable, with DTC for the number of Warrant Shares to which the Holder is entitled upon the Holder’s exercise hereunder (as the case may be) and pay cash to the Holder in an amount equal to the excess (if any) of the Buy-In Price over the product of (A) such number of Warrant Shares multiplied by (B) the Closing Sale Price of the Common Stock on the Share Delivery Date with respect to the related Exercise Notice (the “</w:t>
      </w:r>
      <w:r>
        <w:rPr>
          <w:rFonts w:ascii="Arial" w:cs="Arial" w:eastAsia="Arial" w:hAnsi="Arial"/>
          <w:sz w:val="16"/>
          <w:szCs w:val="16"/>
          <w:b w:val="1"/>
          <w:bCs w:val="1"/>
          <w:color w:val="auto"/>
        </w:rPr>
        <w:t>Buy-In Payment Amount</w:t>
      </w:r>
      <w:r>
        <w:rPr>
          <w:rFonts w:ascii="Arial" w:cs="Arial" w:eastAsia="Arial" w:hAnsi="Arial"/>
          <w:sz w:val="16"/>
          <w:szCs w:val="16"/>
          <w:color w:val="auto"/>
        </w:rPr>
        <w:t>”). The Holder shall provide the Company written notice indicating the amounts payable to the Holder in respect of the Buy-In and, upon request of the Company, evidence of the amount of such loss. Nothing shall limit the Holder’s right to pursue any other remedies available to it hereunder, at law or in equity, including, without limitation, a decree of specific performance and/or injunctive relief with respect to the Company’s failure to timely deliver certificates representing shares of Common Stock (or to electronically deliver such shares of Common Stock) upon the exercise of this Warrant as required pursuant to the terms hereof.</w:t>
      </w:r>
    </w:p>
    <w:p>
      <w:pPr>
        <w:spacing w:after="0" w:line="160" w:lineRule="exact"/>
        <w:rPr>
          <w:rFonts w:ascii="Arial" w:cs="Arial" w:eastAsia="Arial" w:hAnsi="Arial"/>
          <w:sz w:val="16"/>
          <w:szCs w:val="16"/>
          <w:color w:val="auto"/>
        </w:rPr>
      </w:pPr>
    </w:p>
    <w:p>
      <w:pPr>
        <w:jc w:val="both"/>
        <w:ind w:firstLine="1952"/>
        <w:spacing w:after="0" w:line="255" w:lineRule="auto"/>
        <w:tabs>
          <w:tab w:leader="none" w:pos="2219" w:val="left"/>
        </w:tabs>
        <w:numPr>
          <w:ilvl w:val="0"/>
          <w:numId w:val="245"/>
        </w:numPr>
        <w:rPr>
          <w:rFonts w:ascii="Arial" w:cs="Arial" w:eastAsia="Arial" w:hAnsi="Arial"/>
          <w:sz w:val="18"/>
          <w:szCs w:val="18"/>
          <w:color w:val="auto"/>
        </w:rPr>
      </w:pPr>
      <w:r>
        <w:rPr>
          <w:rFonts w:ascii="Arial" w:cs="Arial" w:eastAsia="Arial" w:hAnsi="Arial"/>
          <w:sz w:val="18"/>
          <w:szCs w:val="18"/>
          <w:u w:val="single" w:color="auto"/>
          <w:color w:val="auto"/>
        </w:rPr>
        <w:t>Cashless Exercise</w:t>
      </w:r>
      <w:r>
        <w:rPr>
          <w:rFonts w:ascii="Arial" w:cs="Arial" w:eastAsia="Arial" w:hAnsi="Arial"/>
          <w:sz w:val="18"/>
          <w:szCs w:val="18"/>
          <w:color w:val="auto"/>
        </w:rPr>
        <w:t xml:space="preserve">. Notwithstanding anything contained herein to the contrary (other than Section </w:t>
      </w:r>
      <w:r>
        <w:rPr>
          <w:rFonts w:ascii="Arial" w:cs="Arial" w:eastAsia="Arial" w:hAnsi="Arial"/>
          <w:sz w:val="21"/>
          <w:szCs w:val="21"/>
          <w:b w:val="1"/>
          <w:bCs w:val="1"/>
          <w:color w:val="auto"/>
        </w:rPr>
        <w:t>‎</w:t>
      </w:r>
      <w:r>
        <w:rPr>
          <w:rFonts w:ascii="Arial" w:cs="Arial" w:eastAsia="Arial" w:hAnsi="Arial"/>
          <w:sz w:val="18"/>
          <w:szCs w:val="18"/>
          <w:color w:val="auto"/>
        </w:rPr>
        <w:t xml:space="preserve">1(f) below), the Holder may, in its sole discretion (and without limiting the Holder’s rights and remedies contained herein), exercise this Warrant in whole or in part and, subject to the provisions of Section </w:t>
      </w:r>
      <w:r>
        <w:rPr>
          <w:rFonts w:ascii="Arial" w:cs="Arial" w:eastAsia="Arial" w:hAnsi="Arial"/>
          <w:sz w:val="21"/>
          <w:szCs w:val="21"/>
          <w:b w:val="1"/>
          <w:bCs w:val="1"/>
          <w:color w:val="auto"/>
        </w:rPr>
        <w:t>‎</w:t>
      </w:r>
      <w:r>
        <w:rPr>
          <w:rFonts w:ascii="Arial" w:cs="Arial" w:eastAsia="Arial" w:hAnsi="Arial"/>
          <w:sz w:val="18"/>
          <w:szCs w:val="18"/>
          <w:color w:val="auto"/>
        </w:rPr>
        <w:t>1(a), in lieu of making the cash payment otherwise contemplated to be made to the Company upon such exercise in payment of the Aggregate Exercise Price, elect instead to receive upon such exercise the “Net Number” of Warrant Shares determined according to the following formula:</w:t>
      </w:r>
    </w:p>
    <w:p>
      <w:pPr>
        <w:spacing w:after="0" w:line="19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 xml:space="preserve">Net Number = </w:t>
      </w:r>
      <w:r>
        <w:rPr>
          <w:rFonts w:ascii="Arial" w:cs="Arial" w:eastAsia="Arial" w:hAnsi="Arial"/>
          <w:sz w:val="18"/>
          <w:szCs w:val="18"/>
          <w:u w:val="single" w:color="auto"/>
          <w:color w:val="auto"/>
        </w:rPr>
        <w:t>(A x B) - (A x C)</w:t>
      </w:r>
    </w:p>
    <w:p>
      <w:pPr>
        <w:spacing w:after="0" w:line="23"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B</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42" w:name="page243"/>
    <w:bookmarkEnd w:id="242"/>
    <w:p>
      <w:pPr>
        <w:ind w:left="1300"/>
        <w:spacing w:after="0"/>
        <w:rPr>
          <w:sz w:val="20"/>
          <w:szCs w:val="20"/>
          <w:color w:val="auto"/>
        </w:rPr>
      </w:pPr>
      <w:r>
        <w:rPr>
          <w:rFonts w:ascii="Arial" w:cs="Arial" w:eastAsia="Arial" w:hAnsi="Arial"/>
          <w:sz w:val="18"/>
          <w:szCs w:val="18"/>
          <w:color w:val="auto"/>
        </w:rPr>
        <w:t>For purposes of the foregoing formula:</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 = the total number of shares with respect to which this Warrant is then being exercised.</w:t>
      </w:r>
    </w:p>
    <w:p>
      <w:pPr>
        <w:spacing w:after="0" w:line="225" w:lineRule="exact"/>
        <w:rPr>
          <w:sz w:val="20"/>
          <w:szCs w:val="20"/>
          <w:color w:val="auto"/>
        </w:rPr>
      </w:pPr>
    </w:p>
    <w:p>
      <w:pPr>
        <w:ind w:left="1300"/>
        <w:spacing w:after="0" w:line="342" w:lineRule="auto"/>
        <w:rPr>
          <w:sz w:val="20"/>
          <w:szCs w:val="20"/>
          <w:color w:val="auto"/>
        </w:rPr>
      </w:pPr>
      <w:r>
        <w:rPr>
          <w:rFonts w:ascii="Arial" w:cs="Arial" w:eastAsia="Arial" w:hAnsi="Arial"/>
          <w:sz w:val="16"/>
          <w:szCs w:val="16"/>
          <w:color w:val="auto"/>
        </w:rPr>
        <w:t>B = the quotient of (x) the sum of the VWAP of the Common Stock of each of the five (5) Trading Days ending at the close of business on the Principal Market immediately prior to the time of exercise as set forth in the applicable Exercise Notice, divided by (y) five (5).</w:t>
      </w:r>
    </w:p>
    <w:p>
      <w:pPr>
        <w:spacing w:after="0" w:line="124"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C = the Exercise Price then in effect for the applicable Warrant Shares at the time of such exercise.</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For purposes of Rule 144(d) promulgated under the Securities Act, as in effect on the date hereof, it is intended that the Warrant Shares issued in a Cashless Exercise shall be deemed to have been acquired by the Holder, and the holding period for the Warrant Shares shall be deemed to have commenced, on the date this Warrant was originally issued pursuant to the Credit Agreement.</w:t>
      </w:r>
    </w:p>
    <w:p>
      <w:pPr>
        <w:spacing w:after="0" w:line="184" w:lineRule="exact"/>
        <w:rPr>
          <w:sz w:val="20"/>
          <w:szCs w:val="20"/>
          <w:color w:val="auto"/>
        </w:rPr>
      </w:pPr>
    </w:p>
    <w:p>
      <w:pPr>
        <w:jc w:val="both"/>
        <w:ind w:firstLine="1952"/>
        <w:spacing w:after="0" w:line="263" w:lineRule="auto"/>
        <w:tabs>
          <w:tab w:leader="none" w:pos="2194" w:val="left"/>
        </w:tabs>
        <w:numPr>
          <w:ilvl w:val="1"/>
          <w:numId w:val="246"/>
        </w:numPr>
        <w:rPr>
          <w:rFonts w:ascii="Arial" w:cs="Arial" w:eastAsia="Arial" w:hAnsi="Arial"/>
          <w:sz w:val="18"/>
          <w:szCs w:val="18"/>
          <w:color w:val="auto"/>
        </w:rPr>
      </w:pPr>
      <w:r>
        <w:rPr>
          <w:rFonts w:ascii="Arial" w:cs="Arial" w:eastAsia="Arial" w:hAnsi="Arial"/>
          <w:sz w:val="18"/>
          <w:szCs w:val="18"/>
          <w:u w:val="single" w:color="auto"/>
          <w:color w:val="auto"/>
        </w:rPr>
        <w:t>Disputes</w:t>
      </w:r>
      <w:r>
        <w:rPr>
          <w:rFonts w:ascii="Arial" w:cs="Arial" w:eastAsia="Arial" w:hAnsi="Arial"/>
          <w:sz w:val="18"/>
          <w:szCs w:val="18"/>
          <w:color w:val="auto"/>
        </w:rPr>
        <w:t xml:space="preserve">. In the case of a dispute as to the determination of the Exercise Price or the arithmetic calculation of the number of Warrant Shares to be issued pursuant to the terms hereof, the Company shall promptly issue to the Holder the number of Warrant Shares that are not disputed and resolve such dispute in accordance with Section </w:t>
      </w:r>
      <w:r>
        <w:rPr>
          <w:rFonts w:ascii="Arial" w:cs="Arial" w:eastAsia="Arial" w:hAnsi="Arial"/>
          <w:sz w:val="21"/>
          <w:szCs w:val="21"/>
          <w:b w:val="1"/>
          <w:bCs w:val="1"/>
          <w:color w:val="auto"/>
        </w:rPr>
        <w:t>‎</w:t>
      </w:r>
      <w:r>
        <w:rPr>
          <w:rFonts w:ascii="Arial" w:cs="Arial" w:eastAsia="Arial" w:hAnsi="Arial"/>
          <w:sz w:val="18"/>
          <w:szCs w:val="18"/>
          <w:color w:val="auto"/>
        </w:rPr>
        <w:t>12.</w:t>
      </w:r>
    </w:p>
    <w:p>
      <w:pPr>
        <w:spacing w:after="0" w:line="172" w:lineRule="exact"/>
        <w:rPr>
          <w:rFonts w:ascii="Arial" w:cs="Arial" w:eastAsia="Arial" w:hAnsi="Arial"/>
          <w:sz w:val="18"/>
          <w:szCs w:val="18"/>
          <w:color w:val="auto"/>
        </w:rPr>
      </w:pPr>
    </w:p>
    <w:p>
      <w:pPr>
        <w:jc w:val="both"/>
        <w:ind w:firstLine="1952"/>
        <w:spacing w:after="0" w:line="281" w:lineRule="auto"/>
        <w:tabs>
          <w:tab w:leader="none" w:pos="2203" w:val="left"/>
        </w:tabs>
        <w:numPr>
          <w:ilvl w:val="1"/>
          <w:numId w:val="246"/>
        </w:numPr>
        <w:rPr>
          <w:rFonts w:ascii="Arial" w:cs="Arial" w:eastAsia="Arial" w:hAnsi="Arial"/>
          <w:sz w:val="16"/>
          <w:szCs w:val="16"/>
          <w:color w:val="auto"/>
        </w:rPr>
      </w:pPr>
      <w:r>
        <w:rPr>
          <w:rFonts w:ascii="Arial" w:cs="Arial" w:eastAsia="Arial" w:hAnsi="Arial"/>
          <w:sz w:val="16"/>
          <w:szCs w:val="16"/>
          <w:u w:val="single" w:color="auto"/>
          <w:color w:val="auto"/>
        </w:rPr>
        <w:t>Limitations on Exercises</w:t>
      </w:r>
      <w:r>
        <w:rPr>
          <w:rFonts w:ascii="Arial" w:cs="Arial" w:eastAsia="Arial" w:hAnsi="Arial"/>
          <w:sz w:val="16"/>
          <w:szCs w:val="16"/>
          <w:color w:val="auto"/>
        </w:rPr>
        <w:t>. Notwithstanding anything to the contrary contained herein, the Company shall not effect the exercise of any portion of this Warrant, and the Holder shall not have the right to exercise any portion of this Warrant, pursuant to the terms and conditions of this Warrant and any such exercise shall be null and void and treated as if never made, to the extent that after giving effect to such exercise, the Holder together with the other Attribution Parties collectively would beneficially own in excess of 4.99% (the “</w:t>
      </w:r>
      <w:r>
        <w:rPr>
          <w:rFonts w:ascii="Arial" w:cs="Arial" w:eastAsia="Arial" w:hAnsi="Arial"/>
          <w:sz w:val="16"/>
          <w:szCs w:val="16"/>
          <w:b w:val="1"/>
          <w:bCs w:val="1"/>
          <w:color w:val="auto"/>
        </w:rPr>
        <w:t>Maximum Percentage</w:t>
      </w:r>
      <w:r>
        <w:rPr>
          <w:rFonts w:ascii="Arial" w:cs="Arial" w:eastAsia="Arial" w:hAnsi="Arial"/>
          <w:sz w:val="16"/>
          <w:szCs w:val="16"/>
          <w:color w:val="auto"/>
        </w:rPr>
        <w:t xml:space="preserve">”) of the number of shares of Common Stock outstanding immediately after giving effect to such exercise. For purposes of the foregoing sentence, the aggregate number of shares of Common Stock beneficially owned by the Holder and the other Attribution Parties shall include the number of shares of Common Stock held by the Holder and all other Attribution Parties plus the number of shares of Common Stock issuable upon exercise of this Warrant with respect to which the determination of such sentence is being made, but shall exclude the number of shares of Common Stock which would be issuable upon (A) exercise of the remaining, unexercised portion of this Warrant beneficially owned by the Holder or any of the other Attribution Parties and (B) exercise or conversion of the unexercised or unconverted portion of any other securities of the Company (including, without limitation, any convertible notes or convertible preferred stock or warrants) beneficially owned by the Holder or any other Attribution Party subject to a limitation on conversion or exercise analogous to the limitation contained in this Section </w:t>
      </w:r>
      <w:r>
        <w:rPr>
          <w:rFonts w:ascii="Arial" w:cs="Arial" w:eastAsia="Arial" w:hAnsi="Arial"/>
          <w:sz w:val="19"/>
          <w:szCs w:val="19"/>
          <w:b w:val="1"/>
          <w:bCs w:val="1"/>
          <w:color w:val="auto"/>
        </w:rPr>
        <w:t>‎</w:t>
      </w:r>
      <w:r>
        <w:rPr>
          <w:rFonts w:ascii="Arial" w:cs="Arial" w:eastAsia="Arial" w:hAnsi="Arial"/>
          <w:sz w:val="16"/>
          <w:szCs w:val="16"/>
          <w:color w:val="auto"/>
        </w:rPr>
        <w:t xml:space="preserve">1(f). For purposes of this Section </w:t>
      </w:r>
      <w:r>
        <w:rPr>
          <w:rFonts w:ascii="Arial" w:cs="Arial" w:eastAsia="Arial" w:hAnsi="Arial"/>
          <w:sz w:val="19"/>
          <w:szCs w:val="19"/>
          <w:b w:val="1"/>
          <w:bCs w:val="1"/>
          <w:color w:val="auto"/>
        </w:rPr>
        <w:t>‎</w:t>
      </w:r>
      <w:r>
        <w:rPr>
          <w:rFonts w:ascii="Arial" w:cs="Arial" w:eastAsia="Arial" w:hAnsi="Arial"/>
          <w:sz w:val="16"/>
          <w:szCs w:val="16"/>
          <w:color w:val="auto"/>
        </w:rPr>
        <w:t>1(f), beneficial ownership shall be calculated in accordance with Section 13(d) of the Securities Exchange Act of 1934, as amended (the “</w:t>
      </w:r>
      <w:r>
        <w:rPr>
          <w:rFonts w:ascii="Arial" w:cs="Arial" w:eastAsia="Arial" w:hAnsi="Arial"/>
          <w:sz w:val="16"/>
          <w:szCs w:val="16"/>
          <w:b w:val="1"/>
          <w:bCs w:val="1"/>
          <w:color w:val="auto"/>
        </w:rPr>
        <w:t>Exchange Act</w:t>
      </w:r>
      <w:r>
        <w:rPr>
          <w:rFonts w:ascii="Arial" w:cs="Arial" w:eastAsia="Arial" w:hAnsi="Arial"/>
          <w:sz w:val="16"/>
          <w:szCs w:val="16"/>
          <w:color w:val="auto"/>
        </w:rPr>
        <w:t>”). For purposes of this Warrant, in determining the number of outstanding shares of Common Stock the Holder may acquire upon the exercise of this Warrant without exceeding the Maximum Percentage, the Holder may rely on the number of outstanding shares of Common Stock as reflected in (x) the Company’s most recent Annual Report on Form 10-K, Quarterly Report on Form 10-Q, Current Report on Form 8-K or other public filing with the Securities and Exchange Commission (the “</w:t>
      </w:r>
      <w:r>
        <w:rPr>
          <w:rFonts w:ascii="Arial" w:cs="Arial" w:eastAsia="Arial" w:hAnsi="Arial"/>
          <w:sz w:val="16"/>
          <w:szCs w:val="16"/>
          <w:b w:val="1"/>
          <w:bCs w:val="1"/>
          <w:color w:val="auto"/>
        </w:rPr>
        <w:t>SEC</w:t>
      </w:r>
      <w:r>
        <w:rPr>
          <w:rFonts w:ascii="Arial" w:cs="Arial" w:eastAsia="Arial" w:hAnsi="Arial"/>
          <w:sz w:val="16"/>
          <w:szCs w:val="16"/>
          <w:color w:val="auto"/>
        </w:rPr>
        <w:t>”), as the case may be, (y) a more recent public announcement by the Company or (z) any other written notice by the Company or the Transfer Agent, if any, setting forth the number of shares of Common Stock outstanding (the “</w:t>
      </w:r>
      <w:r>
        <w:rPr>
          <w:rFonts w:ascii="Arial" w:cs="Arial" w:eastAsia="Arial" w:hAnsi="Arial"/>
          <w:sz w:val="16"/>
          <w:szCs w:val="16"/>
          <w:b w:val="1"/>
          <w:bCs w:val="1"/>
          <w:color w:val="auto"/>
        </w:rPr>
        <w:t>Reported Outstanding Share Number</w:t>
      </w:r>
      <w:r>
        <w:rPr>
          <w:rFonts w:ascii="Arial" w:cs="Arial" w:eastAsia="Arial" w:hAnsi="Arial"/>
          <w:sz w:val="16"/>
          <w:szCs w:val="16"/>
          <w:color w:val="auto"/>
        </w:rPr>
        <w:t>”). If the Company receives an Exercise Notice from the Holder at a time when the actual number of outstanding shares of Common Stock is less than the Reported Outstanding Share Number, the Company shall (i) notify the Holder in writing of the number of shares of Common Stock then outstanding and, to the extent that such Exercise Notice would otherwise cause the Holder’s beneficial ownership, as determined pursuant to this Section 1(f),</w:t>
      </w:r>
      <w:r>
        <w:rPr>
          <w:rFonts w:ascii="Arial" w:cs="Arial" w:eastAsia="Arial" w:hAnsi="Arial"/>
          <w:sz w:val="16"/>
          <w:szCs w:val="16"/>
          <w:b w:val="1"/>
          <w:bCs w:val="1"/>
          <w:color w:val="auto"/>
        </w:rPr>
        <w:t>‎</w:t>
      </w:r>
      <w:r>
        <w:rPr>
          <w:rFonts w:ascii="Arial" w:cs="Arial" w:eastAsia="Arial" w:hAnsi="Arial"/>
          <w:sz w:val="16"/>
          <w:szCs w:val="16"/>
          <w:color w:val="auto"/>
        </w:rPr>
        <w:t xml:space="preserve"> to exceed the Maximum Percentage, the Holder must notify the Company of a reduced number of Warrant Shares to be purchased pursuant to such Exercise Notice (the number of shares by which such purchase is reduced, the “</w:t>
      </w:r>
      <w:r>
        <w:rPr>
          <w:rFonts w:ascii="Arial" w:cs="Arial" w:eastAsia="Arial" w:hAnsi="Arial"/>
          <w:sz w:val="16"/>
          <w:szCs w:val="16"/>
          <w:b w:val="1"/>
          <w:bCs w:val="1"/>
          <w:color w:val="auto"/>
        </w:rPr>
        <w:t>Reduction Shares</w:t>
      </w:r>
      <w:r>
        <w:rPr>
          <w:rFonts w:ascii="Arial" w:cs="Arial" w:eastAsia="Arial" w:hAnsi="Arial"/>
          <w:sz w:val="16"/>
          <w:szCs w:val="16"/>
          <w:color w:val="auto"/>
        </w:rPr>
        <w:t>”) and</w:t>
      </w:r>
    </w:p>
    <w:p>
      <w:pPr>
        <w:spacing w:after="0" w:line="13" w:lineRule="exact"/>
        <w:rPr>
          <w:rFonts w:ascii="Arial" w:cs="Arial" w:eastAsia="Arial" w:hAnsi="Arial"/>
          <w:sz w:val="16"/>
          <w:szCs w:val="16"/>
          <w:color w:val="auto"/>
        </w:rPr>
      </w:pPr>
    </w:p>
    <w:p>
      <w:pPr>
        <w:jc w:val="both"/>
        <w:ind w:firstLine="8"/>
        <w:spacing w:after="0" w:line="282" w:lineRule="auto"/>
        <w:tabs>
          <w:tab w:leader="none" w:pos="283" w:val="left"/>
        </w:tabs>
        <w:numPr>
          <w:ilvl w:val="0"/>
          <w:numId w:val="247"/>
        </w:numPr>
        <w:rPr>
          <w:rFonts w:ascii="Arial" w:cs="Arial" w:eastAsia="Arial" w:hAnsi="Arial"/>
          <w:sz w:val="16"/>
          <w:szCs w:val="16"/>
          <w:color w:val="auto"/>
        </w:rPr>
      </w:pPr>
      <w:r>
        <w:rPr>
          <w:rFonts w:ascii="Arial" w:cs="Arial" w:eastAsia="Arial" w:hAnsi="Arial"/>
          <w:sz w:val="16"/>
          <w:szCs w:val="16"/>
          <w:color w:val="auto"/>
        </w:rPr>
        <w:t>as soon as reasonably practicable, the Company shall return to the Holder any exercise price paid by the Holder for the Reduction Shares. For any reason at any time, upon the written or oral request of the Holder, the Company shall within one (1) Business Day confirm orally and in writing or by electronic mail to the Holder the number of shares of Common Stock then outstanding. In any case, the number of outstanding shares of Common Stock shall be determined after giving effect to the conversion or exercise of securities of the Company, including this Warrant, by the Holder and any other Attribution Party since the date as of which the Reported Outstanding Share Number was reported. In the event that the issuance of shares of Common Stock to the Holder upon exercise of this Warrant results in the Holder and the other Attribution Parties being deemed to beneficially own, in the aggregate, more than the Maximum Percentage of the number of outstanding shares of Common Stock (as determined under Section 13(d) of the Exchange Act), the number of shares so issued by which the Holder’s and the other Attribution Parties’ aggregate beneficial ownership exceeds the Maximum Percentage (the “</w:t>
      </w:r>
      <w:r>
        <w:rPr>
          <w:rFonts w:ascii="Arial" w:cs="Arial" w:eastAsia="Arial" w:hAnsi="Arial"/>
          <w:sz w:val="16"/>
          <w:szCs w:val="16"/>
          <w:b w:val="1"/>
          <w:bCs w:val="1"/>
          <w:color w:val="auto"/>
        </w:rPr>
        <w:t>Excess Shares</w:t>
      </w:r>
      <w:r>
        <w:rPr>
          <w:rFonts w:ascii="Arial" w:cs="Arial" w:eastAsia="Arial" w:hAnsi="Arial"/>
          <w:sz w:val="16"/>
          <w:szCs w:val="16"/>
          <w:color w:val="auto"/>
        </w:rPr>
        <w:t xml:space="preserve">”) shall be deemed null and void and shall be cancelled ab initio, and the Holder shall not have the power to vote or to transfer the Excess Shares. As soon as reasonably practicable after the issuance of the Excess Shares has been deemed null and void, the Company shall return to the Holder the exercise price paid by the Holder for the Excess Shares. Upon delivery of a written notice to the Company, the Holder may from time to time increase (with such increase not effective until the sixty-first (61st) day after delivery of such notice) or decrease the Maximum Percentage to any other percentage not in excess of 9.99% as specified in such notice; provided that (i) any such increase in the Maximum Percentage will not be effective until the sixty-first (61st) day after such notice is delivered to the Company and (ii) any such increase or decrease will apply only to the Holder and the other Attribution Parties and not to any other holder that is not an Attribution Party of the Holder. For purposes of clarity, the shares of Common Stock issuable pursuant to the terms of this Warrant in excess of the Maximum Percentage shall not be deemed to be beneficially owned by the Holder for any purpose including for purposes of Section 13(d) or Rule 16a-1(a)(1) of the Exchange Act. No prior inability to exercise this Warrant pursuant to this paragraph shall have any effect on the applicability of the provisions of this paragraph with respect to any subsequent determination of exercisability. The provisions of this paragraph shall be construed and implemented in a manner otherwise than in strict conformity with the terms of this Section </w:t>
      </w:r>
      <w:r>
        <w:rPr>
          <w:rFonts w:ascii="Arial" w:cs="Arial" w:eastAsia="Arial" w:hAnsi="Arial"/>
          <w:sz w:val="19"/>
          <w:szCs w:val="19"/>
          <w:b w:val="1"/>
          <w:bCs w:val="1"/>
          <w:color w:val="auto"/>
        </w:rPr>
        <w:t>‎</w:t>
      </w:r>
      <w:r>
        <w:rPr>
          <w:rFonts w:ascii="Arial" w:cs="Arial" w:eastAsia="Arial" w:hAnsi="Arial"/>
          <w:sz w:val="16"/>
          <w:szCs w:val="16"/>
          <w:color w:val="auto"/>
        </w:rPr>
        <w:t xml:space="preserve">1(f) to the extent necessary to correct this paragraph or any portion of this paragraph which may be defective or inconsistent with the intended beneficial ownership limitation contained in this Section </w:t>
      </w:r>
      <w:r>
        <w:rPr>
          <w:rFonts w:ascii="Arial" w:cs="Arial" w:eastAsia="Arial" w:hAnsi="Arial"/>
          <w:sz w:val="19"/>
          <w:szCs w:val="19"/>
          <w:b w:val="1"/>
          <w:bCs w:val="1"/>
          <w:color w:val="auto"/>
        </w:rPr>
        <w:t>‎</w:t>
      </w:r>
      <w:r>
        <w:rPr>
          <w:rFonts w:ascii="Arial" w:cs="Arial" w:eastAsia="Arial" w:hAnsi="Arial"/>
          <w:sz w:val="16"/>
          <w:szCs w:val="16"/>
          <w:color w:val="auto"/>
        </w:rPr>
        <w:t>1(f) or to make changes or supplements necessary or desirable to properly give effect to such limitation. The limitation contained in this paragraph may not be waived and shall apply to a successor holder of this Warrant.</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43" w:name="page244"/>
    <w:bookmarkEnd w:id="243"/>
    <w:p>
      <w:pPr>
        <w:jc w:val="both"/>
        <w:ind w:firstLine="1952"/>
        <w:spacing w:after="0" w:line="285" w:lineRule="auto"/>
        <w:tabs>
          <w:tab w:leader="none" w:pos="2201" w:val="left"/>
        </w:tabs>
        <w:numPr>
          <w:ilvl w:val="1"/>
          <w:numId w:val="248"/>
        </w:numPr>
        <w:rPr>
          <w:rFonts w:ascii="Arial" w:cs="Arial" w:eastAsia="Arial" w:hAnsi="Arial"/>
          <w:sz w:val="16"/>
          <w:szCs w:val="16"/>
          <w:color w:val="auto"/>
        </w:rPr>
      </w:pPr>
      <w:r>
        <w:rPr>
          <w:rFonts w:ascii="Arial" w:cs="Arial" w:eastAsia="Arial" w:hAnsi="Arial"/>
          <w:sz w:val="16"/>
          <w:szCs w:val="16"/>
          <w:u w:val="single" w:color="auto"/>
          <w:color w:val="auto"/>
        </w:rPr>
        <w:t>Insufficient Authorized Shares</w:t>
      </w:r>
      <w:r>
        <w:rPr>
          <w:rFonts w:ascii="Arial" w:cs="Arial" w:eastAsia="Arial" w:hAnsi="Arial"/>
          <w:sz w:val="16"/>
          <w:szCs w:val="16"/>
          <w:color w:val="auto"/>
        </w:rPr>
        <w:t>. If at any time while this Warrant remains outstanding the Company does not have a sufficient number of authorized and unreserved shares of Common Stock to satisfy its obligation to reserve for issuance upon exercise of this Warrant at least a number of shares of Common Stock equal to the number of shares of Common Stock as shall from time to time be necessary to effect the exercise of all of this Warrant then outstanding (the “</w:t>
      </w:r>
      <w:r>
        <w:rPr>
          <w:rFonts w:ascii="Arial" w:cs="Arial" w:eastAsia="Arial" w:hAnsi="Arial"/>
          <w:sz w:val="16"/>
          <w:szCs w:val="16"/>
          <w:b w:val="1"/>
          <w:bCs w:val="1"/>
          <w:color w:val="auto"/>
        </w:rPr>
        <w:t>Required Reserve Amount</w:t>
      </w:r>
      <w:r>
        <w:rPr>
          <w:rFonts w:ascii="Arial" w:cs="Arial" w:eastAsia="Arial" w:hAnsi="Arial"/>
          <w:sz w:val="16"/>
          <w:szCs w:val="16"/>
          <w:color w:val="auto"/>
        </w:rPr>
        <w:t>” and the failure to have such sufficient number of authorized and unreserved shares of Common Stock, an “</w:t>
      </w:r>
      <w:r>
        <w:rPr>
          <w:rFonts w:ascii="Arial" w:cs="Arial" w:eastAsia="Arial" w:hAnsi="Arial"/>
          <w:sz w:val="16"/>
          <w:szCs w:val="16"/>
          <w:b w:val="1"/>
          <w:bCs w:val="1"/>
          <w:color w:val="auto"/>
        </w:rPr>
        <w:t>Authorized Share Failure</w:t>
      </w:r>
      <w:r>
        <w:rPr>
          <w:rFonts w:ascii="Arial" w:cs="Arial" w:eastAsia="Arial" w:hAnsi="Arial"/>
          <w:sz w:val="16"/>
          <w:szCs w:val="16"/>
          <w:color w:val="auto"/>
        </w:rPr>
        <w:t>”), then the Company shall as soon as reasonably practicable take all action necessary to increase the Company’s authorized shares of Common Stock to an amount sufficient to allow the Company to reserve the Required Reserve Amount for this Warrant then outstanding. Without limiting the generality of the foregoing sentence, as soon as reasonably practicable after the date of the occurrence of an Authorized Share Failure, but in no event later than seventy-five (75) days after the occurrence of such Authorized Share Failure, the Company shall hold a meeting of its stockholders for the approval of an increase in the number of authorized shares of Common Stock. In connection with such meeting, the Company shall provide each stockholder with a proxy statement and shall use its reasonable best efforts to solicit its stockholders’ approval of such increase in authorized shares of Common Stock and to cause its board of directors to recommend to the stockholders that they approve such proposal. In the event that the Company is prohibited from issuing shares of Common Stock upon an exercise of this Warrant due to the failure by the Company to have sufficient shares of Common Stock available out of the authorized but unissued shares of Common Stock (such unavailable number of shares of Common Stock, the “</w:t>
      </w:r>
      <w:r>
        <w:rPr>
          <w:rFonts w:ascii="Arial" w:cs="Arial" w:eastAsia="Arial" w:hAnsi="Arial"/>
          <w:sz w:val="16"/>
          <w:szCs w:val="16"/>
          <w:b w:val="1"/>
          <w:bCs w:val="1"/>
          <w:color w:val="auto"/>
        </w:rPr>
        <w:t>Authorization Failure Shares</w:t>
      </w:r>
      <w:r>
        <w:rPr>
          <w:rFonts w:ascii="Arial" w:cs="Arial" w:eastAsia="Arial" w:hAnsi="Arial"/>
          <w:sz w:val="16"/>
          <w:szCs w:val="16"/>
          <w:color w:val="auto"/>
        </w:rPr>
        <w:t xml:space="preserve">”), in lieu of delivering such Authorization Failure Shares to the Holder, the Company shall pay cash in exchange for the cancellation of such portion of this Warrant exercisable into such Authorization Failure Shares at a price equal to the sum of (i) the product of (x) such number of Authorization Failure Shares and (y) the Closing Sale Price of the Common Stock on the date the Holder delivers the applicable Exercise Notice with respect to such Authorization Failure Shares to the Company; and (ii) to the extent the Holder purchases (in an open market transaction or otherwise) shares of Common Stock to deliver in satisfaction of a sale by the Holder of Authorization Failure Shares, any Buy-In Payment Amount, brokerage commissions and other out-of-pocket expenses, if any, of the Holder incurred in connection therewith. Nothing contained in this Section </w:t>
      </w:r>
      <w:r>
        <w:rPr>
          <w:rFonts w:ascii="Arial" w:cs="Arial" w:eastAsia="Arial" w:hAnsi="Arial"/>
          <w:sz w:val="19"/>
          <w:szCs w:val="19"/>
          <w:b w:val="1"/>
          <w:bCs w:val="1"/>
          <w:color w:val="auto"/>
        </w:rPr>
        <w:t>‎</w:t>
      </w:r>
      <w:r>
        <w:rPr>
          <w:rFonts w:ascii="Arial" w:cs="Arial" w:eastAsia="Arial" w:hAnsi="Arial"/>
          <w:sz w:val="16"/>
          <w:szCs w:val="16"/>
          <w:color w:val="auto"/>
        </w:rPr>
        <w:t>1(g) shall limit any obligations of the Company under any provision of the Credit Agreement.</w:t>
      </w:r>
    </w:p>
    <w:p>
      <w:pPr>
        <w:spacing w:after="0" w:line="152" w:lineRule="exact"/>
        <w:rPr>
          <w:rFonts w:ascii="Arial" w:cs="Arial" w:eastAsia="Arial" w:hAnsi="Arial"/>
          <w:sz w:val="16"/>
          <w:szCs w:val="16"/>
          <w:color w:val="auto"/>
        </w:rPr>
      </w:pPr>
    </w:p>
    <w:p>
      <w:pPr>
        <w:ind w:firstLine="1304"/>
        <w:spacing w:after="0" w:line="277" w:lineRule="auto"/>
        <w:tabs>
          <w:tab w:leader="none" w:pos="1481" w:val="left"/>
        </w:tabs>
        <w:numPr>
          <w:ilvl w:val="0"/>
          <w:numId w:val="249"/>
        </w:numPr>
        <w:rPr>
          <w:rFonts w:ascii="Arial" w:cs="Arial" w:eastAsia="Arial" w:hAnsi="Arial"/>
          <w:sz w:val="18"/>
          <w:szCs w:val="18"/>
          <w:color w:val="auto"/>
        </w:rPr>
      </w:pPr>
      <w:r>
        <w:rPr>
          <w:rFonts w:ascii="Arial" w:cs="Arial" w:eastAsia="Arial" w:hAnsi="Arial"/>
          <w:sz w:val="18"/>
          <w:szCs w:val="18"/>
          <w:u w:val="single" w:color="auto"/>
          <w:color w:val="auto"/>
        </w:rPr>
        <w:t>ADJUSTMENT OF EXERCISE PRICE AND NUMBER OF WARRANT SHARES</w:t>
      </w:r>
      <w:r>
        <w:rPr>
          <w:rFonts w:ascii="Arial" w:cs="Arial" w:eastAsia="Arial" w:hAnsi="Arial"/>
          <w:sz w:val="18"/>
          <w:szCs w:val="18"/>
          <w:color w:val="auto"/>
        </w:rPr>
        <w:t>. The Exercise Price and the number of Warrant Shares issuable upon exercise of this Warrant are subject to adjustments from time to time as set forth in this Section 2.</w:t>
      </w:r>
    </w:p>
    <w:p>
      <w:pPr>
        <w:spacing w:after="0" w:line="170" w:lineRule="exact"/>
        <w:rPr>
          <w:rFonts w:ascii="Arial" w:cs="Arial" w:eastAsia="Arial" w:hAnsi="Arial"/>
          <w:sz w:val="18"/>
          <w:szCs w:val="18"/>
          <w:color w:val="auto"/>
        </w:rPr>
      </w:pPr>
    </w:p>
    <w:p>
      <w:pPr>
        <w:jc w:val="both"/>
        <w:ind w:firstLine="1952"/>
        <w:spacing w:after="0" w:line="272" w:lineRule="auto"/>
        <w:tabs>
          <w:tab w:leader="none" w:pos="2203" w:val="left"/>
        </w:tabs>
        <w:numPr>
          <w:ilvl w:val="1"/>
          <w:numId w:val="249"/>
        </w:numPr>
        <w:rPr>
          <w:rFonts w:ascii="Arial" w:cs="Arial" w:eastAsia="Arial" w:hAnsi="Arial"/>
          <w:sz w:val="17"/>
          <w:szCs w:val="17"/>
          <w:color w:val="auto"/>
        </w:rPr>
      </w:pPr>
      <w:r>
        <w:rPr>
          <w:rFonts w:ascii="Arial" w:cs="Arial" w:eastAsia="Arial" w:hAnsi="Arial"/>
          <w:sz w:val="17"/>
          <w:szCs w:val="17"/>
          <w:u w:val="single" w:color="auto"/>
          <w:color w:val="auto"/>
        </w:rPr>
        <w:t>Adjustment Upon Subdivision or Combination of Shares of Common Stock</w:t>
      </w:r>
      <w:r>
        <w:rPr>
          <w:rFonts w:ascii="Arial" w:cs="Arial" w:eastAsia="Arial" w:hAnsi="Arial"/>
          <w:sz w:val="17"/>
          <w:szCs w:val="17"/>
          <w:color w:val="auto"/>
        </w:rPr>
        <w:t>. If the Company at any time on or after the Issuance Date subdivides (by any stock split, stock dividend, recapitalization or otherwise) one or more classes of its outstanding shares of Common Stock into a greater number of shares, the Exercise Price in effect immediately prior to such subdivision will be proportionately reduced and the number of Warrant Shares will be proportionately increased. If the Company at any time on or after the Issuance Date combines (by combination, reverse stock split or otherwise) one or more classes of its outstanding shares of Common Stock into a smaller number of shares, the Exercise Price in effect immediately prior to such combination will be proportionately increased and the number of Warrant Shares will be proportionately decreased. Any adjustment under this Section 2(a) shall become effective at the close of business on the date the subdivision or combination becomes effective.</w:t>
      </w:r>
    </w:p>
    <w:p>
      <w:pPr>
        <w:spacing w:after="0" w:line="204" w:lineRule="exact"/>
        <w:rPr>
          <w:rFonts w:ascii="Arial" w:cs="Arial" w:eastAsia="Arial" w:hAnsi="Arial"/>
          <w:sz w:val="17"/>
          <w:szCs w:val="17"/>
          <w:color w:val="auto"/>
        </w:rPr>
      </w:pPr>
    </w:p>
    <w:p>
      <w:pPr>
        <w:jc w:val="both"/>
        <w:ind w:firstLine="1952"/>
        <w:spacing w:after="0" w:line="279" w:lineRule="auto"/>
        <w:tabs>
          <w:tab w:leader="none" w:pos="2200" w:val="left"/>
        </w:tabs>
        <w:numPr>
          <w:ilvl w:val="1"/>
          <w:numId w:val="249"/>
        </w:numPr>
        <w:rPr>
          <w:rFonts w:ascii="Arial" w:cs="Arial" w:eastAsia="Arial" w:hAnsi="Arial"/>
          <w:sz w:val="17"/>
          <w:szCs w:val="17"/>
          <w:color w:val="auto"/>
        </w:rPr>
      </w:pPr>
      <w:r>
        <w:rPr>
          <w:rFonts w:ascii="Arial" w:cs="Arial" w:eastAsia="Arial" w:hAnsi="Arial"/>
          <w:sz w:val="17"/>
          <w:szCs w:val="17"/>
          <w:u w:val="single" w:color="auto"/>
          <w:color w:val="auto"/>
        </w:rPr>
        <w:t>Adjustment to Number of Warrant Shares.</w:t>
      </w:r>
      <w:r>
        <w:rPr>
          <w:rFonts w:ascii="Arial" w:cs="Arial" w:eastAsia="Arial" w:hAnsi="Arial"/>
          <w:sz w:val="17"/>
          <w:szCs w:val="17"/>
          <w:color w:val="auto"/>
        </w:rPr>
        <w:t xml:space="preserve"> Simultaneously with any adjustment to the Exercise Price pursuant to Section 2, the number of Warrant Shares that may be purchased upon exercise of this Warrant shall be increased or decreased proportionately, so that after such adjustment the aggregate Exercise Price payable hereunder for the adjusted number of Warrant Shares shall be the same as the aggregate Exercise Price in effect immediately prior to such adjustment (without regard to any limitations on exercise contained herein).</w:t>
      </w:r>
    </w:p>
    <w:p>
      <w:pPr>
        <w:spacing w:after="0" w:line="171" w:lineRule="exact"/>
        <w:rPr>
          <w:rFonts w:ascii="Arial" w:cs="Arial" w:eastAsia="Arial" w:hAnsi="Arial"/>
          <w:sz w:val="17"/>
          <w:szCs w:val="17"/>
          <w:color w:val="auto"/>
        </w:rPr>
      </w:pPr>
    </w:p>
    <w:p>
      <w:pPr>
        <w:ind w:firstLine="1952"/>
        <w:spacing w:after="0" w:line="277" w:lineRule="auto"/>
        <w:tabs>
          <w:tab w:leader="none" w:pos="2202" w:val="left"/>
        </w:tabs>
        <w:numPr>
          <w:ilvl w:val="1"/>
          <w:numId w:val="249"/>
        </w:numPr>
        <w:rPr>
          <w:rFonts w:ascii="Arial" w:cs="Arial" w:eastAsia="Arial" w:hAnsi="Arial"/>
          <w:sz w:val="18"/>
          <w:szCs w:val="18"/>
          <w:color w:val="auto"/>
        </w:rPr>
      </w:pPr>
      <w:r>
        <w:rPr>
          <w:rFonts w:ascii="Arial" w:cs="Arial" w:eastAsia="Arial" w:hAnsi="Arial"/>
          <w:sz w:val="18"/>
          <w:szCs w:val="18"/>
          <w:u w:val="single" w:color="auto"/>
          <w:color w:val="auto"/>
        </w:rPr>
        <w:t>Par Value</w:t>
      </w:r>
      <w:r>
        <w:rPr>
          <w:rFonts w:ascii="Arial" w:cs="Arial" w:eastAsia="Arial" w:hAnsi="Arial"/>
          <w:sz w:val="18"/>
          <w:szCs w:val="18"/>
          <w:color w:val="auto"/>
        </w:rPr>
        <w:t>. Notwithstanding anything to the contrary in this Warrant, in no event shall the Exercise Price be reduced below the par value of the Company’s Common Stock.</w:t>
      </w:r>
    </w:p>
    <w:p>
      <w:pPr>
        <w:spacing w:after="0" w:line="170" w:lineRule="exact"/>
        <w:rPr>
          <w:rFonts w:ascii="Arial" w:cs="Arial" w:eastAsia="Arial" w:hAnsi="Arial"/>
          <w:sz w:val="18"/>
          <w:szCs w:val="18"/>
          <w:color w:val="auto"/>
        </w:rPr>
      </w:pPr>
    </w:p>
    <w:p>
      <w:pPr>
        <w:jc w:val="both"/>
        <w:ind w:firstLine="1952"/>
        <w:spacing w:after="0" w:line="263" w:lineRule="auto"/>
        <w:tabs>
          <w:tab w:leader="none" w:pos="2205" w:val="left"/>
        </w:tabs>
        <w:numPr>
          <w:ilvl w:val="1"/>
          <w:numId w:val="249"/>
        </w:numPr>
        <w:rPr>
          <w:rFonts w:ascii="Arial" w:cs="Arial" w:eastAsia="Arial" w:hAnsi="Arial"/>
          <w:sz w:val="18"/>
          <w:szCs w:val="18"/>
          <w:color w:val="auto"/>
        </w:rPr>
      </w:pPr>
      <w:r>
        <w:rPr>
          <w:rFonts w:ascii="Arial" w:cs="Arial" w:eastAsia="Arial" w:hAnsi="Arial"/>
          <w:sz w:val="18"/>
          <w:szCs w:val="18"/>
          <w:u w:val="single" w:color="auto"/>
          <w:color w:val="auto"/>
        </w:rPr>
        <w:t>Voluntary Adjustment by Company</w:t>
      </w:r>
      <w:r>
        <w:rPr>
          <w:rFonts w:ascii="Arial" w:cs="Arial" w:eastAsia="Arial" w:hAnsi="Arial"/>
          <w:sz w:val="18"/>
          <w:szCs w:val="18"/>
          <w:color w:val="auto"/>
        </w:rPr>
        <w:t>. Subject to Section 2(c), the Company may at any time during the term of this Warrant, with prior written notice to the Holder, reduce the then current Exercise Price to any amount and for any period of time deemed appropriate by the board of directors of the Company.</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44" w:name="page245"/>
    <w:bookmarkEnd w:id="244"/>
    <w:p>
      <w:pPr>
        <w:jc w:val="both"/>
        <w:ind w:firstLine="1304"/>
        <w:spacing w:after="0" w:line="268" w:lineRule="auto"/>
        <w:tabs>
          <w:tab w:leader="none" w:pos="1497" w:val="left"/>
        </w:tabs>
        <w:numPr>
          <w:ilvl w:val="0"/>
          <w:numId w:val="250"/>
        </w:numPr>
        <w:rPr>
          <w:rFonts w:ascii="Arial" w:cs="Arial" w:eastAsia="Arial" w:hAnsi="Arial"/>
          <w:sz w:val="17"/>
          <w:szCs w:val="17"/>
          <w:color w:val="auto"/>
        </w:rPr>
      </w:pPr>
      <w:r>
        <w:rPr>
          <w:rFonts w:ascii="Arial" w:cs="Arial" w:eastAsia="Arial" w:hAnsi="Arial"/>
          <w:sz w:val="17"/>
          <w:szCs w:val="17"/>
          <w:u w:val="single" w:color="auto"/>
          <w:color w:val="auto"/>
        </w:rPr>
        <w:t>RIGHTS UPON DISTRIBUTION OF ASSETS</w:t>
      </w:r>
      <w:r>
        <w:rPr>
          <w:rFonts w:ascii="Arial" w:cs="Arial" w:eastAsia="Arial" w:hAnsi="Arial"/>
          <w:sz w:val="17"/>
          <w:szCs w:val="17"/>
          <w:color w:val="auto"/>
        </w:rPr>
        <w:t xml:space="preserve">. In addition to any adjustments pursuant to Section </w:t>
      </w:r>
      <w:r>
        <w:rPr>
          <w:rFonts w:ascii="Arial" w:cs="Arial" w:eastAsia="Arial" w:hAnsi="Arial"/>
          <w:sz w:val="20"/>
          <w:szCs w:val="20"/>
          <w:b w:val="1"/>
          <w:bCs w:val="1"/>
          <w:color w:val="auto"/>
        </w:rPr>
        <w:t>‎</w:t>
      </w:r>
      <w:r>
        <w:rPr>
          <w:rFonts w:ascii="Arial" w:cs="Arial" w:eastAsia="Arial" w:hAnsi="Arial"/>
          <w:sz w:val="17"/>
          <w:szCs w:val="17"/>
          <w:color w:val="auto"/>
        </w:rPr>
        <w:t>2 above, if the Company shall declare or make any dividend or other distribution of its assets (or rights to acquire its assets) to holders of shares of Common Stock, by way of return of capital or otherwise (including, without limitation, any distribution of cash, stock or other securities, property, options, evidence of indebtedness or any other assets by way of a dividend, spin off, reclassification, corporate rearrangement, scheme of arrangement or other similar transaction) (a “</w:t>
      </w:r>
      <w:r>
        <w:rPr>
          <w:rFonts w:ascii="Arial" w:cs="Arial" w:eastAsia="Arial" w:hAnsi="Arial"/>
          <w:sz w:val="17"/>
          <w:szCs w:val="17"/>
          <w:b w:val="1"/>
          <w:bCs w:val="1"/>
          <w:color w:val="auto"/>
        </w:rPr>
        <w:t>Distribution</w:t>
      </w:r>
      <w:r>
        <w:rPr>
          <w:rFonts w:ascii="Arial" w:cs="Arial" w:eastAsia="Arial" w:hAnsi="Arial"/>
          <w:sz w:val="17"/>
          <w:szCs w:val="17"/>
          <w:color w:val="auto"/>
        </w:rPr>
        <w:t>”), at any time after the issuance of this Warrant, then, in each such case, the Holder shall be entitled to participate in such Distribution to the same extent that the Holder would have participated therein if the Holder had held the number of shares of Common Stock acquirable upon complete exercise of this Warrant (without regard to any limitations or restrictions on exercise of this Warrant, including without limitation, the Maximum Percentage) immediately before the date on which a record is taken for such Distribution, or, if no such record is taken, the date as of which the record holders of shares of Common Stock are to be determined for the participation in such Distribution (provided, however, that to the extent that the Holder’s right to participate in any such Distribution would result in the Holder and the other Attribution Parties exceeding the Maximum Percentage, then the Holder shall not be entitled to participate in such Distribution to the extent of the Maximum Percentage (and shall not be entitled to beneficial ownership of such shares of Common Stock as a result of such Distribution (and beneficial ownership) to the extent of any such excess) and the portion of such Distribution shall be held in abeyance for the benefit of the Holder until such time or times, if ever, as its right thereto would not result in the Holder and the other Attribution Parties exceeding the Maximum Percentage, at which time or times the Holder shall be granted such Distribution (and any Distributions declared or made on such initial Distribution or on any subsequent Distribution held similarly in abeyance) to the same extent as if there had been no such limitation).</w:t>
      </w:r>
    </w:p>
    <w:p>
      <w:pPr>
        <w:spacing w:after="0" w:line="181" w:lineRule="exact"/>
        <w:rPr>
          <w:rFonts w:ascii="Arial" w:cs="Arial" w:eastAsia="Arial" w:hAnsi="Arial"/>
          <w:sz w:val="17"/>
          <w:szCs w:val="17"/>
          <w:color w:val="auto"/>
        </w:rPr>
      </w:pPr>
    </w:p>
    <w:p>
      <w:pPr>
        <w:ind w:left="1480" w:hanging="176"/>
        <w:spacing w:after="0"/>
        <w:tabs>
          <w:tab w:leader="none" w:pos="1480" w:val="left"/>
        </w:tabs>
        <w:numPr>
          <w:ilvl w:val="0"/>
          <w:numId w:val="250"/>
        </w:numPr>
        <w:rPr>
          <w:rFonts w:ascii="Arial" w:cs="Arial" w:eastAsia="Arial" w:hAnsi="Arial"/>
          <w:sz w:val="18"/>
          <w:szCs w:val="18"/>
          <w:color w:val="auto"/>
        </w:rPr>
      </w:pPr>
      <w:r>
        <w:rPr>
          <w:rFonts w:ascii="Arial" w:cs="Arial" w:eastAsia="Arial" w:hAnsi="Arial"/>
          <w:sz w:val="18"/>
          <w:szCs w:val="18"/>
          <w:u w:val="single" w:color="auto"/>
          <w:color w:val="auto"/>
        </w:rPr>
        <w:t>PURCHASE RIGHTS; FUNDAMENTAL TRANSACTIONS</w:t>
      </w:r>
      <w:r>
        <w:rPr>
          <w:rFonts w:ascii="Arial" w:cs="Arial" w:eastAsia="Arial" w:hAnsi="Arial"/>
          <w:sz w:val="18"/>
          <w:szCs w:val="18"/>
          <w:color w:val="auto"/>
        </w:rPr>
        <w:t>.</w:t>
      </w:r>
    </w:p>
    <w:p>
      <w:pPr>
        <w:spacing w:after="0" w:line="211" w:lineRule="exact"/>
        <w:rPr>
          <w:rFonts w:ascii="Arial" w:cs="Arial" w:eastAsia="Arial" w:hAnsi="Arial"/>
          <w:sz w:val="18"/>
          <w:szCs w:val="18"/>
          <w:color w:val="auto"/>
        </w:rPr>
      </w:pPr>
    </w:p>
    <w:p>
      <w:pPr>
        <w:jc w:val="both"/>
        <w:ind w:firstLine="1952"/>
        <w:spacing w:after="0" w:line="268" w:lineRule="auto"/>
        <w:tabs>
          <w:tab w:leader="none" w:pos="2204" w:val="left"/>
        </w:tabs>
        <w:numPr>
          <w:ilvl w:val="1"/>
          <w:numId w:val="250"/>
        </w:numPr>
        <w:rPr>
          <w:rFonts w:ascii="Arial" w:cs="Arial" w:eastAsia="Arial" w:hAnsi="Arial"/>
          <w:sz w:val="17"/>
          <w:szCs w:val="17"/>
          <w:color w:val="auto"/>
        </w:rPr>
      </w:pPr>
      <w:r>
        <w:rPr>
          <w:rFonts w:ascii="Arial" w:cs="Arial" w:eastAsia="Arial" w:hAnsi="Arial"/>
          <w:sz w:val="17"/>
          <w:szCs w:val="17"/>
          <w:u w:val="single" w:color="auto"/>
          <w:color w:val="auto"/>
        </w:rPr>
        <w:t>Purchase Rights</w:t>
      </w:r>
      <w:r>
        <w:rPr>
          <w:rFonts w:ascii="Arial" w:cs="Arial" w:eastAsia="Arial" w:hAnsi="Arial"/>
          <w:sz w:val="17"/>
          <w:szCs w:val="17"/>
          <w:color w:val="auto"/>
        </w:rPr>
        <w:t xml:space="preserve">. In addition to any adjustments pursuant to Section </w:t>
      </w:r>
      <w:r>
        <w:rPr>
          <w:rFonts w:ascii="Arial" w:cs="Arial" w:eastAsia="Arial" w:hAnsi="Arial"/>
          <w:sz w:val="20"/>
          <w:szCs w:val="20"/>
          <w:b w:val="1"/>
          <w:bCs w:val="1"/>
          <w:color w:val="auto"/>
        </w:rPr>
        <w:t>‎</w:t>
      </w:r>
      <w:r>
        <w:rPr>
          <w:rFonts w:ascii="Arial" w:cs="Arial" w:eastAsia="Arial" w:hAnsi="Arial"/>
          <w:sz w:val="17"/>
          <w:szCs w:val="17"/>
          <w:color w:val="auto"/>
        </w:rPr>
        <w:t>2 above, if at any time the Company grants, issues or sells any Options, Convertible Securities or rights to purchase stock, warrants, securities or other property pro rata to the record holders of any class of Common Stock (the “</w:t>
      </w:r>
      <w:r>
        <w:rPr>
          <w:rFonts w:ascii="Arial" w:cs="Arial" w:eastAsia="Arial" w:hAnsi="Arial"/>
          <w:sz w:val="17"/>
          <w:szCs w:val="17"/>
          <w:b w:val="1"/>
          <w:bCs w:val="1"/>
          <w:color w:val="auto"/>
        </w:rPr>
        <w:t>Purchase Rights</w:t>
      </w:r>
      <w:r>
        <w:rPr>
          <w:rFonts w:ascii="Arial" w:cs="Arial" w:eastAsia="Arial" w:hAnsi="Arial"/>
          <w:sz w:val="17"/>
          <w:szCs w:val="17"/>
          <w:color w:val="auto"/>
        </w:rPr>
        <w:t>”), then the Holder will be entitled to acquire, upon the terms applicable to such Purchase Rights, the aggregate Purchase Rights which the Holder could have acquired if the Holder had held the number of shares of Common Stock acquirable upon complete exercise of this Warrant (without regard to any limitations or restrictions on exercise of this Warrant, including without limitation, the Maximum Percentage) immediately before the date on which a record is taken for the grant, issuance or sale of such Purchase Rights, or, if no such record is taken, the date as of which the record holders of shares of Common Stock are to be determined for the grant, issuance or sale of such Purchase Rights (provided, however, that to the extent that the Holder’s right to participate in any such Purchase Right would result in the Holder and the other Attribution Parties exceeding the Maximum Percentage, then the Holder shall not be entitled to participate in such Purchase Right to the extent of the Maximum Percentage (and shall not be entitled to beneficial ownership of such shares of Common Stock as a result of such Purchase Right (and beneficial ownership) to the extent of any such excess) and such Purchase Right to such extent shall be held in abeyance for the benefit of the Holder until such time or times, if ever, as its right thereto would not result in the Holder and the other Attribution Parties exceeding the Maximum Percentage, at which time or times the Holder shall be granted such right (and any Purchase Right granted, issued or sold on such initial Purchase Right or on any subsequent Purchase Right held similarly in abeyance) to the same extent as if there had been no such limitation).</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245" w:name="page246"/>
    <w:bookmarkEnd w:id="245"/>
    <w:p>
      <w:pPr>
        <w:ind w:left="2200" w:hanging="248"/>
        <w:spacing w:after="0"/>
        <w:tabs>
          <w:tab w:leader="none" w:pos="2200" w:val="left"/>
        </w:tabs>
        <w:numPr>
          <w:ilvl w:val="0"/>
          <w:numId w:val="251"/>
        </w:numPr>
        <w:rPr>
          <w:rFonts w:ascii="Arial" w:cs="Arial" w:eastAsia="Arial" w:hAnsi="Arial"/>
          <w:sz w:val="18"/>
          <w:szCs w:val="18"/>
          <w:color w:val="auto"/>
        </w:rPr>
      </w:pPr>
      <w:r>
        <w:rPr>
          <w:rFonts w:ascii="Arial" w:cs="Arial" w:eastAsia="Arial" w:hAnsi="Arial"/>
          <w:sz w:val="18"/>
          <w:szCs w:val="18"/>
          <w:u w:val="single" w:color="auto"/>
          <w:color w:val="auto"/>
        </w:rPr>
        <w:t>Fundamental Transactions</w:t>
      </w:r>
      <w:r>
        <w:rPr>
          <w:rFonts w:ascii="Arial" w:cs="Arial" w:eastAsia="Arial" w:hAnsi="Arial"/>
          <w:sz w:val="18"/>
          <w:szCs w:val="18"/>
          <w:color w:val="auto"/>
        </w:rPr>
        <w:t>. The Company shall not enter into or be party to a Fundamental Transaction unless:</w:t>
      </w:r>
    </w:p>
    <w:p>
      <w:pPr>
        <w:spacing w:after="0" w:line="225" w:lineRule="exact"/>
        <w:rPr>
          <w:rFonts w:ascii="Arial" w:cs="Arial" w:eastAsia="Arial" w:hAnsi="Arial"/>
          <w:sz w:val="18"/>
          <w:szCs w:val="18"/>
          <w:color w:val="auto"/>
        </w:rPr>
      </w:pPr>
    </w:p>
    <w:p>
      <w:pPr>
        <w:jc w:val="both"/>
        <w:ind w:firstLine="2600"/>
        <w:spacing w:after="0" w:line="273" w:lineRule="auto"/>
        <w:tabs>
          <w:tab w:leader="none" w:pos="2958" w:val="left"/>
        </w:tabs>
        <w:numPr>
          <w:ilvl w:val="1"/>
          <w:numId w:val="251"/>
        </w:numPr>
        <w:rPr>
          <w:rFonts w:ascii="Arial" w:cs="Arial" w:eastAsia="Arial" w:hAnsi="Arial"/>
          <w:sz w:val="17"/>
          <w:szCs w:val="17"/>
          <w:color w:val="auto"/>
        </w:rPr>
      </w:pPr>
      <w:r>
        <w:rPr>
          <w:rFonts w:ascii="Arial" w:cs="Arial" w:eastAsia="Arial" w:hAnsi="Arial"/>
          <w:sz w:val="17"/>
          <w:szCs w:val="17"/>
          <w:color w:val="auto"/>
        </w:rPr>
        <w:t>in the event that the Successor Entity (including its Parent Entity) is not a publicly traded entity with common equity quoted on or listed for trading on an Eligible Market and registered under the Exchange Act, the Company or the Successor Entity, as applicable, shall, on or prior to the date of consummation of such Fundamental Transaction, purchase this Warrant from the Holder by paying to the Holder cash in an amount equal to the Black Scholes Going Private Value (without regard to the limitation set forth in Section 1(f))</w:t>
      </w:r>
      <w:r>
        <w:rPr>
          <w:rFonts w:ascii="Arial" w:cs="Arial" w:eastAsia="Arial" w:hAnsi="Arial"/>
          <w:sz w:val="17"/>
          <w:szCs w:val="17"/>
          <w:b w:val="1"/>
          <w:bCs w:val="1"/>
          <w:color w:val="auto"/>
        </w:rPr>
        <w:t>‎</w:t>
      </w:r>
      <w:r>
        <w:rPr>
          <w:rFonts w:ascii="Arial" w:cs="Arial" w:eastAsia="Arial" w:hAnsi="Arial"/>
          <w:sz w:val="17"/>
          <w:szCs w:val="17"/>
          <w:color w:val="auto"/>
        </w:rPr>
        <w:t xml:space="preserve"> whereupon the Successor Entity shall have no obligation to assume the obligations of the Company under this Warrant and the other Loan Documents, including any obligation to deliver to the Holder in exchange for this Warrant any security of the Successor Entity, and</w:t>
      </w:r>
    </w:p>
    <w:p>
      <w:pPr>
        <w:spacing w:after="0" w:line="177" w:lineRule="exact"/>
        <w:rPr>
          <w:rFonts w:ascii="Arial" w:cs="Arial" w:eastAsia="Arial" w:hAnsi="Arial"/>
          <w:sz w:val="17"/>
          <w:szCs w:val="17"/>
          <w:color w:val="auto"/>
        </w:rPr>
      </w:pPr>
    </w:p>
    <w:p>
      <w:pPr>
        <w:jc w:val="both"/>
        <w:ind w:firstLine="2600"/>
        <w:spacing w:after="0" w:line="291" w:lineRule="auto"/>
        <w:tabs>
          <w:tab w:leader="none" w:pos="2870" w:val="left"/>
        </w:tabs>
        <w:numPr>
          <w:ilvl w:val="1"/>
          <w:numId w:val="251"/>
        </w:numPr>
        <w:rPr>
          <w:rFonts w:ascii="Arial" w:cs="Arial" w:eastAsia="Arial" w:hAnsi="Arial"/>
          <w:sz w:val="16"/>
          <w:szCs w:val="16"/>
          <w:color w:val="auto"/>
        </w:rPr>
      </w:pPr>
      <w:r>
        <w:rPr>
          <w:rFonts w:ascii="Arial" w:cs="Arial" w:eastAsia="Arial" w:hAnsi="Arial"/>
          <w:sz w:val="16"/>
          <w:szCs w:val="16"/>
          <w:color w:val="auto"/>
        </w:rPr>
        <w:t>in the event that the Successor Entity (including its Parent Entity) is a publicly traded entity with common equity quoted on or listed for trading on an Eligible Market and registered under the Exchange Act, the Successor Entity assumes in writing all of the obligations</w:t>
      </w:r>
    </w:p>
    <w:p>
      <w:pPr>
        <w:jc w:val="both"/>
        <w:spacing w:after="0" w:line="281" w:lineRule="auto"/>
        <w:rPr>
          <w:rFonts w:ascii="Arial" w:cs="Arial" w:eastAsia="Arial" w:hAnsi="Arial"/>
          <w:sz w:val="16"/>
          <w:szCs w:val="16"/>
          <w:color w:val="auto"/>
        </w:rPr>
      </w:pPr>
      <w:r>
        <w:rPr>
          <w:rFonts w:ascii="Arial" w:cs="Arial" w:eastAsia="Arial" w:hAnsi="Arial"/>
          <w:sz w:val="16"/>
          <w:szCs w:val="16"/>
          <w:color w:val="auto"/>
        </w:rPr>
        <w:t>of the Company under this Warrant and the other Loan Documents in accordance with the provisions of this Section 4(b)(ii)</w:t>
      </w:r>
      <w:r>
        <w:rPr>
          <w:rFonts w:ascii="Arial" w:cs="Arial" w:eastAsia="Arial" w:hAnsi="Arial"/>
          <w:sz w:val="16"/>
          <w:szCs w:val="16"/>
          <w:b w:val="1"/>
          <w:bCs w:val="1"/>
          <w:color w:val="auto"/>
        </w:rPr>
        <w:t>‎</w:t>
      </w:r>
      <w:r>
        <w:rPr>
          <w:rFonts w:ascii="Arial" w:cs="Arial" w:eastAsia="Arial" w:hAnsi="Arial"/>
          <w:sz w:val="16"/>
          <w:szCs w:val="16"/>
          <w:color w:val="auto"/>
        </w:rPr>
        <w:t xml:space="preserve"> pursuant to written agreements in form and substance satisfactory to the Holder and approved by the Holder prior to such Fundamental Transaction, including agreements to deliver to the Holder in exchange for this Warrant a security of the Successor Entity evidenced by a written instrument substantially similar in form and substance to this Warrant, including, without limitation, which is exercisable for a corresponding number of shares of capital stock equivalent to the shares of Common Stock acquirable and receivable upon exercise of this Warrant (without regard to any limitations on the exercise of this Warrant) prior to such Fundamental Transaction, and with an exercise price which applies the exercise price hereunder to such shares of capital stock (but taking into account the relative value of the shares of Common Stock pursuant to such Fundamental Transaction and the value of such shares of capital stock, such adjustments to the number of shares of capital stock and such exercise price being for the purpose of protecting the economic value of this Warrant immediately prior to the</w:t>
      </w:r>
    </w:p>
    <w:p>
      <w:pPr>
        <w:spacing w:after="0" w:line="4" w:lineRule="exact"/>
        <w:rPr>
          <w:rFonts w:ascii="Arial" w:cs="Arial" w:eastAsia="Arial" w:hAnsi="Arial"/>
          <w:sz w:val="16"/>
          <w:szCs w:val="16"/>
          <w:color w:val="auto"/>
        </w:rPr>
      </w:pPr>
    </w:p>
    <w:p>
      <w:pPr>
        <w:jc w:val="both"/>
        <w:spacing w:after="0" w:line="281" w:lineRule="auto"/>
        <w:rPr>
          <w:rFonts w:ascii="Arial" w:cs="Arial" w:eastAsia="Arial" w:hAnsi="Arial"/>
          <w:sz w:val="16"/>
          <w:szCs w:val="16"/>
          <w:color w:val="auto"/>
        </w:rPr>
      </w:pPr>
      <w:r>
        <w:rPr>
          <w:rFonts w:ascii="Arial" w:cs="Arial" w:eastAsia="Arial" w:hAnsi="Arial"/>
          <w:sz w:val="16"/>
          <w:szCs w:val="16"/>
          <w:color w:val="auto"/>
        </w:rPr>
        <w:t>consummation of such Fundamental Transaction). Upon the consummation of each Fundamental Transaction described in this Section 4(b)(ii)</w:t>
      </w:r>
      <w:r>
        <w:rPr>
          <w:rFonts w:ascii="Arial" w:cs="Arial" w:eastAsia="Arial" w:hAnsi="Arial"/>
          <w:sz w:val="16"/>
          <w:szCs w:val="16"/>
          <w:b w:val="1"/>
          <w:bCs w:val="1"/>
          <w:color w:val="auto"/>
        </w:rPr>
        <w:t>‎</w:t>
      </w:r>
      <w:r>
        <w:rPr>
          <w:rFonts w:ascii="Arial" w:cs="Arial" w:eastAsia="Arial" w:hAnsi="Arial"/>
          <w:sz w:val="16"/>
          <w:szCs w:val="16"/>
          <w:color w:val="auto"/>
        </w:rPr>
        <w:t xml:space="preserve"> (each such Fundamental Transaction, a “</w:t>
      </w:r>
      <w:r>
        <w:rPr>
          <w:rFonts w:ascii="Arial" w:cs="Arial" w:eastAsia="Arial" w:hAnsi="Arial"/>
          <w:sz w:val="16"/>
          <w:szCs w:val="16"/>
          <w:b w:val="1"/>
          <w:bCs w:val="1"/>
          <w:color w:val="auto"/>
        </w:rPr>
        <w:t>Public Fundamental Transaction</w:t>
      </w:r>
      <w:r>
        <w:rPr>
          <w:rFonts w:ascii="Arial" w:cs="Arial" w:eastAsia="Arial" w:hAnsi="Arial"/>
          <w:sz w:val="16"/>
          <w:szCs w:val="16"/>
          <w:color w:val="auto"/>
        </w:rPr>
        <w:t>”), the Successor Entity shall (x) succeed to, and be substituted for (so that from and after the date of the applicable Public Fundamental Transaction, the provisions of this Warrant and the other Loan Documents referring to the “Company” or the “Borrower” shall refer instead to the Successor Entity), and may exercise every right and power of the Company and shall assume all of the obligations of the Company under this Warrant and the other Loan Documents with the same effect as if such Successor Entity had been named as the Company herein or therein, and (y) deliver to the Holder confirmation that there shall be issued upon exercise of this Warrant at any time after the consummation of the applicable Public Fundamental Transaction, in lieu of the shares of Common Stock (or other securities, cash, assets or other property (except such items still issuable under Sections 3</w:t>
      </w:r>
      <w:r>
        <w:rPr>
          <w:rFonts w:ascii="Arial" w:cs="Arial" w:eastAsia="Arial" w:hAnsi="Arial"/>
          <w:sz w:val="16"/>
          <w:szCs w:val="16"/>
          <w:b w:val="1"/>
          <w:bCs w:val="1"/>
          <w:color w:val="auto"/>
        </w:rPr>
        <w:t>‎</w:t>
      </w:r>
      <w:r>
        <w:rPr>
          <w:rFonts w:ascii="Arial" w:cs="Arial" w:eastAsia="Arial" w:hAnsi="Arial"/>
          <w:sz w:val="16"/>
          <w:szCs w:val="16"/>
          <w:color w:val="auto"/>
        </w:rPr>
        <w:t xml:space="preserve"> and 4(a)</w:t>
      </w:r>
      <w:r>
        <w:rPr>
          <w:rFonts w:ascii="Arial" w:cs="Arial" w:eastAsia="Arial" w:hAnsi="Arial"/>
          <w:sz w:val="16"/>
          <w:szCs w:val="16"/>
          <w:b w:val="1"/>
          <w:bCs w:val="1"/>
          <w:color w:val="auto"/>
        </w:rPr>
        <w:t>‎</w:t>
      </w:r>
      <w:r>
        <w:rPr>
          <w:rFonts w:ascii="Arial" w:cs="Arial" w:eastAsia="Arial" w:hAnsi="Arial"/>
          <w:sz w:val="16"/>
          <w:szCs w:val="16"/>
          <w:color w:val="auto"/>
        </w:rPr>
        <w:t xml:space="preserve"> above, which shall continue to be receivable thereafter)) issuable upon the exercise of this Warrant prior to the applicable Public Fundamental Transaction, such shares of publicly traded common stock (or its equivalent) of the Successor Entity (including its Parent Entity) which the Holder would have been entitled to receive upon the happening of the applicable Public Fundamental Transaction had this Warrant been exercised immediately prior to the applicable Public Fundamental Transaction (without regard to any limitations on the exercise of this Warrant), as adjusted in accordance with the provisions of this Warrant. Notwithstanding the foregoing, and without limiting Section 1(f)</w:t>
      </w:r>
      <w:r>
        <w:rPr>
          <w:rFonts w:ascii="Arial" w:cs="Arial" w:eastAsia="Arial" w:hAnsi="Arial"/>
          <w:sz w:val="16"/>
          <w:szCs w:val="16"/>
          <w:b w:val="1"/>
          <w:bCs w:val="1"/>
          <w:color w:val="auto"/>
        </w:rPr>
        <w:t>‎</w:t>
      </w:r>
      <w:r>
        <w:rPr>
          <w:rFonts w:ascii="Arial" w:cs="Arial" w:eastAsia="Arial" w:hAnsi="Arial"/>
          <w:sz w:val="16"/>
          <w:szCs w:val="16"/>
          <w:color w:val="auto"/>
        </w:rPr>
        <w:t xml:space="preserve"> hereof, the Holder may elect,</w:t>
      </w:r>
    </w:p>
    <w:p>
      <w:pPr>
        <w:spacing w:after="0" w:line="7" w:lineRule="exact"/>
        <w:rPr>
          <w:rFonts w:ascii="Arial" w:cs="Arial" w:eastAsia="Arial" w:hAnsi="Arial"/>
          <w:sz w:val="16"/>
          <w:szCs w:val="16"/>
          <w:color w:val="auto"/>
        </w:rPr>
      </w:pPr>
    </w:p>
    <w:p>
      <w:pPr>
        <w:spacing w:after="0" w:line="260" w:lineRule="auto"/>
        <w:rPr>
          <w:rFonts w:ascii="Arial" w:cs="Arial" w:eastAsia="Arial" w:hAnsi="Arial"/>
          <w:sz w:val="16"/>
          <w:szCs w:val="16"/>
          <w:color w:val="auto"/>
        </w:rPr>
      </w:pPr>
      <w:r>
        <w:rPr>
          <w:rFonts w:ascii="Arial" w:cs="Arial" w:eastAsia="Arial" w:hAnsi="Arial"/>
          <w:sz w:val="18"/>
          <w:szCs w:val="18"/>
          <w:color w:val="auto"/>
        </w:rPr>
        <w:t>at its sole option, by delivery of written notice to the Company to waive this Section 4(b)(ii)</w:t>
      </w:r>
      <w:r>
        <w:rPr>
          <w:rFonts w:ascii="Arial" w:cs="Arial" w:eastAsia="Arial" w:hAnsi="Arial"/>
          <w:sz w:val="18"/>
          <w:szCs w:val="18"/>
          <w:b w:val="1"/>
          <w:bCs w:val="1"/>
          <w:color w:val="auto"/>
        </w:rPr>
        <w:t>‎</w:t>
      </w:r>
      <w:r>
        <w:rPr>
          <w:rFonts w:ascii="Arial" w:cs="Arial" w:eastAsia="Arial" w:hAnsi="Arial"/>
          <w:sz w:val="18"/>
          <w:szCs w:val="18"/>
          <w:color w:val="auto"/>
        </w:rPr>
        <w:t xml:space="preserve"> to permit the Public Fundamental Transaction without the assumption of this Warrant.</w:t>
      </w:r>
    </w:p>
    <w:p>
      <w:pPr>
        <w:spacing w:after="0" w:line="185"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In addition to and not in substitution for any other rights hereunder, prior to the consummation of each Fundamental Transaction pursuant to which holders of shares of Common Stock are entitled to receive securities or other assets with respect to or in exchange for shares of Common Stock (a “</w:t>
      </w:r>
      <w:r>
        <w:rPr>
          <w:rFonts w:ascii="Arial" w:cs="Arial" w:eastAsia="Arial" w:hAnsi="Arial"/>
          <w:sz w:val="17"/>
          <w:szCs w:val="17"/>
          <w:b w:val="1"/>
          <w:bCs w:val="1"/>
          <w:color w:val="auto"/>
        </w:rPr>
        <w:t>Corporate</w:t>
      </w:r>
      <w:r>
        <w:rPr>
          <w:rFonts w:ascii="Arial" w:cs="Arial" w:eastAsia="Arial" w:hAnsi="Arial"/>
          <w:sz w:val="17"/>
          <w:szCs w:val="17"/>
          <w:color w:val="auto"/>
        </w:rPr>
        <w:t xml:space="preserve"> </w:t>
      </w:r>
      <w:r>
        <w:rPr>
          <w:rFonts w:ascii="Arial" w:cs="Arial" w:eastAsia="Arial" w:hAnsi="Arial"/>
          <w:sz w:val="17"/>
          <w:szCs w:val="17"/>
          <w:b w:val="1"/>
          <w:bCs w:val="1"/>
          <w:color w:val="auto"/>
        </w:rPr>
        <w:t>Event</w:t>
      </w:r>
      <w:r>
        <w:rPr>
          <w:rFonts w:ascii="Arial" w:cs="Arial" w:eastAsia="Arial" w:hAnsi="Arial"/>
          <w:sz w:val="17"/>
          <w:szCs w:val="17"/>
          <w:color w:val="auto"/>
        </w:rPr>
        <w:t>”), the Company shall make appropriate provision to insure that the Holder will thereafter have the right to receive upon an exercise of this Warrant</w:t>
      </w:r>
      <w:r>
        <w:rPr>
          <w:rFonts w:ascii="Arial" w:cs="Arial" w:eastAsia="Arial" w:hAnsi="Arial"/>
          <w:sz w:val="17"/>
          <w:szCs w:val="17"/>
          <w:b w:val="1"/>
          <w:bCs w:val="1"/>
          <w:color w:val="auto"/>
        </w:rPr>
        <w:t xml:space="preserve"> </w:t>
      </w:r>
      <w:r>
        <w:rPr>
          <w:rFonts w:ascii="Arial" w:cs="Arial" w:eastAsia="Arial" w:hAnsi="Arial"/>
          <w:sz w:val="17"/>
          <w:szCs w:val="17"/>
          <w:color w:val="auto"/>
        </w:rPr>
        <w:t>at any time after the consummation of the applicable Fundamental Transaction but prior to the Expiration Date, in lieu of the shares of the Common Stock (or other securities, cash, assets or other property (except such items still issuable under Sections 3‎ and 4(a)‎ above, which shall continue to be receivable thereafter)) issuable upon the exercise of the Warrant prior to such Fundamental Transaction, such shares of stock, securities, cash, assets or any other property whatsoever (including warrants or other purchase or subscription rights) which the Holder would have been entitled to receive upon the happening of the applicable Fundamental Transaction had this Warrant been exercised immediately prior to the applicable Fundamental Transaction (without regard to any limitations on the exercise of this Warrant). Provision made pursuant to the preceding sentence shall be in a form and substance reasonably satisfactory to the Holder.</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46" w:name="page247"/>
    <w:bookmarkEnd w:id="246"/>
    <w:p>
      <w:pPr>
        <w:jc w:val="both"/>
        <w:ind w:firstLine="1952"/>
        <w:spacing w:after="0" w:line="271" w:lineRule="auto"/>
        <w:tabs>
          <w:tab w:leader="none" w:pos="2198" w:val="left"/>
        </w:tabs>
        <w:numPr>
          <w:ilvl w:val="1"/>
          <w:numId w:val="252"/>
        </w:numPr>
        <w:rPr>
          <w:rFonts w:ascii="Arial" w:cs="Arial" w:eastAsia="Arial" w:hAnsi="Arial"/>
          <w:sz w:val="17"/>
          <w:szCs w:val="17"/>
          <w:color w:val="auto"/>
        </w:rPr>
      </w:pPr>
      <w:r>
        <w:rPr>
          <w:rFonts w:ascii="Arial" w:cs="Arial" w:eastAsia="Arial" w:hAnsi="Arial"/>
          <w:sz w:val="17"/>
          <w:szCs w:val="17"/>
          <w:u w:val="single" w:color="auto"/>
          <w:color w:val="auto"/>
        </w:rPr>
        <w:t>Holder Optional Redemptions</w:t>
      </w:r>
      <w:r>
        <w:rPr>
          <w:rFonts w:ascii="Arial" w:cs="Arial" w:eastAsia="Arial" w:hAnsi="Arial"/>
          <w:sz w:val="17"/>
          <w:szCs w:val="17"/>
          <w:color w:val="auto"/>
        </w:rPr>
        <w:t xml:space="preserve">. Notwithstanding the foregoing and the provisions of Section </w:t>
      </w:r>
      <w:r>
        <w:rPr>
          <w:rFonts w:ascii="Arial" w:cs="Arial" w:eastAsia="Arial" w:hAnsi="Arial"/>
          <w:sz w:val="20"/>
          <w:szCs w:val="20"/>
          <w:b w:val="1"/>
          <w:bCs w:val="1"/>
          <w:color w:val="auto"/>
        </w:rPr>
        <w:t>‎</w:t>
      </w:r>
      <w:r>
        <w:rPr>
          <w:rFonts w:ascii="Arial" w:cs="Arial" w:eastAsia="Arial" w:hAnsi="Arial"/>
          <w:sz w:val="17"/>
          <w:szCs w:val="17"/>
          <w:color w:val="auto"/>
        </w:rPr>
        <w:t>4(b)(ii) above, at the request of the Holder delivered at any time commencing on the earliest to occur of (x) the public disclosure of any Public Fundamental Transaction, (y) the consummation of any Public Fundamental Transaction and (z) the Holder first becoming aware of any Public Fundamental Transaction through the date that is ninety (90) days after the public disclosure of the consummation of such Public Fundamental Transaction by the Company pursuant to a Current Report on Form 8-K filed with the SEC, the Company or the Successor Entity (as the case may be) shall purchase this Warrant from the Holder on the date of such request by paying to the Holder cash in an amount equal to the Black Scholes Value. Payment of such amounts shall be made by the Company (or at the Company’s direction) to the Holder on or prior to the later of (x) the second (2nd) Trading Day after the date of such request and (y) the date of consummation of such Public Fundamental Transaction.</w:t>
      </w:r>
    </w:p>
    <w:p>
      <w:pPr>
        <w:spacing w:after="0" w:line="166" w:lineRule="exact"/>
        <w:rPr>
          <w:rFonts w:ascii="Arial" w:cs="Arial" w:eastAsia="Arial" w:hAnsi="Arial"/>
          <w:sz w:val="17"/>
          <w:szCs w:val="17"/>
          <w:color w:val="auto"/>
        </w:rPr>
      </w:pPr>
    </w:p>
    <w:p>
      <w:pPr>
        <w:jc w:val="both"/>
        <w:ind w:firstLine="1952"/>
        <w:spacing w:after="0" w:line="300" w:lineRule="auto"/>
        <w:tabs>
          <w:tab w:leader="none" w:pos="2200" w:val="left"/>
        </w:tabs>
        <w:numPr>
          <w:ilvl w:val="1"/>
          <w:numId w:val="252"/>
        </w:numPr>
        <w:rPr>
          <w:rFonts w:ascii="Arial" w:cs="Arial" w:eastAsia="Arial" w:hAnsi="Arial"/>
          <w:sz w:val="16"/>
          <w:szCs w:val="16"/>
          <w:color w:val="auto"/>
        </w:rPr>
      </w:pPr>
      <w:r>
        <w:rPr>
          <w:rFonts w:ascii="Arial" w:cs="Arial" w:eastAsia="Arial" w:hAnsi="Arial"/>
          <w:sz w:val="16"/>
          <w:szCs w:val="16"/>
          <w:u w:val="single" w:color="auto"/>
          <w:color w:val="auto"/>
        </w:rPr>
        <w:t>Application</w:t>
      </w:r>
      <w:r>
        <w:rPr>
          <w:rFonts w:ascii="Arial" w:cs="Arial" w:eastAsia="Arial" w:hAnsi="Arial"/>
          <w:sz w:val="16"/>
          <w:szCs w:val="16"/>
          <w:color w:val="auto"/>
        </w:rPr>
        <w:t xml:space="preserve">. The provisions of this Section </w:t>
      </w:r>
      <w:r>
        <w:rPr>
          <w:rFonts w:ascii="Arial" w:cs="Arial" w:eastAsia="Arial" w:hAnsi="Arial"/>
          <w:sz w:val="19"/>
          <w:szCs w:val="19"/>
          <w:b w:val="1"/>
          <w:bCs w:val="1"/>
          <w:color w:val="auto"/>
        </w:rPr>
        <w:t>‎</w:t>
      </w:r>
      <w:r>
        <w:rPr>
          <w:rFonts w:ascii="Arial" w:cs="Arial" w:eastAsia="Arial" w:hAnsi="Arial"/>
          <w:sz w:val="16"/>
          <w:szCs w:val="16"/>
          <w:color w:val="auto"/>
        </w:rPr>
        <w:t>4 shall apply similarly and equally to successive Fundamental Transactions and Corporate Events and shall be applied as if this Warrant (and any such subsequent warrants) were fully exercisable and without regard to any limitations on the exercise of this Warrant (provided that the Holder shall continue to be entitled to the benefit of the Maximum Percentage, applied however with respect to shares of capital stock registered under the Exchange Act and thereafter receivable upon exercise of this Warrant (or any such other warrant)).</w:t>
      </w:r>
    </w:p>
    <w:p>
      <w:pPr>
        <w:spacing w:after="0" w:line="157" w:lineRule="exact"/>
        <w:rPr>
          <w:rFonts w:ascii="Arial" w:cs="Arial" w:eastAsia="Arial" w:hAnsi="Arial"/>
          <w:sz w:val="16"/>
          <w:szCs w:val="16"/>
          <w:color w:val="auto"/>
        </w:rPr>
      </w:pPr>
    </w:p>
    <w:p>
      <w:pPr>
        <w:jc w:val="both"/>
        <w:ind w:firstLine="1304"/>
        <w:spacing w:after="0" w:line="268" w:lineRule="auto"/>
        <w:tabs>
          <w:tab w:leader="none" w:pos="1484" w:val="left"/>
        </w:tabs>
        <w:numPr>
          <w:ilvl w:val="0"/>
          <w:numId w:val="253"/>
        </w:numPr>
        <w:rPr>
          <w:rFonts w:ascii="Arial" w:cs="Arial" w:eastAsia="Arial" w:hAnsi="Arial"/>
          <w:sz w:val="17"/>
          <w:szCs w:val="17"/>
          <w:color w:val="auto"/>
        </w:rPr>
      </w:pPr>
      <w:r>
        <w:rPr>
          <w:rFonts w:ascii="Arial" w:cs="Arial" w:eastAsia="Arial" w:hAnsi="Arial"/>
          <w:sz w:val="17"/>
          <w:szCs w:val="17"/>
          <w:u w:val="single" w:color="auto"/>
          <w:color w:val="auto"/>
        </w:rPr>
        <w:t>NONCIRCUMVENTION</w:t>
      </w:r>
      <w:r>
        <w:rPr>
          <w:rFonts w:ascii="Arial" w:cs="Arial" w:eastAsia="Arial" w:hAnsi="Arial"/>
          <w:sz w:val="17"/>
          <w:szCs w:val="17"/>
          <w:color w:val="auto"/>
        </w:rPr>
        <w:t>. The Company hereby covenants and agrees that the Company will not, by amendment of its Certificate of Incorporation or Bylaws, or through any reorganization, transfer of assets, consolidation, merger, scheme of arrangement, dissolution, issuance or sale of securities, or any other voluntary action, avoid or seek to avoid the observance or performance of any of the terms of this Warrant, and will at all times in good faith carry out all of the provisions of this Warrant and take all action as may be required to protect the rights of the Holder. Without limiting the generality of the foregoing, the Company (i) shall not increase the par value of any shares of Common Stock receivable upon the exercise of this Warrant above the Exercise Price then in effect, (ii) shall take all such actions as may be necessary or appropriate in order that the Company may validly and legally issue fully paid and nonassessable shares of Common Stock upon the proper exercise of this Warrant by the Holder, and (iii) shall, so long as this Warrant is outstanding, take all action necessary to reserve and keep available out of its authorized and unissued shares of Common Stock, solely for the purpose of effecting the exercise of this Warrant, the number of shares of Common Stock as shall from time to time be necessary to effect the exercise of this Warrant (without regard to any limitations on exercise). Notwithstanding anything herein to the contrary, if after the sixty (60) calendar day anniversary of the Issuance Date, the Holder is not permitted to exercise this Warrant in full for any reason (other than pursuant to restrictions set forth in Section 1(f) hereof), the Company shall use its reasonable best efforts to promptly remedy such failure, including, without limitation, obtaining such consents or approvals as necessary to permit such exercise into shares of Common Stock.</w:t>
      </w:r>
    </w:p>
    <w:p>
      <w:pPr>
        <w:spacing w:after="0" w:line="186" w:lineRule="exact"/>
        <w:rPr>
          <w:rFonts w:ascii="Arial" w:cs="Arial" w:eastAsia="Arial" w:hAnsi="Arial"/>
          <w:sz w:val="17"/>
          <w:szCs w:val="17"/>
          <w:color w:val="auto"/>
        </w:rPr>
      </w:pPr>
    </w:p>
    <w:p>
      <w:pPr>
        <w:jc w:val="both"/>
        <w:ind w:firstLine="1304"/>
        <w:spacing w:after="0" w:line="287" w:lineRule="auto"/>
        <w:tabs>
          <w:tab w:leader="none" w:pos="1488" w:val="left"/>
        </w:tabs>
        <w:numPr>
          <w:ilvl w:val="0"/>
          <w:numId w:val="253"/>
        </w:numPr>
        <w:rPr>
          <w:rFonts w:ascii="Arial" w:cs="Arial" w:eastAsia="Arial" w:hAnsi="Arial"/>
          <w:sz w:val="16"/>
          <w:szCs w:val="16"/>
          <w:color w:val="auto"/>
        </w:rPr>
      </w:pPr>
      <w:r>
        <w:rPr>
          <w:rFonts w:ascii="Arial" w:cs="Arial" w:eastAsia="Arial" w:hAnsi="Arial"/>
          <w:sz w:val="16"/>
          <w:szCs w:val="16"/>
          <w:u w:val="single" w:color="auto"/>
          <w:color w:val="auto"/>
        </w:rPr>
        <w:t>WARRANT HOLDER NOT DEEMED A STOCKHOLDER</w:t>
      </w:r>
      <w:r>
        <w:rPr>
          <w:rFonts w:ascii="Arial" w:cs="Arial" w:eastAsia="Arial" w:hAnsi="Arial"/>
          <w:sz w:val="16"/>
          <w:szCs w:val="16"/>
          <w:color w:val="auto"/>
        </w:rPr>
        <w:t xml:space="preserve">. Except as otherwise specifically provided herein, the Holder, solely in such Person’s capacity as a holder of this Warrant, shall not be entitled to vote or receive dividends or be deemed the holder of share capital of the Company for any purpose, nor shall anything contained in this Warrant be construed to confer upon the Holder, solely in such Person’s capacity as the Holder of this Warrant, any of the rights of a stockholder of the Company or any right to vote, give or withhold consent to any corporate action (whether any reorganization, issue of stock, reclassification of stock, consolidation, merger, conveyance or otherwise), receive notice of meetings, receive dividends or subscription rights, or otherwise, prior to the issuance to the Holder of the Warrant Shares which such Person is then entitled to receive upon the due exercise of this Warrant. In addition, nothing contained in this Warrant shall be construed as imposing any liabilities on the Holder to purchase any securities (upon exercise of this Warrant or otherwise) or as a stockholder of the Company, whether such liabilities are asserted by the Company or by creditors of the Company. Notwithstanding this Section </w:t>
      </w:r>
      <w:r>
        <w:rPr>
          <w:rFonts w:ascii="Arial" w:cs="Arial" w:eastAsia="Arial" w:hAnsi="Arial"/>
          <w:sz w:val="19"/>
          <w:szCs w:val="19"/>
          <w:b w:val="1"/>
          <w:bCs w:val="1"/>
          <w:color w:val="auto"/>
        </w:rPr>
        <w:t>‎</w:t>
      </w:r>
      <w:r>
        <w:rPr>
          <w:rFonts w:ascii="Arial" w:cs="Arial" w:eastAsia="Arial" w:hAnsi="Arial"/>
          <w:sz w:val="16"/>
          <w:szCs w:val="16"/>
          <w:color w:val="auto"/>
        </w:rPr>
        <w:t>6, the Company shall provide the Holder with copies of the same notices and other information given to the stockholders of the Company generally, contemporaneously with the giving thereof to the stockholders.</w:t>
      </w: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247" w:name="page248"/>
    <w:bookmarkEnd w:id="247"/>
    <w:p>
      <w:pPr>
        <w:ind w:left="1480" w:hanging="176"/>
        <w:spacing w:after="0"/>
        <w:tabs>
          <w:tab w:leader="none" w:pos="1480" w:val="left"/>
        </w:tabs>
        <w:numPr>
          <w:ilvl w:val="0"/>
          <w:numId w:val="254"/>
        </w:numPr>
        <w:rPr>
          <w:rFonts w:ascii="Arial" w:cs="Arial" w:eastAsia="Arial" w:hAnsi="Arial"/>
          <w:sz w:val="18"/>
          <w:szCs w:val="18"/>
          <w:color w:val="auto"/>
        </w:rPr>
      </w:pPr>
      <w:r>
        <w:rPr>
          <w:rFonts w:ascii="Arial" w:cs="Arial" w:eastAsia="Arial" w:hAnsi="Arial"/>
          <w:sz w:val="18"/>
          <w:szCs w:val="18"/>
          <w:u w:val="single" w:color="auto"/>
          <w:color w:val="auto"/>
        </w:rPr>
        <w:t>REISSUANCE OF WARRANTS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firstLine="1952"/>
        <w:spacing w:after="0" w:line="250" w:lineRule="auto"/>
        <w:tabs>
          <w:tab w:leader="none" w:pos="2190" w:val="left"/>
        </w:tabs>
        <w:numPr>
          <w:ilvl w:val="1"/>
          <w:numId w:val="254"/>
        </w:numPr>
        <w:rPr>
          <w:rFonts w:ascii="Arial" w:cs="Arial" w:eastAsia="Arial" w:hAnsi="Arial"/>
          <w:sz w:val="18"/>
          <w:szCs w:val="18"/>
          <w:color w:val="auto"/>
        </w:rPr>
      </w:pPr>
      <w:r>
        <w:rPr>
          <w:rFonts w:ascii="Arial" w:cs="Arial" w:eastAsia="Arial" w:hAnsi="Arial"/>
          <w:sz w:val="18"/>
          <w:szCs w:val="18"/>
          <w:u w:val="single" w:color="auto"/>
          <w:color w:val="auto"/>
        </w:rPr>
        <w:t>Transfer of Warrant</w:t>
      </w:r>
      <w:r>
        <w:rPr>
          <w:rFonts w:ascii="Arial" w:cs="Arial" w:eastAsia="Arial" w:hAnsi="Arial"/>
          <w:sz w:val="18"/>
          <w:szCs w:val="18"/>
          <w:color w:val="auto"/>
        </w:rPr>
        <w:t xml:space="preserve">. If this Warrant is to be transferred and reissued to the transferee, the Holder shall surrender this Warrant to the Company together with a written assignment of this Warrant substantially in the form attached hereto duly executed by the Holder or its agent or attorney and funds sufficient to pay any transfer taxes payable upon the making of such transfer, whereupon the Company will forthwith issue and deliver upon the order of the Holder a new Warrant (in accordance with Section </w:t>
      </w:r>
      <w:r>
        <w:rPr>
          <w:rFonts w:ascii="Arial" w:cs="Arial" w:eastAsia="Arial" w:hAnsi="Arial"/>
          <w:sz w:val="21"/>
          <w:szCs w:val="21"/>
          <w:b w:val="1"/>
          <w:bCs w:val="1"/>
          <w:color w:val="auto"/>
        </w:rPr>
        <w:t>‎</w:t>
      </w:r>
      <w:r>
        <w:rPr>
          <w:rFonts w:ascii="Arial" w:cs="Arial" w:eastAsia="Arial" w:hAnsi="Arial"/>
          <w:sz w:val="18"/>
          <w:szCs w:val="18"/>
          <w:color w:val="auto"/>
        </w:rPr>
        <w:t xml:space="preserve">7(d)), registered as the Holder may request, representing the right to purchase the number of Warrant Shares being transferred by the Holder and, if less than the total number of Warrant Shares then underlying this Warrant is being transferred, a new Warrant (in accordance with Section </w:t>
      </w:r>
      <w:r>
        <w:rPr>
          <w:rFonts w:ascii="Arial" w:cs="Arial" w:eastAsia="Arial" w:hAnsi="Arial"/>
          <w:sz w:val="21"/>
          <w:szCs w:val="21"/>
          <w:b w:val="1"/>
          <w:bCs w:val="1"/>
          <w:color w:val="auto"/>
        </w:rPr>
        <w:t>‎</w:t>
      </w:r>
      <w:r>
        <w:rPr>
          <w:rFonts w:ascii="Arial" w:cs="Arial" w:eastAsia="Arial" w:hAnsi="Arial"/>
          <w:sz w:val="18"/>
          <w:szCs w:val="18"/>
          <w:color w:val="auto"/>
        </w:rPr>
        <w:t xml:space="preserve">7(d)) to the Holder representing the right to purchase the number of Warrant Shares not being transferred. For the avoidance of doubt, this Section </w:t>
      </w:r>
      <w:r>
        <w:rPr>
          <w:rFonts w:ascii="Arial" w:cs="Arial" w:eastAsia="Arial" w:hAnsi="Arial"/>
          <w:sz w:val="21"/>
          <w:szCs w:val="21"/>
          <w:b w:val="1"/>
          <w:bCs w:val="1"/>
          <w:color w:val="auto"/>
        </w:rPr>
        <w:t>‎</w:t>
      </w:r>
      <w:r>
        <w:rPr>
          <w:rFonts w:ascii="Arial" w:cs="Arial" w:eastAsia="Arial" w:hAnsi="Arial"/>
          <w:sz w:val="18"/>
          <w:szCs w:val="18"/>
          <w:color w:val="auto"/>
        </w:rPr>
        <w:t>7(a) will not apply to a sale, transfer, pledge or assignment of this Warrant that does not involve a reissuance of this Warrant.</w:t>
      </w:r>
    </w:p>
    <w:p>
      <w:pPr>
        <w:spacing w:after="0" w:line="192" w:lineRule="exact"/>
        <w:rPr>
          <w:rFonts w:ascii="Arial" w:cs="Arial" w:eastAsia="Arial" w:hAnsi="Arial"/>
          <w:sz w:val="18"/>
          <w:szCs w:val="18"/>
          <w:color w:val="auto"/>
        </w:rPr>
      </w:pPr>
    </w:p>
    <w:p>
      <w:pPr>
        <w:jc w:val="both"/>
        <w:ind w:firstLine="1952"/>
        <w:spacing w:after="0" w:line="275" w:lineRule="auto"/>
        <w:tabs>
          <w:tab w:leader="none" w:pos="2205" w:val="left"/>
        </w:tabs>
        <w:numPr>
          <w:ilvl w:val="1"/>
          <w:numId w:val="254"/>
        </w:numPr>
        <w:rPr>
          <w:rFonts w:ascii="Arial" w:cs="Arial" w:eastAsia="Arial" w:hAnsi="Arial"/>
          <w:sz w:val="17"/>
          <w:szCs w:val="17"/>
          <w:color w:val="auto"/>
        </w:rPr>
      </w:pPr>
      <w:r>
        <w:rPr>
          <w:rFonts w:ascii="Arial" w:cs="Arial" w:eastAsia="Arial" w:hAnsi="Arial"/>
          <w:sz w:val="17"/>
          <w:szCs w:val="17"/>
          <w:u w:val="single" w:color="auto"/>
          <w:color w:val="auto"/>
        </w:rPr>
        <w:t>Lost, Stolen or Mutilated Warrant</w:t>
      </w:r>
      <w:r>
        <w:rPr>
          <w:rFonts w:ascii="Arial" w:cs="Arial" w:eastAsia="Arial" w:hAnsi="Arial"/>
          <w:sz w:val="17"/>
          <w:szCs w:val="17"/>
          <w:color w:val="auto"/>
        </w:rPr>
        <w:t xml:space="preserve">. Upon receipt by the Company of evidence reasonably satisfactory to the Company of the loss, theft, destruction or mutilation of this Warrant (as to which a written certification and the indemnification contemplated below shall suffice as such evidence), and, in the case of loss, theft or destruction, of any indemnification undertaking by the Holder to the Company in customary and reasonable form and, in the case of mutilation, upon surrender and cancellation of this Warrant, the Company shall execute and deliver to the Holder a new Warrant (in accordance with Section </w:t>
      </w:r>
      <w:r>
        <w:rPr>
          <w:rFonts w:ascii="Arial" w:cs="Arial" w:eastAsia="Arial" w:hAnsi="Arial"/>
          <w:sz w:val="20"/>
          <w:szCs w:val="20"/>
          <w:b w:val="1"/>
          <w:bCs w:val="1"/>
          <w:color w:val="auto"/>
        </w:rPr>
        <w:t>‎</w:t>
      </w:r>
      <w:r>
        <w:rPr>
          <w:rFonts w:ascii="Arial" w:cs="Arial" w:eastAsia="Arial" w:hAnsi="Arial"/>
          <w:sz w:val="17"/>
          <w:szCs w:val="17"/>
          <w:color w:val="auto"/>
        </w:rPr>
        <w:t>7(d)) representing the right to purchase the Warrant Shares then underlying this Warrant.</w:t>
      </w:r>
    </w:p>
    <w:p>
      <w:pPr>
        <w:spacing w:after="0" w:line="163" w:lineRule="exact"/>
        <w:rPr>
          <w:rFonts w:ascii="Arial" w:cs="Arial" w:eastAsia="Arial" w:hAnsi="Arial"/>
          <w:sz w:val="17"/>
          <w:szCs w:val="17"/>
          <w:color w:val="auto"/>
        </w:rPr>
      </w:pPr>
    </w:p>
    <w:p>
      <w:pPr>
        <w:jc w:val="both"/>
        <w:ind w:firstLine="1952"/>
        <w:spacing w:after="0" w:line="295" w:lineRule="auto"/>
        <w:tabs>
          <w:tab w:leader="none" w:pos="2195" w:val="left"/>
        </w:tabs>
        <w:numPr>
          <w:ilvl w:val="1"/>
          <w:numId w:val="254"/>
        </w:numPr>
        <w:rPr>
          <w:rFonts w:ascii="Arial" w:cs="Arial" w:eastAsia="Arial" w:hAnsi="Arial"/>
          <w:sz w:val="16"/>
          <w:szCs w:val="16"/>
          <w:color w:val="auto"/>
        </w:rPr>
      </w:pPr>
      <w:r>
        <w:rPr>
          <w:rFonts w:ascii="Arial" w:cs="Arial" w:eastAsia="Arial" w:hAnsi="Arial"/>
          <w:sz w:val="16"/>
          <w:szCs w:val="16"/>
          <w:u w:val="single" w:color="auto"/>
          <w:color w:val="auto"/>
        </w:rPr>
        <w:t>Exchangeable for Multiple Warrants</w:t>
      </w:r>
      <w:r>
        <w:rPr>
          <w:rFonts w:ascii="Arial" w:cs="Arial" w:eastAsia="Arial" w:hAnsi="Arial"/>
          <w:sz w:val="16"/>
          <w:szCs w:val="16"/>
          <w:color w:val="auto"/>
        </w:rPr>
        <w:t xml:space="preserve">. This Warrant is exchangeable, upon the surrender hereof by the Holder at the principal office of the Company, for a new Warrant or Warrants (in accordance with Section </w:t>
      </w:r>
      <w:r>
        <w:rPr>
          <w:rFonts w:ascii="Arial" w:cs="Arial" w:eastAsia="Arial" w:hAnsi="Arial"/>
          <w:sz w:val="19"/>
          <w:szCs w:val="19"/>
          <w:b w:val="1"/>
          <w:bCs w:val="1"/>
          <w:color w:val="auto"/>
        </w:rPr>
        <w:t>‎</w:t>
      </w:r>
      <w:r>
        <w:rPr>
          <w:rFonts w:ascii="Arial" w:cs="Arial" w:eastAsia="Arial" w:hAnsi="Arial"/>
          <w:sz w:val="16"/>
          <w:szCs w:val="16"/>
          <w:color w:val="auto"/>
        </w:rPr>
        <w:t xml:space="preserve">7(d)) representing in the aggregate the right to purchase the number of Warrant Shares then underlying this Warrant, and each such new Warrant will represent the right to purchase such portion of such Warrant Shares as is designated by the Holder at the time of such surrender;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no warrants for fractional shares of Common Stock shall be given.</w:t>
      </w:r>
    </w:p>
    <w:p>
      <w:pPr>
        <w:spacing w:after="0" w:line="159" w:lineRule="exact"/>
        <w:rPr>
          <w:rFonts w:ascii="Arial" w:cs="Arial" w:eastAsia="Arial" w:hAnsi="Arial"/>
          <w:sz w:val="16"/>
          <w:szCs w:val="16"/>
          <w:color w:val="auto"/>
        </w:rPr>
      </w:pPr>
    </w:p>
    <w:p>
      <w:pPr>
        <w:jc w:val="both"/>
        <w:ind w:firstLine="1952"/>
        <w:spacing w:after="0" w:line="290" w:lineRule="auto"/>
        <w:tabs>
          <w:tab w:leader="none" w:pos="2204" w:val="left"/>
        </w:tabs>
        <w:numPr>
          <w:ilvl w:val="1"/>
          <w:numId w:val="254"/>
        </w:numPr>
        <w:rPr>
          <w:rFonts w:ascii="Arial" w:cs="Arial" w:eastAsia="Arial" w:hAnsi="Arial"/>
          <w:sz w:val="16"/>
          <w:szCs w:val="16"/>
          <w:color w:val="auto"/>
        </w:rPr>
      </w:pPr>
      <w:r>
        <w:rPr>
          <w:rFonts w:ascii="Arial" w:cs="Arial" w:eastAsia="Arial" w:hAnsi="Arial"/>
          <w:sz w:val="16"/>
          <w:szCs w:val="16"/>
          <w:u w:val="single" w:color="auto"/>
          <w:color w:val="auto"/>
        </w:rPr>
        <w:t>Issuance of New Warrants</w:t>
      </w:r>
      <w:r>
        <w:rPr>
          <w:rFonts w:ascii="Arial" w:cs="Arial" w:eastAsia="Arial" w:hAnsi="Arial"/>
          <w:sz w:val="16"/>
          <w:szCs w:val="16"/>
          <w:color w:val="auto"/>
        </w:rPr>
        <w:t xml:space="preserve">. Whenever the Company is required to issue a new Warrant pursuant to the terms of this Warrant, such new Warrant (i) shall be of like tenor with this Warrant, (ii) shall represent, as indicated on the face of such new Warrant, the right to purchase the Warrant Shares then underlying this Warrant (or in the case of a new Warrant being issued pursuant to Section </w:t>
      </w:r>
      <w:r>
        <w:rPr>
          <w:rFonts w:ascii="Arial" w:cs="Arial" w:eastAsia="Arial" w:hAnsi="Arial"/>
          <w:sz w:val="19"/>
          <w:szCs w:val="19"/>
          <w:b w:val="1"/>
          <w:bCs w:val="1"/>
          <w:color w:val="auto"/>
        </w:rPr>
        <w:t>‎</w:t>
      </w:r>
      <w:r>
        <w:rPr>
          <w:rFonts w:ascii="Arial" w:cs="Arial" w:eastAsia="Arial" w:hAnsi="Arial"/>
          <w:sz w:val="16"/>
          <w:szCs w:val="16"/>
          <w:color w:val="auto"/>
        </w:rPr>
        <w:t xml:space="preserve">7(a) or Section </w:t>
      </w:r>
      <w:r>
        <w:rPr>
          <w:rFonts w:ascii="Arial" w:cs="Arial" w:eastAsia="Arial" w:hAnsi="Arial"/>
          <w:sz w:val="19"/>
          <w:szCs w:val="19"/>
          <w:b w:val="1"/>
          <w:bCs w:val="1"/>
          <w:color w:val="auto"/>
        </w:rPr>
        <w:t>‎</w:t>
      </w:r>
      <w:r>
        <w:rPr>
          <w:rFonts w:ascii="Arial" w:cs="Arial" w:eastAsia="Arial" w:hAnsi="Arial"/>
          <w:sz w:val="16"/>
          <w:szCs w:val="16"/>
          <w:color w:val="auto"/>
        </w:rPr>
        <w:t>7(c), the Warrant Shares designated by the Holder which, when added to the number of shares of Common Stock underlying the other new Warrants issued in connection with such issuance, does not exceed the number of Warrant Shares then underlying this Warrant), (iii) shall have an issuance date, as indicated on the face of such new Warrant which is the same as the Issuance Date, and (iv) shall have the same rights and conditions as this Warrant.</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48" w:name="page249"/>
    <w:bookmarkEnd w:id="248"/>
    <w:p>
      <w:pPr>
        <w:jc w:val="both"/>
        <w:ind w:firstLine="1304"/>
        <w:spacing w:after="0" w:line="296" w:lineRule="auto"/>
        <w:tabs>
          <w:tab w:leader="none" w:pos="1496" w:val="left"/>
        </w:tabs>
        <w:numPr>
          <w:ilvl w:val="0"/>
          <w:numId w:val="255"/>
        </w:numPr>
        <w:rPr>
          <w:rFonts w:ascii="Arial" w:cs="Arial" w:eastAsia="Arial" w:hAnsi="Arial"/>
          <w:sz w:val="16"/>
          <w:szCs w:val="16"/>
          <w:color w:val="auto"/>
        </w:rPr>
      </w:pPr>
      <w:r>
        <w:rPr>
          <w:rFonts w:ascii="Arial" w:cs="Arial" w:eastAsia="Arial" w:hAnsi="Arial"/>
          <w:sz w:val="16"/>
          <w:szCs w:val="16"/>
          <w:u w:val="single" w:color="auto"/>
          <w:color w:val="auto"/>
        </w:rPr>
        <w:t>NOTICES OF CHANGES IN WARRANT</w:t>
      </w:r>
      <w:r>
        <w:rPr>
          <w:rFonts w:ascii="Arial" w:cs="Arial" w:eastAsia="Arial" w:hAnsi="Arial"/>
          <w:sz w:val="16"/>
          <w:szCs w:val="16"/>
          <w:color w:val="auto"/>
        </w:rPr>
        <w:t>. Whenever notice is required to be given under this Warrant, unless otherwise provided herein, such notice shall be given in accordance with Section 8.2 of the Credit Agreement. Upon every adjustment of the Exercise Price or the number of shares of Common Stock issuable upon exercise of a Warrant, the Company shall give written notice thereof to the Holders, which notice shall state the Exercise Price resulting from such adjustment and the increase or decrease, if any, in the number of Warrant Shares purchasable at such price upon the exercise of a Warrant, setting forth in reasonable detail the method of calculation and the facts upon which such calculation is based.</w:t>
      </w:r>
    </w:p>
    <w:p>
      <w:pPr>
        <w:spacing w:after="0" w:line="161" w:lineRule="exact"/>
        <w:rPr>
          <w:rFonts w:ascii="Arial" w:cs="Arial" w:eastAsia="Arial" w:hAnsi="Arial"/>
          <w:sz w:val="16"/>
          <w:szCs w:val="16"/>
          <w:color w:val="auto"/>
        </w:rPr>
      </w:pPr>
    </w:p>
    <w:p>
      <w:pPr>
        <w:jc w:val="both"/>
        <w:ind w:firstLine="1304"/>
        <w:spacing w:after="0" w:line="301" w:lineRule="auto"/>
        <w:tabs>
          <w:tab w:leader="none" w:pos="1476" w:val="left"/>
        </w:tabs>
        <w:numPr>
          <w:ilvl w:val="0"/>
          <w:numId w:val="255"/>
        </w:numPr>
        <w:rPr>
          <w:rFonts w:ascii="Arial" w:cs="Arial" w:eastAsia="Arial" w:hAnsi="Arial"/>
          <w:sz w:val="16"/>
          <w:szCs w:val="16"/>
          <w:color w:val="auto"/>
        </w:rPr>
      </w:pPr>
      <w:r>
        <w:rPr>
          <w:rFonts w:ascii="Arial" w:cs="Arial" w:eastAsia="Arial" w:hAnsi="Arial"/>
          <w:sz w:val="16"/>
          <w:szCs w:val="16"/>
          <w:u w:val="single" w:color="auto"/>
          <w:color w:val="auto"/>
        </w:rPr>
        <w:t>AMENDMENT AND WAIVER</w:t>
      </w:r>
      <w:r>
        <w:rPr>
          <w:rFonts w:ascii="Arial" w:cs="Arial" w:eastAsia="Arial" w:hAnsi="Arial"/>
          <w:sz w:val="16"/>
          <w:szCs w:val="16"/>
          <w:color w:val="auto"/>
        </w:rPr>
        <w:t>. Except as otherwise provided herein, the provisions of this Warrant may be amended or waived and the Company may take any action herein prohibited, or omit to perform any act herein required to be performed by it, only if the Company has obtained the written consent of (i) the Holder, if there is one Holder, or (ii) the Holder or Holders of the Warrant or Warrants representing the majority of Warrant Shares if there is more than one Holder, and with respect to any amendment, the amendment is in writing and signed by the Company and the Holder.</w:t>
      </w:r>
    </w:p>
    <w:p>
      <w:pPr>
        <w:spacing w:after="0" w:line="157" w:lineRule="exact"/>
        <w:rPr>
          <w:rFonts w:ascii="Arial" w:cs="Arial" w:eastAsia="Arial" w:hAnsi="Arial"/>
          <w:sz w:val="16"/>
          <w:szCs w:val="16"/>
          <w:color w:val="auto"/>
        </w:rPr>
      </w:pPr>
    </w:p>
    <w:p>
      <w:pPr>
        <w:jc w:val="both"/>
        <w:ind w:firstLine="1304"/>
        <w:spacing w:after="0" w:line="283" w:lineRule="auto"/>
        <w:tabs>
          <w:tab w:leader="none" w:pos="1573" w:val="left"/>
        </w:tabs>
        <w:numPr>
          <w:ilvl w:val="0"/>
          <w:numId w:val="255"/>
        </w:numPr>
        <w:rPr>
          <w:rFonts w:ascii="Arial" w:cs="Arial" w:eastAsia="Arial" w:hAnsi="Arial"/>
          <w:sz w:val="16"/>
          <w:szCs w:val="16"/>
          <w:color w:val="auto"/>
        </w:rPr>
      </w:pPr>
      <w:r>
        <w:rPr>
          <w:rFonts w:ascii="Arial" w:cs="Arial" w:eastAsia="Arial" w:hAnsi="Arial"/>
          <w:sz w:val="16"/>
          <w:szCs w:val="16"/>
          <w:u w:val="single" w:color="auto"/>
          <w:color w:val="auto"/>
        </w:rPr>
        <w:t>GOVERNING LAW; JURISDICTION; JURY TRIAL</w:t>
      </w:r>
      <w:r>
        <w:rPr>
          <w:rFonts w:ascii="Arial" w:cs="Arial" w:eastAsia="Arial" w:hAnsi="Arial"/>
          <w:sz w:val="16"/>
          <w:szCs w:val="16"/>
          <w:color w:val="auto"/>
        </w:rPr>
        <w:t xml:space="preserve">. This Warrant shall be governed by and construed and enforced in accordance with, and all questions concerning the construction, validity, interpretation and performance of this Warrant shall be governed by, the internal laws of the State of New York, without giving effect to any choice of law or conflict of law provision or rule (whether of the State of New York or any other jurisdictions) that would cause the application of the laws of any jurisdictions other than the State of New York. The Company and the Holder each hereby irrevocably submits to the exclusive jurisdiction of the state and federal courts sitting in The City of New York, Borough of Manhattan, for the adjudication of any dispute hereunder or in connection herewith or with any transaction contemplated hereby or discussed herein, and hereby irrevocably waives, and agrees not to assert in any suit, action or proceeding, any claim that it is not personally subject to the jurisdiction of any such court, that such suit, action or proceeding is brought in an inconvenient forum or that the venue of such suit, action or proceeding is improper. The Company and the Holder each hereby irrevocably waives personal service of process and consents to process being served in any such suit, action or proceeding by mailing a copy thereof to the Company or such Holder, as applicable at the address set forth in Section 8.2 of the Credit Agreement and agrees that such service shall constitute good and sufficient service of process and notice thereof. Nothing contained herein shall be deemed to limit in any way any right to serve process in any manner permitted by law. Nothing contained herein shall be deemed or operate to preclude the Holder from bringing suit or taking other legal action against the Company in any other jurisdiction to collect on the Company’s obligations to the Holder, to realize on any collateral or any other security for such obligations, or to enforce a judgment or other court ruling in favor of the Holder. </w:t>
      </w:r>
      <w:r>
        <w:rPr>
          <w:rFonts w:ascii="Arial" w:cs="Arial" w:eastAsia="Arial" w:hAnsi="Arial"/>
          <w:sz w:val="16"/>
          <w:szCs w:val="16"/>
          <w:b w:val="1"/>
          <w:bCs w:val="1"/>
          <w:color w:val="auto"/>
        </w:rPr>
        <w:t>THE COMPANY HEREBY AND THE HOLDER EACH</w:t>
      </w:r>
    </w:p>
    <w:p>
      <w:pPr>
        <w:spacing w:after="0" w:line="1" w:lineRule="exact"/>
        <w:rPr>
          <w:rFonts w:ascii="Arial" w:cs="Arial" w:eastAsia="Arial" w:hAnsi="Arial"/>
          <w:sz w:val="16"/>
          <w:szCs w:val="16"/>
          <w:color w:val="auto"/>
        </w:rPr>
      </w:pPr>
    </w:p>
    <w:p>
      <w:pPr>
        <w:jc w:val="both"/>
        <w:spacing w:after="0" w:line="255" w:lineRule="auto"/>
        <w:rPr>
          <w:rFonts w:ascii="Arial" w:cs="Arial" w:eastAsia="Arial" w:hAnsi="Arial"/>
          <w:sz w:val="16"/>
          <w:szCs w:val="16"/>
          <w:color w:val="auto"/>
        </w:rPr>
      </w:pPr>
      <w:r>
        <w:rPr>
          <w:rFonts w:ascii="Arial" w:cs="Arial" w:eastAsia="Arial" w:hAnsi="Arial"/>
          <w:sz w:val="18"/>
          <w:szCs w:val="18"/>
          <w:b w:val="1"/>
          <w:bCs w:val="1"/>
          <w:color w:val="auto"/>
        </w:rPr>
        <w:t>IRREVOCABLY WAIVES ANY RIGHT IT MAY HAVE, AND AGREES NOT TO REQUEST, A JURY TRIAL FOR THE ADJUDICATION OF ANY DISPUTE HEREUNDER OR IN CONNECTION WITH OR ARISING OUT OF THIS WARRANT OR ANY TRANSACTION CONTEMPLATED HEREBY.</w:t>
      </w:r>
    </w:p>
    <w:p>
      <w:pPr>
        <w:spacing w:after="0" w:line="189" w:lineRule="exact"/>
        <w:rPr>
          <w:rFonts w:ascii="Arial" w:cs="Arial" w:eastAsia="Arial" w:hAnsi="Arial"/>
          <w:sz w:val="16"/>
          <w:szCs w:val="16"/>
          <w:color w:val="auto"/>
        </w:rPr>
      </w:pPr>
    </w:p>
    <w:p>
      <w:pPr>
        <w:jc w:val="both"/>
        <w:ind w:firstLine="1304"/>
        <w:spacing w:after="0" w:line="301" w:lineRule="auto"/>
        <w:tabs>
          <w:tab w:leader="none" w:pos="1576" w:val="left"/>
        </w:tabs>
        <w:numPr>
          <w:ilvl w:val="0"/>
          <w:numId w:val="255"/>
        </w:numPr>
        <w:rPr>
          <w:rFonts w:ascii="Arial" w:cs="Arial" w:eastAsia="Arial" w:hAnsi="Arial"/>
          <w:sz w:val="16"/>
          <w:szCs w:val="16"/>
          <w:color w:val="auto"/>
        </w:rPr>
      </w:pPr>
      <w:r>
        <w:rPr>
          <w:rFonts w:ascii="Arial" w:cs="Arial" w:eastAsia="Arial" w:hAnsi="Arial"/>
          <w:sz w:val="16"/>
          <w:szCs w:val="16"/>
          <w:u w:val="single" w:color="auto"/>
          <w:color w:val="auto"/>
        </w:rPr>
        <w:t>CONSTRUCTION; HEADINGS; BUSINESS DAYS</w:t>
      </w:r>
      <w:r>
        <w:rPr>
          <w:rFonts w:ascii="Arial" w:cs="Arial" w:eastAsia="Arial" w:hAnsi="Arial"/>
          <w:sz w:val="16"/>
          <w:szCs w:val="16"/>
          <w:color w:val="auto"/>
        </w:rPr>
        <w:t>. This Warrant shall be deemed to be jointly drafted by the Company and the Holder and shall not be construed against any Person as the drafter hereof. The headings of this Warrant are for convenience of reference and shall not form part of, or affect the interpretation of, this Warrant. If the last or appointed day for the taking of any action or the expiration of any right required or granted herein shall not be a Business Day, then, such action may be taken or such right may be exercised on the next succeeding Business Day.</w:t>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49" w:name="page250"/>
    <w:bookmarkEnd w:id="249"/>
    <w:p>
      <w:pPr>
        <w:jc w:val="both"/>
        <w:ind w:firstLine="1304"/>
        <w:spacing w:after="0" w:line="268" w:lineRule="auto"/>
        <w:tabs>
          <w:tab w:leader="none" w:pos="1578" w:val="left"/>
        </w:tabs>
        <w:numPr>
          <w:ilvl w:val="0"/>
          <w:numId w:val="256"/>
        </w:numPr>
        <w:rPr>
          <w:rFonts w:ascii="Arial" w:cs="Arial" w:eastAsia="Arial" w:hAnsi="Arial"/>
          <w:sz w:val="17"/>
          <w:szCs w:val="17"/>
          <w:color w:val="auto"/>
        </w:rPr>
      </w:pPr>
      <w:r>
        <w:rPr>
          <w:rFonts w:ascii="Arial" w:cs="Arial" w:eastAsia="Arial" w:hAnsi="Arial"/>
          <w:sz w:val="17"/>
          <w:szCs w:val="17"/>
          <w:u w:val="single" w:color="auto"/>
          <w:color w:val="auto"/>
        </w:rPr>
        <w:t>DISPUTE RESOLUTION</w:t>
      </w:r>
      <w:r>
        <w:rPr>
          <w:rFonts w:ascii="Arial" w:cs="Arial" w:eastAsia="Arial" w:hAnsi="Arial"/>
          <w:sz w:val="17"/>
          <w:szCs w:val="17"/>
          <w:color w:val="auto"/>
        </w:rPr>
        <w:t xml:space="preserve">. In the case of a dispute as to the determination of the Exercise Price or the arithmetic calculation of the Warrant Shares, the Company shall submit the disputed determinations or arithmetic calculations via facsimile or electronic mail within two (2) Business Days of receipt of the Exercise Notice giving rise to such dispute, as the case may be, to the Holder. If the Holder and the Company are unable to agree upon such determination or calculation of the Exercise Price or the Warrant Shares within three (3) Business Days of such disputed determination or arithmetic calculation being submitted to the Holder, then the Company shall, within two (2) Business Days submit via facsimile or electronic mail the dispute to a nationally recognized accounting firm selected by the Holder and reasonably satisfactory to the Company. If the Company does not object in writing to the selection of the accounting firm within two (2) Business Days of notice of the Holder’s selection, the Company will have deemed to have consented to such selection. If the Company does object, the Company shall provide the Holder its rationale for such rejection and five (5) acceptable alternative firms. The Company shall cause at its expense the accepted accounting firm to perform the determinations or calculations and notify the Company and the Holder of the results no later than three (3) Business Days from the time it receives the disputed determinations or calculations. Such accounting firm’s determination or calculation, as the case may be, shall be binding upon all parties absent demonstrable error. In the event that the accounting firm resolves the dispute in the Holder’s favor, a Delivery Failure will be deemed to have occurred and the Buy-In and other remedies available to the Holder under Section </w:t>
      </w:r>
      <w:r>
        <w:rPr>
          <w:rFonts w:ascii="Arial" w:cs="Arial" w:eastAsia="Arial" w:hAnsi="Arial"/>
          <w:sz w:val="20"/>
          <w:szCs w:val="20"/>
          <w:b w:val="1"/>
          <w:bCs w:val="1"/>
          <w:color w:val="auto"/>
        </w:rPr>
        <w:t>‎</w:t>
      </w:r>
      <w:r>
        <w:rPr>
          <w:rFonts w:ascii="Arial" w:cs="Arial" w:eastAsia="Arial" w:hAnsi="Arial"/>
          <w:sz w:val="17"/>
          <w:szCs w:val="17"/>
          <w:color w:val="auto"/>
        </w:rPr>
        <w:t>1(c) will apply.</w:t>
      </w:r>
    </w:p>
    <w:p>
      <w:pPr>
        <w:spacing w:after="0" w:line="174" w:lineRule="exact"/>
        <w:rPr>
          <w:rFonts w:ascii="Arial" w:cs="Arial" w:eastAsia="Arial" w:hAnsi="Arial"/>
          <w:sz w:val="17"/>
          <w:szCs w:val="17"/>
          <w:color w:val="auto"/>
        </w:rPr>
      </w:pPr>
    </w:p>
    <w:p>
      <w:pPr>
        <w:jc w:val="both"/>
        <w:ind w:firstLine="1304"/>
        <w:spacing w:after="0" w:line="272" w:lineRule="auto"/>
        <w:tabs>
          <w:tab w:leader="none" w:pos="1579" w:val="left"/>
        </w:tabs>
        <w:numPr>
          <w:ilvl w:val="0"/>
          <w:numId w:val="256"/>
        </w:numPr>
        <w:rPr>
          <w:rFonts w:ascii="Arial" w:cs="Arial" w:eastAsia="Arial" w:hAnsi="Arial"/>
          <w:sz w:val="17"/>
          <w:szCs w:val="17"/>
          <w:color w:val="auto"/>
        </w:rPr>
      </w:pPr>
      <w:r>
        <w:rPr>
          <w:rFonts w:ascii="Arial" w:cs="Arial" w:eastAsia="Arial" w:hAnsi="Arial"/>
          <w:sz w:val="17"/>
          <w:szCs w:val="17"/>
          <w:u w:val="single" w:color="auto"/>
          <w:color w:val="auto"/>
        </w:rPr>
        <w:t>REMEDIES, OTHER OBLIGATIONS, BREACHES AND INJUNCTIVE RELIEF</w:t>
      </w:r>
      <w:r>
        <w:rPr>
          <w:rFonts w:ascii="Arial" w:cs="Arial" w:eastAsia="Arial" w:hAnsi="Arial"/>
          <w:sz w:val="17"/>
          <w:szCs w:val="17"/>
          <w:color w:val="auto"/>
        </w:rPr>
        <w:t>. The remedies provided in this Warrant shall be cumulative and in addition to all other remedies available under this Warrant and the other Loan Documents, at law or in equity (including a decree of specific performance and/or other injunctive relief), and nothing herein shall limit the right of the Holder to pursue actual damages for any failure by the Company to comply with the terms of this Warrant. The Company acknowledges that a breach by it of its obligations hereunder will cause irreparable harm to the Holder and that the remedy at law for any such breach may be inadequate. The Company therefore agrees that, in the event of any such breach or threatened breach, the Holder shall be entitled, in addition to all other available remedies, to an injunction restraining any breach, without the necessity of showing economic loss and without any bond or other security being required.</w:t>
      </w:r>
    </w:p>
    <w:p>
      <w:pPr>
        <w:spacing w:after="0" w:line="177" w:lineRule="exact"/>
        <w:rPr>
          <w:rFonts w:ascii="Arial" w:cs="Arial" w:eastAsia="Arial" w:hAnsi="Arial"/>
          <w:sz w:val="17"/>
          <w:szCs w:val="17"/>
          <w:color w:val="auto"/>
        </w:rPr>
      </w:pPr>
    </w:p>
    <w:p>
      <w:pPr>
        <w:jc w:val="both"/>
        <w:ind w:firstLine="1304"/>
        <w:spacing w:after="0" w:line="259" w:lineRule="auto"/>
        <w:tabs>
          <w:tab w:leader="none" w:pos="1567" w:val="left"/>
        </w:tabs>
        <w:numPr>
          <w:ilvl w:val="0"/>
          <w:numId w:val="256"/>
        </w:numPr>
        <w:rPr>
          <w:rFonts w:ascii="Arial" w:cs="Arial" w:eastAsia="Arial" w:hAnsi="Arial"/>
          <w:sz w:val="18"/>
          <w:szCs w:val="18"/>
          <w:color w:val="auto"/>
        </w:rPr>
      </w:pPr>
      <w:r>
        <w:rPr>
          <w:rFonts w:ascii="Arial" w:cs="Arial" w:eastAsia="Arial" w:hAnsi="Arial"/>
          <w:sz w:val="18"/>
          <w:szCs w:val="18"/>
          <w:u w:val="single" w:color="auto"/>
          <w:color w:val="auto"/>
        </w:rPr>
        <w:t>TRANSFER</w:t>
      </w:r>
      <w:r>
        <w:rPr>
          <w:rFonts w:ascii="Arial" w:cs="Arial" w:eastAsia="Arial" w:hAnsi="Arial"/>
          <w:sz w:val="18"/>
          <w:szCs w:val="18"/>
          <w:color w:val="auto"/>
        </w:rPr>
        <w:t>. This Warrant and the Warrant Shares may be offered for sale, sold, transferred, pledged or assigned without the consent of the Company, subject to compliance with applicable state and federal securities laws. The Holder acknowledges that the Warrant Shares acquired upon the exercise of this Warrant, if not registered, and the Holder does not utilize cashless exercise, will have restrictions upon resale imposed by state and federal securities laws.</w:t>
      </w:r>
    </w:p>
    <w:p>
      <w:pPr>
        <w:spacing w:after="0" w:line="186" w:lineRule="exact"/>
        <w:rPr>
          <w:rFonts w:ascii="Arial" w:cs="Arial" w:eastAsia="Arial" w:hAnsi="Arial"/>
          <w:sz w:val="18"/>
          <w:szCs w:val="18"/>
          <w:color w:val="auto"/>
        </w:rPr>
      </w:pPr>
    </w:p>
    <w:p>
      <w:pPr>
        <w:jc w:val="both"/>
        <w:ind w:firstLine="1304"/>
        <w:spacing w:after="0" w:line="271" w:lineRule="auto"/>
        <w:tabs>
          <w:tab w:leader="none" w:pos="1577" w:val="left"/>
        </w:tabs>
        <w:numPr>
          <w:ilvl w:val="0"/>
          <w:numId w:val="256"/>
        </w:numPr>
        <w:rPr>
          <w:rFonts w:ascii="Arial" w:cs="Arial" w:eastAsia="Arial" w:hAnsi="Arial"/>
          <w:sz w:val="17"/>
          <w:szCs w:val="17"/>
          <w:color w:val="auto"/>
        </w:rPr>
      </w:pPr>
      <w:r>
        <w:rPr>
          <w:rFonts w:ascii="Arial" w:cs="Arial" w:eastAsia="Arial" w:hAnsi="Arial"/>
          <w:sz w:val="17"/>
          <w:szCs w:val="17"/>
          <w:u w:val="single" w:color="auto"/>
          <w:color w:val="auto"/>
        </w:rPr>
        <w:t>SEVERABILITY</w:t>
      </w:r>
      <w:r>
        <w:rPr>
          <w:rFonts w:ascii="Arial" w:cs="Arial" w:eastAsia="Arial" w:hAnsi="Arial"/>
          <w:sz w:val="17"/>
          <w:szCs w:val="17"/>
          <w:color w:val="auto"/>
        </w:rPr>
        <w:t>. If any provision of this Warrant is prohibited by law or otherwise determined to be invalid or unenforceable by a court of competent jurisdiction, the provision that would otherwise be prohibited, invalid or unenforceable shall be deemed amended to apply to the broadest extent that it would be valid and enforceable, and the invalidity or unenforceability of such provision shall not affect the validity of the remaining provisions of this Warrant so long as this Warrant as so modified continues to express, without material change, the original intentions of the parties as to the subject matter hereof and the prohibited nature, invalidity or unenforceability of the provision(s) in question does not substantially impair the respective expectations or reciprocal obligations of the parties or the practical realization of the benefits that would otherwise be conferred upon the parties. The parties will endeavor in good faith negotiations to replace the prohibited, invalid or unenforceable provision(s) with a valid provision(s), the effect of which comes as close as possible to that of the prohibited, invalid or unenforceable provision(s).</w:t>
      </w:r>
    </w:p>
    <w:p>
      <w:pPr>
        <w:spacing w:after="0" w:line="178" w:lineRule="exact"/>
        <w:rPr>
          <w:rFonts w:ascii="Arial" w:cs="Arial" w:eastAsia="Arial" w:hAnsi="Arial"/>
          <w:sz w:val="17"/>
          <w:szCs w:val="17"/>
          <w:color w:val="auto"/>
        </w:rPr>
      </w:pPr>
    </w:p>
    <w:p>
      <w:pPr>
        <w:ind w:firstLine="1304"/>
        <w:spacing w:after="0" w:line="277" w:lineRule="auto"/>
        <w:tabs>
          <w:tab w:leader="none" w:pos="1566" w:val="left"/>
        </w:tabs>
        <w:numPr>
          <w:ilvl w:val="0"/>
          <w:numId w:val="256"/>
        </w:numPr>
        <w:rPr>
          <w:rFonts w:ascii="Arial" w:cs="Arial" w:eastAsia="Arial" w:hAnsi="Arial"/>
          <w:sz w:val="18"/>
          <w:szCs w:val="18"/>
          <w:color w:val="auto"/>
        </w:rPr>
      </w:pPr>
      <w:r>
        <w:rPr>
          <w:rFonts w:ascii="Arial" w:cs="Arial" w:eastAsia="Arial" w:hAnsi="Arial"/>
          <w:sz w:val="18"/>
          <w:szCs w:val="18"/>
          <w:u w:val="single" w:color="auto"/>
          <w:color w:val="auto"/>
        </w:rPr>
        <w:t>NO DISCLOSURE</w:t>
      </w:r>
      <w:r>
        <w:rPr>
          <w:rFonts w:ascii="Arial" w:cs="Arial" w:eastAsia="Arial" w:hAnsi="Arial"/>
          <w:sz w:val="18"/>
          <w:szCs w:val="18"/>
          <w:color w:val="auto"/>
        </w:rPr>
        <w:t>. The Company shall not provide material, non-public information or confidential or proprietary information to the Holder without such Holder’s written consent.</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50" w:name="page251"/>
    <w:bookmarkEnd w:id="250"/>
    <w:p>
      <w:pPr>
        <w:ind w:left="1580" w:hanging="276"/>
        <w:spacing w:after="0"/>
        <w:tabs>
          <w:tab w:leader="none" w:pos="1580" w:val="left"/>
        </w:tabs>
        <w:numPr>
          <w:ilvl w:val="0"/>
          <w:numId w:val="257"/>
        </w:numPr>
        <w:rPr>
          <w:rFonts w:ascii="Arial" w:cs="Arial" w:eastAsia="Arial" w:hAnsi="Arial"/>
          <w:sz w:val="18"/>
          <w:szCs w:val="18"/>
          <w:color w:val="auto"/>
        </w:rPr>
      </w:pPr>
      <w:r>
        <w:rPr>
          <w:rFonts w:ascii="Arial" w:cs="Arial" w:eastAsia="Arial" w:hAnsi="Arial"/>
          <w:sz w:val="18"/>
          <w:szCs w:val="18"/>
          <w:u w:val="single" w:color="auto"/>
          <w:color w:val="auto"/>
        </w:rPr>
        <w:t>REPRESENTATIONS OF HOLDERS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firstLine="1952"/>
        <w:spacing w:after="0" w:line="263" w:lineRule="auto"/>
        <w:tabs>
          <w:tab w:leader="none" w:pos="2193" w:val="left"/>
        </w:tabs>
        <w:numPr>
          <w:ilvl w:val="1"/>
          <w:numId w:val="257"/>
        </w:numPr>
        <w:rPr>
          <w:rFonts w:ascii="Arial" w:cs="Arial" w:eastAsia="Arial" w:hAnsi="Arial"/>
          <w:sz w:val="18"/>
          <w:szCs w:val="18"/>
          <w:color w:val="auto"/>
        </w:rPr>
      </w:pPr>
      <w:r>
        <w:rPr>
          <w:rFonts w:ascii="Arial" w:cs="Arial" w:eastAsia="Arial" w:hAnsi="Arial"/>
          <w:sz w:val="18"/>
          <w:szCs w:val="18"/>
          <w:u w:val="single" w:color="auto"/>
          <w:color w:val="auto"/>
        </w:rPr>
        <w:t>Investment Intent</w:t>
      </w:r>
      <w:r>
        <w:rPr>
          <w:rFonts w:ascii="Arial" w:cs="Arial" w:eastAsia="Arial" w:hAnsi="Arial"/>
          <w:sz w:val="18"/>
          <w:szCs w:val="18"/>
          <w:color w:val="auto"/>
        </w:rPr>
        <w:t>. Each Holder represents and warrants that it is acquiring this Warrant and the Warrant Shares (collectively, the “</w:t>
      </w:r>
      <w:r>
        <w:rPr>
          <w:rFonts w:ascii="Arial" w:cs="Arial" w:eastAsia="Arial" w:hAnsi="Arial"/>
          <w:sz w:val="18"/>
          <w:szCs w:val="18"/>
          <w:b w:val="1"/>
          <w:bCs w:val="1"/>
          <w:color w:val="auto"/>
        </w:rPr>
        <w:t>Securities</w:t>
      </w:r>
      <w:r>
        <w:rPr>
          <w:rFonts w:ascii="Arial" w:cs="Arial" w:eastAsia="Arial" w:hAnsi="Arial"/>
          <w:sz w:val="18"/>
          <w:szCs w:val="18"/>
          <w:color w:val="auto"/>
        </w:rPr>
        <w:t>”), solely for its beneficial account, for investment purposes, and not with a view to, or for resale in connection with, any distribution of the Securities in violation of applicable securities laws.</w:t>
      </w:r>
    </w:p>
    <w:p>
      <w:pPr>
        <w:spacing w:after="0" w:line="183" w:lineRule="exact"/>
        <w:rPr>
          <w:rFonts w:ascii="Arial" w:cs="Arial" w:eastAsia="Arial" w:hAnsi="Arial"/>
          <w:sz w:val="18"/>
          <w:szCs w:val="18"/>
          <w:color w:val="auto"/>
        </w:rPr>
      </w:pPr>
    </w:p>
    <w:p>
      <w:pPr>
        <w:jc w:val="both"/>
        <w:ind w:firstLine="1952"/>
        <w:spacing w:after="0" w:line="286" w:lineRule="auto"/>
        <w:tabs>
          <w:tab w:leader="none" w:pos="2206" w:val="left"/>
        </w:tabs>
        <w:numPr>
          <w:ilvl w:val="1"/>
          <w:numId w:val="257"/>
        </w:numPr>
        <w:rPr>
          <w:rFonts w:ascii="Arial" w:cs="Arial" w:eastAsia="Arial" w:hAnsi="Arial"/>
          <w:sz w:val="17"/>
          <w:szCs w:val="17"/>
          <w:color w:val="auto"/>
        </w:rPr>
      </w:pPr>
      <w:r>
        <w:rPr>
          <w:rFonts w:ascii="Arial" w:cs="Arial" w:eastAsia="Arial" w:hAnsi="Arial"/>
          <w:sz w:val="17"/>
          <w:szCs w:val="17"/>
          <w:u w:val="single" w:color="auto"/>
          <w:color w:val="auto"/>
        </w:rPr>
        <w:t>Unregistered Securities</w:t>
      </w:r>
      <w:r>
        <w:rPr>
          <w:rFonts w:ascii="Arial" w:cs="Arial" w:eastAsia="Arial" w:hAnsi="Arial"/>
          <w:sz w:val="17"/>
          <w:szCs w:val="17"/>
          <w:color w:val="auto"/>
        </w:rPr>
        <w:t>. Each Holder represents and warrants that it understands that the Securities have not been registered under the Securities Act or any state securities laws by reason of specific exemptions under the provisions thereof, the availability of which depend in part upon the bona fide nature of its investment intent and upon the accuracy of its representations made herein.</w:t>
      </w:r>
    </w:p>
    <w:p>
      <w:pPr>
        <w:spacing w:after="0" w:line="165" w:lineRule="exact"/>
        <w:rPr>
          <w:rFonts w:ascii="Arial" w:cs="Arial" w:eastAsia="Arial" w:hAnsi="Arial"/>
          <w:sz w:val="17"/>
          <w:szCs w:val="17"/>
          <w:color w:val="auto"/>
        </w:rPr>
      </w:pPr>
    </w:p>
    <w:p>
      <w:pPr>
        <w:jc w:val="both"/>
        <w:ind w:firstLine="1952"/>
        <w:spacing w:after="0" w:line="263" w:lineRule="auto"/>
        <w:tabs>
          <w:tab w:leader="none" w:pos="2249" w:val="left"/>
        </w:tabs>
        <w:numPr>
          <w:ilvl w:val="1"/>
          <w:numId w:val="257"/>
        </w:numPr>
        <w:rPr>
          <w:rFonts w:ascii="Arial" w:cs="Arial" w:eastAsia="Arial" w:hAnsi="Arial"/>
          <w:sz w:val="18"/>
          <w:szCs w:val="18"/>
          <w:color w:val="auto"/>
        </w:rPr>
      </w:pPr>
      <w:r>
        <w:rPr>
          <w:rFonts w:ascii="Arial" w:cs="Arial" w:eastAsia="Arial" w:hAnsi="Arial"/>
          <w:sz w:val="18"/>
          <w:szCs w:val="18"/>
          <w:u w:val="single" w:color="auto"/>
          <w:color w:val="auto"/>
        </w:rPr>
        <w:t>Reliance</w:t>
      </w:r>
      <w:r>
        <w:rPr>
          <w:rFonts w:ascii="Arial" w:cs="Arial" w:eastAsia="Arial" w:hAnsi="Arial"/>
          <w:sz w:val="18"/>
          <w:szCs w:val="18"/>
          <w:color w:val="auto"/>
        </w:rPr>
        <w:t>. Each Holder represents and warrants that it understands that the Company is relying in part upon the representations and agreements of the Holders contained herein for the purpose of determining whether the offer, sale and issuance of the Securities meet the requirements for such exemptions described in Section 17(b).</w:t>
      </w:r>
    </w:p>
    <w:p>
      <w:pPr>
        <w:spacing w:after="0" w:line="183" w:lineRule="exact"/>
        <w:rPr>
          <w:rFonts w:ascii="Arial" w:cs="Arial" w:eastAsia="Arial" w:hAnsi="Arial"/>
          <w:sz w:val="18"/>
          <w:szCs w:val="18"/>
          <w:color w:val="auto"/>
        </w:rPr>
      </w:pPr>
    </w:p>
    <w:p>
      <w:pPr>
        <w:ind w:left="2200" w:hanging="248"/>
        <w:spacing w:after="0"/>
        <w:tabs>
          <w:tab w:leader="none" w:pos="2200" w:val="left"/>
        </w:tabs>
        <w:numPr>
          <w:ilvl w:val="1"/>
          <w:numId w:val="257"/>
        </w:numPr>
        <w:rPr>
          <w:rFonts w:ascii="Arial" w:cs="Arial" w:eastAsia="Arial" w:hAnsi="Arial"/>
          <w:sz w:val="16"/>
          <w:szCs w:val="16"/>
          <w:color w:val="auto"/>
        </w:rPr>
      </w:pPr>
      <w:r>
        <w:rPr>
          <w:rFonts w:ascii="Arial" w:cs="Arial" w:eastAsia="Arial" w:hAnsi="Arial"/>
          <w:sz w:val="16"/>
          <w:szCs w:val="16"/>
          <w:u w:val="single" w:color="auto"/>
          <w:color w:val="auto"/>
        </w:rPr>
        <w:t>Accredited Investor</w:t>
      </w:r>
      <w:r>
        <w:rPr>
          <w:rFonts w:ascii="Arial" w:cs="Arial" w:eastAsia="Arial" w:hAnsi="Arial"/>
          <w:sz w:val="16"/>
          <w:szCs w:val="16"/>
          <w:color w:val="auto"/>
        </w:rPr>
        <w:t>. Each Holder represents and warrants that it is an “accredited investor” as defined in Rule 501(a) under</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the Securities Act.</w:t>
      </w:r>
    </w:p>
    <w:p>
      <w:pPr>
        <w:spacing w:after="0" w:line="210" w:lineRule="exact"/>
        <w:rPr>
          <w:rFonts w:ascii="Arial" w:cs="Arial" w:eastAsia="Arial" w:hAnsi="Arial"/>
          <w:sz w:val="16"/>
          <w:szCs w:val="16"/>
          <w:color w:val="auto"/>
        </w:rPr>
      </w:pPr>
    </w:p>
    <w:p>
      <w:pPr>
        <w:jc w:val="both"/>
        <w:ind w:firstLine="1952"/>
        <w:spacing w:after="0" w:line="263" w:lineRule="auto"/>
        <w:tabs>
          <w:tab w:leader="none" w:pos="2209" w:val="left"/>
        </w:tabs>
        <w:numPr>
          <w:ilvl w:val="1"/>
          <w:numId w:val="257"/>
        </w:numPr>
        <w:rPr>
          <w:rFonts w:ascii="Arial" w:cs="Arial" w:eastAsia="Arial" w:hAnsi="Arial"/>
          <w:sz w:val="18"/>
          <w:szCs w:val="18"/>
          <w:color w:val="auto"/>
        </w:rPr>
      </w:pPr>
      <w:r>
        <w:rPr>
          <w:rFonts w:ascii="Arial" w:cs="Arial" w:eastAsia="Arial" w:hAnsi="Arial"/>
          <w:sz w:val="18"/>
          <w:szCs w:val="18"/>
          <w:u w:val="single" w:color="auto"/>
          <w:color w:val="auto"/>
        </w:rPr>
        <w:t>Sophisticated Investor</w:t>
      </w:r>
      <w:r>
        <w:rPr>
          <w:rFonts w:ascii="Arial" w:cs="Arial" w:eastAsia="Arial" w:hAnsi="Arial"/>
          <w:sz w:val="18"/>
          <w:szCs w:val="18"/>
          <w:color w:val="auto"/>
        </w:rPr>
        <w:t>. Each Holder represents and warrants that it has such knowledge, skill and experience in business, financial and investment matters that it is capable of evaluating the merits and risks of an investment in the Securities, including experience in and knowledge of the industry in which the Company operates.</w:t>
      </w:r>
    </w:p>
    <w:p>
      <w:pPr>
        <w:spacing w:after="0" w:line="183" w:lineRule="exact"/>
        <w:rPr>
          <w:rFonts w:ascii="Arial" w:cs="Arial" w:eastAsia="Arial" w:hAnsi="Arial"/>
          <w:sz w:val="18"/>
          <w:szCs w:val="18"/>
          <w:color w:val="auto"/>
        </w:rPr>
      </w:pPr>
    </w:p>
    <w:p>
      <w:pPr>
        <w:jc w:val="both"/>
        <w:ind w:firstLine="1952"/>
        <w:spacing w:after="0" w:line="263" w:lineRule="auto"/>
        <w:tabs>
          <w:tab w:leader="none" w:pos="2173" w:val="left"/>
        </w:tabs>
        <w:numPr>
          <w:ilvl w:val="1"/>
          <w:numId w:val="257"/>
        </w:numPr>
        <w:rPr>
          <w:rFonts w:ascii="Arial" w:cs="Arial" w:eastAsia="Arial" w:hAnsi="Arial"/>
          <w:sz w:val="18"/>
          <w:szCs w:val="18"/>
          <w:color w:val="auto"/>
        </w:rPr>
      </w:pPr>
      <w:r>
        <w:rPr>
          <w:rFonts w:ascii="Arial" w:cs="Arial" w:eastAsia="Arial" w:hAnsi="Arial"/>
          <w:sz w:val="18"/>
          <w:szCs w:val="18"/>
          <w:u w:val="single" w:color="auto"/>
          <w:color w:val="auto"/>
        </w:rPr>
        <w:t>Restricted Securities</w:t>
      </w:r>
      <w:r>
        <w:rPr>
          <w:rFonts w:ascii="Arial" w:cs="Arial" w:eastAsia="Arial" w:hAnsi="Arial"/>
          <w:sz w:val="18"/>
          <w:szCs w:val="18"/>
          <w:color w:val="auto"/>
        </w:rPr>
        <w:t>. Each Holder represents and warrants that it understand that the Securities will be “restricted securities” under applicable federal securities laws and that the Securities Act and the rules of the SEC provide in substance that it may dispose of the Securities only pursuant to an effective registration statement under the Securities Act or an exemption therefrom.</w:t>
      </w:r>
    </w:p>
    <w:p>
      <w:pPr>
        <w:spacing w:after="0" w:line="183" w:lineRule="exact"/>
        <w:rPr>
          <w:rFonts w:ascii="Arial" w:cs="Arial" w:eastAsia="Arial" w:hAnsi="Arial"/>
          <w:sz w:val="18"/>
          <w:szCs w:val="18"/>
          <w:color w:val="auto"/>
        </w:rPr>
      </w:pPr>
    </w:p>
    <w:p>
      <w:pPr>
        <w:jc w:val="both"/>
        <w:ind w:firstLine="1952"/>
        <w:spacing w:after="0" w:line="270" w:lineRule="auto"/>
        <w:tabs>
          <w:tab w:leader="none" w:pos="2215" w:val="left"/>
        </w:tabs>
        <w:numPr>
          <w:ilvl w:val="1"/>
          <w:numId w:val="257"/>
        </w:numPr>
        <w:rPr>
          <w:rFonts w:ascii="Arial" w:cs="Arial" w:eastAsia="Arial" w:hAnsi="Arial"/>
          <w:sz w:val="17"/>
          <w:szCs w:val="17"/>
          <w:color w:val="auto"/>
        </w:rPr>
      </w:pPr>
      <w:r>
        <w:rPr>
          <w:rFonts w:ascii="Arial" w:cs="Arial" w:eastAsia="Arial" w:hAnsi="Arial"/>
          <w:sz w:val="17"/>
          <w:szCs w:val="17"/>
          <w:u w:val="single" w:color="auto"/>
          <w:color w:val="auto"/>
        </w:rPr>
        <w:t>Information</w:t>
      </w:r>
      <w:r>
        <w:rPr>
          <w:rFonts w:ascii="Arial" w:cs="Arial" w:eastAsia="Arial" w:hAnsi="Arial"/>
          <w:sz w:val="17"/>
          <w:szCs w:val="17"/>
          <w:color w:val="auto"/>
        </w:rPr>
        <w:t>. Each Holder represents and warrants that it has been furnished by the Company all information (or provided access to all information) regarding the business and financial condition of the Company, the attributes of the Securities, and the merits and risks of an investment in such Securities which it has requested or otherwise needs to evaluate the investment in such Securities; that in making the proposed investment decision, such Holder is relying solely on such information, the representations, warranties and agreements of the Company and the other Loan Parties contained herein and in the other Loan Documents and on investigations made by it and its representatives; that the offer to sell the Securities hereunder was communicated to such Holder in such a manner that it was able to ask questions of and receive answers from the management of the Company concerning the terms and conditions of the proposed transaction and that at no time was it presented with or solicited by or through any leaflet, public promotional meeting, television advertisement or any other form of general or public advertising or solicitation; and such Holder recognizes that an investment in the Securities involves risks and can result in a total loss of all funds invested.</w:t>
      </w:r>
    </w:p>
    <w:p>
      <w:pPr>
        <w:spacing w:after="0" w:line="180" w:lineRule="exact"/>
        <w:rPr>
          <w:rFonts w:ascii="Arial" w:cs="Arial" w:eastAsia="Arial" w:hAnsi="Arial"/>
          <w:sz w:val="17"/>
          <w:szCs w:val="17"/>
          <w:color w:val="auto"/>
        </w:rPr>
      </w:pPr>
    </w:p>
    <w:p>
      <w:pPr>
        <w:jc w:val="both"/>
        <w:ind w:firstLine="1952"/>
        <w:spacing w:after="0" w:line="287" w:lineRule="auto"/>
        <w:tabs>
          <w:tab w:leader="none" w:pos="2210" w:val="left"/>
        </w:tabs>
        <w:numPr>
          <w:ilvl w:val="1"/>
          <w:numId w:val="257"/>
        </w:numPr>
        <w:rPr>
          <w:rFonts w:ascii="Arial" w:cs="Arial" w:eastAsia="Arial" w:hAnsi="Arial"/>
          <w:sz w:val="16"/>
          <w:szCs w:val="16"/>
          <w:color w:val="auto"/>
        </w:rPr>
      </w:pPr>
      <w:r>
        <w:rPr>
          <w:rFonts w:ascii="Arial" w:cs="Arial" w:eastAsia="Arial" w:hAnsi="Arial"/>
          <w:sz w:val="16"/>
          <w:szCs w:val="16"/>
          <w:u w:val="single" w:color="auto"/>
          <w:color w:val="auto"/>
        </w:rPr>
        <w:t>Non-Reliance</w:t>
      </w:r>
      <w:r>
        <w:rPr>
          <w:rFonts w:ascii="Arial" w:cs="Arial" w:eastAsia="Arial" w:hAnsi="Arial"/>
          <w:sz w:val="16"/>
          <w:szCs w:val="16"/>
          <w:color w:val="auto"/>
        </w:rPr>
        <w:t xml:space="preserve">. Notwithstanding anything in this Warrant to the contrary, each Holder hereby acknowledges, with respect to itself, that the Company may possess material non-public information with respect to the Company and/or its securities not known to each Holder as of the date hereof or at a time when each Holder exercises its right to purchase Warrant Shares pursuant to this Warrant and that any such information may impact the value of the Warrant and the Warrant Shares. Each Holder with respect to itself irrevocably waives any claim, or potential claim, that it may have based on the failure of the Company or its Affiliates, officers, directors, employees, agents or other representatives to disclose such information in connection with the execution and delivery of this Warrant or the purchase of Warrant Shares hereunder;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notwithstanding anything in this Section 17(h) or otherwise to the contrary, each Holder does not and shall not be deemed to have waived or otherwise compromised any rights or claims based upon or arising out of (i) the Company’s disclosure obligations under the federal securities laws with respect to any untrue statement of a material fact or omission to state a material fact necessary in order to make the statements made, in the light of the circumstances under which they were made, not misleading in any public statement or filing made by the Company pursuant to the Exchange Act, or (ii) any breach or inaccuracy of any representation or warranty of the Company or any other Loan Party in the Credit Agreement or any other Loan Document. Each Holder with respect to itself acknowledges that the Company would not enter into this Warrant in the absence of the agreements set forth in this Section 17.</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51" w:name="page252"/>
    <w:bookmarkEnd w:id="251"/>
    <w:p>
      <w:pPr>
        <w:ind w:left="1580" w:hanging="276"/>
        <w:spacing w:after="0"/>
        <w:tabs>
          <w:tab w:leader="none" w:pos="1580" w:val="left"/>
        </w:tabs>
        <w:numPr>
          <w:ilvl w:val="1"/>
          <w:numId w:val="258"/>
        </w:numPr>
        <w:rPr>
          <w:rFonts w:ascii="Arial" w:cs="Arial" w:eastAsia="Arial" w:hAnsi="Arial"/>
          <w:sz w:val="18"/>
          <w:szCs w:val="18"/>
          <w:color w:val="auto"/>
        </w:rPr>
      </w:pPr>
      <w:r>
        <w:rPr>
          <w:rFonts w:ascii="Arial" w:cs="Arial" w:eastAsia="Arial" w:hAnsi="Arial"/>
          <w:sz w:val="18"/>
          <w:szCs w:val="18"/>
          <w:u w:val="single" w:color="auto"/>
          <w:color w:val="auto"/>
        </w:rPr>
        <w:t>REPRESENTATIONS OF THE COMPANY</w:t>
      </w:r>
      <w:r>
        <w:rPr>
          <w:rFonts w:ascii="Arial" w:cs="Arial" w:eastAsia="Arial" w:hAnsi="Arial"/>
          <w:sz w:val="18"/>
          <w:szCs w:val="18"/>
          <w:color w:val="auto"/>
        </w:rPr>
        <w:t>. The Company represents and warrants to the Holder that:</w:t>
      </w:r>
    </w:p>
    <w:p>
      <w:pPr>
        <w:spacing w:after="0" w:line="225" w:lineRule="exact"/>
        <w:rPr>
          <w:rFonts w:ascii="Arial" w:cs="Arial" w:eastAsia="Arial" w:hAnsi="Arial"/>
          <w:sz w:val="18"/>
          <w:szCs w:val="18"/>
          <w:color w:val="auto"/>
        </w:rPr>
      </w:pPr>
    </w:p>
    <w:p>
      <w:pPr>
        <w:ind w:left="2200" w:hanging="248"/>
        <w:spacing w:after="0"/>
        <w:tabs>
          <w:tab w:leader="none" w:pos="2200" w:val="left"/>
        </w:tabs>
        <w:numPr>
          <w:ilvl w:val="2"/>
          <w:numId w:val="258"/>
        </w:numPr>
        <w:rPr>
          <w:rFonts w:ascii="Arial" w:cs="Arial" w:eastAsia="Arial" w:hAnsi="Arial"/>
          <w:sz w:val="16"/>
          <w:szCs w:val="16"/>
          <w:color w:val="auto"/>
        </w:rPr>
      </w:pPr>
      <w:r>
        <w:rPr>
          <w:rFonts w:ascii="Arial" w:cs="Arial" w:eastAsia="Arial" w:hAnsi="Arial"/>
          <w:sz w:val="16"/>
          <w:szCs w:val="16"/>
          <w:color w:val="auto"/>
        </w:rPr>
        <w:t>The Company (i) is duly organized, validly existing and in good standing under the laws of its jurisdiction of incorporation;</w:t>
      </w:r>
    </w:p>
    <w:p>
      <w:pPr>
        <w:spacing w:after="0" w:line="46" w:lineRule="exact"/>
        <w:rPr>
          <w:rFonts w:ascii="Arial" w:cs="Arial" w:eastAsia="Arial" w:hAnsi="Arial"/>
          <w:sz w:val="16"/>
          <w:szCs w:val="16"/>
          <w:color w:val="auto"/>
        </w:rPr>
      </w:pPr>
    </w:p>
    <w:p>
      <w:pPr>
        <w:jc w:val="both"/>
        <w:ind w:firstLine="8"/>
        <w:spacing w:after="0" w:line="286" w:lineRule="auto"/>
        <w:tabs>
          <w:tab w:leader="none" w:pos="278" w:val="left"/>
        </w:tabs>
        <w:numPr>
          <w:ilvl w:val="0"/>
          <w:numId w:val="259"/>
        </w:numPr>
        <w:rPr>
          <w:rFonts w:ascii="Arial" w:cs="Arial" w:eastAsia="Arial" w:hAnsi="Arial"/>
          <w:sz w:val="16"/>
          <w:szCs w:val="16"/>
          <w:color w:val="auto"/>
        </w:rPr>
      </w:pPr>
      <w:r>
        <w:rPr>
          <w:rFonts w:ascii="Arial" w:cs="Arial" w:eastAsia="Arial" w:hAnsi="Arial"/>
          <w:sz w:val="16"/>
          <w:szCs w:val="16"/>
          <w:color w:val="auto"/>
        </w:rPr>
        <w:t>has the requisite power and authority to own, lease and operate its properties, to carry on its business as it is now being conducted and to enter into, deliver and perform its obligations under this Warrant; and (iii) is duly licensed or qualified to conduct its business and, if applicable, is in good standing under the laws of each jurisdiction (other than its jurisdiction of incorporation) in which the conduct of its business or the ownership of its properties or assets requires such license or qualification, except, with respect to the foregoing clause (iii), where the failure to be in good standing would not reasonably be expected to have a Company Material Adverse Effect. For purposes of this Warrant, a “</w:t>
      </w:r>
      <w:r>
        <w:rPr>
          <w:rFonts w:ascii="Arial" w:cs="Arial" w:eastAsia="Arial" w:hAnsi="Arial"/>
          <w:sz w:val="16"/>
          <w:szCs w:val="16"/>
          <w:b w:val="1"/>
          <w:bCs w:val="1"/>
          <w:color w:val="auto"/>
        </w:rPr>
        <w:t>Company Material Adverse Effect</w:t>
      </w:r>
      <w:r>
        <w:rPr>
          <w:rFonts w:ascii="Arial" w:cs="Arial" w:eastAsia="Arial" w:hAnsi="Arial"/>
          <w:sz w:val="16"/>
          <w:szCs w:val="16"/>
          <w:color w:val="auto"/>
        </w:rPr>
        <w:t>” means an event, change, development, occurrence, condition or effect with respect to the Company and its subsidiaries, taken together as a whole (on a consolidated basis), that, individually or in the aggregate, (A) would reasonably be expected to have a material adverse effect on the business, financial condition or results of operations of the Company and its subsidiaries, taken together as a whole (on a consolidated basis) or (B) would prevent, materially delay or materially impede the performance by the Company or its subsidiaries of their respective obligations under this Warrant or the other Loan Documents.</w:t>
      </w:r>
    </w:p>
    <w:p>
      <w:pPr>
        <w:spacing w:after="0" w:line="172" w:lineRule="exact"/>
        <w:rPr>
          <w:rFonts w:ascii="Arial" w:cs="Arial" w:eastAsia="Arial" w:hAnsi="Arial"/>
          <w:sz w:val="16"/>
          <w:szCs w:val="16"/>
          <w:color w:val="auto"/>
        </w:rPr>
      </w:pPr>
    </w:p>
    <w:p>
      <w:pPr>
        <w:jc w:val="both"/>
        <w:ind w:firstLine="1952"/>
        <w:spacing w:after="0" w:line="301" w:lineRule="auto"/>
        <w:tabs>
          <w:tab w:leader="none" w:pos="2239" w:val="left"/>
        </w:tabs>
        <w:numPr>
          <w:ilvl w:val="2"/>
          <w:numId w:val="259"/>
        </w:numPr>
        <w:rPr>
          <w:rFonts w:ascii="Arial" w:cs="Arial" w:eastAsia="Arial" w:hAnsi="Arial"/>
          <w:sz w:val="16"/>
          <w:szCs w:val="16"/>
          <w:color w:val="auto"/>
        </w:rPr>
      </w:pPr>
      <w:r>
        <w:rPr>
          <w:rFonts w:ascii="Arial" w:cs="Arial" w:eastAsia="Arial" w:hAnsi="Arial"/>
          <w:sz w:val="16"/>
          <w:szCs w:val="16"/>
          <w:color w:val="auto"/>
        </w:rPr>
        <w:t>This Warrant is duly authorized, validly issued and constitutes legal, valid and binding obligations of the Company, enforceable against the Company in accordance with its terms, except that the enforcement thereof may be subject to applicable bankruptcy, insolvency or similar laws affecting creditors’ rights generally or by equitable principles relating to enforceability (collectively, the “</w:t>
      </w:r>
      <w:r>
        <w:rPr>
          <w:rFonts w:ascii="Arial" w:cs="Arial" w:eastAsia="Arial" w:hAnsi="Arial"/>
          <w:sz w:val="16"/>
          <w:szCs w:val="16"/>
          <w:b w:val="1"/>
          <w:bCs w:val="1"/>
          <w:color w:val="auto"/>
        </w:rPr>
        <w:t>Enforceability Exceptions</w:t>
      </w:r>
      <w:r>
        <w:rPr>
          <w:rFonts w:ascii="Arial" w:cs="Arial" w:eastAsia="Arial" w:hAnsi="Arial"/>
          <w:sz w:val="16"/>
          <w:szCs w:val="16"/>
          <w:color w:val="auto"/>
        </w:rPr>
        <w:t>”), and has not been issued in violation of any preemptive rights created under the Company’s organizational documents or the laws of the State of Delaware.</w:t>
      </w:r>
    </w:p>
    <w:p>
      <w:pPr>
        <w:spacing w:after="0" w:line="157" w:lineRule="exact"/>
        <w:rPr>
          <w:rFonts w:ascii="Arial" w:cs="Arial" w:eastAsia="Arial" w:hAnsi="Arial"/>
          <w:sz w:val="16"/>
          <w:szCs w:val="16"/>
          <w:color w:val="auto"/>
        </w:rPr>
      </w:pPr>
    </w:p>
    <w:p>
      <w:pPr>
        <w:jc w:val="both"/>
        <w:ind w:firstLine="1952"/>
        <w:spacing w:after="0" w:line="263" w:lineRule="auto"/>
        <w:tabs>
          <w:tab w:leader="none" w:pos="2220" w:val="left"/>
        </w:tabs>
        <w:numPr>
          <w:ilvl w:val="2"/>
          <w:numId w:val="259"/>
        </w:numPr>
        <w:rPr>
          <w:rFonts w:ascii="Arial" w:cs="Arial" w:eastAsia="Arial" w:hAnsi="Arial"/>
          <w:sz w:val="18"/>
          <w:szCs w:val="18"/>
          <w:color w:val="auto"/>
        </w:rPr>
      </w:pPr>
      <w:r>
        <w:rPr>
          <w:rFonts w:ascii="Arial" w:cs="Arial" w:eastAsia="Arial" w:hAnsi="Arial"/>
          <w:sz w:val="18"/>
          <w:szCs w:val="18"/>
          <w:color w:val="auto"/>
        </w:rPr>
        <w:t>The Warrant Shares have been duly authorized and, when issued and delivered to the Holder upon conversion of this Warrant, will be validly issued, fully paid and nonassessable and will not have been issued in violation of any preemptive rights created under the Company’s organizational documents or the laws of the State of Delaware.</w:t>
      </w:r>
    </w:p>
    <w:p>
      <w:pPr>
        <w:spacing w:after="0" w:line="183" w:lineRule="exact"/>
        <w:rPr>
          <w:rFonts w:ascii="Arial" w:cs="Arial" w:eastAsia="Arial" w:hAnsi="Arial"/>
          <w:sz w:val="18"/>
          <w:szCs w:val="18"/>
          <w:color w:val="auto"/>
        </w:rPr>
      </w:pPr>
    </w:p>
    <w:p>
      <w:pPr>
        <w:jc w:val="both"/>
        <w:ind w:firstLine="1952"/>
        <w:spacing w:after="0" w:line="270" w:lineRule="auto"/>
        <w:tabs>
          <w:tab w:leader="none" w:pos="2213" w:val="left"/>
        </w:tabs>
        <w:numPr>
          <w:ilvl w:val="2"/>
          <w:numId w:val="259"/>
        </w:numPr>
        <w:rPr>
          <w:rFonts w:ascii="Arial" w:cs="Arial" w:eastAsia="Arial" w:hAnsi="Arial"/>
          <w:sz w:val="17"/>
          <w:szCs w:val="17"/>
          <w:color w:val="auto"/>
        </w:rPr>
      </w:pPr>
      <w:r>
        <w:rPr>
          <w:rFonts w:ascii="Arial" w:cs="Arial" w:eastAsia="Arial" w:hAnsi="Arial"/>
          <w:sz w:val="17"/>
          <w:szCs w:val="17"/>
          <w:color w:val="auto"/>
        </w:rPr>
        <w:t>The execution and delivery of this Warrant, the issuance and delivery of the Warrant Shares in accordance with the terms hereof and the compliance by the Company with all of the provisions of this Warrant and the consummation of the transactions contemplated herein will not conflict with or result in a breach or violation of any of the terms or provisions of, or constitute a default under, or result in the creation or imposition of any lien, charge or encumbrance upon any of the property or assets of the Company pursuant to the terms of (i) any indenture, mortgage, deed of trust, loan agreement, lease, license or other agreement or instrument to which the Company is a party or by which the Company is bound or to which any of the property or assets of the Company is subject; (ii) the organizational documents of the Company; or (iii) any statute or any judgment, order, rule or regulation of any court or governmental agency or body, domestic or foreign, having jurisdiction over the Company or any of its properties that, in the case of clauses (i) and (iii), would reasonably be expected to have a Company Material Adverse Effect or have a material adverse effect on the Company’s ability to consummate the transactions contemplated hereby.</w:t>
      </w:r>
    </w:p>
    <w:p>
      <w:pPr>
        <w:spacing w:after="0" w:line="180" w:lineRule="exact"/>
        <w:rPr>
          <w:rFonts w:ascii="Arial" w:cs="Arial" w:eastAsia="Arial" w:hAnsi="Arial"/>
          <w:sz w:val="17"/>
          <w:szCs w:val="17"/>
          <w:color w:val="auto"/>
        </w:rPr>
      </w:pPr>
    </w:p>
    <w:p>
      <w:pPr>
        <w:jc w:val="both"/>
        <w:ind w:firstLine="1952"/>
        <w:spacing w:after="0" w:line="272" w:lineRule="auto"/>
        <w:tabs>
          <w:tab w:leader="none" w:pos="2209" w:val="left"/>
        </w:tabs>
        <w:numPr>
          <w:ilvl w:val="2"/>
          <w:numId w:val="259"/>
        </w:numPr>
        <w:rPr>
          <w:rFonts w:ascii="Arial" w:cs="Arial" w:eastAsia="Arial" w:hAnsi="Arial"/>
          <w:sz w:val="17"/>
          <w:szCs w:val="17"/>
          <w:color w:val="auto"/>
        </w:rPr>
      </w:pPr>
      <w:r>
        <w:rPr>
          <w:rFonts w:ascii="Arial" w:cs="Arial" w:eastAsia="Arial" w:hAnsi="Arial"/>
          <w:sz w:val="17"/>
          <w:szCs w:val="17"/>
          <w:color w:val="auto"/>
        </w:rPr>
        <w:t>Assuming the accuracy of the representations and warranties of the Holder, the Company is not required to obtain any consent, waiver, authorization or order of, give any notice to, or make any filing or registration with, any court or other federal, state, local or other governmental authority, self-regulatory organization (including the Nasdaq Stock Market) or other person in connection with the execution, delivery and performance of this Warrant, other than (i) filings required by applicable state securities laws, (ii) the filing of the registration statement pursuant to the First Amendment Registration Rights Agreement, (iii) the filing of a Notice of Exempt Offering of Securities on Form D with the SEC, if applicable and (iv) those the failure of which to obtain would not be reasonably likely to have a Company Material Adverse Effect or have a material adverse effect on the Company’s ability to consummate the transactions contemplated hereby.</w:t>
      </w:r>
    </w:p>
    <w:p>
      <w:pPr>
        <w:spacing w:after="0" w:line="177" w:lineRule="exact"/>
        <w:rPr>
          <w:rFonts w:ascii="Arial" w:cs="Arial" w:eastAsia="Arial" w:hAnsi="Arial"/>
          <w:sz w:val="17"/>
          <w:szCs w:val="17"/>
          <w:color w:val="auto"/>
        </w:rPr>
      </w:pPr>
    </w:p>
    <w:p>
      <w:pPr>
        <w:jc w:val="both"/>
        <w:ind w:firstLine="1952"/>
        <w:spacing w:after="0" w:line="291" w:lineRule="auto"/>
        <w:tabs>
          <w:tab w:leader="none" w:pos="2263" w:val="left"/>
        </w:tabs>
        <w:numPr>
          <w:ilvl w:val="2"/>
          <w:numId w:val="259"/>
        </w:numPr>
        <w:rPr>
          <w:rFonts w:ascii="Arial" w:cs="Arial" w:eastAsia="Arial" w:hAnsi="Arial"/>
          <w:sz w:val="16"/>
          <w:szCs w:val="16"/>
          <w:color w:val="auto"/>
        </w:rPr>
      </w:pPr>
      <w:r>
        <w:rPr>
          <w:rFonts w:ascii="Arial" w:cs="Arial" w:eastAsia="Arial" w:hAnsi="Arial"/>
          <w:sz w:val="16"/>
          <w:szCs w:val="16"/>
          <w:color w:val="auto"/>
        </w:rPr>
        <w:t>As of their respective dates, all reports required to be filed by the Company with the SEC (the “</w:t>
      </w:r>
      <w:r>
        <w:rPr>
          <w:rFonts w:ascii="Arial" w:cs="Arial" w:eastAsia="Arial" w:hAnsi="Arial"/>
          <w:sz w:val="16"/>
          <w:szCs w:val="16"/>
          <w:b w:val="1"/>
          <w:bCs w:val="1"/>
          <w:i w:val="1"/>
          <w:iCs w:val="1"/>
          <w:color w:val="auto"/>
        </w:rPr>
        <w:t>SEC Reports</w:t>
      </w:r>
      <w:r>
        <w:rPr>
          <w:rFonts w:ascii="Arial" w:cs="Arial" w:eastAsia="Arial" w:hAnsi="Arial"/>
          <w:sz w:val="16"/>
          <w:szCs w:val="16"/>
          <w:color w:val="auto"/>
        </w:rPr>
        <w:t>”) complied in all material respects with the requirements of the Exchange Act, and the rules and regulations of the SEC promulgated thereunder, and none of the SEC Reports, when filed, contained any untrue statement of a material fact or omitted to state a material fact required to be stated therein or necessary in order to make the statements therein, in the light of the circumstances under which they were made, not misleading. The financial statements of the Company included in the SEC Reports comply in all material respects with applicable accounting requirements and the rules and regulations of the SEC with respect thereto as in effect at the time of filing and fairly present in all material respects the financial position of the Company as of and for the dates thereof and the results of operations and cash flows for the periods then ended, subject, in the case of unaudited statements, to normal, year-end audit adjustments.</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52" w:name="page253"/>
    <w:bookmarkEnd w:id="252"/>
    <w:p>
      <w:pPr>
        <w:jc w:val="both"/>
        <w:ind w:firstLine="1952"/>
        <w:spacing w:after="0" w:line="275" w:lineRule="auto"/>
        <w:tabs>
          <w:tab w:leader="none" w:pos="2208" w:val="left"/>
        </w:tabs>
        <w:numPr>
          <w:ilvl w:val="0"/>
          <w:numId w:val="260"/>
        </w:numPr>
        <w:rPr>
          <w:rFonts w:ascii="Arial" w:cs="Arial" w:eastAsia="Arial" w:hAnsi="Arial"/>
          <w:sz w:val="17"/>
          <w:szCs w:val="17"/>
          <w:color w:val="auto"/>
        </w:rPr>
      </w:pPr>
      <w:r>
        <w:rPr>
          <w:rFonts w:ascii="Arial" w:cs="Arial" w:eastAsia="Arial" w:hAnsi="Arial"/>
          <w:sz w:val="17"/>
          <w:szCs w:val="17"/>
          <w:color w:val="auto"/>
        </w:rPr>
        <w:t>Except for such matters as have not had and would not be reasonably likely to have a Company Material Adverse Effect or have a material adverse effect on the Company’s ability to consummate the transactions contemplated hereby, there is no (i) suit, action, investigation, proceeding or arbitration before a governmental authority or arbitrator pending, or, to the knowledge of the Company, threatened in writing against the Company or any of its directors or officers in their capacities as such or (ii) judgment, decree, injunction, ruling or order of any governmental authority or arbitrator outstanding against the Company or any of its directors or officers in their capacities as such.</w:t>
      </w:r>
    </w:p>
    <w:p>
      <w:pPr>
        <w:spacing w:after="0" w:line="176" w:lineRule="exact"/>
        <w:rPr>
          <w:rFonts w:ascii="Arial" w:cs="Arial" w:eastAsia="Arial" w:hAnsi="Arial"/>
          <w:sz w:val="17"/>
          <w:szCs w:val="17"/>
          <w:color w:val="auto"/>
        </w:rPr>
      </w:pPr>
    </w:p>
    <w:p>
      <w:pPr>
        <w:jc w:val="both"/>
        <w:ind w:firstLine="1952"/>
        <w:spacing w:after="0" w:line="255" w:lineRule="auto"/>
        <w:tabs>
          <w:tab w:leader="none" w:pos="2208" w:val="left"/>
        </w:tabs>
        <w:numPr>
          <w:ilvl w:val="0"/>
          <w:numId w:val="260"/>
        </w:numPr>
        <w:rPr>
          <w:rFonts w:ascii="Arial" w:cs="Arial" w:eastAsia="Arial" w:hAnsi="Arial"/>
          <w:sz w:val="18"/>
          <w:szCs w:val="18"/>
          <w:color w:val="auto"/>
        </w:rPr>
      </w:pPr>
      <w:r>
        <w:rPr>
          <w:rFonts w:ascii="Arial" w:cs="Arial" w:eastAsia="Arial" w:hAnsi="Arial"/>
          <w:sz w:val="18"/>
          <w:szCs w:val="18"/>
          <w:color w:val="auto"/>
        </w:rPr>
        <w:t>Except for such matters as have not had and would not be reasonably likely to have a Company Material Adverse Effect or have a material adverse effect on the Company’s ability to consummate the transactions contemplated hereby, the Company is, and has been since its inception, in compliance with all laws applicable to the conduct of the business of the Company. The Company has not received any written, or to its knowledge, other communication from a governmental entity that alleges that the Company is not in compliance with or is in default or violation of any applicable law, except where such noncompliance, default or violation would not be reasonably expected to have, individually or in the aggregate, a Company Material Adverse Effect.</w:t>
      </w:r>
    </w:p>
    <w:p>
      <w:pPr>
        <w:spacing w:after="0" w:line="192" w:lineRule="exact"/>
        <w:rPr>
          <w:rFonts w:ascii="Arial" w:cs="Arial" w:eastAsia="Arial" w:hAnsi="Arial"/>
          <w:sz w:val="18"/>
          <w:szCs w:val="18"/>
          <w:color w:val="auto"/>
        </w:rPr>
      </w:pPr>
    </w:p>
    <w:p>
      <w:pPr>
        <w:jc w:val="both"/>
        <w:ind w:firstLine="1952"/>
        <w:spacing w:after="0" w:line="263" w:lineRule="auto"/>
        <w:tabs>
          <w:tab w:leader="none" w:pos="2163" w:val="left"/>
        </w:tabs>
        <w:numPr>
          <w:ilvl w:val="0"/>
          <w:numId w:val="260"/>
        </w:numPr>
        <w:rPr>
          <w:rFonts w:ascii="Arial" w:cs="Arial" w:eastAsia="Arial" w:hAnsi="Arial"/>
          <w:sz w:val="18"/>
          <w:szCs w:val="18"/>
          <w:color w:val="auto"/>
        </w:rPr>
      </w:pPr>
      <w:r>
        <w:rPr>
          <w:rFonts w:ascii="Arial" w:cs="Arial" w:eastAsia="Arial" w:hAnsi="Arial"/>
          <w:sz w:val="18"/>
          <w:szCs w:val="18"/>
          <w:color w:val="auto"/>
        </w:rPr>
        <w:t>The Company has all franchises, permits, licenses and any similar authority necessary for the conduct of its business as now being conducted by it, the lack of which would have a material adverse effect, and to the Company’s knowledge, the Company is not in default in any material respect under any of such franchises, permits, licenses or other authority.</w:t>
      </w:r>
    </w:p>
    <w:p>
      <w:pPr>
        <w:spacing w:after="0" w:line="183" w:lineRule="exact"/>
        <w:rPr>
          <w:rFonts w:ascii="Arial" w:cs="Arial" w:eastAsia="Arial" w:hAnsi="Arial"/>
          <w:sz w:val="18"/>
          <w:szCs w:val="18"/>
          <w:color w:val="auto"/>
        </w:rPr>
      </w:pPr>
    </w:p>
    <w:p>
      <w:pPr>
        <w:jc w:val="both"/>
        <w:ind w:firstLine="1952"/>
        <w:spacing w:after="0" w:line="259" w:lineRule="auto"/>
        <w:tabs>
          <w:tab w:leader="none" w:pos="2160" w:val="left"/>
        </w:tabs>
        <w:numPr>
          <w:ilvl w:val="0"/>
          <w:numId w:val="260"/>
        </w:numPr>
        <w:rPr>
          <w:rFonts w:ascii="Arial" w:cs="Arial" w:eastAsia="Arial" w:hAnsi="Arial"/>
          <w:sz w:val="18"/>
          <w:szCs w:val="18"/>
          <w:color w:val="auto"/>
        </w:rPr>
      </w:pPr>
      <w:r>
        <w:rPr>
          <w:rFonts w:ascii="Arial" w:cs="Arial" w:eastAsia="Arial" w:hAnsi="Arial"/>
          <w:sz w:val="18"/>
          <w:szCs w:val="18"/>
          <w:color w:val="auto"/>
        </w:rPr>
        <w:t>There is no action, suit, proceeding or investigation pending or, to the Company’s knowledge, currently threatened in writing against the Company that questions the validity of this Warrant or the right of the Company to enter into this Warrant, or to consummate the transactions contemplated hereby, or that might result, if determined adversely to the Company, in a material adverse effect, or in any material change in the current equity ownership of the Company.</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53" w:name="page254"/>
    <w:bookmarkEnd w:id="253"/>
    <w:p>
      <w:pPr>
        <w:jc w:val="both"/>
        <w:ind w:firstLine="1952"/>
        <w:spacing w:after="0" w:line="291" w:lineRule="auto"/>
        <w:tabs>
          <w:tab w:leader="none" w:pos="2210" w:val="left"/>
        </w:tabs>
        <w:numPr>
          <w:ilvl w:val="1"/>
          <w:numId w:val="261"/>
        </w:numPr>
        <w:rPr>
          <w:rFonts w:ascii="Arial" w:cs="Arial" w:eastAsia="Arial" w:hAnsi="Arial"/>
          <w:sz w:val="16"/>
          <w:szCs w:val="16"/>
          <w:color w:val="auto"/>
        </w:rPr>
      </w:pPr>
      <w:r>
        <w:rPr>
          <w:rFonts w:ascii="Arial" w:cs="Arial" w:eastAsia="Arial" w:hAnsi="Arial"/>
          <w:sz w:val="16"/>
          <w:szCs w:val="16"/>
          <w:color w:val="auto"/>
        </w:rPr>
        <w:t>To the Company’s knowledge, the Company owns or possesses sufficient legal rights to all (a) patents, patent applications and inventions; (b) trademarks, service marks, trade names, trade dress, logos, domain names or corporate names and registrations and applications for registration thereof, together with all of the goodwill associated therewith; (c) copyrights (registered or unregistered) and copyrightable works and registrations and applications for registrations thereof; (d) computer software, data, and databases and documentation thereof; (e) trade secrets and other confidential information; and (f) licenses, information and proprietary rights and processes necessary for its business as now conducted. The Company has not received any written communications alleging that the Company has violated or, by conducting its business as proposed, would violate any of the patents, trademarks, service marks, trade names, copyrights or trade secrets or other proprietary rights of any other person or entity.</w:t>
      </w:r>
    </w:p>
    <w:p>
      <w:pPr>
        <w:spacing w:after="0" w:line="166" w:lineRule="exact"/>
        <w:rPr>
          <w:rFonts w:ascii="Arial" w:cs="Arial" w:eastAsia="Arial" w:hAnsi="Arial"/>
          <w:sz w:val="16"/>
          <w:szCs w:val="16"/>
          <w:color w:val="auto"/>
        </w:rPr>
      </w:pPr>
    </w:p>
    <w:p>
      <w:pPr>
        <w:ind w:left="1580" w:hanging="276"/>
        <w:spacing w:after="0"/>
        <w:tabs>
          <w:tab w:leader="none" w:pos="1580" w:val="left"/>
        </w:tabs>
        <w:numPr>
          <w:ilvl w:val="0"/>
          <w:numId w:val="262"/>
        </w:numPr>
        <w:rPr>
          <w:rFonts w:ascii="Arial" w:cs="Arial" w:eastAsia="Arial" w:hAnsi="Arial"/>
          <w:sz w:val="18"/>
          <w:szCs w:val="18"/>
          <w:color w:val="auto"/>
        </w:rPr>
      </w:pPr>
      <w:r>
        <w:rPr>
          <w:rFonts w:ascii="Arial" w:cs="Arial" w:eastAsia="Arial" w:hAnsi="Arial"/>
          <w:sz w:val="18"/>
          <w:szCs w:val="18"/>
          <w:u w:val="single" w:color="auto"/>
          <w:color w:val="auto"/>
        </w:rPr>
        <w:t>CERTAIN DEFINITIONS</w:t>
      </w:r>
      <w:r>
        <w:rPr>
          <w:rFonts w:ascii="Arial" w:cs="Arial" w:eastAsia="Arial" w:hAnsi="Arial"/>
          <w:sz w:val="18"/>
          <w:szCs w:val="18"/>
          <w:color w:val="auto"/>
        </w:rPr>
        <w:t>. For purposes of this Warrant, the following terms shall have the following meanings:</w:t>
      </w:r>
    </w:p>
    <w:p>
      <w:pPr>
        <w:spacing w:after="0" w:line="221" w:lineRule="exact"/>
        <w:rPr>
          <w:rFonts w:ascii="Arial" w:cs="Arial" w:eastAsia="Arial" w:hAnsi="Arial"/>
          <w:sz w:val="18"/>
          <w:szCs w:val="18"/>
          <w:color w:val="auto"/>
        </w:rPr>
      </w:pPr>
    </w:p>
    <w:p>
      <w:pPr>
        <w:ind w:firstLine="1952"/>
        <w:spacing w:after="0" w:line="282" w:lineRule="auto"/>
        <w:tabs>
          <w:tab w:leader="none" w:pos="2191" w:val="left"/>
        </w:tabs>
        <w:numPr>
          <w:ilvl w:val="1"/>
          <w:numId w:val="26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Affiliate</w:t>
      </w:r>
      <w:r>
        <w:rPr>
          <w:rFonts w:ascii="Arial" w:cs="Arial" w:eastAsia="Arial" w:hAnsi="Arial"/>
          <w:sz w:val="18"/>
          <w:szCs w:val="18"/>
          <w:color w:val="auto"/>
        </w:rPr>
        <w:t>” means any Person that, directly or indirectly through one or more intermediaries, controls or is controlled by or is under common control with a Person, as such terms are used in and construed under Rule 405 under the Securities Act.</w:t>
      </w:r>
    </w:p>
    <w:p>
      <w:pPr>
        <w:spacing w:after="0" w:line="161" w:lineRule="exact"/>
        <w:rPr>
          <w:rFonts w:ascii="Arial" w:cs="Arial" w:eastAsia="Arial" w:hAnsi="Arial"/>
          <w:sz w:val="18"/>
          <w:szCs w:val="18"/>
          <w:color w:val="auto"/>
        </w:rPr>
      </w:pPr>
    </w:p>
    <w:p>
      <w:pPr>
        <w:jc w:val="both"/>
        <w:ind w:firstLine="1952"/>
        <w:spacing w:after="0" w:line="294" w:lineRule="auto"/>
        <w:tabs>
          <w:tab w:leader="none" w:pos="2224" w:val="left"/>
        </w:tabs>
        <w:numPr>
          <w:ilvl w:val="1"/>
          <w:numId w:val="262"/>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Attribution Parties</w:t>
      </w:r>
      <w:r>
        <w:rPr>
          <w:rFonts w:ascii="Arial" w:cs="Arial" w:eastAsia="Arial" w:hAnsi="Arial"/>
          <w:sz w:val="16"/>
          <w:szCs w:val="16"/>
          <w:color w:val="auto"/>
        </w:rPr>
        <w:t>” means, collectively, the following Persons and entities: (i) any investment vehicle, including, any funds, feeder funds or managed accounts, currently, or from time to time after the Issuance Date, directly or indirectly managed or advised by the Holder’s investment manager or any of its Affiliates or principals, (ii) any direct or indirect Affiliates of the Holder or any of the foregoing, (iii) any Person acting or who could be deemed to be acting as a Group together with the Holder or any of the foregoing and (iv) any other Persons whose beneficial ownership of the Company’s Common Stock would or could be aggregated with the Holder’s and the other Attribution Parties for purposes of Section 13(d) of the Exchange Act. For clarity, the purpose of the foregoing is to subject collectively the Holder and all other Attribution Parties to the Maximum Percentage.</w:t>
      </w:r>
    </w:p>
    <w:p>
      <w:pPr>
        <w:spacing w:after="0" w:line="159" w:lineRule="exact"/>
        <w:rPr>
          <w:rFonts w:ascii="Arial" w:cs="Arial" w:eastAsia="Arial" w:hAnsi="Arial"/>
          <w:sz w:val="16"/>
          <w:szCs w:val="16"/>
          <w:color w:val="auto"/>
        </w:rPr>
      </w:pPr>
    </w:p>
    <w:p>
      <w:pPr>
        <w:jc w:val="both"/>
        <w:ind w:firstLine="1952"/>
        <w:spacing w:after="0" w:line="267" w:lineRule="auto"/>
        <w:tabs>
          <w:tab w:leader="none" w:pos="2198" w:val="left"/>
        </w:tabs>
        <w:numPr>
          <w:ilvl w:val="1"/>
          <w:numId w:val="262"/>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Black Scholes Going Private Value</w:t>
      </w:r>
      <w:r>
        <w:rPr>
          <w:rFonts w:ascii="Arial" w:cs="Arial" w:eastAsia="Arial" w:hAnsi="Arial"/>
          <w:sz w:val="17"/>
          <w:szCs w:val="17"/>
          <w:color w:val="auto"/>
        </w:rPr>
        <w:t xml:space="preserve">” means the value of the unexercised portion of this Warrant remaining on the date of the consummation of the Fundamental Transaction referred to in Section </w:t>
      </w:r>
      <w:r>
        <w:rPr>
          <w:rFonts w:ascii="Arial" w:cs="Arial" w:eastAsia="Arial" w:hAnsi="Arial"/>
          <w:sz w:val="20"/>
          <w:szCs w:val="20"/>
          <w:b w:val="1"/>
          <w:bCs w:val="1"/>
          <w:color w:val="auto"/>
        </w:rPr>
        <w:t>‎</w:t>
      </w:r>
      <w:r>
        <w:rPr>
          <w:rFonts w:ascii="Arial" w:cs="Arial" w:eastAsia="Arial" w:hAnsi="Arial"/>
          <w:sz w:val="17"/>
          <w:szCs w:val="17"/>
          <w:color w:val="auto"/>
        </w:rPr>
        <w:t>4(b)(i), which value is calculated using the Black Scholes Option Pricing Model obtained from the “OV” function on Bloomberg utilizing (i) an underlying price per share equal to the greater of (1) the highest Closing Sale Price of the Common Stock during the period beginning on the Trading Day immediately preceding the announcement of the applicable Fundamental Transaction (or the consummation of the applicable Fundamental Transaction, if earlier) and ending on the date of consummation of the applicable Fundamental Transaction and (2) the sum of the price per share being offered in cash in the applicable Fundamental Transaction (if any) plus the value of the non-cash consideration being offered in the applicable Fundamental Transaction (if any), (ii) a strike price equal to the Exercise Price in effect on the date of consummation of the applicable Fundamental Transaction, (iii) a risk-free interest rate corresponding to the U.S. Treasury rate for a period equal to the greater of (1) the remaining term of this Warrant as of the date of consummation of the applicable Fundamental Transaction and (2) the remaining term of this Warrant as of the date of consummation of the applicable Fundamental Transaction, (iv) a zero cost of borrow and (v) an expected volatility equal to the greater of 100% and the 60 day volatility obtained from the “HVT” function on Bloomberg (determined utilizing a 365 day annualization factor) as of the Trading Day immediately following the earliest to occur of (A) the public disclosure of the applicable Fundamental Transaction, and (B) the consummation of the applicable Fundamental Transaction.</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54" w:name="page255"/>
    <w:bookmarkEnd w:id="254"/>
    <w:p>
      <w:pPr>
        <w:jc w:val="both"/>
        <w:ind w:firstLine="1952"/>
        <w:spacing w:after="0" w:line="263" w:lineRule="auto"/>
        <w:tabs>
          <w:tab w:leader="none" w:pos="2217" w:val="left"/>
        </w:tabs>
        <w:numPr>
          <w:ilvl w:val="0"/>
          <w:numId w:val="263"/>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Black Scholes Value</w:t>
      </w:r>
      <w:r>
        <w:rPr>
          <w:rFonts w:ascii="Arial" w:cs="Arial" w:eastAsia="Arial" w:hAnsi="Arial"/>
          <w:sz w:val="17"/>
          <w:szCs w:val="17"/>
          <w:color w:val="auto"/>
        </w:rPr>
        <w:t xml:space="preserve">” means the value of the unexercised portion of this Warrant remaining on the date of the Holder’s request pursuant to Section </w:t>
      </w:r>
      <w:r>
        <w:rPr>
          <w:rFonts w:ascii="Arial" w:cs="Arial" w:eastAsia="Arial" w:hAnsi="Arial"/>
          <w:sz w:val="20"/>
          <w:szCs w:val="20"/>
          <w:b w:val="1"/>
          <w:bCs w:val="1"/>
          <w:color w:val="auto"/>
        </w:rPr>
        <w:t>‎</w:t>
      </w:r>
      <w:r>
        <w:rPr>
          <w:rFonts w:ascii="Arial" w:cs="Arial" w:eastAsia="Arial" w:hAnsi="Arial"/>
          <w:sz w:val="17"/>
          <w:szCs w:val="17"/>
          <w:color w:val="auto"/>
        </w:rPr>
        <w:t xml:space="preserve">4(c), which value is calculated using the Black Scholes Option Pricing Model obtained from the “OV” function on Bloomberg utilizing (i) an underlying price per share equal to the greater of (1) the highest Closing Sale Price of the Common Stock during the period beginning on the Trading Day immediately preceding the announcement of the applicable Fundamental Transaction (or the consummation of the applicable Fundamental Transaction, if earlier) and ending on the Trading Day of the Holder’s request pursuant to Section </w:t>
      </w:r>
      <w:r>
        <w:rPr>
          <w:rFonts w:ascii="Arial" w:cs="Arial" w:eastAsia="Arial" w:hAnsi="Arial"/>
          <w:sz w:val="20"/>
          <w:szCs w:val="20"/>
          <w:b w:val="1"/>
          <w:bCs w:val="1"/>
          <w:color w:val="auto"/>
        </w:rPr>
        <w:t>‎</w:t>
      </w:r>
      <w:r>
        <w:rPr>
          <w:rFonts w:ascii="Arial" w:cs="Arial" w:eastAsia="Arial" w:hAnsi="Arial"/>
          <w:sz w:val="17"/>
          <w:szCs w:val="17"/>
          <w:color w:val="auto"/>
        </w:rPr>
        <w:t xml:space="preserve">4(c) and (2) the sum of the price per share being offered in cash in the applicable Fundamental Transaction (if any) plus the value of the non-cash consideration being offered in the applicable Fundamental Transaction (if any), (ii) a strike price equal to the Exercise Price in effect on the date of the Holder’s request pursuant to Section </w:t>
      </w:r>
      <w:r>
        <w:rPr>
          <w:rFonts w:ascii="Arial" w:cs="Arial" w:eastAsia="Arial" w:hAnsi="Arial"/>
          <w:sz w:val="20"/>
          <w:szCs w:val="20"/>
          <w:b w:val="1"/>
          <w:bCs w:val="1"/>
          <w:color w:val="auto"/>
        </w:rPr>
        <w:t>‎</w:t>
      </w:r>
      <w:r>
        <w:rPr>
          <w:rFonts w:ascii="Arial" w:cs="Arial" w:eastAsia="Arial" w:hAnsi="Arial"/>
          <w:sz w:val="17"/>
          <w:szCs w:val="17"/>
          <w:color w:val="auto"/>
        </w:rPr>
        <w:t xml:space="preserve">4(c), (iii) a risk-free interest rate corresponding to the U.S. Treasury rate for a period equal to the greater of (1) the remaining term of this Warrant as of the date of the Holder’s request pursuant to Section </w:t>
      </w:r>
      <w:r>
        <w:rPr>
          <w:rFonts w:ascii="Arial" w:cs="Arial" w:eastAsia="Arial" w:hAnsi="Arial"/>
          <w:sz w:val="20"/>
          <w:szCs w:val="20"/>
          <w:b w:val="1"/>
          <w:bCs w:val="1"/>
          <w:color w:val="auto"/>
        </w:rPr>
        <w:t>‎</w:t>
      </w:r>
      <w:r>
        <w:rPr>
          <w:rFonts w:ascii="Arial" w:cs="Arial" w:eastAsia="Arial" w:hAnsi="Arial"/>
          <w:sz w:val="17"/>
          <w:szCs w:val="17"/>
          <w:color w:val="auto"/>
        </w:rPr>
        <w:t xml:space="preserve">4(c) and (2) the remaining term of this Warrant as of the date of consummation of the applicable Fundamental Transaction or as of the date of the Holder’s request pursuant to Section </w:t>
      </w:r>
      <w:r>
        <w:rPr>
          <w:rFonts w:ascii="Arial" w:cs="Arial" w:eastAsia="Arial" w:hAnsi="Arial"/>
          <w:sz w:val="20"/>
          <w:szCs w:val="20"/>
          <w:b w:val="1"/>
          <w:bCs w:val="1"/>
          <w:color w:val="auto"/>
        </w:rPr>
        <w:t>‎</w:t>
      </w:r>
      <w:r>
        <w:rPr>
          <w:rFonts w:ascii="Arial" w:cs="Arial" w:eastAsia="Arial" w:hAnsi="Arial"/>
          <w:sz w:val="17"/>
          <w:szCs w:val="17"/>
          <w:color w:val="auto"/>
        </w:rPr>
        <w:t>4(c) if such request is prior to the date of the consummation of the applicable Fundamental Transaction, (iv) a zero cost of borrow and (v) an expected volatility equal to the greater of 100% and the 60 day volatility obtained from the “HVT” function on Bloomberg (determined utilizing a 365 day annualization factor) as of the Trading Day immediately following the earliest to occur of (A) the public disclosure of the applicable Fundamental Transaction, (B) the consummation of the applicable Fundamental Transaction and (C) the date on which the Holder first became aware of the applicable Fundamental Transaction.</w:t>
      </w:r>
    </w:p>
    <w:p>
      <w:pPr>
        <w:spacing w:after="0" w:line="187" w:lineRule="exact"/>
        <w:rPr>
          <w:rFonts w:ascii="Arial" w:cs="Arial" w:eastAsia="Arial" w:hAnsi="Arial"/>
          <w:sz w:val="17"/>
          <w:szCs w:val="17"/>
          <w:color w:val="auto"/>
        </w:rPr>
      </w:pPr>
    </w:p>
    <w:p>
      <w:pPr>
        <w:ind w:left="2200" w:hanging="248"/>
        <w:spacing w:after="0"/>
        <w:tabs>
          <w:tab w:leader="none" w:pos="2200" w:val="left"/>
        </w:tabs>
        <w:numPr>
          <w:ilvl w:val="0"/>
          <w:numId w:val="26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Bloomberg</w:t>
      </w:r>
      <w:r>
        <w:rPr>
          <w:rFonts w:ascii="Arial" w:cs="Arial" w:eastAsia="Arial" w:hAnsi="Arial"/>
          <w:sz w:val="18"/>
          <w:szCs w:val="18"/>
          <w:color w:val="auto"/>
        </w:rPr>
        <w:t>” means Bloomberg, L.P.</w:t>
      </w:r>
    </w:p>
    <w:p>
      <w:pPr>
        <w:spacing w:after="0" w:line="225" w:lineRule="exact"/>
        <w:rPr>
          <w:rFonts w:ascii="Arial" w:cs="Arial" w:eastAsia="Arial" w:hAnsi="Arial"/>
          <w:sz w:val="18"/>
          <w:szCs w:val="18"/>
          <w:color w:val="auto"/>
        </w:rPr>
      </w:pPr>
    </w:p>
    <w:p>
      <w:pPr>
        <w:ind w:firstLine="1952"/>
        <w:spacing w:after="0" w:line="347" w:lineRule="auto"/>
        <w:tabs>
          <w:tab w:leader="none" w:pos="2189" w:val="left"/>
        </w:tabs>
        <w:numPr>
          <w:ilvl w:val="0"/>
          <w:numId w:val="263"/>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Business Day</w:t>
      </w:r>
      <w:r>
        <w:rPr>
          <w:rFonts w:ascii="Arial" w:cs="Arial" w:eastAsia="Arial" w:hAnsi="Arial"/>
          <w:sz w:val="16"/>
          <w:szCs w:val="16"/>
          <w:color w:val="auto"/>
        </w:rPr>
        <w:t>” means any day except any Saturday, any Sunday, any day which is a federal legal holiday in the United States or any day on which banking institutions in the State of New York are authorized or required by law or other governmental action to close.</w:t>
      </w:r>
    </w:p>
    <w:p>
      <w:pPr>
        <w:spacing w:after="0" w:line="115" w:lineRule="exact"/>
        <w:rPr>
          <w:rFonts w:ascii="Arial" w:cs="Arial" w:eastAsia="Arial" w:hAnsi="Arial"/>
          <w:sz w:val="16"/>
          <w:szCs w:val="16"/>
          <w:color w:val="auto"/>
        </w:rPr>
      </w:pPr>
    </w:p>
    <w:p>
      <w:pPr>
        <w:jc w:val="both"/>
        <w:ind w:firstLine="1952"/>
        <w:spacing w:after="0" w:line="268" w:lineRule="auto"/>
        <w:tabs>
          <w:tab w:leader="none" w:pos="2218" w:val="left"/>
        </w:tabs>
        <w:numPr>
          <w:ilvl w:val="0"/>
          <w:numId w:val="263"/>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Closing Bid Price</w:t>
      </w:r>
      <w:r>
        <w:rPr>
          <w:rFonts w:ascii="Arial" w:cs="Arial" w:eastAsia="Arial" w:hAnsi="Arial"/>
          <w:sz w:val="17"/>
          <w:szCs w:val="17"/>
          <w:color w:val="auto"/>
        </w:rPr>
        <w:t>” and “</w:t>
      </w:r>
      <w:r>
        <w:rPr>
          <w:rFonts w:ascii="Arial" w:cs="Arial" w:eastAsia="Arial" w:hAnsi="Arial"/>
          <w:sz w:val="17"/>
          <w:szCs w:val="17"/>
          <w:b w:val="1"/>
          <w:bCs w:val="1"/>
          <w:color w:val="auto"/>
        </w:rPr>
        <w:t>Closing Sale Price</w:t>
      </w:r>
      <w:r>
        <w:rPr>
          <w:rFonts w:ascii="Arial" w:cs="Arial" w:eastAsia="Arial" w:hAnsi="Arial"/>
          <w:sz w:val="17"/>
          <w:szCs w:val="17"/>
          <w:color w:val="auto"/>
        </w:rPr>
        <w:t xml:space="preserve">” means, for any security as of any date, the last closing bid price and last closing trade price, respectively, for such security on the Principal Market, as reported by Bloomberg, or, if the Principal Market begins to operate on an extended hours basis and does not designate the closing bid price or the closing trade price, as the case may be, then the last bid price or the last trade price, respectively, of such security prior to 4:00:00 p.m., New York time, as reported by Bloomberg, or, if the Principal Market is not the principal securities exchange or trading market for such security, the last closing bid price or last trade price, respectively, of such security on the principal securities exchange or trading market where such security is listed or traded as reported by Bloomberg, or if the foregoing do not apply, the last closing bid price or last trade price, respectively, of such security in the over-the-counter market on the electronic bulletin board for such security as reported by Bloomberg, or, if no closing bid price or last trade price, respectively, is reported for such security by Bloomberg, the average of the bid prices, or the ask prices, respectively, of any market makers for such security as reported in the OTC Link or “pink sheets” by OTC Markets Group Inc. (formerly Pink OTC Markets Inc.). If the Closing Bid Price or the Closing Sale Price cannot be calculated for a security on a particular date on any of the foregoing bases, the Closing Bid Price or the Closing Sale Price, as the case may be, of such security on such date shall be the fair market value as mutually determined by the Company and the Holder. If the Company and the Holder are unable to agree upon the fair market value of such security, then such dispute shall be resolved pursuant to Section </w:t>
      </w:r>
      <w:r>
        <w:rPr>
          <w:rFonts w:ascii="Arial" w:cs="Arial" w:eastAsia="Arial" w:hAnsi="Arial"/>
          <w:sz w:val="20"/>
          <w:szCs w:val="20"/>
          <w:b w:val="1"/>
          <w:bCs w:val="1"/>
          <w:color w:val="auto"/>
        </w:rPr>
        <w:t>‎</w:t>
      </w:r>
      <w:r>
        <w:rPr>
          <w:rFonts w:ascii="Arial" w:cs="Arial" w:eastAsia="Arial" w:hAnsi="Arial"/>
          <w:sz w:val="17"/>
          <w:szCs w:val="17"/>
          <w:color w:val="auto"/>
        </w:rPr>
        <w:t>12. All such determinations to be appropriately adjusted for any stock dividend, stock split, stock combination, reclassification or other similar transaction during the applicable calculation period.</w:t>
      </w:r>
    </w:p>
    <w:p>
      <w:pPr>
        <w:spacing w:after="0" w:line="172" w:lineRule="exact"/>
        <w:rPr>
          <w:rFonts w:ascii="Arial" w:cs="Arial" w:eastAsia="Arial" w:hAnsi="Arial"/>
          <w:sz w:val="17"/>
          <w:szCs w:val="17"/>
          <w:color w:val="auto"/>
        </w:rPr>
      </w:pPr>
    </w:p>
    <w:p>
      <w:pPr>
        <w:ind w:firstLine="1952"/>
        <w:spacing w:after="0" w:line="312" w:lineRule="auto"/>
        <w:tabs>
          <w:tab w:leader="none" w:pos="2204" w:val="left"/>
        </w:tabs>
        <w:numPr>
          <w:ilvl w:val="0"/>
          <w:numId w:val="263"/>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Common Stock</w:t>
      </w:r>
      <w:r>
        <w:rPr>
          <w:rFonts w:ascii="Arial" w:cs="Arial" w:eastAsia="Arial" w:hAnsi="Arial"/>
          <w:sz w:val="17"/>
          <w:szCs w:val="17"/>
          <w:color w:val="auto"/>
        </w:rPr>
        <w:t>” means (i) the Company’s shares of common stock, par value $0.0001 per share, and (ii) any share capital into which such common stock shall have been changed or any share capital resulting from a reclassification of such common stock.</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55" w:name="page256"/>
    <w:bookmarkEnd w:id="255"/>
    <w:p>
      <w:pPr>
        <w:ind w:firstLine="1952"/>
        <w:spacing w:after="0" w:line="282" w:lineRule="auto"/>
        <w:tabs>
          <w:tab w:leader="none" w:pos="2343" w:val="left"/>
        </w:tabs>
        <w:numPr>
          <w:ilvl w:val="0"/>
          <w:numId w:val="26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Convertible Securities</w:t>
      </w:r>
      <w:r>
        <w:rPr>
          <w:rFonts w:ascii="Arial" w:cs="Arial" w:eastAsia="Arial" w:hAnsi="Arial"/>
          <w:sz w:val="18"/>
          <w:szCs w:val="18"/>
          <w:color w:val="auto"/>
        </w:rPr>
        <w:t>” means any stock or securities (other than Options) directly or indirectly convertible into or exercisable or exchangeable for shares of Common Stock.</w:t>
      </w:r>
    </w:p>
    <w:p>
      <w:pPr>
        <w:spacing w:after="0" w:line="161" w:lineRule="exact"/>
        <w:rPr>
          <w:rFonts w:ascii="Arial" w:cs="Arial" w:eastAsia="Arial" w:hAnsi="Arial"/>
          <w:sz w:val="18"/>
          <w:szCs w:val="18"/>
          <w:color w:val="auto"/>
        </w:rPr>
      </w:pPr>
    </w:p>
    <w:p>
      <w:pPr>
        <w:ind w:firstLine="1952"/>
        <w:spacing w:after="0" w:line="282" w:lineRule="auto"/>
        <w:tabs>
          <w:tab w:leader="none" w:pos="2276" w:val="left"/>
        </w:tabs>
        <w:numPr>
          <w:ilvl w:val="0"/>
          <w:numId w:val="26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Eligible Market</w:t>
      </w:r>
      <w:r>
        <w:rPr>
          <w:rFonts w:ascii="Arial" w:cs="Arial" w:eastAsia="Arial" w:hAnsi="Arial"/>
          <w:sz w:val="18"/>
          <w:szCs w:val="18"/>
          <w:color w:val="auto"/>
        </w:rPr>
        <w:t>” means The Nasdaq Capital Market, The Nasdaq Global Select Market, The Nasdaq Global Market, the NYSE American, or The New York Stock Exchange.</w:t>
      </w:r>
    </w:p>
    <w:p>
      <w:pPr>
        <w:spacing w:after="0" w:line="161" w:lineRule="exact"/>
        <w:rPr>
          <w:rFonts w:ascii="Arial" w:cs="Arial" w:eastAsia="Arial" w:hAnsi="Arial"/>
          <w:sz w:val="18"/>
          <w:szCs w:val="18"/>
          <w:color w:val="auto"/>
        </w:rPr>
      </w:pPr>
    </w:p>
    <w:p>
      <w:pPr>
        <w:ind w:firstLine="1952"/>
        <w:spacing w:after="0" w:line="312" w:lineRule="auto"/>
        <w:tabs>
          <w:tab w:leader="none" w:pos="2213" w:val="left"/>
        </w:tabs>
        <w:numPr>
          <w:ilvl w:val="0"/>
          <w:numId w:val="264"/>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Expiration Date</w:t>
      </w:r>
      <w:r>
        <w:rPr>
          <w:rFonts w:ascii="Arial" w:cs="Arial" w:eastAsia="Arial" w:hAnsi="Arial"/>
          <w:sz w:val="17"/>
          <w:szCs w:val="17"/>
          <w:color w:val="auto"/>
        </w:rPr>
        <w:t>” means the date that is the five (5) year anniversary of the Issuance Date or, if such date falls on a day other than a Trading Day or on which trading does not take place on the Principal Market (a “</w:t>
      </w:r>
      <w:r>
        <w:rPr>
          <w:rFonts w:ascii="Arial" w:cs="Arial" w:eastAsia="Arial" w:hAnsi="Arial"/>
          <w:sz w:val="17"/>
          <w:szCs w:val="17"/>
          <w:b w:val="1"/>
          <w:bCs w:val="1"/>
          <w:color w:val="auto"/>
        </w:rPr>
        <w:t>Holiday</w:t>
      </w:r>
      <w:r>
        <w:rPr>
          <w:rFonts w:ascii="Arial" w:cs="Arial" w:eastAsia="Arial" w:hAnsi="Arial"/>
          <w:sz w:val="17"/>
          <w:szCs w:val="17"/>
          <w:color w:val="auto"/>
        </w:rPr>
        <w:t>”), the next date that is not a Holiday.</w:t>
      </w:r>
    </w:p>
    <w:p>
      <w:pPr>
        <w:spacing w:after="0" w:line="139" w:lineRule="exact"/>
        <w:rPr>
          <w:rFonts w:ascii="Arial" w:cs="Arial" w:eastAsia="Arial" w:hAnsi="Arial"/>
          <w:sz w:val="17"/>
          <w:szCs w:val="17"/>
          <w:color w:val="auto"/>
        </w:rPr>
      </w:pPr>
    </w:p>
    <w:p>
      <w:pPr>
        <w:jc w:val="both"/>
        <w:ind w:firstLine="1952"/>
        <w:spacing w:after="0" w:line="284" w:lineRule="auto"/>
        <w:tabs>
          <w:tab w:leader="none" w:pos="2334" w:val="left"/>
        </w:tabs>
        <w:numPr>
          <w:ilvl w:val="0"/>
          <w:numId w:val="264"/>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Fundamental Transaction</w:t>
      </w:r>
      <w:r>
        <w:rPr>
          <w:rFonts w:ascii="Arial" w:cs="Arial" w:eastAsia="Arial" w:hAnsi="Arial"/>
          <w:sz w:val="16"/>
          <w:szCs w:val="16"/>
          <w:color w:val="auto"/>
        </w:rPr>
        <w:t>” means (A) that the Company shall, directly or indirectly, including through subsidiaries, Affiliates or otherwise, in one or more related transactions, (i) consolidate or merge with or into (whether or not the Company is the surviving corporation) another Subject Entity, or (ii) sell, assign, transfer, convey or otherwise dispose of all or substantially all of the properties or assets of the Company or any of its “significant subsidiaries” (as defined in Rule 1-02 of Regulation S-X) to one or more Subject Entities, or (iii) make, or allow one or more Subject Entities to make, or allow the Company to be subject to or have its Common Stock be subject to or party to one or more Subject Entities making, a purchase, tender or exchange offer that is accepted by the holders of at least either (x) 50% of the outstanding shares of Common Stock, (y) 50% of the outstanding shares of Common Stock calculated as if any shares of Common Stock held by all Subject Entities making or party to, or Affiliated with any Subject Entities making or party to, such purchase, tender or exchange offer were not outstanding; or (z) such number of shares of Common Stock such that all Subject Entities making or party to, or Affiliated with any Subject Entity making or party to, such purchase, tender or exchange offer, become collectively the beneficial owners (as defined in Rule 13d-3 under the Exchange Act) of at least 50% of the outstanding shares of Common Stock, or (iv) consummate a stock purchase agreement or other business combination (including, without limitation, a reorganization, recapitalization, spin-off or scheme of arrangement) with one or more Subject Entities whereby all such Subject Entities, individually or in the aggregate, acquire, either (x) at least 50% of the outstanding shares of Common Stock, (y) at least 50% of the outstanding shares of Common Stock calculated as if any shares of Common Stock held by all the Subject Entities making or party to, or Affiliated with any Subject Entity making or party to, such stock purchase agreement or other business combination were not outstanding; or (z) such number of shares of Common Stock such that the Subject Entities become collectively the beneficial owners (as defined in Rule 13d-3 under the Exchange Act) of at least 50% of the outstanding shares of Common Stock, or (v) reorganize, recapitalize or reclassify its Common Stock, (B) that the Company shall, directly or indirectly, including through subsidiaries, Affiliates or otherwise, in one or more related transactions, allow any Subject Entity individually or the Subject Entities in the aggregate to be or become the “beneficial owner” (as defined in Rule 13d-3 under the Exchange Act), directly or indirectly, whether through acquisition, purchase, assignment, conveyance, tender, tender offer, exchange, reduction in outstanding shares of Common Stock, merger, consolidation, business combination, reorganization, recapitalization, spin-off, scheme of arrangement, reorganization, recapitalization or reclassification or otherwise in any manner whatsoever, of either (x) at least 50% of the aggregate ordinary voting power represented by issued and outstanding Common Stock, (y) at least 50% of the aggregate ordinary voting power represented by issued and outstanding Common Stock not held by all such Subject Entities as of the date of this Warrant calculated as if any shares of Common Stock held by all such Subject Entities were not outstanding, or (z) a percentage of the aggregate ordinary voting power represented by issued and outstanding shares of Common Stock or other equity securities of the Company sufficient to allow such Subject Entities to effect a statutory short form merger or other transaction requiring other stockholders of the Company to surrender their shares of Common Stock without approval of the stockholders of the Company or (C) directly or indirectly, including through subsidiaries, Affiliates or otherwise, in one or more related transactions, the issuance of or the entering into any other instrument or transaction structured in a manner to circumvent, or that circumvents, the intent of this definition in which case this definition shall be construed and implemented in a manner otherwise than in strict conformity with the terms of this definition to the extent necessary to correct this definition or any portion of this definition which may be defective or inconsistent with the intended treatment of such instrument or transaction.</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56" w:name="page257"/>
    <w:bookmarkEnd w:id="256"/>
    <w:p>
      <w:pPr>
        <w:ind w:left="1960"/>
        <w:spacing w:after="0"/>
        <w:rPr>
          <w:sz w:val="20"/>
          <w:szCs w:val="20"/>
          <w:color w:val="auto"/>
        </w:rPr>
      </w:pPr>
      <w:r>
        <w:rPr>
          <w:rFonts w:ascii="Arial" w:cs="Arial" w:eastAsia="Arial" w:hAnsi="Arial"/>
          <w:sz w:val="17"/>
          <w:szCs w:val="17"/>
          <w:color w:val="auto"/>
        </w:rPr>
        <w:t>(m) “</w:t>
      </w:r>
      <w:r>
        <w:rPr>
          <w:rFonts w:ascii="Arial" w:cs="Arial" w:eastAsia="Arial" w:hAnsi="Arial"/>
          <w:sz w:val="17"/>
          <w:szCs w:val="17"/>
          <w:b w:val="1"/>
          <w:bCs w:val="1"/>
          <w:color w:val="auto"/>
        </w:rPr>
        <w:t>Group</w:t>
      </w:r>
      <w:r>
        <w:rPr>
          <w:rFonts w:ascii="Arial" w:cs="Arial" w:eastAsia="Arial" w:hAnsi="Arial"/>
          <w:sz w:val="17"/>
          <w:szCs w:val="17"/>
          <w:color w:val="auto"/>
        </w:rPr>
        <w:t>” means a “group” as that term is used in Section 13(d) of the Exchange Act and as defined in Rule 13d-5</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color w:val="auto"/>
        </w:rPr>
        <w:t>thereunder.</w:t>
      </w:r>
    </w:p>
    <w:p>
      <w:pPr>
        <w:spacing w:after="0" w:line="207" w:lineRule="exact"/>
        <w:rPr>
          <w:sz w:val="20"/>
          <w:szCs w:val="20"/>
          <w:color w:val="auto"/>
        </w:rPr>
      </w:pPr>
    </w:p>
    <w:p>
      <w:pPr>
        <w:ind w:left="1960"/>
        <w:spacing w:after="0"/>
        <w:rPr>
          <w:sz w:val="20"/>
          <w:szCs w:val="20"/>
          <w:color w:val="auto"/>
        </w:rPr>
      </w:pPr>
      <w:r>
        <w:rPr>
          <w:rFonts w:ascii="Arial" w:cs="Arial" w:eastAsia="Arial" w:hAnsi="Arial"/>
          <w:sz w:val="17"/>
          <w:szCs w:val="17"/>
          <w:color w:val="auto"/>
        </w:rPr>
        <w:t>(n) “</w:t>
      </w:r>
      <w:r>
        <w:rPr>
          <w:rFonts w:ascii="Arial" w:cs="Arial" w:eastAsia="Arial" w:hAnsi="Arial"/>
          <w:sz w:val="17"/>
          <w:szCs w:val="17"/>
          <w:b w:val="1"/>
          <w:bCs w:val="1"/>
          <w:color w:val="auto"/>
        </w:rPr>
        <w:t>Options</w:t>
      </w:r>
      <w:r>
        <w:rPr>
          <w:rFonts w:ascii="Arial" w:cs="Arial" w:eastAsia="Arial" w:hAnsi="Arial"/>
          <w:sz w:val="17"/>
          <w:szCs w:val="17"/>
          <w:color w:val="auto"/>
        </w:rPr>
        <w:t>” means any rights, warrants or options to subscribe for or purchase shares of Common Stock or Convertible</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color w:val="auto"/>
        </w:rPr>
        <w:t>Securities.</w:t>
      </w:r>
    </w:p>
    <w:p>
      <w:pPr>
        <w:spacing w:after="0" w:line="207" w:lineRule="exact"/>
        <w:rPr>
          <w:sz w:val="20"/>
          <w:szCs w:val="20"/>
          <w:color w:val="auto"/>
        </w:rPr>
      </w:pPr>
    </w:p>
    <w:p>
      <w:pPr>
        <w:jc w:val="both"/>
        <w:ind w:firstLine="1952"/>
        <w:spacing w:after="0" w:line="258" w:lineRule="auto"/>
        <w:tabs>
          <w:tab w:leader="none" w:pos="2203" w:val="left"/>
        </w:tabs>
        <w:numPr>
          <w:ilvl w:val="0"/>
          <w:numId w:val="26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Parent Entity</w:t>
      </w:r>
      <w:r>
        <w:rPr>
          <w:rFonts w:ascii="Arial" w:cs="Arial" w:eastAsia="Arial" w:hAnsi="Arial"/>
          <w:sz w:val="18"/>
          <w:szCs w:val="18"/>
          <w:color w:val="auto"/>
        </w:rPr>
        <w:t>” of a Person means an entity that, directly or indirectly, controls the applicable Person, including such entity whose common shares or common stock or equivalent equity security is quoted or listed on an Eligible Market (or, if so elected by the Holder, any other market, exchange or quotation system), or, if there is more than one such Person or such entity, the Person or such entity designated by the Holder or in the absence of such designation, such Person or entity with the largest public market capitalization as of the date of consummation of the Fundamental Transaction.</w:t>
      </w:r>
    </w:p>
    <w:p>
      <w:pPr>
        <w:spacing w:after="0" w:line="183" w:lineRule="exact"/>
        <w:rPr>
          <w:rFonts w:ascii="Arial" w:cs="Arial" w:eastAsia="Arial" w:hAnsi="Arial"/>
          <w:sz w:val="18"/>
          <w:szCs w:val="18"/>
          <w:color w:val="auto"/>
        </w:rPr>
      </w:pPr>
    </w:p>
    <w:p>
      <w:pPr>
        <w:ind w:firstLine="1952"/>
        <w:spacing w:after="0" w:line="282" w:lineRule="auto"/>
        <w:tabs>
          <w:tab w:leader="none" w:pos="2217" w:val="left"/>
        </w:tabs>
        <w:numPr>
          <w:ilvl w:val="0"/>
          <w:numId w:val="26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Person</w:t>
      </w:r>
      <w:r>
        <w:rPr>
          <w:rFonts w:ascii="Arial" w:cs="Arial" w:eastAsia="Arial" w:hAnsi="Arial"/>
          <w:sz w:val="18"/>
          <w:szCs w:val="18"/>
          <w:color w:val="auto"/>
        </w:rPr>
        <w:t>” means an individual or corporation, partnership, trust, incorporated or unincorporated association, joint venture, limited liability company, joint stock company, government (or an agency or subdivision thereof) or other entity of any kind.</w:t>
      </w:r>
    </w:p>
    <w:p>
      <w:pPr>
        <w:spacing w:after="0" w:line="161" w:lineRule="exact"/>
        <w:rPr>
          <w:rFonts w:ascii="Arial" w:cs="Arial" w:eastAsia="Arial" w:hAnsi="Arial"/>
          <w:sz w:val="18"/>
          <w:szCs w:val="18"/>
          <w:color w:val="auto"/>
        </w:rPr>
      </w:pPr>
    </w:p>
    <w:p>
      <w:pPr>
        <w:ind w:firstLine="1952"/>
        <w:spacing w:after="0" w:line="282" w:lineRule="auto"/>
        <w:tabs>
          <w:tab w:leader="none" w:pos="2228" w:val="left"/>
        </w:tabs>
        <w:numPr>
          <w:ilvl w:val="0"/>
          <w:numId w:val="26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Principal Market</w:t>
      </w:r>
      <w:r>
        <w:rPr>
          <w:rFonts w:ascii="Arial" w:cs="Arial" w:eastAsia="Arial" w:hAnsi="Arial"/>
          <w:sz w:val="18"/>
          <w:szCs w:val="18"/>
          <w:color w:val="auto"/>
        </w:rPr>
        <w:t>” means the OTC Bulletin Board or any other Eligible Market, or any national securities exchange, market or trading or quotation facility on which the Common Stock is then listed or quoted.</w:t>
      </w:r>
    </w:p>
    <w:p>
      <w:pPr>
        <w:spacing w:after="0" w:line="161" w:lineRule="exact"/>
        <w:rPr>
          <w:rFonts w:ascii="Arial" w:cs="Arial" w:eastAsia="Arial" w:hAnsi="Arial"/>
          <w:sz w:val="18"/>
          <w:szCs w:val="18"/>
          <w:color w:val="auto"/>
        </w:rPr>
      </w:pPr>
    </w:p>
    <w:p>
      <w:pPr>
        <w:ind w:left="2260" w:hanging="308"/>
        <w:spacing w:after="0"/>
        <w:tabs>
          <w:tab w:leader="none" w:pos="2260" w:val="left"/>
        </w:tabs>
        <w:numPr>
          <w:ilvl w:val="0"/>
          <w:numId w:val="26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Securities Act</w:t>
      </w:r>
      <w:r>
        <w:rPr>
          <w:rFonts w:ascii="Arial" w:cs="Arial" w:eastAsia="Arial" w:hAnsi="Arial"/>
          <w:sz w:val="18"/>
          <w:szCs w:val="18"/>
          <w:color w:val="auto"/>
        </w:rPr>
        <w:t>” means the Securities Act of 1933, as amended.</w:t>
      </w:r>
    </w:p>
    <w:p>
      <w:pPr>
        <w:spacing w:after="0" w:line="225" w:lineRule="exact"/>
        <w:rPr>
          <w:rFonts w:ascii="Arial" w:cs="Arial" w:eastAsia="Arial" w:hAnsi="Arial"/>
          <w:sz w:val="18"/>
          <w:szCs w:val="18"/>
          <w:color w:val="auto"/>
        </w:rPr>
      </w:pPr>
    </w:p>
    <w:p>
      <w:pPr>
        <w:ind w:left="2280" w:hanging="328"/>
        <w:spacing w:after="0"/>
        <w:tabs>
          <w:tab w:leader="none" w:pos="2280" w:val="left"/>
        </w:tabs>
        <w:numPr>
          <w:ilvl w:val="0"/>
          <w:numId w:val="265"/>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Subject Entity</w:t>
      </w:r>
      <w:r>
        <w:rPr>
          <w:rFonts w:ascii="Arial" w:cs="Arial" w:eastAsia="Arial" w:hAnsi="Arial"/>
          <w:sz w:val="16"/>
          <w:szCs w:val="16"/>
          <w:color w:val="auto"/>
        </w:rPr>
        <w:t>” means any Person, Persons or Group or any Affiliate or associate of any such Person, Persons or Group.</w:t>
      </w:r>
    </w:p>
    <w:p>
      <w:pPr>
        <w:spacing w:after="0" w:line="248" w:lineRule="exact"/>
        <w:rPr>
          <w:rFonts w:ascii="Arial" w:cs="Arial" w:eastAsia="Arial" w:hAnsi="Arial"/>
          <w:sz w:val="16"/>
          <w:szCs w:val="16"/>
          <w:color w:val="auto"/>
        </w:rPr>
      </w:pPr>
    </w:p>
    <w:p>
      <w:pPr>
        <w:jc w:val="both"/>
        <w:ind w:firstLine="1952"/>
        <w:spacing w:after="0" w:line="266" w:lineRule="auto"/>
        <w:tabs>
          <w:tab w:leader="none" w:pos="2284" w:val="left"/>
        </w:tabs>
        <w:numPr>
          <w:ilvl w:val="0"/>
          <w:numId w:val="26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Successor Entity</w:t>
      </w:r>
      <w:r>
        <w:rPr>
          <w:rFonts w:ascii="Arial" w:cs="Arial" w:eastAsia="Arial" w:hAnsi="Arial"/>
          <w:sz w:val="18"/>
          <w:szCs w:val="18"/>
          <w:color w:val="auto"/>
        </w:rPr>
        <w:t>” means one or more Person or Persons (or, if so elected by the Holder, the Company or Parent Entity) formed by, resulting from or surviving any Fundamental Transaction or one or more Person or Persons (or, if so elected by the Holder, the Company or the Parent Entity) with which such Fundamental Transaction shall have been entered into.</w:t>
      </w:r>
    </w:p>
    <w:p>
      <w:pPr>
        <w:spacing w:after="0" w:line="175" w:lineRule="exact"/>
        <w:rPr>
          <w:rFonts w:ascii="Arial" w:cs="Arial" w:eastAsia="Arial" w:hAnsi="Arial"/>
          <w:sz w:val="18"/>
          <w:szCs w:val="18"/>
          <w:color w:val="auto"/>
        </w:rPr>
      </w:pPr>
    </w:p>
    <w:p>
      <w:pPr>
        <w:jc w:val="both"/>
        <w:ind w:firstLine="1952"/>
        <w:spacing w:after="0" w:line="298" w:lineRule="auto"/>
        <w:tabs>
          <w:tab w:leader="none" w:pos="2204" w:val="left"/>
        </w:tabs>
        <w:numPr>
          <w:ilvl w:val="0"/>
          <w:numId w:val="265"/>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Trading Day</w:t>
      </w:r>
      <w:r>
        <w:rPr>
          <w:rFonts w:ascii="Arial" w:cs="Arial" w:eastAsia="Arial" w:hAnsi="Arial"/>
          <w:sz w:val="16"/>
          <w:szCs w:val="16"/>
          <w:color w:val="auto"/>
        </w:rPr>
        <w:t xml:space="preserve">” means any day on which the Common Stock is traded on the Principal Market, or, if the Principal Market is not the principal trading market for the Common Stock, then on the principal securities exchange or securities market on which the Common Stock is then traded;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“Trading Day” shall not include any day on which the Common Stock is scheduled to trade on such exchange or market for less than 4.5 hours or any day that the Common Stock is suspended from trading during the final hour of trading on such exchange or market (or if such exchange or market does not designate in advance the closing time of trading on such exchange or market, then during the hour ending at 4:00:00 p.m., New York time).</w:t>
      </w:r>
    </w:p>
    <w:p>
      <w:pPr>
        <w:spacing w:after="0" w:line="153" w:lineRule="exact"/>
        <w:rPr>
          <w:rFonts w:ascii="Arial" w:cs="Arial" w:eastAsia="Arial" w:hAnsi="Arial"/>
          <w:sz w:val="16"/>
          <w:szCs w:val="16"/>
          <w:color w:val="auto"/>
        </w:rPr>
      </w:pPr>
    </w:p>
    <w:p>
      <w:pPr>
        <w:jc w:val="both"/>
        <w:ind w:firstLine="1952"/>
        <w:spacing w:after="0" w:line="267" w:lineRule="auto"/>
        <w:tabs>
          <w:tab w:leader="none" w:pos="2202" w:val="left"/>
        </w:tabs>
        <w:numPr>
          <w:ilvl w:val="0"/>
          <w:numId w:val="265"/>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VWAP</w:t>
      </w:r>
      <w:r>
        <w:rPr>
          <w:rFonts w:ascii="Arial" w:cs="Arial" w:eastAsia="Arial" w:hAnsi="Arial"/>
          <w:sz w:val="17"/>
          <w:szCs w:val="17"/>
          <w:color w:val="auto"/>
        </w:rPr>
        <w:t xml:space="preserve">” means, for any security as of any date, the dollar volume-weighted average price for such security on the Principal Market during the period beginning at 9:30:01 a.m., New York time (or such other time as the Principal Market publicly announces is the official open of trading), and ending at 4:00:00 p.m., New York time (or such other time as the Principal Market publicly announces is the official close of trading), as reported by Bloomberg through its “Volume at Price” function or, if the foregoing does not apply, the dollar volume-weighted average price of such security in the over-the-counter market on the electronic bulletin board for such security during the period beginning at 9:30:01 a.m., New York time (or such other time as such market publicly announces is the official open of trading), and ending at 4:00:00 p.m., New York time (or such other time as such market publicly announces is the official close of trading), as reported by Bloomberg, or, if no dollar volume-weighted average price is reported for such security by Bloomberg for such hours, the average of the highest Closing Bid Price and the lowest closing ask price of any of the market makers for such security as reported in the OTC Link or “pink sheets” by OTC Markets Group Inc. (formerly Pink OTC Markets Inc.). If the VWAP cannot be calculated for a security on a particular date on any of the foregoing bases, the VWAP of such security on such date shall be the fair market value as mutually determined by the Company and the Holder. If the Company and the Holder are unable to agree upon the fair market value of such security, then such dispute shall be resolved pursuant to Section </w:t>
      </w:r>
      <w:r>
        <w:rPr>
          <w:rFonts w:ascii="Arial" w:cs="Arial" w:eastAsia="Arial" w:hAnsi="Arial"/>
          <w:sz w:val="20"/>
          <w:szCs w:val="20"/>
          <w:b w:val="1"/>
          <w:bCs w:val="1"/>
          <w:color w:val="auto"/>
        </w:rPr>
        <w:t>‎</w:t>
      </w:r>
      <w:r>
        <w:rPr>
          <w:rFonts w:ascii="Arial" w:cs="Arial" w:eastAsia="Arial" w:hAnsi="Arial"/>
          <w:sz w:val="17"/>
          <w:szCs w:val="17"/>
          <w:color w:val="auto"/>
        </w:rPr>
        <w:t>12 with the term “VWAP” being substituted for the term “Exercise Price.” All such determinations shall be appropriately adjusted for any stock dividend, stock split, stock combination, reclassification or other similar transaction during the applicable calculation period.</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 Page Follows]</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57" w:name="page258"/>
    <w:bookmarkEnd w:id="257"/>
    <w:p>
      <w:pPr>
        <w:ind w:left="660"/>
        <w:spacing w:after="0"/>
        <w:rPr>
          <w:sz w:val="20"/>
          <w:szCs w:val="20"/>
          <w:color w:val="auto"/>
        </w:rPr>
      </w:pPr>
      <w:r>
        <w:rPr>
          <w:rFonts w:ascii="Arial" w:cs="Arial" w:eastAsia="Arial" w:hAnsi="Arial"/>
          <w:sz w:val="16"/>
          <w:szCs w:val="16"/>
          <w:b w:val="1"/>
          <w:bCs w:val="1"/>
          <w:color w:val="auto"/>
        </w:rPr>
        <w:t xml:space="preserve">IN WITNESS WHEREOF, </w:t>
      </w:r>
      <w:r>
        <w:rPr>
          <w:rFonts w:ascii="Arial" w:cs="Arial" w:eastAsia="Arial" w:hAnsi="Arial"/>
          <w:sz w:val="16"/>
          <w:szCs w:val="16"/>
          <w:color w:val="auto"/>
        </w:rPr>
        <w:t>the Company has caused this Warrant to Purchase Common Stock to be duly executed as of the Issuance Date set out</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above.</w:t>
      </w:r>
    </w:p>
    <w:p>
      <w:pPr>
        <w:spacing w:after="0" w:line="207" w:lineRule="exact"/>
        <w:rPr>
          <w:sz w:val="20"/>
          <w:szCs w:val="20"/>
          <w:color w:val="auto"/>
        </w:rPr>
      </w:pPr>
    </w:p>
    <w:p>
      <w:pPr>
        <w:ind w:left="6740"/>
        <w:spacing w:after="0"/>
        <w:rPr>
          <w:sz w:val="20"/>
          <w:szCs w:val="20"/>
          <w:color w:val="auto"/>
        </w:rPr>
      </w:pPr>
      <w:r>
        <w:rPr>
          <w:rFonts w:ascii="Arial" w:cs="Arial" w:eastAsia="Arial" w:hAnsi="Arial"/>
          <w:sz w:val="18"/>
          <w:szCs w:val="18"/>
          <w:b w:val="1"/>
          <w:bCs w:val="1"/>
          <w:color w:val="auto"/>
        </w:rPr>
        <w:t>PRESTO AUTOMATION INC.</w:t>
      </w:r>
    </w:p>
    <w:p>
      <w:pPr>
        <w:spacing w:after="0" w:line="229"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14605</wp:posOffset>
            </wp:positionV>
            <wp:extent cx="2494915" cy="1714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2">
                      <a:extLst>
                        <a:ext uri="{28A0092B-C50C-407E-A947-70E740481C1C}"/>
                      </a:extLst>
                    </a:blip>
                    <a:srcRect/>
                    <a:stretch>
                      <a:fillRect/>
                    </a:stretch>
                  </pic:blipFill>
                  <pic:spPr bwMode="auto">
                    <a:xfrm>
                      <a:off x="0" y="0"/>
                      <a:ext cx="2494915" cy="17145"/>
                    </a:xfrm>
                    <a:prstGeom prst="rect">
                      <a:avLst/>
                    </a:prstGeom>
                    <a:noFill/>
                  </pic:spPr>
                </pic:pic>
              </a:graphicData>
            </a:graphic>
          </wp:anchor>
        </w:drawing>
      </w:r>
    </w:p>
    <w:p>
      <w:pPr>
        <w:spacing w:after="0" w:line="3"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58" w:name="page259"/>
    <w:bookmarkEnd w:id="258"/>
    <w:p>
      <w:pPr>
        <w:ind w:left="10300"/>
        <w:spacing w:after="0"/>
        <w:rPr>
          <w:sz w:val="20"/>
          <w:szCs w:val="20"/>
          <w:color w:val="auto"/>
        </w:rPr>
      </w:pPr>
      <w:r>
        <w:rPr>
          <w:rFonts w:ascii="Arial" w:cs="Arial" w:eastAsia="Arial" w:hAnsi="Arial"/>
          <w:sz w:val="18"/>
          <w:szCs w:val="18"/>
          <w:b w:val="1"/>
          <w:bCs w:val="1"/>
          <w:color w:val="auto"/>
        </w:rPr>
        <w:t>EXHIBIT 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EXERCISE NOTICE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 BE EXECUTED BY THE REGISTERED HOLDER TO EXERCISE THIS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WARRANT TO PURCHASE COMMON STOCK</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PRESTO AUTOMATION INC.</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undersigned holder hereby exercises the right to purchase _________________ of the shares of Common Stock (“</w:t>
      </w:r>
      <w:r>
        <w:rPr>
          <w:rFonts w:ascii="Arial" w:cs="Arial" w:eastAsia="Arial" w:hAnsi="Arial"/>
          <w:sz w:val="17"/>
          <w:szCs w:val="17"/>
          <w:b w:val="1"/>
          <w:bCs w:val="1"/>
          <w:color w:val="auto"/>
        </w:rPr>
        <w:t>Warrant Shares</w:t>
      </w:r>
      <w:r>
        <w:rPr>
          <w:rFonts w:ascii="Arial" w:cs="Arial" w:eastAsia="Arial" w:hAnsi="Arial"/>
          <w:sz w:val="17"/>
          <w:szCs w:val="17"/>
          <w:color w:val="auto"/>
        </w:rPr>
        <w:t>”) of</w:t>
      </w:r>
    </w:p>
    <w:p>
      <w:pPr>
        <w:spacing w:after="0" w:line="39" w:lineRule="exact"/>
        <w:rPr>
          <w:sz w:val="20"/>
          <w:szCs w:val="20"/>
          <w:color w:val="auto"/>
        </w:rPr>
      </w:pPr>
    </w:p>
    <w:p>
      <w:pPr>
        <w:spacing w:after="0"/>
        <w:rPr>
          <w:sz w:val="20"/>
          <w:szCs w:val="20"/>
          <w:color w:val="auto"/>
        </w:rPr>
      </w:pPr>
      <w:r>
        <w:rPr>
          <w:rFonts w:ascii="Arial" w:cs="Arial" w:eastAsia="Arial" w:hAnsi="Arial"/>
          <w:sz w:val="17"/>
          <w:szCs w:val="17"/>
          <w:color w:val="auto"/>
        </w:rPr>
        <w:t>Presto Automation Inc., a Delaware corporation (the “</w:t>
      </w:r>
      <w:r>
        <w:rPr>
          <w:rFonts w:ascii="Arial" w:cs="Arial" w:eastAsia="Arial" w:hAnsi="Arial"/>
          <w:sz w:val="17"/>
          <w:szCs w:val="17"/>
          <w:b w:val="1"/>
          <w:bCs w:val="1"/>
          <w:color w:val="auto"/>
        </w:rPr>
        <w:t>Company</w:t>
      </w:r>
      <w:r>
        <w:rPr>
          <w:rFonts w:ascii="Arial" w:cs="Arial" w:eastAsia="Arial" w:hAnsi="Arial"/>
          <w:sz w:val="17"/>
          <w:szCs w:val="17"/>
          <w:color w:val="auto"/>
        </w:rPr>
        <w:t>”), evidenced by the attached Warrant to Purchase Common Stock (the “</w:t>
      </w:r>
      <w:r>
        <w:rPr>
          <w:rFonts w:ascii="Arial" w:cs="Arial" w:eastAsia="Arial" w:hAnsi="Arial"/>
          <w:sz w:val="17"/>
          <w:szCs w:val="17"/>
          <w:b w:val="1"/>
          <w:bCs w:val="1"/>
          <w:color w:val="auto"/>
        </w:rPr>
        <w:t>Warrant</w:t>
      </w:r>
      <w:r>
        <w:rPr>
          <w:rFonts w:ascii="Arial" w:cs="Arial" w:eastAsia="Arial" w:hAnsi="Arial"/>
          <w:sz w:val="17"/>
          <w:szCs w:val="17"/>
          <w:color w:val="auto"/>
        </w:rPr>
        <w:t>”).</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Capitalized terms used herein and not otherwise defined shall have the respective meanings set forth in the Warrant.</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1. Form of Exercise Price. The Holder intends that payment of the Exercise Price shall be made as:</w:t>
      </w:r>
    </w:p>
    <w:p>
      <w:pPr>
        <w:spacing w:after="0" w:line="225" w:lineRule="exact"/>
        <w:rPr>
          <w:sz w:val="20"/>
          <w:szCs w:val="20"/>
          <w:color w:val="auto"/>
        </w:rPr>
      </w:pPr>
    </w:p>
    <w:p>
      <w:pPr>
        <w:ind w:left="1300"/>
        <w:spacing w:after="0"/>
        <w:tabs>
          <w:tab w:leader="none" w:pos="2580" w:val="left"/>
        </w:tabs>
        <w:rPr>
          <w:sz w:val="20"/>
          <w:szCs w:val="20"/>
          <w:color w:val="auto"/>
        </w:rPr>
      </w:pPr>
      <w:r>
        <w:rPr>
          <w:rFonts w:ascii="Arial" w:cs="Arial" w:eastAsia="Arial" w:hAnsi="Arial"/>
          <w:sz w:val="18"/>
          <w:szCs w:val="18"/>
          <w:color w:val="auto"/>
        </w:rPr>
        <w:t>____________</w:t>
        <w:tab/>
        <w:t>a “</w:t>
      </w:r>
      <w:r>
        <w:rPr>
          <w:rFonts w:ascii="Arial" w:cs="Arial" w:eastAsia="Arial" w:hAnsi="Arial"/>
          <w:sz w:val="18"/>
          <w:szCs w:val="18"/>
          <w:u w:val="single" w:color="auto"/>
          <w:color w:val="auto"/>
        </w:rPr>
        <w:t>Cash Exercise</w:t>
      </w:r>
      <w:r>
        <w:rPr>
          <w:rFonts w:ascii="Arial" w:cs="Arial" w:eastAsia="Arial" w:hAnsi="Arial"/>
          <w:sz w:val="18"/>
          <w:szCs w:val="18"/>
          <w:color w:val="auto"/>
        </w:rPr>
        <w:t>” with respect to _________________ Warrant Shares; and/or</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____________ a “</w:t>
      </w:r>
      <w:r>
        <w:rPr>
          <w:rFonts w:ascii="Arial" w:cs="Arial" w:eastAsia="Arial" w:hAnsi="Arial"/>
          <w:sz w:val="18"/>
          <w:szCs w:val="18"/>
          <w:u w:val="single" w:color="auto"/>
          <w:color w:val="auto"/>
        </w:rPr>
        <w:t>Cashless Exercise</w:t>
      </w:r>
      <w:r>
        <w:rPr>
          <w:rFonts w:ascii="Arial" w:cs="Arial" w:eastAsia="Arial" w:hAnsi="Arial"/>
          <w:sz w:val="18"/>
          <w:szCs w:val="18"/>
          <w:color w:val="auto"/>
        </w:rPr>
        <w:t>” with respect to _______________ Warrant Shares.</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In the event that the Holder has elected a Cashless Exercise with respect to some or all of the Warrant Shares to be issued pursuant hereto, the Holder hereby represents and warrants that this Exercise Notice was executed by the Holder at [a.m.][p.m.] on the date set forth below.</w:t>
      </w:r>
    </w:p>
    <w:p>
      <w:pPr>
        <w:spacing w:after="0" w:line="170" w:lineRule="exact"/>
        <w:rPr>
          <w:sz w:val="20"/>
          <w:szCs w:val="20"/>
          <w:color w:val="auto"/>
        </w:rPr>
      </w:pPr>
    </w:p>
    <w:p>
      <w:pPr>
        <w:jc w:val="both"/>
        <w:ind w:firstLine="656"/>
        <w:spacing w:after="0" w:line="263" w:lineRule="auto"/>
        <w:tabs>
          <w:tab w:leader="none" w:pos="846" w:val="left"/>
        </w:tabs>
        <w:numPr>
          <w:ilvl w:val="0"/>
          <w:numId w:val="266"/>
        </w:numPr>
        <w:rPr>
          <w:rFonts w:ascii="Arial" w:cs="Arial" w:eastAsia="Arial" w:hAnsi="Arial"/>
          <w:sz w:val="18"/>
          <w:szCs w:val="18"/>
          <w:color w:val="auto"/>
        </w:rPr>
      </w:pPr>
      <w:r>
        <w:rPr>
          <w:rFonts w:ascii="Arial" w:cs="Arial" w:eastAsia="Arial" w:hAnsi="Arial"/>
          <w:sz w:val="18"/>
          <w:szCs w:val="18"/>
          <w:color w:val="auto"/>
        </w:rPr>
        <w:t>Payment of Exercise Price. In the event that the holder has elected a Cash Exercise with respect to some or all of the Warrant Shares to be issued pursuant hereto, the holder shall pay the Aggregate Exercise Price in the sum of $___________________ to the Company in accordance with the terms of the Warrant.</w:t>
      </w:r>
    </w:p>
    <w:p>
      <w:pPr>
        <w:spacing w:after="0" w:line="183" w:lineRule="exact"/>
        <w:rPr>
          <w:rFonts w:ascii="Arial" w:cs="Arial" w:eastAsia="Arial" w:hAnsi="Arial"/>
          <w:sz w:val="18"/>
          <w:szCs w:val="18"/>
          <w:color w:val="auto"/>
        </w:rPr>
      </w:pPr>
    </w:p>
    <w:p>
      <w:pPr>
        <w:ind w:left="840" w:hanging="184"/>
        <w:spacing w:after="0"/>
        <w:tabs>
          <w:tab w:leader="none" w:pos="840" w:val="left"/>
        </w:tabs>
        <w:numPr>
          <w:ilvl w:val="0"/>
          <w:numId w:val="266"/>
        </w:numPr>
        <w:rPr>
          <w:rFonts w:ascii="Arial" w:cs="Arial" w:eastAsia="Arial" w:hAnsi="Arial"/>
          <w:sz w:val="16"/>
          <w:szCs w:val="16"/>
          <w:color w:val="auto"/>
        </w:rPr>
      </w:pPr>
      <w:r>
        <w:rPr>
          <w:rFonts w:ascii="Arial" w:cs="Arial" w:eastAsia="Arial" w:hAnsi="Arial"/>
          <w:sz w:val="16"/>
          <w:szCs w:val="16"/>
          <w:color w:val="auto"/>
        </w:rPr>
        <w:t>Delivery of Warrant Shares. The Company shall deliver to the holder __________ Warrant Shares in accordance with the terms of the Warrant.</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3580" w:type="dxa"/>
            <w:vAlign w:val="bottom"/>
            <w:gridSpan w:val="2"/>
          </w:tcPr>
          <w:p>
            <w:pPr>
              <w:spacing w:after="0"/>
              <w:rPr>
                <w:sz w:val="20"/>
                <w:szCs w:val="20"/>
                <w:color w:val="auto"/>
              </w:rPr>
            </w:pPr>
            <w:r>
              <w:rPr>
                <w:rFonts w:ascii="Arial" w:cs="Arial" w:eastAsia="Arial" w:hAnsi="Arial"/>
                <w:sz w:val="18"/>
                <w:szCs w:val="18"/>
                <w:color w:val="auto"/>
              </w:rPr>
              <w:t>_______ Electronic Delivery</w:t>
            </w:r>
          </w:p>
        </w:tc>
        <w:tc>
          <w:tcPr>
            <w:tcW w:w="7660" w:type="dxa"/>
            <w:vAlign w:val="bottom"/>
            <w:gridSpan w:val="3"/>
          </w:tcPr>
          <w:p>
            <w:pPr>
              <w:ind w:left="920"/>
              <w:spacing w:after="0"/>
              <w:rPr>
                <w:sz w:val="20"/>
                <w:szCs w:val="20"/>
                <w:color w:val="auto"/>
              </w:rPr>
            </w:pPr>
            <w:r>
              <w:rPr>
                <w:rFonts w:ascii="Arial" w:cs="Arial" w:eastAsia="Arial" w:hAnsi="Arial"/>
                <w:sz w:val="18"/>
                <w:szCs w:val="18"/>
                <w:color w:val="auto"/>
              </w:rPr>
              <w:t>DTC Participant:</w:t>
            </w:r>
          </w:p>
        </w:tc>
        <w:tc>
          <w:tcPr>
            <w:tcW w:w="0" w:type="dxa"/>
            <w:vAlign w:val="bottom"/>
          </w:tcPr>
          <w:p>
            <w:pPr>
              <w:spacing w:after="0"/>
              <w:rPr>
                <w:sz w:val="1"/>
                <w:szCs w:val="1"/>
                <w:color w:val="auto"/>
              </w:rPr>
            </w:pPr>
          </w:p>
        </w:tc>
      </w:tr>
      <w:tr>
        <w:trPr>
          <w:trHeight w:val="223"/>
        </w:trPr>
        <w:tc>
          <w:tcPr>
            <w:tcW w:w="460" w:type="dxa"/>
            <w:vAlign w:val="bottom"/>
          </w:tcPr>
          <w:p>
            <w:pPr>
              <w:spacing w:after="0"/>
              <w:rPr>
                <w:sz w:val="19"/>
                <w:szCs w:val="19"/>
                <w:color w:val="auto"/>
              </w:rPr>
            </w:pPr>
          </w:p>
        </w:tc>
        <w:tc>
          <w:tcPr>
            <w:tcW w:w="3120" w:type="dxa"/>
            <w:vAlign w:val="bottom"/>
          </w:tcPr>
          <w:p>
            <w:pPr>
              <w:spacing w:after="0"/>
              <w:rPr>
                <w:sz w:val="19"/>
                <w:szCs w:val="19"/>
                <w:color w:val="auto"/>
              </w:rPr>
            </w:pPr>
          </w:p>
        </w:tc>
        <w:tc>
          <w:tcPr>
            <w:tcW w:w="3160" w:type="dxa"/>
            <w:vAlign w:val="bottom"/>
            <w:gridSpan w:val="2"/>
          </w:tcPr>
          <w:p>
            <w:pPr>
              <w:ind w:left="920"/>
              <w:spacing w:after="0" w:line="203" w:lineRule="exact"/>
              <w:rPr>
                <w:sz w:val="20"/>
                <w:szCs w:val="20"/>
                <w:color w:val="auto"/>
              </w:rPr>
            </w:pPr>
            <w:r>
              <w:rPr>
                <w:rFonts w:ascii="Arial" w:cs="Arial" w:eastAsia="Arial" w:hAnsi="Arial"/>
                <w:sz w:val="18"/>
                <w:szCs w:val="18"/>
                <w:color w:val="auto"/>
              </w:rPr>
              <w:t>DTC Number:</w:t>
            </w:r>
          </w:p>
        </w:tc>
        <w:tc>
          <w:tcPr>
            <w:tcW w:w="4500" w:type="dxa"/>
            <w:vAlign w:val="bottom"/>
            <w:tcBorders>
              <w:top w:val="single" w:sz="8" w:color="auto"/>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60" w:type="dxa"/>
            <w:vAlign w:val="bottom"/>
          </w:tcPr>
          <w:p>
            <w:pPr>
              <w:spacing w:after="0"/>
              <w:rPr>
                <w:sz w:val="19"/>
                <w:szCs w:val="19"/>
                <w:color w:val="auto"/>
              </w:rPr>
            </w:pPr>
          </w:p>
        </w:tc>
        <w:tc>
          <w:tcPr>
            <w:tcW w:w="3120" w:type="dxa"/>
            <w:vAlign w:val="bottom"/>
          </w:tcPr>
          <w:p>
            <w:pPr>
              <w:spacing w:after="0"/>
              <w:rPr>
                <w:sz w:val="19"/>
                <w:szCs w:val="19"/>
                <w:color w:val="auto"/>
              </w:rPr>
            </w:pPr>
          </w:p>
        </w:tc>
        <w:tc>
          <w:tcPr>
            <w:tcW w:w="3160" w:type="dxa"/>
            <w:vAlign w:val="bottom"/>
            <w:gridSpan w:val="2"/>
          </w:tcPr>
          <w:p>
            <w:pPr>
              <w:ind w:left="920"/>
              <w:spacing w:after="0" w:line="202" w:lineRule="exact"/>
              <w:rPr>
                <w:sz w:val="20"/>
                <w:szCs w:val="20"/>
                <w:color w:val="auto"/>
              </w:rPr>
            </w:pPr>
            <w:r>
              <w:rPr>
                <w:rFonts w:ascii="Arial" w:cs="Arial" w:eastAsia="Arial" w:hAnsi="Arial"/>
                <w:sz w:val="18"/>
                <w:szCs w:val="18"/>
                <w:color w:val="auto"/>
              </w:rPr>
              <w:t>Account Name:</w:t>
            </w:r>
          </w:p>
        </w:tc>
        <w:tc>
          <w:tcPr>
            <w:tcW w:w="45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60" w:type="dxa"/>
            <w:vAlign w:val="bottom"/>
          </w:tcPr>
          <w:p>
            <w:pPr>
              <w:spacing w:after="0"/>
              <w:rPr>
                <w:sz w:val="19"/>
                <w:szCs w:val="19"/>
                <w:color w:val="auto"/>
              </w:rPr>
            </w:pPr>
          </w:p>
        </w:tc>
        <w:tc>
          <w:tcPr>
            <w:tcW w:w="3120" w:type="dxa"/>
            <w:vAlign w:val="bottom"/>
          </w:tcPr>
          <w:p>
            <w:pPr>
              <w:spacing w:after="0"/>
              <w:rPr>
                <w:sz w:val="19"/>
                <w:szCs w:val="19"/>
                <w:color w:val="auto"/>
              </w:rPr>
            </w:pPr>
          </w:p>
        </w:tc>
        <w:tc>
          <w:tcPr>
            <w:tcW w:w="3160" w:type="dxa"/>
            <w:vAlign w:val="bottom"/>
            <w:gridSpan w:val="2"/>
          </w:tcPr>
          <w:p>
            <w:pPr>
              <w:ind w:left="920"/>
              <w:spacing w:after="0" w:line="202" w:lineRule="exact"/>
              <w:rPr>
                <w:sz w:val="20"/>
                <w:szCs w:val="20"/>
                <w:color w:val="auto"/>
              </w:rPr>
            </w:pPr>
            <w:r>
              <w:rPr>
                <w:rFonts w:ascii="Arial" w:cs="Arial" w:eastAsia="Arial" w:hAnsi="Arial"/>
                <w:sz w:val="18"/>
                <w:szCs w:val="18"/>
                <w:color w:val="auto"/>
              </w:rPr>
              <w:t>Account Number:</w:t>
            </w:r>
          </w:p>
        </w:tc>
        <w:tc>
          <w:tcPr>
            <w:tcW w:w="45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39"/>
        </w:trPr>
        <w:tc>
          <w:tcPr>
            <w:tcW w:w="3580" w:type="dxa"/>
            <w:vAlign w:val="bottom"/>
            <w:gridSpan w:val="2"/>
          </w:tcPr>
          <w:p>
            <w:pPr>
              <w:spacing w:after="0"/>
              <w:rPr>
                <w:sz w:val="20"/>
                <w:szCs w:val="20"/>
                <w:color w:val="auto"/>
              </w:rPr>
            </w:pPr>
            <w:r>
              <w:rPr>
                <w:rFonts w:ascii="Arial" w:cs="Arial" w:eastAsia="Arial" w:hAnsi="Arial"/>
                <w:sz w:val="18"/>
                <w:szCs w:val="18"/>
                <w:color w:val="auto"/>
              </w:rPr>
              <w:t>_______ Physical Delivery</w:t>
            </w:r>
          </w:p>
        </w:tc>
        <w:tc>
          <w:tcPr>
            <w:tcW w:w="7660" w:type="dxa"/>
            <w:vAlign w:val="bottom"/>
            <w:gridSpan w:val="3"/>
          </w:tcPr>
          <w:p>
            <w:pPr>
              <w:ind w:left="920"/>
              <w:spacing w:after="0"/>
              <w:rPr>
                <w:sz w:val="20"/>
                <w:szCs w:val="20"/>
                <w:color w:val="auto"/>
              </w:rPr>
            </w:pPr>
            <w:r>
              <w:rPr>
                <w:rFonts w:ascii="Arial" w:cs="Arial" w:eastAsia="Arial" w:hAnsi="Arial"/>
                <w:sz w:val="18"/>
                <w:szCs w:val="18"/>
                <w:color w:val="auto"/>
              </w:rPr>
              <w:t>Address:</w:t>
            </w:r>
          </w:p>
        </w:tc>
        <w:tc>
          <w:tcPr>
            <w:tcW w:w="0" w:type="dxa"/>
            <w:vAlign w:val="bottom"/>
          </w:tcPr>
          <w:p>
            <w:pPr>
              <w:spacing w:after="0"/>
              <w:rPr>
                <w:sz w:val="1"/>
                <w:szCs w:val="1"/>
                <w:color w:val="auto"/>
              </w:rPr>
            </w:pPr>
          </w:p>
        </w:tc>
      </w:tr>
      <w:tr>
        <w:trPr>
          <w:trHeight w:val="223"/>
        </w:trPr>
        <w:tc>
          <w:tcPr>
            <w:tcW w:w="3580" w:type="dxa"/>
            <w:vAlign w:val="bottom"/>
            <w:gridSpan w:val="2"/>
            <w:vMerge w:val="restart"/>
          </w:tcPr>
          <w:p>
            <w:pPr>
              <w:spacing w:after="0"/>
              <w:rPr>
                <w:sz w:val="20"/>
                <w:szCs w:val="20"/>
                <w:color w:val="auto"/>
              </w:rPr>
            </w:pPr>
            <w:r>
              <w:rPr>
                <w:rFonts w:ascii="Arial" w:cs="Arial" w:eastAsia="Arial" w:hAnsi="Arial"/>
                <w:sz w:val="18"/>
                <w:szCs w:val="18"/>
                <w:color w:val="auto"/>
              </w:rPr>
              <w:t>Date: _______________ __, ______</w:t>
            </w:r>
          </w:p>
        </w:tc>
        <w:tc>
          <w:tcPr>
            <w:tcW w:w="920" w:type="dxa"/>
            <w:vAlign w:val="bottom"/>
          </w:tcPr>
          <w:p>
            <w:pPr>
              <w:spacing w:after="0"/>
              <w:rPr>
                <w:sz w:val="19"/>
                <w:szCs w:val="19"/>
                <w:color w:val="auto"/>
              </w:rPr>
            </w:pPr>
          </w:p>
        </w:tc>
        <w:tc>
          <w:tcPr>
            <w:tcW w:w="2240" w:type="dxa"/>
            <w:vAlign w:val="bottom"/>
          </w:tcPr>
          <w:p>
            <w:pPr>
              <w:spacing w:after="0"/>
              <w:rPr>
                <w:sz w:val="19"/>
                <w:szCs w:val="19"/>
                <w:color w:val="auto"/>
              </w:rPr>
            </w:pPr>
          </w:p>
        </w:tc>
        <w:tc>
          <w:tcPr>
            <w:tcW w:w="4500" w:type="dxa"/>
            <w:vAlign w:val="bottom"/>
            <w:tcBorders>
              <w:top w:val="single" w:sz="8" w:color="auto"/>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580" w:type="dxa"/>
            <w:vAlign w:val="bottom"/>
            <w:gridSpan w:val="2"/>
            <w:vMerge w:val="continue"/>
          </w:tcPr>
          <w:p>
            <w:pPr>
              <w:spacing w:after="0"/>
              <w:rPr>
                <w:sz w:val="19"/>
                <w:szCs w:val="19"/>
                <w:color w:val="auto"/>
              </w:rPr>
            </w:pPr>
          </w:p>
        </w:tc>
        <w:tc>
          <w:tcPr>
            <w:tcW w:w="920" w:type="dxa"/>
            <w:vAlign w:val="bottom"/>
          </w:tcPr>
          <w:p>
            <w:pPr>
              <w:spacing w:after="0"/>
              <w:rPr>
                <w:sz w:val="19"/>
                <w:szCs w:val="19"/>
                <w:color w:val="auto"/>
              </w:rPr>
            </w:pPr>
          </w:p>
        </w:tc>
        <w:tc>
          <w:tcPr>
            <w:tcW w:w="2240" w:type="dxa"/>
            <w:vAlign w:val="bottom"/>
          </w:tcPr>
          <w:p>
            <w:pPr>
              <w:spacing w:after="0"/>
              <w:rPr>
                <w:sz w:val="19"/>
                <w:szCs w:val="19"/>
                <w:color w:val="auto"/>
              </w:rPr>
            </w:pPr>
          </w:p>
        </w:tc>
        <w:tc>
          <w:tcPr>
            <w:tcW w:w="45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32"/>
        </w:trPr>
        <w:tc>
          <w:tcPr>
            <w:tcW w:w="3580" w:type="dxa"/>
            <w:vAlign w:val="bottom"/>
            <w:gridSpan w:val="2"/>
            <w:vMerge w:val="continue"/>
          </w:tcPr>
          <w:p>
            <w:pPr>
              <w:spacing w:after="0"/>
              <w:rPr>
                <w:sz w:val="24"/>
                <w:szCs w:val="24"/>
                <w:color w:val="auto"/>
              </w:rPr>
            </w:pPr>
          </w:p>
        </w:tc>
        <w:tc>
          <w:tcPr>
            <w:tcW w:w="92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4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55"/>
        </w:trPr>
        <w:tc>
          <w:tcPr>
            <w:tcW w:w="460" w:type="dxa"/>
            <w:vAlign w:val="bottom"/>
            <w:tcBorders>
              <w:bottom w:val="single" w:sz="8" w:color="auto"/>
            </w:tcBorders>
          </w:tcPr>
          <w:p>
            <w:pPr>
              <w:spacing w:after="0"/>
              <w:rPr>
                <w:sz w:val="24"/>
                <w:szCs w:val="24"/>
                <w:color w:val="auto"/>
              </w:rPr>
            </w:pPr>
          </w:p>
        </w:tc>
        <w:tc>
          <w:tcPr>
            <w:tcW w:w="31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240" w:type="dxa"/>
            <w:vAlign w:val="bottom"/>
          </w:tcPr>
          <w:p>
            <w:pPr>
              <w:spacing w:after="0"/>
              <w:rPr>
                <w:sz w:val="24"/>
                <w:szCs w:val="24"/>
                <w:color w:val="auto"/>
              </w:rPr>
            </w:pPr>
          </w:p>
        </w:tc>
        <w:tc>
          <w:tcPr>
            <w:tcW w:w="4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3580" w:type="dxa"/>
            <w:vAlign w:val="bottom"/>
            <w:gridSpan w:val="2"/>
          </w:tcPr>
          <w:p>
            <w:pPr>
              <w:spacing w:after="0" w:line="201" w:lineRule="exact"/>
              <w:rPr>
                <w:sz w:val="20"/>
                <w:szCs w:val="20"/>
                <w:color w:val="auto"/>
              </w:rPr>
            </w:pPr>
            <w:r>
              <w:rPr>
                <w:rFonts w:ascii="Arial" w:cs="Arial" w:eastAsia="Arial" w:hAnsi="Arial"/>
                <w:sz w:val="18"/>
                <w:szCs w:val="18"/>
                <w:color w:val="auto"/>
              </w:rPr>
              <w:t>Name of Registered Holder</w:t>
            </w:r>
          </w:p>
        </w:tc>
        <w:tc>
          <w:tcPr>
            <w:tcW w:w="920" w:type="dxa"/>
            <w:vAlign w:val="bottom"/>
          </w:tcPr>
          <w:p>
            <w:pPr>
              <w:spacing w:after="0"/>
              <w:rPr>
                <w:sz w:val="17"/>
                <w:szCs w:val="17"/>
                <w:color w:val="auto"/>
              </w:rPr>
            </w:pPr>
          </w:p>
        </w:tc>
        <w:tc>
          <w:tcPr>
            <w:tcW w:w="2240" w:type="dxa"/>
            <w:vAlign w:val="bottom"/>
          </w:tcPr>
          <w:p>
            <w:pPr>
              <w:spacing w:after="0"/>
              <w:rPr>
                <w:sz w:val="17"/>
                <w:szCs w:val="17"/>
                <w:color w:val="auto"/>
              </w:rPr>
            </w:pPr>
          </w:p>
        </w:tc>
        <w:tc>
          <w:tcPr>
            <w:tcW w:w="4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3580" w:type="dxa"/>
            <w:vAlign w:val="bottom"/>
            <w:gridSpan w:val="2"/>
          </w:tcPr>
          <w:p>
            <w:pPr>
              <w:spacing w:after="0"/>
              <w:rPr>
                <w:sz w:val="20"/>
                <w:szCs w:val="20"/>
                <w:color w:val="auto"/>
              </w:rPr>
            </w:pPr>
            <w:r>
              <w:rPr>
                <w:rFonts w:ascii="Arial" w:cs="Arial" w:eastAsia="Arial" w:hAnsi="Arial"/>
                <w:sz w:val="18"/>
                <w:szCs w:val="18"/>
                <w:color w:val="auto"/>
              </w:rPr>
              <w:t>By:</w:t>
            </w:r>
          </w:p>
        </w:tc>
        <w:tc>
          <w:tcPr>
            <w:tcW w:w="92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4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460" w:type="dxa"/>
            <w:vAlign w:val="bottom"/>
          </w:tcPr>
          <w:p>
            <w:pPr>
              <w:spacing w:after="0"/>
              <w:rPr>
                <w:sz w:val="17"/>
                <w:szCs w:val="17"/>
                <w:color w:val="auto"/>
              </w:rPr>
            </w:pPr>
          </w:p>
        </w:tc>
        <w:tc>
          <w:tcPr>
            <w:tcW w:w="312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Name:</w:t>
            </w:r>
          </w:p>
        </w:tc>
        <w:tc>
          <w:tcPr>
            <w:tcW w:w="920" w:type="dxa"/>
            <w:vAlign w:val="bottom"/>
            <w:tcBorders>
              <w:top w:val="single" w:sz="8" w:color="auto"/>
            </w:tcBorders>
          </w:tcPr>
          <w:p>
            <w:pPr>
              <w:spacing w:after="0"/>
              <w:rPr>
                <w:sz w:val="17"/>
                <w:szCs w:val="17"/>
                <w:color w:val="auto"/>
              </w:rPr>
            </w:pPr>
          </w:p>
        </w:tc>
        <w:tc>
          <w:tcPr>
            <w:tcW w:w="2240" w:type="dxa"/>
            <w:vAlign w:val="bottom"/>
          </w:tcPr>
          <w:p>
            <w:pPr>
              <w:spacing w:after="0"/>
              <w:rPr>
                <w:sz w:val="17"/>
                <w:szCs w:val="17"/>
                <w:color w:val="auto"/>
              </w:rPr>
            </w:pPr>
          </w:p>
        </w:tc>
        <w:tc>
          <w:tcPr>
            <w:tcW w:w="4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60" w:type="dxa"/>
            <w:vAlign w:val="bottom"/>
          </w:tcPr>
          <w:p>
            <w:pPr>
              <w:spacing w:after="0"/>
              <w:rPr>
                <w:sz w:val="20"/>
                <w:szCs w:val="20"/>
                <w:color w:val="auto"/>
              </w:rPr>
            </w:pPr>
          </w:p>
        </w:tc>
        <w:tc>
          <w:tcPr>
            <w:tcW w:w="3120" w:type="dxa"/>
            <w:vAlign w:val="bottom"/>
          </w:tcPr>
          <w:p>
            <w:pPr>
              <w:spacing w:after="0"/>
              <w:rPr>
                <w:sz w:val="20"/>
                <w:szCs w:val="20"/>
                <w:color w:val="auto"/>
              </w:rPr>
            </w:pPr>
            <w:r>
              <w:rPr>
                <w:rFonts w:ascii="Arial" w:cs="Arial" w:eastAsia="Arial" w:hAnsi="Arial"/>
                <w:sz w:val="18"/>
                <w:szCs w:val="18"/>
                <w:color w:val="auto"/>
              </w:rPr>
              <w:t>Title:</w:t>
            </w:r>
          </w:p>
        </w:tc>
        <w:tc>
          <w:tcPr>
            <w:tcW w:w="92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4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82"/>
        </w:trPr>
        <w:tc>
          <w:tcPr>
            <w:tcW w:w="460" w:type="dxa"/>
            <w:vAlign w:val="bottom"/>
            <w:tcBorders>
              <w:bottom w:val="single" w:sz="8" w:color="auto"/>
            </w:tcBorders>
          </w:tcPr>
          <w:p>
            <w:pPr>
              <w:spacing w:after="0"/>
              <w:rPr>
                <w:sz w:val="24"/>
                <w:szCs w:val="24"/>
                <w:color w:val="auto"/>
              </w:rPr>
            </w:pPr>
          </w:p>
        </w:tc>
        <w:tc>
          <w:tcPr>
            <w:tcW w:w="31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240" w:type="dxa"/>
            <w:vAlign w:val="bottom"/>
            <w:tcBorders>
              <w:bottom w:val="single" w:sz="8" w:color="auto"/>
            </w:tcBorders>
          </w:tcPr>
          <w:p>
            <w:pPr>
              <w:spacing w:after="0"/>
              <w:rPr>
                <w:sz w:val="24"/>
                <w:szCs w:val="24"/>
                <w:color w:val="auto"/>
              </w:rPr>
            </w:pPr>
          </w:p>
        </w:tc>
        <w:tc>
          <w:tcPr>
            <w:tcW w:w="45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904" w:right="339" w:bottom="1440" w:gutter="0" w:footer="0" w:header="0"/>
        </w:sectPr>
      </w:pPr>
    </w:p>
    <w:bookmarkStart w:id="259" w:name="page260"/>
    <w:bookmarkEnd w:id="259"/>
    <w:p>
      <w:pPr>
        <w:jc w:val="center"/>
        <w:spacing w:after="0"/>
        <w:rPr>
          <w:sz w:val="20"/>
          <w:szCs w:val="20"/>
          <w:color w:val="auto"/>
        </w:rPr>
      </w:pPr>
      <w:r>
        <w:rPr>
          <w:rFonts w:ascii="Arial" w:cs="Arial" w:eastAsia="Arial" w:hAnsi="Arial"/>
          <w:sz w:val="18"/>
          <w:szCs w:val="18"/>
          <w:b w:val="1"/>
          <w:bCs w:val="1"/>
          <w:color w:val="auto"/>
        </w:rPr>
        <w:t>ACKNOWLEDGMENT</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Company hereby acknowledges this Exercise Notice and hereby directs [TRANSFER AGENT] to issue the above indicated number of shares of Common Stock in accordance with the Transfer Agent Instructions dated _________________ from the Company and acknowledged and agreed to by [TRANSFER AGENT].</w:t>
      </w:r>
    </w:p>
    <w:p>
      <w:pPr>
        <w:spacing w:after="0" w:line="180" w:lineRule="exact"/>
        <w:rPr>
          <w:sz w:val="20"/>
          <w:szCs w:val="20"/>
          <w:color w:val="auto"/>
        </w:rPr>
      </w:pPr>
    </w:p>
    <w:p>
      <w:pPr>
        <w:ind w:left="6740"/>
        <w:spacing w:after="0"/>
        <w:rPr>
          <w:sz w:val="20"/>
          <w:szCs w:val="20"/>
          <w:color w:val="auto"/>
        </w:rPr>
      </w:pPr>
      <w:r>
        <w:rPr>
          <w:rFonts w:ascii="Arial" w:cs="Arial" w:eastAsia="Arial" w:hAnsi="Arial"/>
          <w:sz w:val="18"/>
          <w:szCs w:val="18"/>
          <w:b w:val="1"/>
          <w:bCs w:val="1"/>
          <w:color w:val="auto"/>
        </w:rPr>
        <w:t>PRESTO AUTOMATION INC.</w:t>
      </w:r>
    </w:p>
    <w:p>
      <w:pPr>
        <w:spacing w:after="0" w:line="229"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14605</wp:posOffset>
            </wp:positionV>
            <wp:extent cx="2494915" cy="1714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4">
                      <a:extLst>
                        <a:ext uri="{28A0092B-C50C-407E-A947-70E740481C1C}"/>
                      </a:extLst>
                    </a:blip>
                    <a:srcRect/>
                    <a:stretch>
                      <a:fillRect/>
                    </a:stretch>
                  </pic:blipFill>
                  <pic:spPr bwMode="auto">
                    <a:xfrm>
                      <a:off x="0" y="0"/>
                      <a:ext cx="2494915" cy="17145"/>
                    </a:xfrm>
                    <a:prstGeom prst="rect">
                      <a:avLst/>
                    </a:prstGeom>
                    <a:noFill/>
                  </pic:spPr>
                </pic:pic>
              </a:graphicData>
            </a:graphic>
          </wp:anchor>
        </w:drawing>
      </w:r>
    </w:p>
    <w:p>
      <w:pPr>
        <w:spacing w:after="0" w:line="3"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1714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60" w:name="page261"/>
    <w:bookmarkEnd w:id="260"/>
    <w:p>
      <w:pPr>
        <w:jc w:val="center"/>
        <w:spacing w:after="0"/>
        <w:rPr>
          <w:sz w:val="20"/>
          <w:szCs w:val="20"/>
          <w:color w:val="auto"/>
        </w:rPr>
      </w:pPr>
      <w:r>
        <w:rPr>
          <w:rFonts w:ascii="Arial" w:cs="Arial" w:eastAsia="Arial" w:hAnsi="Arial"/>
          <w:sz w:val="18"/>
          <w:szCs w:val="18"/>
          <w:b w:val="1"/>
          <w:bCs w:val="1"/>
          <w:color w:val="auto"/>
        </w:rPr>
        <w:t>ASSIGNMENT FORM</w:t>
      </w:r>
    </w:p>
    <w:p>
      <w:pPr>
        <w:spacing w:after="0" w:line="229" w:lineRule="exact"/>
        <w:rPr>
          <w:sz w:val="20"/>
          <w:szCs w:val="20"/>
          <w:color w:val="auto"/>
        </w:rPr>
      </w:pPr>
    </w:p>
    <w:p>
      <w:pPr>
        <w:ind w:left="4140"/>
        <w:spacing w:after="0"/>
        <w:rPr>
          <w:sz w:val="20"/>
          <w:szCs w:val="20"/>
          <w:color w:val="auto"/>
        </w:rPr>
      </w:pPr>
      <w:r>
        <w:rPr>
          <w:rFonts w:ascii="Arial" w:cs="Arial" w:eastAsia="Arial" w:hAnsi="Arial"/>
          <w:sz w:val="18"/>
          <w:szCs w:val="18"/>
          <w:color w:val="auto"/>
        </w:rPr>
        <w:t>(To assign the foregoing warrant, execute</w:t>
      </w:r>
    </w:p>
    <w:p>
      <w:pPr>
        <w:spacing w:after="0" w:line="23" w:lineRule="exact"/>
        <w:rPr>
          <w:sz w:val="20"/>
          <w:szCs w:val="20"/>
          <w:color w:val="auto"/>
        </w:rPr>
      </w:pPr>
    </w:p>
    <w:p>
      <w:pPr>
        <w:ind w:left="4080"/>
        <w:spacing w:after="0"/>
        <w:rPr>
          <w:sz w:val="20"/>
          <w:szCs w:val="20"/>
          <w:color w:val="auto"/>
        </w:rPr>
      </w:pPr>
      <w:r>
        <w:rPr>
          <w:rFonts w:ascii="Arial" w:cs="Arial" w:eastAsia="Arial" w:hAnsi="Arial"/>
          <w:sz w:val="18"/>
          <w:szCs w:val="18"/>
          <w:color w:val="auto"/>
        </w:rPr>
        <w:t>this form and supply required information.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 not use this form to exercise the warrant.)</w:t>
      </w:r>
    </w:p>
    <w:p>
      <w:pPr>
        <w:spacing w:after="0" w:line="211" w:lineRule="exact"/>
        <w:rPr>
          <w:sz w:val="20"/>
          <w:szCs w:val="20"/>
          <w:color w:val="auto"/>
        </w:rPr>
      </w:pPr>
    </w:p>
    <w:p>
      <w:pPr>
        <w:spacing w:after="0"/>
        <w:tabs>
          <w:tab w:leader="none" w:pos="2400" w:val="left"/>
          <w:tab w:leader="none" w:pos="3500" w:val="left"/>
        </w:tabs>
        <w:rPr>
          <w:sz w:val="20"/>
          <w:szCs w:val="20"/>
          <w:color w:val="auto"/>
        </w:rPr>
      </w:pPr>
      <w:r>
        <w:rPr>
          <w:rFonts w:ascii="Arial" w:cs="Arial" w:eastAsia="Arial" w:hAnsi="Arial"/>
          <w:sz w:val="18"/>
          <w:szCs w:val="18"/>
          <w:color w:val="auto"/>
        </w:rPr>
        <w:t>FOR VALUE RECEIVED,</w:t>
      </w:r>
      <w:r>
        <w:rPr>
          <w:sz w:val="20"/>
          <w:szCs w:val="20"/>
          <w:color w:val="auto"/>
        </w:rPr>
        <w:tab/>
      </w:r>
      <w:r>
        <w:rPr>
          <w:rFonts w:ascii="Arial" w:cs="Arial" w:eastAsia="Arial" w:hAnsi="Arial"/>
          <w:sz w:val="18"/>
          <w:szCs w:val="18"/>
          <w:color w:val="auto"/>
        </w:rPr>
        <w:t>all of or</w:t>
      </w:r>
      <w:r>
        <w:rPr>
          <w:sz w:val="20"/>
          <w:szCs w:val="20"/>
          <w:color w:val="auto"/>
        </w:rPr>
        <w:tab/>
      </w:r>
      <w:r>
        <w:rPr>
          <w:rFonts w:ascii="Arial" w:cs="Arial" w:eastAsia="Arial" w:hAnsi="Arial"/>
          <w:sz w:val="16"/>
          <w:szCs w:val="16"/>
          <w:color w:val="auto"/>
        </w:rPr>
        <w:t>shares of the foregoing Warrant and all rights evidenced thereby are hereby assigned to</w:t>
      </w:r>
    </w:p>
    <w:p>
      <w:pPr>
        <w:spacing w:after="0" w:line="225" w:lineRule="exact"/>
        <w:rPr>
          <w:sz w:val="20"/>
          <w:szCs w:val="20"/>
          <w:color w:val="auto"/>
        </w:rPr>
      </w:pPr>
    </w:p>
    <w:p>
      <w:pPr>
        <w:ind w:left="8440"/>
        <w:spacing w:after="0"/>
        <w:rPr>
          <w:sz w:val="20"/>
          <w:szCs w:val="20"/>
          <w:color w:val="auto"/>
        </w:rPr>
      </w:pPr>
      <w:r>
        <w:rPr>
          <w:rFonts w:ascii="Arial" w:cs="Arial" w:eastAsia="Arial" w:hAnsi="Arial"/>
          <w:sz w:val="18"/>
          <w:szCs w:val="18"/>
          <w:color w:val="auto"/>
        </w:rPr>
        <w:t>whose address 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5349240" cy="1714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6">
                      <a:extLst>
                        <a:ext uri="{28A0092B-C50C-407E-A947-70E740481C1C}"/>
                      </a:extLst>
                    </a:blip>
                    <a:srcRect/>
                    <a:stretch>
                      <a:fillRect/>
                    </a:stretch>
                  </pic:blipFill>
                  <pic:spPr bwMode="auto">
                    <a:xfrm>
                      <a:off x="0" y="0"/>
                      <a:ext cx="534924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168910</wp:posOffset>
            </wp:positionV>
            <wp:extent cx="5349240" cy="1714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7">
                      <a:extLst>
                        <a:ext uri="{28A0092B-C50C-407E-A947-70E740481C1C}"/>
                      </a:extLst>
                    </a:blip>
                    <a:srcRect/>
                    <a:stretch>
                      <a:fillRect/>
                    </a:stretch>
                  </pic:blipFill>
                  <pic:spPr bwMode="auto">
                    <a:xfrm>
                      <a:off x="0" y="0"/>
                      <a:ext cx="534924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323215</wp:posOffset>
            </wp:positionV>
            <wp:extent cx="5349240" cy="1714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8">
                      <a:extLst>
                        <a:ext uri="{28A0092B-C50C-407E-A947-70E740481C1C}"/>
                      </a:extLst>
                    </a:blip>
                    <a:srcRect/>
                    <a:stretch>
                      <a:fillRect/>
                    </a:stretch>
                  </pic:blipFill>
                  <pic:spPr bwMode="auto">
                    <a:xfrm>
                      <a:off x="0" y="0"/>
                      <a:ext cx="534924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Dated: __________________, ____</w:t>
      </w:r>
    </w:p>
    <w:p>
      <w:pPr>
        <w:spacing w:after="0" w:line="252" w:lineRule="exact"/>
        <w:rPr>
          <w:sz w:val="20"/>
          <w:szCs w:val="20"/>
          <w:color w:val="auto"/>
        </w:rPr>
      </w:pPr>
    </w:p>
    <w:p>
      <w:pPr>
        <w:ind w:left="2260"/>
        <w:spacing w:after="0"/>
        <w:rPr>
          <w:sz w:val="20"/>
          <w:szCs w:val="20"/>
          <w:color w:val="auto"/>
        </w:rPr>
      </w:pPr>
      <w:r>
        <w:rPr>
          <w:rFonts w:ascii="Arial" w:cs="Arial" w:eastAsia="Arial" w:hAnsi="Arial"/>
          <w:sz w:val="18"/>
          <w:szCs w:val="18"/>
          <w:color w:val="auto"/>
        </w:rPr>
        <w:t>Holder’s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2859405</wp:posOffset>
            </wp:positionH>
            <wp:positionV relativeFrom="paragraph">
              <wp:posOffset>14605</wp:posOffset>
            </wp:positionV>
            <wp:extent cx="2134235" cy="1714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9">
                      <a:extLst>
                        <a:ext uri="{28A0092B-C50C-407E-A947-70E740481C1C}"/>
                      </a:extLst>
                    </a:blip>
                    <a:srcRect/>
                    <a:stretch>
                      <a:fillRect/>
                    </a:stretch>
                  </pic:blipFill>
                  <pic:spPr bwMode="auto">
                    <a:xfrm>
                      <a:off x="0" y="0"/>
                      <a:ext cx="2134235" cy="17145"/>
                    </a:xfrm>
                    <a:prstGeom prst="rect">
                      <a:avLst/>
                    </a:prstGeom>
                    <a:noFill/>
                  </pic:spPr>
                </pic:pic>
              </a:graphicData>
            </a:graphic>
          </wp:anchor>
        </w:drawing>
      </w:r>
    </w:p>
    <w:p>
      <w:pPr>
        <w:spacing w:after="0" w:line="3" w:lineRule="exact"/>
        <w:rPr>
          <w:sz w:val="20"/>
          <w:szCs w:val="20"/>
          <w:color w:val="auto"/>
        </w:rPr>
      </w:pPr>
    </w:p>
    <w:p>
      <w:pPr>
        <w:ind w:left="2260"/>
        <w:spacing w:after="0"/>
        <w:rPr>
          <w:sz w:val="20"/>
          <w:szCs w:val="20"/>
          <w:color w:val="auto"/>
        </w:rPr>
      </w:pPr>
      <w:r>
        <w:rPr>
          <w:rFonts w:ascii="Arial" w:cs="Arial" w:eastAsia="Arial" w:hAnsi="Arial"/>
          <w:sz w:val="18"/>
          <w:szCs w:val="18"/>
          <w:color w:val="auto"/>
        </w:rPr>
        <w:t>Holder’s 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2859405</wp:posOffset>
            </wp:positionH>
            <wp:positionV relativeFrom="paragraph">
              <wp:posOffset>22860</wp:posOffset>
            </wp:positionV>
            <wp:extent cx="2134235" cy="1714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90">
                      <a:extLst>
                        <a:ext uri="{28A0092B-C50C-407E-A947-70E740481C1C}"/>
                      </a:extLst>
                    </a:blip>
                    <a:srcRect/>
                    <a:stretch>
                      <a:fillRect/>
                    </a:stretch>
                  </pic:blipFill>
                  <pic:spPr bwMode="auto">
                    <a:xfrm>
                      <a:off x="0" y="0"/>
                      <a:ext cx="2134235" cy="17145"/>
                    </a:xfrm>
                    <a:prstGeom prst="rect">
                      <a:avLst/>
                    </a:prstGeom>
                    <a:noFill/>
                  </pic:spPr>
                </pic:pic>
              </a:graphicData>
            </a:graphic>
          </wp:anchor>
        </w:drawing>
        <w:drawing>
          <wp:anchor simplePos="0" relativeHeight="251657728" behindDoc="1" locked="0" layoutInCell="0" allowOverlap="1">
            <wp:simplePos x="0" y="0"/>
            <wp:positionH relativeFrom="column">
              <wp:posOffset>2859405</wp:posOffset>
            </wp:positionH>
            <wp:positionV relativeFrom="paragraph">
              <wp:posOffset>177165</wp:posOffset>
            </wp:positionV>
            <wp:extent cx="2134235" cy="1714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1">
                      <a:extLst>
                        <a:ext uri="{28A0092B-C50C-407E-A947-70E740481C1C}"/>
                      </a:extLst>
                    </a:blip>
                    <a:srcRect/>
                    <a:stretch>
                      <a:fillRect/>
                    </a:stretch>
                  </pic:blipFill>
                  <pic:spPr bwMode="auto">
                    <a:xfrm>
                      <a:off x="0" y="0"/>
                      <a:ext cx="2134235" cy="17145"/>
                    </a:xfrm>
                    <a:prstGeom prst="rect">
                      <a:avLst/>
                    </a:prstGeom>
                    <a:noFill/>
                  </pic:spPr>
                </pic:pic>
              </a:graphicData>
            </a:graphic>
          </wp:anchor>
        </w:drawing>
      </w:r>
    </w:p>
    <w:p>
      <w:pPr>
        <w:spacing w:after="0" w:line="200" w:lineRule="exact"/>
        <w:rPr>
          <w:sz w:val="20"/>
          <w:szCs w:val="20"/>
          <w:color w:val="auto"/>
        </w:rPr>
      </w:pPr>
    </w:p>
    <w:p>
      <w:pPr>
        <w:spacing w:after="0" w:line="288"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NOTE: The signature to this Assignment Form must correspond with the name as it appears on the face of the Warrant, without alteration or enlargement or any change whatsoever.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528955</wp:posOffset>
            </wp:positionV>
            <wp:extent cx="7132320" cy="1714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61" w:name="page262"/>
    <w:bookmarkEnd w:id="261"/>
    <w:p>
      <w:pPr>
        <w:ind w:left="10120"/>
        <w:spacing w:after="0"/>
        <w:rPr>
          <w:sz w:val="20"/>
          <w:szCs w:val="20"/>
          <w:color w:val="auto"/>
        </w:rPr>
      </w:pPr>
      <w:r>
        <w:rPr>
          <w:rFonts w:ascii="Arial" w:cs="Arial" w:eastAsia="Arial" w:hAnsi="Arial"/>
          <w:sz w:val="19"/>
          <w:szCs w:val="19"/>
          <w:b w:val="1"/>
          <w:bCs w:val="1"/>
          <w:color w:val="auto"/>
        </w:rPr>
        <w:t>Exhibit 99.1</w:t>
      </w: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Presto Unlocks Approximately $20M of Cash in PIPE Transaction</w:t>
      </w:r>
    </w:p>
    <w:p>
      <w:pPr>
        <w:spacing w:after="0" w:line="225" w:lineRule="exact"/>
        <w:rPr>
          <w:sz w:val="20"/>
          <w:szCs w:val="20"/>
          <w:color w:val="auto"/>
        </w:rPr>
      </w:pPr>
    </w:p>
    <w:p>
      <w:pPr>
        <w:jc w:val="both"/>
        <w:spacing w:after="0" w:line="258" w:lineRule="auto"/>
        <w:rPr>
          <w:sz w:val="20"/>
          <w:szCs w:val="20"/>
          <w:color w:val="auto"/>
        </w:rPr>
      </w:pPr>
      <w:r>
        <w:rPr>
          <w:rFonts w:ascii="Arial" w:cs="Arial" w:eastAsia="Arial" w:hAnsi="Arial"/>
          <w:sz w:val="18"/>
          <w:szCs w:val="18"/>
          <w:b w:val="1"/>
          <w:bCs w:val="1"/>
          <w:color w:val="auto"/>
        </w:rPr>
        <w:t xml:space="preserve">SAN CARLOS, CA - May 22, 2023 - </w:t>
      </w:r>
      <w:r>
        <w:rPr>
          <w:rFonts w:ascii="Arial" w:cs="Arial" w:eastAsia="Arial" w:hAnsi="Arial"/>
          <w:sz w:val="18"/>
          <w:szCs w:val="18"/>
          <w:u w:val="single" w:color="auto"/>
          <w:color w:val="auto"/>
        </w:rPr>
        <w:t>Presto Automation Inc.</w:t>
      </w:r>
      <w:r>
        <w:rPr>
          <w:rFonts w:ascii="Arial" w:cs="Arial" w:eastAsia="Arial" w:hAnsi="Arial"/>
          <w:sz w:val="18"/>
          <w:szCs w:val="18"/>
          <w:b w:val="1"/>
          <w:bCs w:val="1"/>
          <w:color w:val="auto"/>
        </w:rPr>
        <w:t xml:space="preserve"> </w:t>
      </w:r>
      <w:r>
        <w:rPr>
          <w:rFonts w:ascii="Arial" w:cs="Arial" w:eastAsia="Arial" w:hAnsi="Arial"/>
          <w:sz w:val="18"/>
          <w:szCs w:val="18"/>
          <w:color w:val="auto"/>
        </w:rPr>
        <w:t>(NASDAQ: PRST), one of the largest drive-thru automation technology providers in the</w:t>
      </w:r>
      <w:r>
        <w:rPr>
          <w:rFonts w:ascii="Arial" w:cs="Arial" w:eastAsia="Arial" w:hAnsi="Arial"/>
          <w:sz w:val="18"/>
          <w:szCs w:val="18"/>
          <w:b w:val="1"/>
          <w:bCs w:val="1"/>
          <w:color w:val="auto"/>
        </w:rPr>
        <w:t xml:space="preserve"> </w:t>
      </w:r>
      <w:r>
        <w:rPr>
          <w:rFonts w:ascii="Arial" w:cs="Arial" w:eastAsia="Arial" w:hAnsi="Arial"/>
          <w:sz w:val="18"/>
          <w:szCs w:val="18"/>
          <w:color w:val="auto"/>
        </w:rPr>
        <w:t>hospitality industry, today announced it had entered into commitments for an approximately $10 million common equity PIPE. In parallel, Presto has negotiated certain changes to its credit facility with its lender, Metropolitan Partners Group (MetPG), including a decrease of the minimum cash covenant to $10 million effective upon the closing of the PIPE. The PIPE is expected to close on or around May 24, 2023. Chardan served as financial advisor to Presto.</w:t>
      </w:r>
    </w:p>
    <w:p>
      <w:pPr>
        <w:spacing w:after="0" w:line="187"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“We believe that entering into a PIPE without warrants from both existing and new investors, as well as effectively aligning our lender to the equity upside of our business signals the confidence investors have in Presto’s ability to immediately seize this exciting market opportunity,” said Krishna Gupta,</w:t>
      </w:r>
    </w:p>
    <w:p>
      <w:pPr>
        <w:jc w:val="both"/>
        <w:spacing w:after="0" w:line="211" w:lineRule="auto"/>
        <w:rPr>
          <w:sz w:val="20"/>
          <w:szCs w:val="20"/>
          <w:color w:val="auto"/>
        </w:rPr>
      </w:pPr>
      <w:r>
        <w:rPr>
          <w:rFonts w:ascii="Arial" w:cs="Arial" w:eastAsia="Arial" w:hAnsi="Arial"/>
          <w:sz w:val="18"/>
          <w:szCs w:val="18"/>
          <w:color w:val="auto"/>
        </w:rPr>
        <w:t xml:space="preserve">Chairman and Interim CEO of Presto. “This funding will enable us to continue leaning into the growth we are experiencing in our </w:t>
      </w:r>
      <w:r>
        <w:rPr>
          <w:rFonts w:ascii="Arial" w:cs="Arial" w:eastAsia="Arial" w:hAnsi="Arial"/>
          <w:sz w:val="18"/>
          <w:szCs w:val="18"/>
          <w:i w:val="1"/>
          <w:iCs w:val="1"/>
          <w:color w:val="auto"/>
        </w:rPr>
        <w:t>Presto Voice</w:t>
      </w:r>
      <w:r>
        <w:rPr>
          <w:rFonts w:ascii="Arial" w:cs="Arial" w:eastAsia="Arial" w:hAnsi="Arial"/>
          <w:sz w:val="29"/>
          <w:szCs w:val="29"/>
          <w:color w:val="auto"/>
          <w:vertAlign w:val="superscript"/>
        </w:rPr>
        <w:t>TM</w:t>
      </w:r>
      <w:r>
        <w:rPr>
          <w:rFonts w:ascii="Arial" w:cs="Arial" w:eastAsia="Arial" w:hAnsi="Arial"/>
          <w:sz w:val="18"/>
          <w:szCs w:val="18"/>
          <w:color w:val="auto"/>
        </w:rPr>
        <w:t xml:space="preserve"> AI platform, as well as support the commercialization of our next-generation Flex product platform.”</w:t>
      </w:r>
    </w:p>
    <w:p>
      <w:pPr>
        <w:spacing w:after="0" w:line="204" w:lineRule="exact"/>
        <w:rPr>
          <w:sz w:val="20"/>
          <w:szCs w:val="20"/>
          <w:color w:val="auto"/>
        </w:rPr>
      </w:pPr>
    </w:p>
    <w:p>
      <w:pPr>
        <w:spacing w:after="0"/>
        <w:rPr>
          <w:sz w:val="20"/>
          <w:szCs w:val="20"/>
          <w:color w:val="auto"/>
        </w:rPr>
      </w:pPr>
      <w:r>
        <w:rPr>
          <w:rFonts w:ascii="Arial" w:cs="Arial" w:eastAsia="Arial" w:hAnsi="Arial"/>
          <w:sz w:val="17"/>
          <w:szCs w:val="17"/>
          <w:color w:val="auto"/>
        </w:rPr>
        <w:t>Presto is an enterprise AI company with more than a decade of experience operationalizing technology in large nationwide restaurant chains. Presto</w:t>
      </w:r>
    </w:p>
    <w:p>
      <w:pPr>
        <w:spacing w:after="0" w:line="35" w:lineRule="exact"/>
        <w:rPr>
          <w:sz w:val="20"/>
          <w:szCs w:val="20"/>
          <w:color w:val="auto"/>
        </w:rPr>
      </w:pPr>
    </w:p>
    <w:p>
      <w:pPr>
        <w:jc w:val="both"/>
        <w:spacing w:after="0" w:line="230" w:lineRule="auto"/>
        <w:rPr>
          <w:sz w:val="20"/>
          <w:szCs w:val="20"/>
          <w:color w:val="auto"/>
        </w:rPr>
      </w:pPr>
      <w:r>
        <w:rPr>
          <w:rFonts w:ascii="Arial" w:cs="Arial" w:eastAsia="Arial" w:hAnsi="Arial"/>
          <w:sz w:val="18"/>
          <w:szCs w:val="18"/>
          <w:color w:val="auto"/>
        </w:rPr>
        <w:t xml:space="preserve">recently announced an expansion partnership with CKE Restaurants, parent of Carl’s Jr and Hardee’s, to uses </w:t>
      </w:r>
      <w:r>
        <w:rPr>
          <w:rFonts w:ascii="Arial" w:cs="Arial" w:eastAsia="Arial" w:hAnsi="Arial"/>
          <w:sz w:val="18"/>
          <w:szCs w:val="18"/>
          <w:i w:val="1"/>
          <w:iCs w:val="1"/>
          <w:color w:val="auto"/>
        </w:rPr>
        <w:t>Presto Voice</w:t>
      </w:r>
      <w:r>
        <w:rPr>
          <w:rFonts w:ascii="Arial" w:cs="Arial" w:eastAsia="Arial" w:hAnsi="Arial"/>
          <w:sz w:val="29"/>
          <w:szCs w:val="29"/>
          <w:color w:val="auto"/>
          <w:vertAlign w:val="superscript"/>
        </w:rPr>
        <w:t>TM</w:t>
      </w:r>
      <w:r>
        <w:rPr>
          <w:rFonts w:ascii="Arial" w:cs="Arial" w:eastAsia="Arial" w:hAnsi="Arial"/>
          <w:sz w:val="18"/>
          <w:szCs w:val="18"/>
          <w:color w:val="auto"/>
        </w:rPr>
        <w:t xml:space="preserve"> to automate participating drive-thrus across the United States. CKE joins Checkers and Del Taco as leading customers of </w:t>
      </w:r>
      <w:r>
        <w:rPr>
          <w:rFonts w:ascii="Arial" w:cs="Arial" w:eastAsia="Arial" w:hAnsi="Arial"/>
          <w:sz w:val="18"/>
          <w:szCs w:val="18"/>
          <w:i w:val="1"/>
          <w:iCs w:val="1"/>
          <w:color w:val="auto"/>
        </w:rPr>
        <w:t>Presto Voice</w:t>
      </w:r>
      <w:r>
        <w:rPr>
          <w:rFonts w:ascii="Arial" w:cs="Arial" w:eastAsia="Arial" w:hAnsi="Arial"/>
          <w:sz w:val="18"/>
          <w:szCs w:val="18"/>
          <w:color w:val="auto"/>
        </w:rPr>
        <w:t xml:space="preserve">™. </w:t>
      </w:r>
      <w:r>
        <w:rPr>
          <w:rFonts w:ascii="Arial" w:cs="Arial" w:eastAsia="Arial" w:hAnsi="Arial"/>
          <w:sz w:val="18"/>
          <w:szCs w:val="18"/>
          <w:i w:val="1"/>
          <w:iCs w:val="1"/>
          <w:color w:val="auto"/>
        </w:rPr>
        <w:t>Presto Voice</w:t>
      </w:r>
      <w:r>
        <w:rPr>
          <w:rFonts w:ascii="Arial" w:cs="Arial" w:eastAsia="Arial" w:hAnsi="Arial"/>
          <w:sz w:val="18"/>
          <w:szCs w:val="18"/>
          <w:color w:val="auto"/>
        </w:rPr>
        <w:t>™ uses advanced AI techniques, including large language models (LLM), to accurately take orders from customers in a conversational manner, leading to labor savings and higher revenue for restaurant customers.</w:t>
      </w:r>
    </w:p>
    <w:p>
      <w:pPr>
        <w:spacing w:after="0" w:line="20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securities sold in this PIPE are being offered in a transaction not involving a public offering and have not been registered under the Securities Act of 1933, as amended, and may not be offered or sold in the United States except pursuant to an effective registration statement or an applicable exemption from the registration requirements. Concurrently with the execution of the securities purchase agreement, Presto and the investors entered into a registration rights agreement pursuant to which the Company has agreed to file a registration statement with the Securities and Exchange Commission registering the resale of the securities sold in the PIPE.</w:t>
      </w:r>
    </w:p>
    <w:p>
      <w:pPr>
        <w:spacing w:after="0" w:line="18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This press release shall not constitute an offer to sell or a solicitation of an offer to buy these securities, nor shall there be any sale of these securities in any state or other jurisdiction in which such offer, solicitation or sale would be unlawful prior to the registration or qualification under the securities laws of any such state or other jurisdiction.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Presto Automation Inc.</w:t>
      </w:r>
    </w:p>
    <w:p>
      <w:pPr>
        <w:spacing w:after="0" w:line="227" w:lineRule="exact"/>
        <w:rPr>
          <w:sz w:val="20"/>
          <w:szCs w:val="20"/>
          <w:color w:val="auto"/>
        </w:rPr>
      </w:pPr>
    </w:p>
    <w:p>
      <w:pPr>
        <w:jc w:val="both"/>
        <w:spacing w:after="0" w:line="244" w:lineRule="auto"/>
        <w:rPr>
          <w:sz w:val="20"/>
          <w:szCs w:val="20"/>
          <w:color w:val="auto"/>
        </w:rPr>
      </w:pPr>
      <w:r>
        <w:rPr>
          <w:rFonts w:ascii="Arial" w:cs="Arial" w:eastAsia="Arial" w:hAnsi="Arial"/>
          <w:sz w:val="17"/>
          <w:szCs w:val="17"/>
          <w:color w:val="auto"/>
        </w:rPr>
        <w:t xml:space="preserve">Presto (NASDAQ: PRST) provides enterprise-grade AI solutions to some of the nation’s largest hospitality brands. </w:t>
      </w:r>
      <w:r>
        <w:rPr>
          <w:rFonts w:ascii="Arial" w:cs="Arial" w:eastAsia="Arial" w:hAnsi="Arial"/>
          <w:sz w:val="17"/>
          <w:szCs w:val="17"/>
          <w:i w:val="1"/>
          <w:iCs w:val="1"/>
          <w:color w:val="auto"/>
        </w:rPr>
        <w:t>Presto Voice</w:t>
      </w:r>
      <w:r>
        <w:rPr>
          <w:rFonts w:ascii="Arial" w:cs="Arial" w:eastAsia="Arial" w:hAnsi="Arial"/>
          <w:sz w:val="28"/>
          <w:szCs w:val="28"/>
          <w:i w:val="1"/>
          <w:iCs w:val="1"/>
          <w:color w:val="auto"/>
          <w:vertAlign w:val="superscript"/>
        </w:rPr>
        <w:t>TM</w:t>
      </w:r>
      <w:r>
        <w:rPr>
          <w:rFonts w:ascii="Arial" w:cs="Arial" w:eastAsia="Arial" w:hAnsi="Arial"/>
          <w:sz w:val="17"/>
          <w:szCs w:val="17"/>
          <w:color w:val="auto"/>
        </w:rPr>
        <w:t>, its industry-leading automation and voice AI technology, improves order accuracy, reduces labor costs, and increases revenue for superior drive-thru and dine-in experiences. With over $18 billion in payments processed, Presto is one of the largest labor automation technology providers in the industry. Presto is headquartered in Silicon Valley and counts among its customers several of the top 20 restaurant chains in the United States.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 Looking Statements</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This press release contains forward-looking statements within the meaning of Section 27A of the Securities Act of 1933, as amended (the “Securities Act”), and Section 21E of the Securities Exchange Act of 1934, as amended (the “Exchange Act”). Statements that refer to projections, forecasts or other characterizations of future events or circumstances, including any underlying assumptions, are forward-looking statements. Forward-looking statements are typically identified by words such as “plan,” “believe,” “expect,” “anticipate,” “intend,” “outlook,” “estimate,” “forecast,” “project,” “continue,” “could,” “may,” “might,” “possible,” “potential,” “predict,” “should,” “would” and other similar words and expressions, but the absence of these words does not mean that a statement is not forward-looking.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422910</wp:posOffset>
            </wp:positionV>
            <wp:extent cx="7132320" cy="1714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262" w:name="page263"/>
    <w:bookmarkEnd w:id="262"/>
    <w:p>
      <w:pPr>
        <w:jc w:val="both"/>
        <w:spacing w:after="0" w:line="284" w:lineRule="auto"/>
        <w:rPr>
          <w:sz w:val="20"/>
          <w:szCs w:val="20"/>
          <w:color w:val="auto"/>
        </w:rPr>
      </w:pPr>
      <w:r>
        <w:rPr>
          <w:rFonts w:ascii="Arial" w:cs="Arial" w:eastAsia="Arial" w:hAnsi="Arial"/>
          <w:sz w:val="16"/>
          <w:szCs w:val="16"/>
          <w:color w:val="auto"/>
        </w:rPr>
        <w:t xml:space="preserve">The forward-looking statements are based on management’s current expectations and assumptions about future events and are based on currently available information as to the outcome and timing of future events. The forward-looking statements speak only as of the date of this press release or as of the date they are made. Except as otherwise required by applicable law, Presto disclaims any duty to update any forward-looking statements, all of which are expressly qualified by the statements in this section, to reflect events or circumstances after the date of this press release. Presto cautions you that these forward-looking statements are subject to numerous risks and uncertainties, most of which are difficult to predict and many of which are beyond the control of Presto. In addition, Presto cautions you that the forward-looking statements contained in this press release are subject to the following risks and uncertainties: our ability to manage our growth effectively, to sustain our recent revenue growth or attract new customers; the limited operating history with our new Vision and Voice products in a new and developing market; our ability to achieve revenue growth while our expenses increase; continued adverse impacts from COVID-19 (including as a result of global supply chain shortages); the loss of any of our three largest customers or a reduction in their business with us; our ability to improve and enhance the functionality, performance, reliability, design, security, or scalability of our platform to respond to customers’ evolving needs; our ability to protect the security of our customers’ information; changing privacy laws, regulations and standards, and our ability to comply with contractual obligations and laws related to data privacy and security; unfavorable conditions in the restaurant industry or the global economy, including with respect to food, labor, and occupancy costs; the availability of capital or financing on acceptable terms, if at all; financial covenants and other restrictions on our actions contained in our financing agreements that may limit our operational flexibility; the length and unpredictability of our sales cycles and the amount of investments required in sales efforts; material weaknesses in our internal control over financial reporting and, our ability to remediate these deficiencies; our ability to continue as a going concern; our ability to receive additional financing in a timely manner; shortages, price increases, changes, delays or discontinuations of hardware; our ability to maintain relationships with our payment processors; our reliance on computer hardware, licensed software and services rendered by third parties; U.S. laws and regulations (including with respect to payment transaction processing), many of which are unsettled and still developing, and our or our customers’ ability to comply with such laws and regulations; significant changes in U.S. and international trade policies that restrict imports or increase tariffs; any requirements to collect additional sales taxes or be subject to other tax liabilities that may increase the costs to our customers; our ability to adequately protect our intellectual property rights; claims by third parties of intellectual property infringement; our use of open-source software in our platform; and other economic, business, competitive and/or regulatory factors affecting Presto’s </w:t>
      </w:r>
      <w:r>
        <w:rPr>
          <w:rFonts w:ascii="Arial" w:cs="Arial" w:eastAsia="Arial" w:hAnsi="Arial"/>
          <w:sz w:val="16"/>
          <w:szCs w:val="16"/>
          <w:color w:val="auto"/>
          <w:highlight w:val="white"/>
        </w:rPr>
        <w:t>business generally as set forth in our filings with the Securities and Exchange Commission.</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Contact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Investors: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Adam Rogers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VP Investor Relations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investor@presto.com</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Media: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Justin Foster &amp; Brian Ruby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media@presto.com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1714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9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B1"/>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157F6BC"/>
    <w:multiLevelType w:val="hybridMultilevel"/>
    <w:lvl w:ilvl="0">
      <w:lvlJc w:val="left"/>
      <w:lvlText w:val="☐"/>
      <w:numFmt w:val="bullet"/>
      <w:start w:val="1"/>
    </w:lvl>
  </w:abstractNum>
  <w:abstractNum w:abstractNumId="1">
    <w:nsid w:val="704E1DD5"/>
    <w:multiLevelType w:val="hybridMultilevel"/>
    <w:lvl w:ilvl="0">
      <w:lvlJc w:val="left"/>
      <w:lvlText w:val="*"/>
      <w:numFmt w:val="bullet"/>
      <w:start w:val="1"/>
    </w:lvl>
  </w:abstractNum>
  <w:abstractNum w:abstractNumId="2">
    <w:nsid w:val="57D2F10E"/>
    <w:multiLevelType w:val="hybridMultilevel"/>
    <w:lvl w:ilvl="0">
      <w:lvlJc w:val="left"/>
      <w:lvlText w:val="(%1)"/>
      <w:numFmt w:val="lowerLetter"/>
      <w:start w:val="2"/>
    </w:lvl>
  </w:abstractNum>
  <w:abstractNum w:abstractNumId="3">
    <w:nsid w:val="BFFAE18"/>
    <w:multiLevelType w:val="hybridMultilevel"/>
    <w:lvl w:ilvl="0">
      <w:lvlJc w:val="left"/>
      <w:lvlText w:val="(%1)"/>
      <w:numFmt w:val="lowerLetter"/>
      <w:start w:val="4"/>
    </w:lvl>
  </w:abstractNum>
  <w:abstractNum w:abstractNumId="4">
    <w:nsid w:val="E3E47A8"/>
    <w:multiLevelType w:val="hybridMultilevel"/>
    <w:lvl w:ilvl="0">
      <w:lvlJc w:val="left"/>
      <w:lvlText w:val="(%1)"/>
      <w:numFmt w:val="lowerLetter"/>
      <w:start w:val="1"/>
    </w:lvl>
    <w:lvl w:ilvl="1">
      <w:lvlJc w:val="left"/>
      <w:lvlText w:val="(%2)"/>
      <w:numFmt w:val="lowerLetter"/>
      <w:start w:val="9"/>
    </w:lvl>
  </w:abstractNum>
  <w:abstractNum w:abstractNumId="5">
    <w:nsid w:val="2E48F044"/>
    <w:multiLevelType w:val="hybridMultilevel"/>
    <w:lvl w:ilvl="0">
      <w:lvlJc w:val="left"/>
      <w:lvlText w:val="%1"/>
      <w:numFmt w:val="lowerLetter"/>
      <w:start w:val="1"/>
    </w:lvl>
    <w:lvl w:ilvl="1">
      <w:lvlJc w:val="left"/>
      <w:lvlText w:val="(%2)"/>
      <w:numFmt w:val="lowerRoman"/>
      <w:start w:val="2"/>
    </w:lvl>
  </w:abstractNum>
  <w:abstractNum w:abstractNumId="6">
    <w:nsid w:val="49D0FEAC"/>
    <w:multiLevelType w:val="hybridMultilevel"/>
    <w:lvl w:ilvl="0">
      <w:lvlJc w:val="left"/>
      <w:lvlText w:val="(%1)"/>
      <w:numFmt w:val="lowerLetter"/>
      <w:start w:val="2"/>
    </w:lvl>
    <w:lvl w:ilvl="1">
      <w:lvlJc w:val="left"/>
      <w:lvlText w:val="(%2)"/>
      <w:numFmt w:val="lowerRoman"/>
      <w:start w:val="1"/>
    </w:lvl>
  </w:abstractNum>
  <w:abstractNum w:abstractNumId="7">
    <w:nsid w:val="4BEE5A5B"/>
    <w:multiLevelType w:val="hybridMultilevel"/>
    <w:lvl w:ilvl="0">
      <w:lvlJc w:val="left"/>
      <w:lvlText w:val="(%1)"/>
      <w:numFmt w:val="lowerLetter"/>
      <w:start w:val="1"/>
    </w:lvl>
    <w:lvl w:ilvl="1">
      <w:lvlJc w:val="left"/>
      <w:lvlText w:val="(%2)"/>
      <w:numFmt w:val="lowerLetter"/>
      <w:start w:val="9"/>
    </w:lvl>
  </w:abstractNum>
  <w:abstractNum w:abstractNumId="8">
    <w:nsid w:val="5551B9F3"/>
    <w:multiLevelType w:val="hybridMultilevel"/>
    <w:lvl w:ilvl="0">
      <w:lvlJc w:val="left"/>
      <w:lvlText w:val="%1"/>
      <w:numFmt w:val="lowerLetter"/>
      <w:start w:val="1"/>
    </w:lvl>
    <w:lvl w:ilvl="1">
      <w:lvlJc w:val="left"/>
      <w:lvlText w:val="(%2)"/>
      <w:numFmt w:val="lowerRoman"/>
      <w:start w:val="2"/>
    </w:lvl>
  </w:abstractNum>
  <w:abstractNum w:abstractNumId="9">
    <w:nsid w:val="24F6AB8E"/>
    <w:multiLevelType w:val="hybridMultilevel"/>
    <w:lvl w:ilvl="0">
      <w:lvlJc w:val="left"/>
      <w:lvlText w:val="(%1)"/>
      <w:numFmt w:val="lowerLetter"/>
      <w:start w:val="2"/>
    </w:lvl>
    <w:lvl w:ilvl="1">
      <w:lvlJc w:val="left"/>
      <w:lvlText w:val="%2"/>
      <w:numFmt w:val="lowerRoman"/>
      <w:start w:val="1"/>
    </w:lvl>
  </w:abstractNum>
  <w:abstractNum w:abstractNumId="10">
    <w:nsid w:val="634C574C"/>
    <w:multiLevelType w:val="hybridMultilevel"/>
    <w:lvl w:ilvl="0">
      <w:lvlJc w:val="left"/>
      <w:lvlText w:val="(%1)"/>
      <w:numFmt w:val="lowerRoman"/>
      <w:start w:val="1"/>
    </w:lvl>
  </w:abstractNum>
  <w:abstractNum w:abstractNumId="11">
    <w:nsid w:val="24E99DD7"/>
    <w:multiLevelType w:val="hybridMultilevel"/>
    <w:lvl w:ilvl="0">
      <w:lvlJc w:val="left"/>
      <w:lvlText w:val="(%1)"/>
      <w:numFmt w:val="lowerLetter"/>
      <w:start w:val="1"/>
    </w:lvl>
  </w:abstractNum>
  <w:abstractNum w:abstractNumId="12">
    <w:nsid w:val="2A31B62D"/>
    <w:multiLevelType w:val="hybridMultilevel"/>
    <w:lvl w:ilvl="0">
      <w:lvlJc w:val="left"/>
      <w:lvlText w:val="%1"/>
      <w:numFmt w:val="lowerLetter"/>
      <w:start w:val="1"/>
    </w:lvl>
    <w:lvl w:ilvl="1">
      <w:lvlJc w:val="left"/>
      <w:lvlText w:val="(%2)"/>
      <w:numFmt w:val="lowerLetter"/>
      <w:start w:val="4"/>
    </w:lvl>
  </w:abstractNum>
  <w:abstractNum w:abstractNumId="13">
    <w:nsid w:val="1849C29B"/>
    <w:multiLevelType w:val="hybridMultilevel"/>
    <w:lvl w:ilvl="0">
      <w:lvlJc w:val="left"/>
      <w:lvlText w:val="(%1)"/>
      <w:numFmt w:val="lowerLetter"/>
      <w:start w:val="35"/>
    </w:lvl>
    <w:lvl w:ilvl="1">
      <w:lvlJc w:val="left"/>
      <w:lvlText w:val="(%2)"/>
      <w:numFmt w:val="lowerLetter"/>
      <w:start w:val="5"/>
    </w:lvl>
  </w:abstractNum>
  <w:abstractNum w:abstractNumId="14">
    <w:nsid w:val="7DFF9D09"/>
    <w:multiLevelType w:val="hybridMultilevel"/>
    <w:lvl w:ilvl="0">
      <w:lvlJc w:val="left"/>
      <w:lvlText w:val="(%1)"/>
      <w:numFmt w:val="lowerLetter"/>
      <w:start w:val="7"/>
    </w:lvl>
  </w:abstractNum>
  <w:abstractNum w:abstractNumId="15">
    <w:nsid w:val="754342"/>
    <w:multiLevelType w:val="hybridMultilevel"/>
    <w:lvl w:ilvl="0">
      <w:lvlJc w:val="left"/>
      <w:lvlText w:val="(%1)"/>
      <w:numFmt w:val="lowerLetter"/>
      <w:start w:val="9"/>
    </w:lvl>
  </w:abstractNum>
  <w:abstractNum w:abstractNumId="16">
    <w:nsid w:val="69E7F3E5"/>
    <w:multiLevelType w:val="hybridMultilevel"/>
    <w:lvl w:ilvl="0">
      <w:lvlJc w:val="left"/>
      <w:lvlText w:val="(%1)"/>
      <w:numFmt w:val="lowerLetter"/>
      <w:start w:val="11"/>
    </w:lvl>
  </w:abstractNum>
  <w:abstractNum w:abstractNumId="17">
    <w:nsid w:val="2A6DE806"/>
    <w:multiLevelType w:val="hybridMultilevel"/>
    <w:lvl w:ilvl="0">
      <w:lvlJc w:val="left"/>
      <w:lvlText w:val="(%1)"/>
      <w:numFmt w:val="lowerLetter"/>
      <w:start w:val="15"/>
    </w:lvl>
  </w:abstractNum>
  <w:abstractNum w:abstractNumId="18">
    <w:nsid w:val="1816F8C4"/>
    <w:multiLevelType w:val="hybridMultilevel"/>
    <w:lvl w:ilvl="0">
      <w:lvlJc w:val="left"/>
      <w:lvlText w:val="(%1)"/>
      <w:numFmt w:val="lowerLetter"/>
      <w:start w:val="19"/>
    </w:lvl>
  </w:abstractNum>
  <w:abstractNum w:abstractNumId="19">
    <w:nsid w:val="37DF2233"/>
    <w:multiLevelType w:val="hybridMultilevel"/>
    <w:lvl w:ilvl="0">
      <w:lvlJc w:val="left"/>
      <w:lvlText w:val="(%1)"/>
      <w:numFmt w:val="lowerLetter"/>
      <w:start w:val="23"/>
    </w:lvl>
  </w:abstractNum>
  <w:abstractNum w:abstractNumId="20">
    <w:nsid w:val="7AB49DAF"/>
    <w:multiLevelType w:val="hybridMultilevel"/>
    <w:lvl w:ilvl="0">
      <w:lvlJc w:val="left"/>
      <w:lvlText w:val="%1"/>
      <w:numFmt w:val="lowerLetter"/>
      <w:start w:val="1"/>
    </w:lvl>
    <w:lvl w:ilvl="1">
      <w:lvlJc w:val="left"/>
      <w:lvlText w:val="(%2)"/>
      <w:numFmt w:val="lowerLetter"/>
      <w:start w:val="27"/>
    </w:lvl>
  </w:abstractNum>
  <w:abstractNum w:abstractNumId="21">
    <w:nsid w:val="759F82CD"/>
    <w:multiLevelType w:val="hybridMultilevel"/>
    <w:lvl w:ilvl="0">
      <w:lvlJc w:val="left"/>
      <w:lvlText w:val="(%1)"/>
      <w:numFmt w:val="lowerLetter"/>
      <w:start w:val="61"/>
    </w:lvl>
    <w:lvl w:ilvl="1">
      <w:lvlJc w:val="left"/>
      <w:lvlText w:val="%2"/>
      <w:numFmt w:val="lowerLetter"/>
      <w:start w:val="1"/>
    </w:lvl>
  </w:abstractNum>
  <w:abstractNum w:abstractNumId="22">
    <w:nsid w:val="61E74EA3"/>
    <w:multiLevelType w:val="hybridMultilevel"/>
    <w:lvl w:ilvl="0">
      <w:lvlJc w:val="left"/>
      <w:lvlText w:val="(%1)"/>
      <w:numFmt w:val="lowerLetter"/>
      <w:start w:val="30"/>
    </w:lvl>
  </w:abstractNum>
  <w:abstractNum w:abstractNumId="23">
    <w:nsid w:val="597B4D84"/>
    <w:multiLevelType w:val="hybridMultilevel"/>
    <w:lvl w:ilvl="0">
      <w:lvlJc w:val="left"/>
      <w:lvlText w:val="%1"/>
      <w:numFmt w:val="lowerRoman"/>
      <w:start w:val="1"/>
    </w:lvl>
    <w:lvl w:ilvl="1">
      <w:lvlJc w:val="left"/>
      <w:lvlText w:val="(%2)"/>
      <w:numFmt w:val="lowerRoman"/>
      <w:start w:val="2"/>
    </w:lvl>
  </w:abstractNum>
  <w:abstractNum w:abstractNumId="24">
    <w:nsid w:val="F819E7F"/>
    <w:multiLevelType w:val="hybridMultilevel"/>
    <w:lvl w:ilvl="0">
      <w:lvlJc w:val="left"/>
      <w:lvlText w:val="(%1)"/>
      <w:numFmt w:val="lowerRoman"/>
      <w:start w:val="3"/>
    </w:lvl>
    <w:lvl w:ilvl="1">
      <w:lvlJc w:val="left"/>
      <w:lvlText w:val="%2"/>
      <w:numFmt w:val="lowerRoman"/>
      <w:start w:val="1"/>
    </w:lvl>
  </w:abstractNum>
  <w:abstractNum w:abstractNumId="25">
    <w:nsid w:val="57C7D42D"/>
    <w:multiLevelType w:val="hybridMultilevel"/>
    <w:lvl w:ilvl="0">
      <w:lvlJc w:val="left"/>
      <w:lvlText w:val="(%1)"/>
      <w:numFmt w:val="lowerLetter"/>
      <w:start w:val="36"/>
    </w:lvl>
  </w:abstractNum>
  <w:abstractNum w:abstractNumId="26">
    <w:nsid w:val="312167AD"/>
    <w:multiLevelType w:val="hybridMultilevel"/>
    <w:lvl w:ilvl="0">
      <w:lvlJc w:val="left"/>
      <w:lvlText w:val="(%1)"/>
      <w:numFmt w:val="lowerLetter"/>
      <w:start w:val="39"/>
    </w:lvl>
  </w:abstractNum>
  <w:abstractNum w:abstractNumId="27">
    <w:nsid w:val="631B64D4"/>
    <w:multiLevelType w:val="hybridMultilevel"/>
    <w:lvl w:ilvl="0">
      <w:lvlJc w:val="left"/>
      <w:lvlText w:val="(%1)"/>
      <w:numFmt w:val="lowerLetter"/>
      <w:start w:val="1"/>
    </w:lvl>
  </w:abstractNum>
  <w:abstractNum w:abstractNumId="28">
    <w:nsid w:val="78B5E776"/>
    <w:multiLevelType w:val="hybridMultilevel"/>
    <w:lvl w:ilvl="0">
      <w:lvlJc w:val="left"/>
      <w:lvlText w:val="(%1)"/>
      <w:numFmt w:val="lowerLetter"/>
      <w:start w:val="2"/>
    </w:lvl>
  </w:abstractNum>
  <w:abstractNum w:abstractNumId="29">
    <w:nsid w:val="75486E47"/>
    <w:multiLevelType w:val="hybridMultilevel"/>
    <w:lvl w:ilvl="0">
      <w:lvlJc w:val="left"/>
      <w:lvlText w:val="(%1)"/>
      <w:numFmt w:val="lowerLetter"/>
      <w:start w:val="7"/>
    </w:lvl>
  </w:abstractNum>
  <w:abstractNum w:abstractNumId="30">
    <w:nsid w:val="6E534CDE"/>
    <w:multiLevelType w:val="hybridMultilevel"/>
    <w:lvl w:ilvl="0">
      <w:lvlJc w:val="left"/>
      <w:lvlText w:val="%1"/>
      <w:numFmt w:val="lowerLetter"/>
      <w:start w:val="1"/>
    </w:lvl>
    <w:lvl w:ilvl="1">
      <w:lvlJc w:val="left"/>
      <w:lvlText w:val="(%2)"/>
      <w:numFmt w:val="lowerLetter"/>
      <w:start w:val="1"/>
    </w:lvl>
  </w:abstractNum>
  <w:abstractNum w:abstractNumId="31">
    <w:nsid w:val="1A0DDE32"/>
    <w:multiLevelType w:val="hybridMultilevel"/>
    <w:lvl w:ilvl="0">
      <w:lvlJc w:val="left"/>
      <w:lvlText w:val="(%1)"/>
      <w:numFmt w:val="lowerLetter"/>
      <w:start w:val="35"/>
    </w:lvl>
    <w:lvl w:ilvl="1">
      <w:lvlJc w:val="left"/>
      <w:lvlText w:val="%2"/>
      <w:numFmt w:val="lowerLetter"/>
      <w:start w:val="1"/>
    </w:lvl>
  </w:abstractNum>
  <w:abstractNum w:abstractNumId="32">
    <w:nsid w:val="65968C1C"/>
    <w:multiLevelType w:val="hybridMultilevel"/>
    <w:lvl w:ilvl="0">
      <w:lvlJc w:val="left"/>
      <w:lvlText w:val="(%1)"/>
      <w:numFmt w:val="lowerLetter"/>
      <w:start w:val="3"/>
    </w:lvl>
  </w:abstractNum>
  <w:abstractNum w:abstractNumId="33">
    <w:nsid w:val="46263DEC"/>
    <w:multiLevelType w:val="hybridMultilevel"/>
    <w:lvl w:ilvl="0">
      <w:lvlJc w:val="left"/>
      <w:lvlText w:val="(%1)"/>
      <w:numFmt w:val="lowerLetter"/>
      <w:start w:val="5"/>
    </w:lvl>
  </w:abstractNum>
  <w:abstractNum w:abstractNumId="34">
    <w:nsid w:val="260D8C4A"/>
    <w:multiLevelType w:val="hybridMultilevel"/>
    <w:lvl w:ilvl="0">
      <w:lvlJc w:val="left"/>
      <w:lvlText w:val="(%1)"/>
      <w:numFmt w:val="lowerLetter"/>
      <w:start w:val="1"/>
    </w:lvl>
  </w:abstractNum>
  <w:abstractNum w:abstractNumId="35">
    <w:nsid w:val="73D4D3C4"/>
    <w:multiLevelType w:val="hybridMultilevel"/>
    <w:lvl w:ilvl="0">
      <w:lvlJc w:val="left"/>
      <w:lvlText w:val="%1)"/>
      <w:numFmt w:val="lowerRoman"/>
      <w:start w:val="1"/>
    </w:lvl>
  </w:abstractNum>
  <w:abstractNum w:abstractNumId="36">
    <w:nsid w:val="746F2E30"/>
    <w:multiLevelType w:val="hybridMultilevel"/>
    <w:lvl w:ilvl="0">
      <w:lvlJc w:val="left"/>
      <w:lvlText w:val="%1."/>
      <w:numFmt w:val="decimal"/>
      <w:start w:val="1"/>
    </w:lvl>
  </w:abstractNum>
  <w:abstractNum w:abstractNumId="37">
    <w:nsid w:val="6FDE8AF6"/>
    <w:multiLevelType w:val="hybridMultilevel"/>
    <w:lvl w:ilvl="0">
      <w:lvlJc w:val="left"/>
      <w:lvlText w:val="%1."/>
      <w:numFmt w:val="decimal"/>
      <w:start w:val="2"/>
    </w:lvl>
    <w:lvl w:ilvl="1">
      <w:lvlJc w:val="left"/>
      <w:lvlText w:val="(%2)"/>
      <w:numFmt w:val="lowerLetter"/>
      <w:start w:val="1"/>
    </w:lvl>
  </w:abstractNum>
  <w:abstractNum w:abstractNumId="38">
    <w:nsid w:val="3FC32E20"/>
    <w:multiLevelType w:val="hybridMultilevel"/>
    <w:lvl w:ilvl="0">
      <w:lvlJc w:val="left"/>
      <w:lvlText w:val="%1"/>
      <w:numFmt w:val="lowerLetter"/>
      <w:start w:val="1"/>
    </w:lvl>
    <w:lvl w:ilvl="1">
      <w:lvlJc w:val="left"/>
      <w:lvlText w:val="(%2)"/>
      <w:numFmt w:val="lowerLetter"/>
      <w:start w:val="2"/>
    </w:lvl>
  </w:abstractNum>
  <w:abstractNum w:abstractNumId="39">
    <w:nsid w:val="49C0E823"/>
    <w:multiLevelType w:val="hybridMultilevel"/>
    <w:lvl w:ilvl="0">
      <w:lvlJc w:val="left"/>
      <w:lvlText w:val="%1."/>
      <w:numFmt w:val="lowerLetter"/>
      <w:start w:val="1"/>
    </w:lvl>
    <w:lvl w:ilvl="1">
      <w:lvlJc w:val="left"/>
      <w:lvlText w:val="%2"/>
      <w:numFmt w:val="lowerLetter"/>
      <w:start w:val="1"/>
    </w:lvl>
  </w:abstractNum>
  <w:abstractNum w:abstractNumId="40">
    <w:nsid w:val="14D53685"/>
    <w:multiLevelType w:val="hybridMultilevel"/>
    <w:lvl w:ilvl="0">
      <w:lvlJc w:val="left"/>
      <w:lvlText w:val="%1"/>
      <w:numFmt w:val="lowerRoman"/>
      <w:start w:val="1"/>
    </w:lvl>
    <w:lvl w:ilvl="1">
      <w:lvlJc w:val="left"/>
      <w:lvlText w:val="(%2)"/>
      <w:numFmt w:val="lowerLetter"/>
      <w:start w:val="4"/>
    </w:lvl>
  </w:abstractNum>
  <w:abstractNum w:abstractNumId="41">
    <w:nsid w:val="230F856C"/>
    <w:multiLevelType w:val="hybridMultilevel"/>
    <w:lvl w:ilvl="0">
      <w:lvlJc w:val="left"/>
      <w:lvlText w:val="(%1)"/>
      <w:numFmt w:val="lowerRoman"/>
      <w:start w:val="4"/>
    </w:lvl>
    <w:lvl w:ilvl="1">
      <w:lvlJc w:val="left"/>
      <w:lvlText w:val="(%2)"/>
      <w:numFmt w:val="lowerLetter"/>
      <w:start w:val="5"/>
    </w:lvl>
  </w:abstractNum>
  <w:abstractNum w:abstractNumId="42">
    <w:nsid w:val="6EAA85FB"/>
    <w:multiLevelType w:val="hybridMultilevel"/>
    <w:lvl w:ilvl="0">
      <w:lvlJc w:val="left"/>
      <w:lvlText w:val="%1"/>
      <w:numFmt w:val="decimal"/>
      <w:start w:val="1"/>
    </w:lvl>
    <w:lvl w:ilvl="1">
      <w:lvlJc w:val="left"/>
      <w:lvlText w:val="(%2)"/>
      <w:numFmt w:val="lowerLetter"/>
      <w:start w:val="6"/>
    </w:lvl>
  </w:abstractNum>
  <w:abstractNum w:abstractNumId="43">
    <w:nsid w:val="3F06ECB2"/>
    <w:multiLevelType w:val="hybridMultilevel"/>
    <w:lvl w:ilvl="0">
      <w:lvlJc w:val="left"/>
      <w:lvlText w:val="%1."/>
      <w:numFmt w:val="decimal"/>
      <w:start w:val="3"/>
    </w:lvl>
    <w:lvl w:ilvl="1">
      <w:lvlJc w:val="left"/>
      <w:lvlText w:val="%2"/>
      <w:numFmt w:val="lowerLetter"/>
      <w:start w:val="1"/>
    </w:lvl>
  </w:abstractNum>
  <w:abstractNum w:abstractNumId="44">
    <w:nsid w:val="3B594807"/>
    <w:multiLevelType w:val="hybridMultilevel"/>
    <w:lvl w:ilvl="0">
      <w:lvlJc w:val="left"/>
      <w:lvlText w:val="(%1)"/>
      <w:numFmt w:val="lowerLetter"/>
      <w:start w:val="1"/>
    </w:lvl>
  </w:abstractNum>
  <w:abstractNum w:abstractNumId="45">
    <w:nsid w:val="6CAA2304"/>
    <w:multiLevelType w:val="hybridMultilevel"/>
    <w:lvl w:ilvl="0">
      <w:lvlJc w:val="left"/>
      <w:lvlText w:val="%1"/>
      <w:numFmt w:val="lowerLetter"/>
      <w:start w:val="1"/>
    </w:lvl>
    <w:lvl w:ilvl="1">
      <w:lvlJc w:val="left"/>
      <w:lvlText w:val="(%2)"/>
      <w:numFmt w:val="lowerLetter"/>
      <w:start w:val="2"/>
    </w:lvl>
  </w:abstractNum>
  <w:abstractNum w:abstractNumId="46">
    <w:nsid w:val="3F7C2FF4"/>
    <w:multiLevelType w:val="hybridMultilevel"/>
    <w:lvl w:ilvl="0">
      <w:lvlJc w:val="left"/>
      <w:lvlText w:val="(%1)"/>
      <w:numFmt w:val="lowerLetter"/>
      <w:start w:val="61"/>
    </w:lvl>
    <w:lvl w:ilvl="1">
      <w:lvlJc w:val="left"/>
      <w:lvlText w:val="%2"/>
      <w:numFmt w:val="lowerLetter"/>
      <w:start w:val="1"/>
    </w:lvl>
  </w:abstractNum>
  <w:abstractNum w:abstractNumId="47">
    <w:nsid w:val="25413BEC"/>
    <w:multiLevelType w:val="hybridMultilevel"/>
    <w:lvl w:ilvl="0">
      <w:lvlJc w:val="left"/>
      <w:lvlText w:val="(%1)"/>
      <w:numFmt w:val="lowerLetter"/>
      <w:start w:val="3"/>
    </w:lvl>
  </w:abstractNum>
  <w:abstractNum w:abstractNumId="48">
    <w:nsid w:val="17180B0B"/>
    <w:multiLevelType w:val="hybridMultilevel"/>
    <w:lvl w:ilvl="0">
      <w:lvlJc w:val="left"/>
      <w:lvlText w:val="%1"/>
      <w:numFmt w:val="decimal"/>
      <w:start w:val="1"/>
    </w:lvl>
    <w:lvl w:ilvl="1">
      <w:lvlJc w:val="left"/>
      <w:lvlText w:val="(%2)"/>
      <w:numFmt w:val="lowerLetter"/>
      <w:start w:val="6"/>
    </w:lvl>
  </w:abstractNum>
  <w:abstractNum w:abstractNumId="49">
    <w:nsid w:val="579328B9"/>
    <w:multiLevelType w:val="hybridMultilevel"/>
    <w:lvl w:ilvl="0">
      <w:lvlJc w:val="left"/>
      <w:lvlText w:val="(%1)"/>
      <w:numFmt w:val="decimal"/>
      <w:start w:val="45"/>
    </w:lvl>
    <w:lvl w:ilvl="1">
      <w:lvlJc w:val="left"/>
      <w:lvlText w:val="%2"/>
      <w:numFmt w:val="lowerLetter"/>
      <w:start w:val="1"/>
    </w:lvl>
  </w:abstractNum>
  <w:abstractNum w:abstractNumId="50">
    <w:nsid w:val="5D205E20"/>
    <w:multiLevelType w:val="hybridMultilevel"/>
    <w:lvl w:ilvl="0">
      <w:lvlJc w:val="left"/>
      <w:lvlText w:val="%1"/>
      <w:numFmt w:val="decimal"/>
      <w:start w:val="1"/>
    </w:lvl>
    <w:lvl w:ilvl="1">
      <w:lvlJc w:val="left"/>
      <w:lvlText w:val="(%2)"/>
      <w:numFmt w:val="lowerLetter"/>
      <w:start w:val="11"/>
    </w:lvl>
  </w:abstractNum>
  <w:abstractNum w:abstractNumId="51">
    <w:nsid w:val="11CCA8BA"/>
    <w:multiLevelType w:val="hybridMultilevel"/>
    <w:lvl w:ilvl="0">
      <w:lvlJc w:val="left"/>
      <w:lvlText w:val="%1."/>
      <w:numFmt w:val="decimal"/>
      <w:start w:val="4"/>
    </w:lvl>
    <w:lvl w:ilvl="1">
      <w:lvlJc w:val="left"/>
      <w:lvlText w:val="%2"/>
      <w:numFmt w:val="lowerLetter"/>
      <w:start w:val="1"/>
    </w:lvl>
  </w:abstractNum>
  <w:abstractNum w:abstractNumId="52">
    <w:nsid w:val="4D32AB86"/>
    <w:multiLevelType w:val="hybridMultilevel"/>
    <w:lvl w:ilvl="0">
      <w:lvlJc w:val="left"/>
      <w:lvlText w:val="%1."/>
      <w:numFmt w:val="decimal"/>
      <w:start w:val="5"/>
    </w:lvl>
    <w:lvl w:ilvl="1">
      <w:lvlJc w:val="left"/>
      <w:lvlText w:val="(%2)"/>
      <w:numFmt w:val="lowerLetter"/>
      <w:start w:val="1"/>
    </w:lvl>
  </w:abstractNum>
  <w:abstractNum w:abstractNumId="53">
    <w:nsid w:val="3F07ACC3"/>
    <w:multiLevelType w:val="hybridMultilevel"/>
    <w:lvl w:ilvl="0">
      <w:lvlJc w:val="left"/>
      <w:lvlText w:val="(%1)"/>
      <w:numFmt w:val="lowerLetter"/>
      <w:start w:val="3"/>
    </w:lvl>
  </w:abstractNum>
  <w:abstractNum w:abstractNumId="54">
    <w:nsid w:val="6B47F63E"/>
    <w:multiLevelType w:val="hybridMultilevel"/>
    <w:lvl w:ilvl="0">
      <w:lvlJc w:val="left"/>
      <w:lvlText w:val="(%1)"/>
      <w:numFmt w:val="lowerLetter"/>
      <w:start w:val="4"/>
    </w:lvl>
  </w:abstractNum>
  <w:abstractNum w:abstractNumId="55">
    <w:nsid w:val="5CB44A05"/>
    <w:multiLevelType w:val="hybridMultilevel"/>
    <w:lvl w:ilvl="0">
      <w:lvlJc w:val="left"/>
      <w:lvlText w:val="%1."/>
      <w:numFmt w:val="decimal"/>
      <w:start w:val="6"/>
    </w:lvl>
  </w:abstractNum>
  <w:abstractNum w:abstractNumId="56">
    <w:nsid w:val="16CF80F1"/>
    <w:multiLevelType w:val="hybridMultilevel"/>
    <w:lvl w:ilvl="0">
      <w:lvlJc w:val="left"/>
      <w:lvlText w:val="(%1)"/>
      <w:numFmt w:val="lowerLetter"/>
      <w:start w:val="1"/>
    </w:lvl>
  </w:abstractNum>
  <w:abstractNum w:abstractNumId="57">
    <w:nsid w:val="1C695DEC"/>
    <w:multiLevelType w:val="hybridMultilevel"/>
    <w:lvl w:ilvl="0">
      <w:lvlJc w:val="left"/>
      <w:lvlText w:val="%1"/>
      <w:numFmt w:val="decimal"/>
      <w:start w:val="1"/>
    </w:lvl>
    <w:lvl w:ilvl="1">
      <w:lvlJc w:val="left"/>
      <w:lvlText w:val="(%2)"/>
      <w:numFmt w:val="lowerLetter"/>
      <w:start w:val="2"/>
    </w:lvl>
  </w:abstractNum>
  <w:abstractNum w:abstractNumId="58">
    <w:nsid w:val="3FCFAED9"/>
    <w:multiLevelType w:val="hybridMultilevel"/>
    <w:lvl w:ilvl="0">
      <w:lvlJc w:val="left"/>
      <w:lvlText w:val="(%1)"/>
      <w:numFmt w:val="lowerLetter"/>
      <w:start w:val="5"/>
    </w:lvl>
  </w:abstractNum>
  <w:abstractNum w:abstractNumId="59">
    <w:nsid w:val="F856867"/>
    <w:multiLevelType w:val="hybridMultilevel"/>
    <w:lvl w:ilvl="0">
      <w:lvlJc w:val="left"/>
      <w:lvlText w:val="(%1)"/>
      <w:numFmt w:val="lowerLetter"/>
      <w:start w:val="12"/>
    </w:lvl>
  </w:abstractNum>
  <w:abstractNum w:abstractNumId="60">
    <w:nsid w:val="11B1CC33"/>
    <w:multiLevelType w:val="hybridMultilevel"/>
    <w:lvl w:ilvl="0">
      <w:lvlJc w:val="left"/>
      <w:lvlText w:val="●"/>
      <w:numFmt w:val="bullet"/>
      <w:start w:val="1"/>
    </w:lvl>
  </w:abstractNum>
  <w:abstractNum w:abstractNumId="61">
    <w:nsid w:val="2E22FBB7"/>
    <w:multiLevelType w:val="hybridMultilevel"/>
    <w:lvl w:ilvl="0">
      <w:lvlJc w:val="left"/>
      <w:lvlText w:val="%1."/>
      <w:numFmt w:val="decimal"/>
      <w:start w:val="1"/>
    </w:lvl>
    <w:lvl w:ilvl="1">
      <w:lvlJc w:val="left"/>
      <w:lvlText w:val="(%2)"/>
      <w:numFmt w:val="lowerLetter"/>
      <w:start w:val="1"/>
    </w:lvl>
  </w:abstractNum>
  <w:abstractNum w:abstractNumId="62">
    <w:nsid w:val="29934699"/>
    <w:multiLevelType w:val="hybridMultilevel"/>
    <w:lvl w:ilvl="0">
      <w:lvlJc w:val="left"/>
      <w:lvlText w:val="%1."/>
      <w:numFmt w:val="decimal"/>
      <w:start w:val="3"/>
    </w:lvl>
    <w:lvl w:ilvl="1">
      <w:lvlJc w:val="left"/>
      <w:lvlText w:val="(%2)"/>
      <w:numFmt w:val="lowerLetter"/>
      <w:start w:val="1"/>
    </w:lvl>
  </w:abstractNum>
  <w:abstractNum w:abstractNumId="63">
    <w:nsid w:val="77485850"/>
    <w:multiLevelType w:val="hybridMultilevel"/>
    <w:lvl w:ilvl="0">
      <w:lvlJc w:val="left"/>
      <w:lvlText w:val="(%1)"/>
      <w:numFmt w:val="lowerLetter"/>
      <w:start w:val="2"/>
    </w:lvl>
  </w:abstractNum>
  <w:abstractNum w:abstractNumId="64">
    <w:nsid w:val="744939A3"/>
    <w:multiLevelType w:val="hybridMultilevel"/>
    <w:lvl w:ilvl="0">
      <w:lvlJc w:val="left"/>
      <w:lvlText w:val="(%1)"/>
      <w:numFmt w:val="lowerLetter"/>
      <w:start w:val="3"/>
    </w:lvl>
  </w:abstractNum>
  <w:abstractNum w:abstractNumId="65">
    <w:nsid w:val="4FA0D2E3"/>
    <w:multiLevelType w:val="hybridMultilevel"/>
    <w:lvl w:ilvl="0">
      <w:lvlJc w:val="left"/>
      <w:lvlText w:val="(%1)"/>
      <w:numFmt w:val="lowerLetter"/>
      <w:start w:val="4"/>
    </w:lvl>
  </w:abstractNum>
  <w:abstractNum w:abstractNumId="66">
    <w:nsid w:val="6B1D2C14"/>
    <w:multiLevelType w:val="hybridMultilevel"/>
    <w:lvl w:ilvl="0">
      <w:lvlJc w:val="left"/>
      <w:lvlText w:val="(%1)"/>
      <w:numFmt w:val="lowerLetter"/>
      <w:start w:val="1"/>
    </w:lvl>
  </w:abstractNum>
  <w:abstractNum w:abstractNumId="67">
    <w:nsid w:val="68B867D3"/>
    <w:multiLevelType w:val="hybridMultilevel"/>
    <w:lvl w:ilvl="0">
      <w:lvlJc w:val="left"/>
      <w:lvlText w:val="%1."/>
      <w:numFmt w:val="decimal"/>
      <w:start w:val="1"/>
    </w:lvl>
  </w:abstractNum>
  <w:abstractNum w:abstractNumId="68">
    <w:nsid w:val="3F7F5DD9"/>
    <w:multiLevelType w:val="hybridMultilevel"/>
    <w:lvl w:ilvl="0">
      <w:lvlJc w:val="left"/>
      <w:lvlText w:val="(%1)"/>
      <w:numFmt w:val="lowerLetter"/>
      <w:start w:val="1"/>
    </w:lvl>
  </w:abstractNum>
  <w:abstractNum w:abstractNumId="69">
    <w:nsid w:val="2AE05A34"/>
    <w:multiLevelType w:val="hybridMultilevel"/>
    <w:lvl w:ilvl="0">
      <w:lvlJc w:val="left"/>
      <w:lvlText w:val="%1"/>
      <w:numFmt w:val="lowerLetter"/>
      <w:start w:val="1"/>
    </w:lvl>
    <w:lvl w:ilvl="1">
      <w:lvlJc w:val="left"/>
      <w:lvlText w:val="(%2)"/>
      <w:numFmt w:val="lowerLetter"/>
      <w:start w:val="2"/>
    </w:lvl>
  </w:abstractNum>
  <w:abstractNum w:abstractNumId="70">
    <w:nsid w:val="32794FF7"/>
    <w:multiLevelType w:val="hybridMultilevel"/>
    <w:lvl w:ilvl="0">
      <w:lvlJc w:val="left"/>
      <w:lvlText w:val="(%1)"/>
      <w:numFmt w:val="lowerLetter"/>
      <w:start w:val="9"/>
    </w:lvl>
    <w:lvl w:ilvl="1">
      <w:lvlJc w:val="left"/>
      <w:lvlText w:val="%2"/>
      <w:numFmt w:val="lowerLetter"/>
      <w:start w:val="1"/>
    </w:lvl>
  </w:abstractNum>
  <w:abstractNum w:abstractNumId="71">
    <w:nsid w:val="5454945E"/>
    <w:multiLevelType w:val="hybridMultilevel"/>
    <w:lvl w:ilvl="0">
      <w:lvlJc w:val="left"/>
      <w:lvlText w:val="%1."/>
      <w:numFmt w:val="decimal"/>
      <w:start w:val="2"/>
    </w:lvl>
  </w:abstractNum>
  <w:abstractNum w:abstractNumId="72">
    <w:nsid w:val="4DEFDFA0"/>
    <w:multiLevelType w:val="hybridMultilevel"/>
    <w:lvl w:ilvl="0">
      <w:lvlJc w:val="left"/>
      <w:lvlText w:val="%1."/>
      <w:numFmt w:val="decimal"/>
      <w:start w:val="7"/>
    </w:lvl>
    <w:lvl w:ilvl="1">
      <w:lvlJc w:val="left"/>
      <w:lvlText w:val="(%2)"/>
      <w:numFmt w:val="lowerLetter"/>
      <w:start w:val="1"/>
    </w:lvl>
    <w:lvl w:ilvl="2">
      <w:lvlJc w:val="left"/>
      <w:lvlText w:val="(%3)"/>
      <w:numFmt w:val="lowerRoman"/>
      <w:start w:val="1"/>
    </w:lvl>
  </w:abstractNum>
  <w:abstractNum w:abstractNumId="73">
    <w:nsid w:val="2123D5F2"/>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6"/>
    </w:lvl>
  </w:abstractNum>
  <w:abstractNum w:abstractNumId="74">
    <w:nsid w:val="135B8110"/>
    <w:multiLevelType w:val="hybridMultilevel"/>
    <w:lvl w:ilvl="0">
      <w:lvlJc w:val="left"/>
      <w:lvlText w:val="%1"/>
      <w:numFmt w:val="lowerLetter"/>
      <w:start w:val="1"/>
    </w:lvl>
    <w:lvl w:ilvl="1">
      <w:lvlJc w:val="left"/>
      <w:lvlText w:val="%2."/>
      <w:numFmt w:val="decimal"/>
      <w:start w:val="8"/>
    </w:lvl>
    <w:lvl w:ilvl="2">
      <w:lvlJc w:val="left"/>
      <w:lvlText w:val="(%3)"/>
      <w:numFmt w:val="lowerLetter"/>
      <w:start w:val="1"/>
    </w:lvl>
  </w:abstractNum>
  <w:abstractNum w:abstractNumId="75">
    <w:nsid w:val="94927A8"/>
    <w:multiLevelType w:val="hybridMultilevel"/>
    <w:lvl w:ilvl="0">
      <w:lvlJc w:val="left"/>
      <w:lvlText w:val="(%1)"/>
      <w:numFmt w:val="lowerLetter"/>
      <w:start w:val="35"/>
    </w:lvl>
    <w:lvl w:ilvl="1">
      <w:lvlJc w:val="left"/>
      <w:lvlText w:val="%2"/>
      <w:numFmt w:val="decimal"/>
      <w:start w:val="1"/>
    </w:lvl>
    <w:lvl w:ilvl="2">
      <w:lvlJc w:val="left"/>
      <w:lvlText w:val="(%3)"/>
      <w:numFmt w:val="lowerLetter"/>
      <w:start w:val="2"/>
    </w:lvl>
  </w:abstractNum>
  <w:abstractNum w:abstractNumId="76">
    <w:nsid w:val="DCDF8F6"/>
    <w:multiLevelType w:val="hybridMultilevel"/>
    <w:lvl w:ilvl="0">
      <w:lvlJc w:val="left"/>
      <w:lvlText w:val="%1."/>
      <w:numFmt w:val="decimal"/>
      <w:start w:val="10"/>
    </w:lvl>
  </w:abstractNum>
  <w:abstractNum w:abstractNumId="77">
    <w:nsid w:val="52D7B105"/>
    <w:multiLevelType w:val="hybridMultilevel"/>
    <w:lvl w:ilvl="0">
      <w:lvlJc w:val="left"/>
      <w:lvlText w:val="%1."/>
      <w:numFmt w:val="decimal"/>
      <w:start w:val="13"/>
    </w:lvl>
  </w:abstractNum>
  <w:abstractNum w:abstractNumId="78">
    <w:nsid w:val="2E8A6394"/>
    <w:multiLevelType w:val="hybridMultilevel"/>
    <w:lvl w:ilvl="0">
      <w:lvlJc w:val="left"/>
      <w:lvlText w:val="(%1)"/>
      <w:numFmt w:val="lowerRoman"/>
      <w:start w:val="3"/>
    </w:lvl>
  </w:abstractNum>
  <w:abstractNum w:abstractNumId="79">
    <w:nsid w:val="24E60401"/>
    <w:multiLevelType w:val="hybridMultilevel"/>
    <w:lvl w:ilvl="0">
      <w:lvlJc w:val="left"/>
      <w:lvlText w:val="(%1)"/>
      <w:numFmt w:val="lowerLetter"/>
      <w:start w:val="3"/>
    </w:lvl>
  </w:abstractNum>
  <w:abstractNum w:abstractNumId="80">
    <w:nsid w:val="2A6AD9BE"/>
    <w:multiLevelType w:val="hybridMultilevel"/>
    <w:lvl w:ilvl="0">
      <w:lvlJc w:val="left"/>
      <w:lvlText w:val="(%1)"/>
      <w:numFmt w:val="lowerRoman"/>
      <w:start w:val="1"/>
    </w:lvl>
  </w:abstractNum>
  <w:abstractNum w:abstractNumId="81">
    <w:nsid w:val="BAAC1B4"/>
    <w:multiLevelType w:val="hybridMultilevel"/>
    <w:lvl w:ilvl="0">
      <w:lvlJc w:val="left"/>
      <w:lvlText w:val="(%1)"/>
      <w:numFmt w:val="lowerRoman"/>
      <w:start w:val="2"/>
    </w:lvl>
  </w:abstractNum>
  <w:abstractNum w:abstractNumId="82">
    <w:nsid w:val="36B2ACBC"/>
    <w:multiLevelType w:val="hybridMultilevel"/>
    <w:lvl w:ilvl="0">
      <w:lvlJc w:val="left"/>
      <w:lvlText w:val="(%1)"/>
      <w:numFmt w:val="lowerLetter"/>
      <w:start w:val="1"/>
    </w:lvl>
  </w:abstractNum>
  <w:abstractNum w:abstractNumId="83">
    <w:nsid w:val="779D8544"/>
    <w:multiLevelType w:val="hybridMultilevel"/>
    <w:lvl w:ilvl="0">
      <w:lvlJc w:val="left"/>
      <w:lvlText w:val="(%1)"/>
      <w:numFmt w:val="lowerLetter"/>
      <w:start w:val="5"/>
    </w:lvl>
  </w:abstractNum>
  <w:abstractNum w:abstractNumId="84">
    <w:nsid w:val="4AB26E78"/>
    <w:multiLevelType w:val="hybridMultilevel"/>
    <w:lvl w:ilvl="0">
      <w:lvlJc w:val="left"/>
      <w:lvlText w:val="(%1)"/>
      <w:numFmt w:val="lowerLetter"/>
      <w:start w:val="1"/>
    </w:lvl>
  </w:abstractNum>
  <w:abstractNum w:abstractNumId="85">
    <w:nsid w:val="21FAA2FA"/>
    <w:multiLevelType w:val="hybridMultilevel"/>
    <w:lvl w:ilvl="0">
      <w:lvlJc w:val="left"/>
      <w:lvlText w:val="(%1)"/>
      <w:numFmt w:val="lowerLetter"/>
      <w:start w:val="11"/>
    </w:lvl>
  </w:abstractNum>
  <w:abstractNum w:abstractNumId="86">
    <w:nsid w:val="5451CF49"/>
    <w:multiLevelType w:val="hybridMultilevel"/>
    <w:lvl w:ilvl="0">
      <w:lvlJc w:val="left"/>
      <w:lvlText w:val="(%1)"/>
      <w:numFmt w:val="lowerLetter"/>
      <w:start w:val="1"/>
    </w:lvl>
  </w:abstractNum>
  <w:abstractNum w:abstractNumId="87">
    <w:nsid w:val="6181EF69"/>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1"/>
    </w:lvl>
  </w:abstractNum>
  <w:abstractNum w:abstractNumId="88">
    <w:nsid w:val="3E6400E6"/>
    <w:multiLevelType w:val="hybridMultilevel"/>
    <w:lvl w:ilvl="0">
      <w:lvlJc w:val="left"/>
      <w:lvlText w:val="(%1)"/>
      <w:numFmt w:val="lowerLetter"/>
      <w:start w:val="4"/>
    </w:lvl>
    <w:lvl w:ilvl="1">
      <w:lvlJc w:val="left"/>
      <w:lvlText w:val="%2"/>
      <w:numFmt w:val="lowerLetter"/>
      <w:start w:val="1"/>
    </w:lvl>
    <w:lvl w:ilvl="2">
      <w:lvlJc w:val="left"/>
      <w:lvlText w:val="%3"/>
      <w:numFmt w:val="lowerRoman"/>
      <w:start w:val="1"/>
    </w:lvl>
  </w:abstractNum>
  <w:abstractNum w:abstractNumId="89">
    <w:nsid w:val="14217E23"/>
    <w:multiLevelType w:val="hybridMultilevel"/>
    <w:lvl w:ilvl="0">
      <w:lvlJc w:val="left"/>
      <w:lvlText w:val="(%1)"/>
      <w:numFmt w:val="lowerLetter"/>
      <w:start w:val="1"/>
    </w:lvl>
    <w:lvl w:ilvl="1">
      <w:lvlJc w:val="left"/>
      <w:lvlText w:val="(%2)"/>
      <w:numFmt w:val="lowerRoman"/>
      <w:start w:val="1"/>
    </w:lvl>
  </w:abstractNum>
  <w:abstractNum w:abstractNumId="90">
    <w:nsid w:val="710757D0"/>
    <w:multiLevelType w:val="hybridMultilevel"/>
    <w:lvl w:ilvl="0">
      <w:lvlJc w:val="left"/>
      <w:lvlText w:val="(%1)"/>
      <w:numFmt w:val="lowerLetter"/>
      <w:start w:val="1"/>
    </w:lvl>
  </w:abstractNum>
  <w:abstractNum w:abstractNumId="91">
    <w:nsid w:val="5015CD1A"/>
    <w:multiLevelType w:val="hybridMultilevel"/>
    <w:lvl w:ilvl="0">
      <w:lvlJc w:val="left"/>
      <w:lvlText w:val="(%1)"/>
      <w:numFmt w:val="lowerLetter"/>
      <w:start w:val="1"/>
    </w:lvl>
  </w:abstractNum>
  <w:abstractNum w:abstractNumId="92">
    <w:nsid w:val="424479DA"/>
    <w:multiLevelType w:val="hybridMultilevel"/>
    <w:lvl w:ilvl="0">
      <w:lvlJc w:val="left"/>
      <w:lvlText w:val="(%1)"/>
      <w:numFmt w:val="lowerLetter"/>
      <w:start w:val="5"/>
    </w:lvl>
  </w:abstractNum>
  <w:abstractNum w:abstractNumId="93">
    <w:nsid w:val="1A9A9E69"/>
    <w:multiLevelType w:val="hybridMultilevel"/>
    <w:lvl w:ilvl="0">
      <w:lvlJc w:val="left"/>
      <w:lvlText w:val="(%1)"/>
      <w:numFmt w:val="lowerLetter"/>
      <w:start w:val="1"/>
    </w:lvl>
  </w:abstractNum>
  <w:abstractNum w:abstractNumId="94">
    <w:nsid w:val="475E256A"/>
    <w:multiLevelType w:val="hybridMultilevel"/>
    <w:lvl w:ilvl="0">
      <w:lvlJc w:val="left"/>
      <w:lvlText w:val="(%1)"/>
      <w:numFmt w:val="lowerLetter"/>
      <w:start w:val="3"/>
    </w:lvl>
    <w:lvl w:ilvl="1">
      <w:lvlJc w:val="left"/>
      <w:lvlText w:val="(%2)"/>
      <w:numFmt w:val="lowerRoman"/>
      <w:start w:val="1"/>
    </w:lvl>
  </w:abstractNum>
  <w:abstractNum w:abstractNumId="95">
    <w:nsid w:val="368DB37E"/>
    <w:multiLevelType w:val="hybridMultilevel"/>
    <w:lvl w:ilvl="0">
      <w:lvlJc w:val="left"/>
      <w:lvlText w:val="(%1)"/>
      <w:numFmt w:val="upperLetter"/>
      <w:start w:val="1"/>
    </w:lvl>
    <w:lvl w:ilvl="1">
      <w:lvlJc w:val="left"/>
      <w:lvlText w:val="(%2)"/>
      <w:numFmt w:val="decimal"/>
      <w:start w:val="1"/>
    </w:lvl>
  </w:abstractNum>
  <w:abstractNum w:abstractNumId="96">
    <w:nsid w:val="6A3B714C"/>
    <w:multiLevelType w:val="hybridMultilevel"/>
    <w:lvl w:ilvl="0">
      <w:lvlJc w:val="left"/>
      <w:lvlText w:val="%1"/>
      <w:numFmt w:val="upperLetter"/>
      <w:start w:val="1"/>
    </w:lvl>
    <w:lvl w:ilvl="1">
      <w:lvlJc w:val="left"/>
      <w:lvlText w:val="(%2)"/>
      <w:numFmt w:val="decimal"/>
      <w:start w:val="2"/>
    </w:lvl>
  </w:abstractNum>
  <w:abstractNum w:abstractNumId="97">
    <w:nsid w:val="327B517E"/>
    <w:multiLevelType w:val="hybridMultilevel"/>
    <w:lvl w:ilvl="0">
      <w:lvlJc w:val="left"/>
      <w:lvlText w:val="(%1)"/>
      <w:numFmt w:val="upperLetter"/>
      <w:start w:val="3"/>
    </w:lvl>
    <w:lvl w:ilvl="1">
      <w:lvlJc w:val="left"/>
      <w:lvlText w:val="%2"/>
      <w:numFmt w:val="decimal"/>
      <w:start w:val="1"/>
    </w:lvl>
  </w:abstractNum>
  <w:abstractNum w:abstractNumId="98">
    <w:nsid w:val="1F461B51"/>
    <w:multiLevelType w:val="hybridMultilevel"/>
    <w:lvl w:ilvl="0">
      <w:lvlJc w:val="left"/>
      <w:lvlText w:val="%1"/>
      <w:numFmt w:val="lowerLetter"/>
      <w:start w:val="1"/>
    </w:lvl>
    <w:lvl w:ilvl="1">
      <w:lvlJc w:val="left"/>
      <w:lvlText w:val="(%2)"/>
      <w:numFmt w:val="lowerLetter"/>
      <w:start w:val="61"/>
    </w:lvl>
  </w:abstractNum>
  <w:abstractNum w:abstractNumId="99">
    <w:nsid w:val="29BACF25"/>
    <w:multiLevelType w:val="hybridMultilevel"/>
    <w:lvl w:ilvl="0">
      <w:lvlJc w:val="left"/>
      <w:lvlText w:val="(%1)"/>
      <w:numFmt w:val="lowerLetter"/>
      <w:start w:val="8"/>
    </w:lvl>
    <w:lvl w:ilvl="1">
      <w:lvlJc w:val="left"/>
      <w:lvlText w:val="%2"/>
      <w:numFmt w:val="lowerLetter"/>
      <w:start w:val="1"/>
    </w:lvl>
  </w:abstractNum>
  <w:abstractNum w:abstractNumId="100">
    <w:nsid w:val="5D5BABB3"/>
    <w:multiLevelType w:val="hybridMultilevel"/>
    <w:lvl w:ilvl="0">
      <w:lvlJc w:val="left"/>
      <w:lvlText w:val="(%1)"/>
      <w:numFmt w:val="lowerLetter"/>
      <w:start w:val="1"/>
    </w:lvl>
  </w:abstractNum>
  <w:abstractNum w:abstractNumId="101">
    <w:nsid w:val="51BF6B48"/>
    <w:multiLevelType w:val="hybridMultilevel"/>
    <w:lvl w:ilvl="0">
      <w:lvlJc w:val="left"/>
      <w:lvlText w:val="(%1)"/>
      <w:numFmt w:val="lowerLetter"/>
      <w:start w:val="1"/>
    </w:lvl>
    <w:lvl w:ilvl="1">
      <w:lvlJc w:val="left"/>
      <w:lvlText w:val="(%2)"/>
      <w:numFmt w:val="lowerRoman"/>
      <w:start w:val="1"/>
    </w:lvl>
  </w:abstractNum>
  <w:abstractNum w:abstractNumId="102">
    <w:nsid w:val="7E0F6384"/>
    <w:multiLevelType w:val="hybridMultilevel"/>
    <w:lvl w:ilvl="0">
      <w:lvlJc w:val="left"/>
      <w:lvlText w:val="(%1)"/>
      <w:numFmt w:val="lowerLetter"/>
      <w:start w:val="2"/>
    </w:lvl>
  </w:abstractNum>
  <w:abstractNum w:abstractNumId="103">
    <w:nsid w:val="2B4B8B53"/>
    <w:multiLevelType w:val="hybridMultilevel"/>
    <w:lvl w:ilvl="0">
      <w:lvlJc w:val="left"/>
      <w:lvlText w:val="(%1)"/>
      <w:numFmt w:val="lowerLetter"/>
      <w:start w:val="1"/>
    </w:lvl>
  </w:abstractNum>
  <w:abstractNum w:abstractNumId="104">
    <w:nsid w:val="72E3413A"/>
    <w:multiLevelType w:val="hybridMultilevel"/>
    <w:lvl w:ilvl="0">
      <w:lvlJc w:val="left"/>
      <w:lvlText w:val="(%1)"/>
      <w:numFmt w:val="lowerLetter"/>
      <w:start w:val="1"/>
    </w:lvl>
    <w:lvl w:ilvl="1">
      <w:lvlJc w:val="left"/>
      <w:lvlText w:val="(%2)"/>
      <w:numFmt w:val="lowerRoman"/>
      <w:start w:val="1"/>
    </w:lvl>
  </w:abstractNum>
  <w:abstractNum w:abstractNumId="105">
    <w:nsid w:val="116AE494"/>
    <w:multiLevelType w:val="hybridMultilevel"/>
    <w:lvl w:ilvl="0">
      <w:lvlJc w:val="left"/>
      <w:lvlText w:val="%1"/>
      <w:numFmt w:val="lowerLetter"/>
      <w:start w:val="1"/>
    </w:lvl>
    <w:lvl w:ilvl="1">
      <w:lvlJc w:val="left"/>
      <w:lvlText w:val="(%2)"/>
      <w:numFmt w:val="lowerRoman"/>
      <w:start w:val="7"/>
    </w:lvl>
  </w:abstractNum>
  <w:abstractNum w:abstractNumId="106">
    <w:nsid w:val="3494B2FB"/>
    <w:multiLevelType w:val="hybridMultilevel"/>
    <w:lvl w:ilvl="0">
      <w:lvlJc w:val="left"/>
      <w:lvlText w:val="(%1)"/>
      <w:numFmt w:val="lowerLetter"/>
      <w:start w:val="2"/>
    </w:lvl>
    <w:lvl w:ilvl="1">
      <w:lvlJc w:val="left"/>
      <w:lvlText w:val="%2"/>
      <w:numFmt w:val="lowerRoman"/>
      <w:start w:val="1"/>
    </w:lvl>
  </w:abstractNum>
  <w:abstractNum w:abstractNumId="107">
    <w:nsid w:val="B13A31"/>
    <w:multiLevelType w:val="hybridMultilevel"/>
    <w:lvl w:ilvl="0">
      <w:lvlJc w:val="left"/>
      <w:lvlText w:val="%1"/>
      <w:numFmt w:val="lowerLetter"/>
      <w:start w:val="1"/>
    </w:lvl>
    <w:lvl w:ilvl="1">
      <w:lvlJc w:val="left"/>
      <w:lvlText w:val="(%2)"/>
      <w:numFmt w:val="lowerLetter"/>
      <w:start w:val="4"/>
    </w:lvl>
    <w:lvl w:ilvl="2">
      <w:lvlJc w:val="left"/>
      <w:lvlText w:val="%3"/>
      <w:numFmt w:val="lowerRoman"/>
      <w:start w:val="1"/>
    </w:lvl>
  </w:abstractNum>
  <w:abstractNum w:abstractNumId="108">
    <w:nsid w:val="64429599"/>
    <w:multiLevelType w:val="hybridMultilevel"/>
    <w:lvl w:ilvl="0">
      <w:lvlJc w:val="left"/>
      <w:lvlText w:val="(%1)"/>
      <w:numFmt w:val="lowerLetter"/>
      <w:start w:val="26"/>
    </w:lvl>
    <w:lvl w:ilvl="1">
      <w:lvlJc w:val="left"/>
      <w:lvlText w:val="(%2)"/>
      <w:numFmt w:val="lowerLetter"/>
      <w:start w:val="5"/>
    </w:lvl>
    <w:lvl w:ilvl="2">
      <w:lvlJc w:val="left"/>
      <w:lvlText w:val="(%3)"/>
      <w:numFmt w:val="lowerRoman"/>
      <w:start w:val="1"/>
    </w:lvl>
  </w:abstractNum>
  <w:abstractNum w:abstractNumId="109">
    <w:nsid w:val="631F1690"/>
    <w:multiLevelType w:val="hybridMultilevel"/>
    <w:lvl w:ilvl="0">
      <w:lvlJc w:val="left"/>
      <w:lvlText w:val="(%1)"/>
      <w:numFmt w:val="lowerLetter"/>
      <w:start w:val="8"/>
    </w:lvl>
    <w:lvl w:ilvl="1">
      <w:lvlJc w:val="left"/>
      <w:lvlText w:val="(%2)"/>
      <w:numFmt w:val="lowerRoman"/>
      <w:start w:val="1"/>
    </w:lvl>
  </w:abstractNum>
  <w:abstractNum w:abstractNumId="110">
    <w:nsid w:val="25973E32"/>
    <w:multiLevelType w:val="hybridMultilevel"/>
    <w:lvl w:ilvl="0">
      <w:lvlJc w:val="left"/>
      <w:lvlText w:val="(%1)"/>
      <w:numFmt w:val="lowerLetter"/>
      <w:start w:val="16"/>
    </w:lvl>
  </w:abstractNum>
  <w:abstractNum w:abstractNumId="111">
    <w:nsid w:val="EAD6F57"/>
    <w:multiLevelType w:val="hybridMultilevel"/>
    <w:lvl w:ilvl="0">
      <w:lvlJc w:val="left"/>
      <w:lvlText w:val="(%1)"/>
      <w:numFmt w:val="lowerLetter"/>
      <w:start w:val="1"/>
    </w:lvl>
  </w:abstractNum>
  <w:abstractNum w:abstractNumId="112">
    <w:nsid w:val="6EC9D844"/>
    <w:multiLevelType w:val="hybridMultilevel"/>
    <w:lvl w:ilvl="0">
      <w:lvlJc w:val="left"/>
      <w:lvlText w:val="(%1)"/>
      <w:numFmt w:val="lowerLetter"/>
      <w:start w:val="5"/>
    </w:lvl>
  </w:abstractNum>
  <w:abstractNum w:abstractNumId="113">
    <w:nsid w:val="5C49EAEE"/>
    <w:multiLevelType w:val="hybridMultilevel"/>
    <w:lvl w:ilvl="0">
      <w:lvlJc w:val="left"/>
      <w:lvlText w:val="(%1)"/>
      <w:numFmt w:val="lowerLetter"/>
      <w:start w:val="1"/>
    </w:lvl>
  </w:abstractNum>
  <w:abstractNum w:abstractNumId="114">
    <w:nsid w:val="64AF49B"/>
    <w:multiLevelType w:val="hybridMultilevel"/>
    <w:lvl w:ilvl="0">
      <w:lvlJc w:val="left"/>
      <w:lvlText w:val="(%1)"/>
      <w:numFmt w:val="lowerLetter"/>
      <w:start w:val="1"/>
    </w:lvl>
  </w:abstractNum>
  <w:abstractNum w:abstractNumId="115">
    <w:nsid w:val="397C46BC"/>
    <w:multiLevelType w:val="hybridMultilevel"/>
    <w:lvl w:ilvl="0">
      <w:lvlJc w:val="left"/>
      <w:lvlText w:val="(%1)"/>
      <w:numFmt w:val="lowerLetter"/>
      <w:start w:val="1"/>
    </w:lvl>
  </w:abstractNum>
  <w:abstractNum w:abstractNumId="116">
    <w:nsid w:val="7E448DE9"/>
    <w:multiLevelType w:val="hybridMultilevel"/>
    <w:lvl w:ilvl="0">
      <w:lvlJc w:val="left"/>
      <w:lvlText w:val="(%1)"/>
      <w:numFmt w:val="lowerLetter"/>
      <w:start w:val="4"/>
    </w:lvl>
  </w:abstractNum>
  <w:abstractNum w:abstractNumId="117">
    <w:nsid w:val="5A9CC3E5"/>
    <w:multiLevelType w:val="hybridMultilevel"/>
    <w:lvl w:ilvl="0">
      <w:lvlJc w:val="left"/>
      <w:lvlText w:val="(%1)"/>
      <w:numFmt w:val="lowerLetter"/>
      <w:start w:val="1"/>
    </w:lvl>
  </w:abstractNum>
  <w:abstractNum w:abstractNumId="118">
    <w:nsid w:val="1AFE3625"/>
    <w:multiLevelType w:val="hybridMultilevel"/>
    <w:lvl w:ilvl="0">
      <w:lvlJc w:val="left"/>
      <w:lvlText w:val="(%1)"/>
      <w:numFmt w:val="lowerLetter"/>
      <w:start w:val="8"/>
    </w:lvl>
  </w:abstractNum>
  <w:abstractNum w:abstractNumId="119">
    <w:nsid w:val="3CA88ECF"/>
    <w:multiLevelType w:val="hybridMultilevel"/>
    <w:lvl w:ilvl="0">
      <w:lvlJc w:val="left"/>
      <w:lvlText w:val="(%1)"/>
      <w:numFmt w:val="lowerLetter"/>
      <w:start w:val="1"/>
    </w:lvl>
    <w:lvl w:ilvl="1">
      <w:lvlJc w:val="left"/>
      <w:lvlText w:val="(%2)"/>
      <w:numFmt w:val="lowerRoman"/>
      <w:start w:val="1"/>
    </w:lvl>
  </w:abstractNum>
  <w:abstractNum w:abstractNumId="120">
    <w:nsid w:val="6EBE4208"/>
    <w:multiLevelType w:val="hybridMultilevel"/>
    <w:lvl w:ilvl="0">
      <w:lvlJc w:val="left"/>
      <w:lvlText w:val="(%1)"/>
      <w:numFmt w:val="lowerLetter"/>
      <w:start w:val="1"/>
    </w:lvl>
    <w:lvl w:ilvl="1">
      <w:lvlJc w:val="left"/>
      <w:lvlText w:val="(%2)"/>
      <w:numFmt w:val="lowerRoman"/>
      <w:start w:val="1"/>
    </w:lvl>
  </w:abstractNum>
  <w:abstractNum w:abstractNumId="121">
    <w:nsid w:val="C058DF5"/>
    <w:multiLevelType w:val="hybridMultilevel"/>
    <w:lvl w:ilvl="0">
      <w:lvlJc w:val="left"/>
      <w:lvlText w:val="(%1)"/>
      <w:numFmt w:val="lowerLetter"/>
      <w:start w:val="5"/>
    </w:lvl>
  </w:abstractNum>
  <w:abstractNum w:abstractNumId="122">
    <w:nsid w:val="CBE5BE9"/>
    <w:multiLevelType w:val="hybridMultilevel"/>
    <w:lvl w:ilvl="0">
      <w:lvlJc w:val="left"/>
      <w:lvlText w:val="(%1)"/>
      <w:numFmt w:val="lowerLetter"/>
      <w:start w:val="1"/>
    </w:lvl>
  </w:abstractNum>
  <w:abstractNum w:abstractNumId="123">
    <w:nsid w:val="3102BBE2"/>
    <w:multiLevelType w:val="hybridMultilevel"/>
    <w:lvl w:ilvl="0">
      <w:lvlJc w:val="left"/>
      <w:lvlText w:val="(%1)"/>
      <w:numFmt w:val="lowerLetter"/>
      <w:start w:val="2"/>
    </w:lvl>
  </w:abstractNum>
  <w:abstractNum w:abstractNumId="124">
    <w:nsid w:val="26A02C5E"/>
    <w:multiLevelType w:val="hybridMultilevel"/>
    <w:lvl w:ilvl="0">
      <w:lvlJc w:val="left"/>
      <w:lvlText w:val="(%1)"/>
      <w:numFmt w:val="lowerLetter"/>
      <w:start w:val="1"/>
    </w:lvl>
  </w:abstractNum>
  <w:abstractNum w:abstractNumId="125">
    <w:nsid w:val="541C8153"/>
    <w:multiLevelType w:val="hybridMultilevel"/>
    <w:lvl w:ilvl="0">
      <w:lvlJc w:val="left"/>
      <w:lvlText w:val="(%1)"/>
      <w:numFmt w:val="lowerLetter"/>
      <w:start w:val="3"/>
    </w:lvl>
    <w:lvl w:ilvl="1">
      <w:lvlJc w:val="left"/>
      <w:lvlText w:val="(%2)"/>
      <w:numFmt w:val="lowerLetter"/>
      <w:start w:val="1"/>
    </w:lvl>
  </w:abstractNum>
  <w:abstractNum w:abstractNumId="126">
    <w:nsid w:val="67906F60"/>
    <w:multiLevelType w:val="hybridMultilevel"/>
    <w:lvl w:ilvl="0">
      <w:lvlJc w:val="left"/>
      <w:lvlText w:val="(%1)"/>
      <w:numFmt w:val="lowerLetter"/>
      <w:start w:val="1"/>
    </w:lvl>
  </w:abstractNum>
  <w:abstractNum w:abstractNumId="127">
    <w:nsid w:val="10DB9DAA"/>
    <w:multiLevelType w:val="hybridMultilevel"/>
    <w:lvl w:ilvl="0">
      <w:lvlJc w:val="left"/>
      <w:lvlText w:val="(%1)"/>
      <w:numFmt w:val="lowerLetter"/>
      <w:start w:val="1"/>
    </w:lvl>
  </w:abstractNum>
  <w:abstractNum w:abstractNumId="128">
    <w:nsid w:val="697D2D2"/>
    <w:multiLevelType w:val="hybridMultilevel"/>
    <w:lvl w:ilvl="0">
      <w:lvlJc w:val="left"/>
      <w:lvlText w:val="(%1)"/>
      <w:numFmt w:val="lowerLetter"/>
      <w:start w:val="1"/>
    </w:lvl>
    <w:lvl w:ilvl="1">
      <w:lvlJc w:val="left"/>
      <w:lvlText w:val="(%2)"/>
      <w:numFmt w:val="lowerRoman"/>
      <w:start w:val="1"/>
    </w:lvl>
  </w:abstractNum>
  <w:abstractNum w:abstractNumId="129">
    <w:nsid w:val="6D68AB2"/>
    <w:multiLevelType w:val="hybridMultilevel"/>
    <w:lvl w:ilvl="0">
      <w:lvlJc w:val="left"/>
      <w:lvlText w:val="(%1)"/>
      <w:numFmt w:val="lowerLetter"/>
      <w:start w:val="1"/>
    </w:lvl>
  </w:abstractNum>
  <w:abstractNum w:abstractNumId="130">
    <w:nsid w:val="3A966CD0"/>
    <w:multiLevelType w:val="hybridMultilevel"/>
    <w:lvl w:ilvl="0">
      <w:lvlJc w:val="left"/>
      <w:lvlText w:val="(%1)"/>
      <w:numFmt w:val="lowerLetter"/>
      <w:start w:val="5"/>
    </w:lvl>
  </w:abstractNum>
  <w:abstractNum w:abstractNumId="131">
    <w:nsid w:val="63F37E85"/>
    <w:multiLevelType w:val="hybridMultilevel"/>
    <w:lvl w:ilvl="0">
      <w:lvlJc w:val="left"/>
      <w:lvlText w:val="(%1)"/>
      <w:numFmt w:val="lowerLetter"/>
      <w:start w:val="2"/>
    </w:lvl>
    <w:lvl w:ilvl="1">
      <w:lvlJc w:val="left"/>
      <w:lvlText w:val="(%2)"/>
      <w:numFmt w:val="lowerLetter"/>
      <w:start w:val="1"/>
    </w:lvl>
  </w:abstractNum>
  <w:abstractNum w:abstractNumId="132">
    <w:nsid w:val="5895F5FA"/>
    <w:multiLevelType w:val="hybridMultilevel"/>
    <w:lvl w:ilvl="0">
      <w:lvlJc w:val="left"/>
      <w:lvlText w:val="(%1)"/>
      <w:numFmt w:val="lowerLetter"/>
      <w:start w:val="3"/>
    </w:lvl>
  </w:abstractNum>
  <w:abstractNum w:abstractNumId="133">
    <w:nsid w:val="38A5D054"/>
    <w:multiLevelType w:val="hybridMultilevel"/>
    <w:lvl w:ilvl="0">
      <w:lvlJc w:val="left"/>
      <w:lvlText w:val="%1"/>
      <w:numFmt w:val="decimal"/>
      <w:start w:val="1"/>
    </w:lvl>
    <w:lvl w:ilvl="1">
      <w:lvlJc w:val="left"/>
      <w:lvlText w:val="(%2)"/>
      <w:numFmt w:val="lowerLetter"/>
      <w:start w:val="1"/>
    </w:lvl>
  </w:abstractNum>
  <w:abstractNum w:abstractNumId="134">
    <w:nsid w:val="F3F09D8"/>
    <w:multiLevelType w:val="hybridMultilevel"/>
    <w:lvl w:ilvl="0">
      <w:lvlJc w:val="left"/>
      <w:lvlText w:val="(%1)"/>
      <w:numFmt w:val="decimal"/>
      <w:start w:val="3"/>
    </w:lvl>
    <w:lvl w:ilvl="1">
      <w:lvlJc w:val="left"/>
      <w:lvlText w:val="(%2)"/>
      <w:numFmt w:val="lowerLetter"/>
      <w:start w:val="2"/>
    </w:lvl>
  </w:abstractNum>
  <w:abstractNum w:abstractNumId="135">
    <w:nsid w:val="4B793735"/>
    <w:multiLevelType w:val="hybridMultilevel"/>
    <w:lvl w:ilvl="0">
      <w:lvlJc w:val="left"/>
      <w:lvlText w:val="(%1)"/>
      <w:numFmt w:val="lowerLetter"/>
      <w:start w:val="5"/>
    </w:lvl>
  </w:abstractNum>
  <w:abstractNum w:abstractNumId="136">
    <w:nsid w:val="4A10B4E8"/>
    <w:multiLevelType w:val="hybridMultilevel"/>
    <w:lvl w:ilvl="0">
      <w:lvlJc w:val="left"/>
      <w:lvlText w:val="(%1)"/>
      <w:numFmt w:val="lowerLetter"/>
      <w:start w:val="13"/>
    </w:lvl>
  </w:abstractNum>
  <w:abstractNum w:abstractNumId="137">
    <w:nsid w:val="43D3BCD4"/>
    <w:multiLevelType w:val="hybridMultilevel"/>
    <w:lvl w:ilvl="0">
      <w:lvlJc w:val="left"/>
      <w:lvlText w:val="(%1)"/>
      <w:numFmt w:val="lowerLetter"/>
      <w:start w:val="1"/>
    </w:lvl>
  </w:abstractNum>
  <w:abstractNum w:abstractNumId="138">
    <w:nsid w:val="4C2A7166"/>
    <w:multiLevelType w:val="hybridMultilevel"/>
    <w:lvl w:ilvl="0">
      <w:lvlJc w:val="left"/>
      <w:lvlText w:val="(%1)"/>
      <w:numFmt w:val="upperLetter"/>
      <w:start w:val="4"/>
    </w:lvl>
  </w:abstractNum>
  <w:abstractNum w:abstractNumId="139">
    <w:nsid w:val="2E534A82"/>
    <w:multiLevelType w:val="hybridMultilevel"/>
    <w:lvl w:ilvl="0">
      <w:lvlJc w:val="left"/>
      <w:lvlText w:val="(%1)"/>
      <w:numFmt w:val="lowerLetter"/>
      <w:start w:val="2"/>
    </w:lvl>
  </w:abstractNum>
  <w:abstractNum w:abstractNumId="140">
    <w:nsid w:val="26F2D364"/>
    <w:multiLevelType w:val="hybridMultilevel"/>
    <w:lvl w:ilvl="0">
      <w:lvlJc w:val="left"/>
      <w:lvlText w:val="(%1)"/>
      <w:numFmt w:val="lowerLetter"/>
      <w:start w:val="6"/>
    </w:lvl>
  </w:abstractNum>
  <w:abstractNum w:abstractNumId="141">
    <w:nsid w:val="71C1AF98"/>
    <w:multiLevelType w:val="hybridMultilevel"/>
    <w:lvl w:ilvl="0">
      <w:lvlJc w:val="left"/>
      <w:lvlText w:val="(%1)"/>
      <w:numFmt w:val="lowerLetter"/>
      <w:start w:val="1"/>
    </w:lvl>
    <w:lvl w:ilvl="1">
      <w:lvlJc w:val="left"/>
      <w:lvlText w:val="(%2)"/>
      <w:numFmt w:val="lowerRoman"/>
      <w:start w:val="1"/>
    </w:lvl>
  </w:abstractNum>
  <w:abstractNum w:abstractNumId="142">
    <w:nsid w:val="3D00B9D9"/>
    <w:multiLevelType w:val="hybridMultilevel"/>
    <w:lvl w:ilvl="0">
      <w:lvlJc w:val="left"/>
      <w:lvlText w:val="(%1)"/>
      <w:numFmt w:val="lowerRoman"/>
      <w:start w:val="10"/>
    </w:lvl>
  </w:abstractNum>
  <w:abstractNum w:abstractNumId="143">
    <w:nsid w:val="15BCABA8"/>
    <w:multiLevelType w:val="hybridMultilevel"/>
    <w:lvl w:ilvl="0">
      <w:lvlJc w:val="left"/>
      <w:lvlText w:val="(%1)"/>
      <w:numFmt w:val="lowerLetter"/>
      <w:start w:val="2"/>
    </w:lvl>
  </w:abstractNum>
  <w:abstractNum w:abstractNumId="144">
    <w:nsid w:val="4E0B9A87"/>
    <w:multiLevelType w:val="hybridMultilevel"/>
    <w:lvl w:ilvl="0">
      <w:lvlJc w:val="left"/>
      <w:lvlText w:val="(%1)"/>
      <w:numFmt w:val="lowerLetter"/>
      <w:start w:val="1"/>
    </w:lvl>
  </w:abstractNum>
  <w:abstractNum w:abstractNumId="145">
    <w:nsid w:val="434BAE75"/>
    <w:multiLevelType w:val="hybridMultilevel"/>
    <w:lvl w:ilvl="0">
      <w:lvlJc w:val="left"/>
      <w:lvlText w:val="(%1)"/>
      <w:numFmt w:val="lowerLetter"/>
      <w:start w:val="2"/>
    </w:lvl>
  </w:abstractNum>
  <w:abstractNum w:abstractNumId="146">
    <w:nsid w:val="4F38F265"/>
    <w:multiLevelType w:val="hybridMultilevel"/>
    <w:lvl w:ilvl="0">
      <w:lvlJc w:val="left"/>
      <w:lvlText w:val="(%1)"/>
      <w:numFmt w:val="lowerLetter"/>
      <w:start w:val="1"/>
    </w:lvl>
    <w:lvl w:ilvl="1">
      <w:lvlJc w:val="left"/>
      <w:lvlText w:val="(%2)"/>
      <w:numFmt w:val="lowerRoman"/>
      <w:start w:val="1"/>
    </w:lvl>
  </w:abstractNum>
  <w:abstractNum w:abstractNumId="147">
    <w:nsid w:val="4C502870"/>
    <w:multiLevelType w:val="hybridMultilevel"/>
    <w:lvl w:ilvl="0">
      <w:lvlJc w:val="left"/>
      <w:lvlText w:val="(%1)"/>
      <w:numFmt w:val="lowerLetter"/>
      <w:start w:val="2"/>
    </w:lvl>
  </w:abstractNum>
  <w:abstractNum w:abstractNumId="148">
    <w:nsid w:val="1DE8725A"/>
    <w:multiLevelType w:val="hybridMultilevel"/>
    <w:lvl w:ilvl="0">
      <w:lvlJc w:val="left"/>
      <w:lvlText w:val="(%1)"/>
      <w:numFmt w:val="lowerLetter"/>
      <w:start w:val="1"/>
    </w:lvl>
  </w:abstractNum>
  <w:abstractNum w:abstractNumId="149">
    <w:nsid w:val="6A37288A"/>
    <w:multiLevelType w:val="hybridMultilevel"/>
    <w:lvl w:ilvl="0">
      <w:lvlJc w:val="left"/>
      <w:lvlText w:val="%1"/>
      <w:numFmt w:val="lowerLetter"/>
      <w:start w:val="1"/>
    </w:lvl>
    <w:lvl w:ilvl="1">
      <w:lvlJc w:val="left"/>
      <w:lvlText w:val="(%2)"/>
      <w:numFmt w:val="lowerLetter"/>
      <w:start w:val="2"/>
    </w:lvl>
  </w:abstractNum>
  <w:abstractNum w:abstractNumId="150">
    <w:nsid w:val="8F8B73F"/>
    <w:multiLevelType w:val="hybridMultilevel"/>
    <w:lvl w:ilvl="0">
      <w:lvlJc w:val="left"/>
      <w:lvlText w:val="(%1)"/>
      <w:numFmt w:val="lowerLetter"/>
      <w:start w:val="9"/>
    </w:lvl>
    <w:lvl w:ilvl="1">
      <w:lvlJc w:val="left"/>
      <w:lvlText w:val="(%2)"/>
      <w:numFmt w:val="lowerLetter"/>
      <w:start w:val="4"/>
    </w:lvl>
  </w:abstractNum>
  <w:abstractNum w:abstractNumId="151">
    <w:nsid w:val="CA6B462"/>
    <w:multiLevelType w:val="hybridMultilevel"/>
    <w:lvl w:ilvl="0">
      <w:lvlJc w:val="left"/>
      <w:lvlText w:val="(%1)"/>
      <w:numFmt w:val="lowerLetter"/>
      <w:start w:val="1"/>
    </w:lvl>
    <w:lvl w:ilvl="1">
      <w:lvlJc w:val="left"/>
      <w:lvlText w:val="%2"/>
      <w:numFmt w:val="lowerLetter"/>
      <w:start w:val="1"/>
    </w:lvl>
  </w:abstractNum>
  <w:abstractNum w:abstractNumId="152">
    <w:nsid w:val="763CB680"/>
    <w:multiLevelType w:val="hybridMultilevel"/>
    <w:lvl w:ilvl="0">
      <w:lvlJc w:val="left"/>
      <w:lvlText w:val="(%1)"/>
      <w:numFmt w:val="lowerLetter"/>
      <w:start w:val="1"/>
    </w:lvl>
  </w:abstractNum>
  <w:abstractNum w:abstractNumId="153">
    <w:nsid w:val="15B71329"/>
    <w:multiLevelType w:val="hybridMultilevel"/>
    <w:lvl w:ilvl="0">
      <w:lvlJc w:val="left"/>
      <w:lvlText w:val="(%1)"/>
      <w:numFmt w:val="lowerLetter"/>
      <w:start w:val="2"/>
    </w:lvl>
  </w:abstractNum>
  <w:abstractNum w:abstractNumId="154">
    <w:nsid w:val="3DA97044"/>
    <w:multiLevelType w:val="hybridMultilevel"/>
    <w:lvl w:ilvl="0">
      <w:lvlJc w:val="left"/>
      <w:lvlText w:val="(%1)"/>
      <w:numFmt w:val="lowerLetter"/>
      <w:start w:val="1"/>
    </w:lvl>
  </w:abstractNum>
  <w:abstractNum w:abstractNumId="155">
    <w:nsid w:val="1CDCE2DE"/>
    <w:multiLevelType w:val="hybridMultilevel"/>
    <w:lvl w:ilvl="0">
      <w:lvlJc w:val="left"/>
      <w:lvlText w:val="(%1)"/>
      <w:numFmt w:val="lowerLetter"/>
      <w:start w:val="1"/>
    </w:lvl>
    <w:lvl w:ilvl="1">
      <w:lvlJc w:val="left"/>
      <w:lvlText w:val="(%2)"/>
      <w:numFmt w:val="lowerRoman"/>
      <w:start w:val="1"/>
    </w:lvl>
  </w:abstractNum>
  <w:abstractNum w:abstractNumId="156">
    <w:nsid w:val="69D3947C"/>
    <w:multiLevelType w:val="hybridMultilevel"/>
    <w:lvl w:ilvl="0">
      <w:lvlJc w:val="left"/>
      <w:lvlText w:val="(%1)"/>
      <w:numFmt w:val="lowerLetter"/>
      <w:start w:val="3"/>
    </w:lvl>
  </w:abstractNum>
  <w:abstractNum w:abstractNumId="157">
    <w:nsid w:val="2539DFA5"/>
    <w:multiLevelType w:val="hybridMultilevel"/>
    <w:lvl w:ilvl="0">
      <w:lvlJc w:val="left"/>
      <w:lvlText w:val="%1"/>
      <w:numFmt w:val="upperLetter"/>
      <w:start w:val="1"/>
    </w:lvl>
    <w:lvl w:ilvl="1">
      <w:lvlJc w:val="left"/>
      <w:lvlText w:val="(%2)"/>
      <w:numFmt w:val="lowerLetter"/>
      <w:start w:val="4"/>
    </w:lvl>
    <w:lvl w:ilvl="2">
      <w:lvlJc w:val="left"/>
      <w:lvlText w:val="%3"/>
      <w:numFmt w:val="lowerLetter"/>
      <w:start w:val="1"/>
    </w:lvl>
  </w:abstractNum>
  <w:abstractNum w:abstractNumId="158">
    <w:nsid w:val="2DB88089"/>
    <w:multiLevelType w:val="hybridMultilevel"/>
    <w:lvl w:ilvl="0">
      <w:lvlJc w:val="left"/>
      <w:lvlText w:val="(%1)"/>
      <w:numFmt w:val="upperLetter"/>
      <w:start w:val="2"/>
    </w:lvl>
    <w:lvl w:ilvl="1">
      <w:lvlJc w:val="left"/>
      <w:lvlText w:val="(%2)"/>
      <w:numFmt w:val="lowerLetter"/>
      <w:start w:val="4"/>
    </w:lvl>
    <w:lvl w:ilvl="2">
      <w:lvlJc w:val="left"/>
      <w:lvlText w:val="(%3)"/>
      <w:numFmt w:val="lowerLetter"/>
      <w:start w:val="35"/>
    </w:lvl>
  </w:abstractNum>
  <w:abstractNum w:abstractNumId="159">
    <w:nsid w:val="706B674E"/>
    <w:multiLevelType w:val="hybridMultilevel"/>
    <w:lvl w:ilvl="0">
      <w:lvlJc w:val="left"/>
      <w:lvlText w:val="(%1)"/>
      <w:numFmt w:val="lowerLetter"/>
      <w:start w:val="1"/>
    </w:lvl>
  </w:abstractNum>
  <w:abstractNum w:abstractNumId="160">
    <w:nsid w:val="2C106A57"/>
    <w:multiLevelType w:val="hybridMultilevel"/>
    <w:lvl w:ilvl="0">
      <w:lvlJc w:val="left"/>
      <w:lvlText w:val="(%1)"/>
      <w:numFmt w:val="lowerLetter"/>
      <w:start w:val="2"/>
    </w:lvl>
  </w:abstractNum>
  <w:abstractNum w:abstractNumId="161">
    <w:nsid w:val="684EED59"/>
    <w:multiLevelType w:val="hybridMultilevel"/>
    <w:lvl w:ilvl="0">
      <w:lvlJc w:val="left"/>
      <w:lvlText w:val="(%1)"/>
      <w:numFmt w:val="lowerLetter"/>
      <w:start w:val="1"/>
    </w:lvl>
  </w:abstractNum>
  <w:abstractNum w:abstractNumId="162">
    <w:nsid w:val="545EE5D3"/>
    <w:multiLevelType w:val="hybridMultilevel"/>
    <w:lvl w:ilvl="0">
      <w:lvlJc w:val="left"/>
      <w:lvlText w:val="(%1)"/>
      <w:numFmt w:val="lowerLetter"/>
      <w:start w:val="2"/>
    </w:lvl>
  </w:abstractNum>
  <w:abstractNum w:abstractNumId="163">
    <w:nsid w:val="4A66051"/>
    <w:multiLevelType w:val="hybridMultilevel"/>
    <w:lvl w:ilvl="0">
      <w:lvlJc w:val="left"/>
      <w:lvlText w:val="(%1)"/>
      <w:numFmt w:val="decimal"/>
      <w:start w:val="1"/>
    </w:lvl>
  </w:abstractNum>
  <w:abstractNum w:abstractNumId="164">
    <w:nsid w:val="20F4BDAD"/>
    <w:multiLevelType w:val="hybridMultilevel"/>
    <w:lvl w:ilvl="0">
      <w:lvlJc w:val="left"/>
      <w:lvlText w:val="1"/>
      <w:numFmt w:val="bullet"/>
      <w:start w:val="1"/>
    </w:lvl>
  </w:abstractNum>
  <w:abstractNum w:abstractNumId="165">
    <w:nsid w:val="639DEFAC"/>
    <w:multiLevelType w:val="hybridMultilevel"/>
    <w:lvl w:ilvl="0">
      <w:lvlJc w:val="left"/>
      <w:lvlText w:val="%1"/>
      <w:numFmt w:val="upperLetter"/>
      <w:start w:val="1"/>
    </w:lvl>
    <w:lvl w:ilvl="1">
      <w:lvlJc w:val="left"/>
      <w:lvlText w:val="%2."/>
      <w:numFmt w:val="decimal"/>
      <w:start w:val="1"/>
    </w:lvl>
    <w:lvl w:ilvl="2">
      <w:lvlJc w:val="left"/>
      <w:lvlText w:val="(%3)"/>
      <w:numFmt w:val="lowerLetter"/>
      <w:start w:val="1"/>
    </w:lvl>
  </w:abstractNum>
  <w:abstractNum w:abstractNumId="166">
    <w:nsid w:val="501F9786"/>
    <w:multiLevelType w:val="hybridMultilevel"/>
    <w:lvl w:ilvl="0">
      <w:lvlJc w:val="left"/>
      <w:lvlText w:val="(%1)"/>
      <w:numFmt w:val="upperLetter"/>
      <w:start w:val="24"/>
    </w:lvl>
    <w:lvl w:ilvl="1">
      <w:lvlJc w:val="left"/>
      <w:lvlText w:val="%2"/>
      <w:numFmt w:val="decimal"/>
      <w:start w:val="1"/>
    </w:lvl>
    <w:lvl w:ilvl="2">
      <w:lvlJc w:val="left"/>
      <w:lvlText w:val="(%3)"/>
      <w:numFmt w:val="lowerLetter"/>
      <w:start w:val="2"/>
    </w:lvl>
  </w:abstractNum>
  <w:abstractNum w:abstractNumId="167">
    <w:nsid w:val="6B057295"/>
    <w:multiLevelType w:val="hybridMultilevel"/>
    <w:lvl w:ilvl="0">
      <w:lvlJc w:val="left"/>
      <w:lvlText w:val="(%1)"/>
      <w:numFmt w:val="lowerLetter"/>
      <w:start w:val="3"/>
    </w:lvl>
  </w:abstractNum>
  <w:abstractNum w:abstractNumId="168">
    <w:nsid w:val="2771AC80"/>
    <w:multiLevelType w:val="hybridMultilevel"/>
    <w:lvl w:ilvl="0">
      <w:lvlJc w:val="left"/>
      <w:lvlText w:val="%1"/>
      <w:numFmt w:val="lowerLetter"/>
      <w:start w:val="1"/>
    </w:lvl>
    <w:lvl w:ilvl="1">
      <w:lvlJc w:val="left"/>
      <w:lvlText w:val="(%2)"/>
      <w:numFmt w:val="lowerLetter"/>
      <w:start w:val="5"/>
    </w:lvl>
  </w:abstractNum>
  <w:abstractNum w:abstractNumId="169">
    <w:nsid w:val="1C4A08EC"/>
    <w:multiLevelType w:val="hybridMultilevel"/>
    <w:lvl w:ilvl="0">
      <w:lvlJc w:val="left"/>
      <w:lvlText w:val="(%1)"/>
      <w:numFmt w:val="lowerLetter"/>
      <w:start w:val="35"/>
    </w:lvl>
    <w:lvl w:ilvl="1">
      <w:lvlJc w:val="left"/>
      <w:lvlText w:val="%2"/>
      <w:numFmt w:val="lowerLetter"/>
      <w:start w:val="1"/>
    </w:lvl>
  </w:abstractNum>
  <w:abstractNum w:abstractNumId="170">
    <w:nsid w:val="1958BD17"/>
    <w:multiLevelType w:val="hybridMultilevel"/>
    <w:lvl w:ilvl="0">
      <w:lvlJc w:val="left"/>
      <w:lvlText w:val="%1"/>
      <w:numFmt w:val="decimal"/>
      <w:start w:val="1"/>
    </w:lvl>
    <w:lvl w:ilvl="1">
      <w:lvlJc w:val="left"/>
      <w:lvlText w:val="(%2)"/>
      <w:numFmt w:val="lowerLetter"/>
      <w:start w:val="7"/>
    </w:lvl>
  </w:abstractNum>
  <w:abstractNum w:abstractNumId="171">
    <w:nsid w:val="4E647FE4"/>
    <w:multiLevelType w:val="hybridMultilevel"/>
    <w:lvl w:ilvl="0">
      <w:lvlJc w:val="left"/>
      <w:lvlText w:val="%1."/>
      <w:numFmt w:val="decimal"/>
      <w:start w:val="2"/>
    </w:lvl>
    <w:lvl w:ilvl="1">
      <w:lvlJc w:val="left"/>
      <w:lvlText w:val="(%2)"/>
      <w:numFmt w:val="lowerLetter"/>
      <w:start w:val="1"/>
    </w:lvl>
  </w:abstractNum>
  <w:abstractNum w:abstractNumId="172">
    <w:nsid w:val="E0BB885"/>
    <w:multiLevelType w:val="hybridMultilevel"/>
    <w:lvl w:ilvl="0">
      <w:lvlJc w:val="left"/>
      <w:lvlText w:val="%1."/>
      <w:numFmt w:val="decimal"/>
      <w:start w:val="3"/>
    </w:lvl>
    <w:lvl w:ilvl="1">
      <w:lvlJc w:val="left"/>
      <w:lvlText w:val="(%2)"/>
      <w:numFmt w:val="lowerLetter"/>
      <w:start w:val="1"/>
    </w:lvl>
    <w:lvl w:ilvl="2">
      <w:lvlJc w:val="left"/>
      <w:lvlText w:val="(%3)"/>
      <w:numFmt w:val="lowerLetter"/>
      <w:start w:val="9"/>
    </w:lvl>
  </w:abstractNum>
  <w:abstractNum w:abstractNumId="173">
    <w:nsid w:val="565976F1"/>
    <w:multiLevelType w:val="hybridMultilevel"/>
    <w:lvl w:ilvl="0">
      <w:lvlJc w:val="left"/>
      <w:lvlText w:val="(%1)"/>
      <w:numFmt w:val="lowerRoman"/>
      <w:start w:val="2"/>
    </w:lvl>
  </w:abstractNum>
  <w:abstractNum w:abstractNumId="174">
    <w:nsid w:val="64212B8C"/>
    <w:multiLevelType w:val="hybridMultilevel"/>
    <w:lvl w:ilvl="0">
      <w:lvlJc w:val="left"/>
      <w:lvlText w:val="%1"/>
      <w:numFmt w:val="decimal"/>
      <w:start w:val="1"/>
    </w:lvl>
    <w:lvl w:ilvl="1">
      <w:lvlJc w:val="left"/>
      <w:lvlText w:val="(%2)"/>
      <w:numFmt w:val="lowerLetter"/>
      <w:start w:val="3"/>
    </w:lvl>
  </w:abstractNum>
  <w:abstractNum w:abstractNumId="175">
    <w:nsid w:val="5C17530C"/>
    <w:multiLevelType w:val="hybridMultilevel"/>
    <w:lvl w:ilvl="0">
      <w:lvlJc w:val="left"/>
      <w:lvlText w:val="%1."/>
      <w:numFmt w:val="decimal"/>
      <w:start w:val="5"/>
    </w:lvl>
    <w:lvl w:ilvl="1">
      <w:lvlJc w:val="left"/>
      <w:lvlText w:val="%2"/>
      <w:numFmt w:val="lowerLetter"/>
      <w:start w:val="1"/>
    </w:lvl>
  </w:abstractNum>
  <w:abstractNum w:abstractNumId="176">
    <w:nsid w:val="19A52566"/>
    <w:multiLevelType w:val="hybridMultilevel"/>
    <w:lvl w:ilvl="0">
      <w:lvlJc w:val="left"/>
      <w:lvlText w:val="%1."/>
      <w:numFmt w:val="decimal"/>
      <w:start w:val="7"/>
    </w:lvl>
    <w:lvl w:ilvl="1">
      <w:lvlJc w:val="left"/>
      <w:lvlText w:val="(%2)"/>
      <w:numFmt w:val="lowerLetter"/>
      <w:start w:val="1"/>
    </w:lvl>
  </w:abstractNum>
  <w:abstractNum w:abstractNumId="177">
    <w:nsid w:val="335A1DF1"/>
    <w:multiLevelType w:val="hybridMultilevel"/>
    <w:lvl w:ilvl="0">
      <w:lvlJc w:val="left"/>
      <w:lvlText w:val="%1."/>
      <w:numFmt w:val="decimal"/>
      <w:start w:val="10"/>
    </w:lvl>
  </w:abstractNum>
  <w:abstractNum w:abstractNumId="178">
    <w:nsid w:val="28677B7C"/>
    <w:multiLevelType w:val="hybridMultilevel"/>
    <w:lvl w:ilvl="0">
      <w:lvlJc w:val="left"/>
      <w:lvlText w:val="%1."/>
      <w:numFmt w:val="decimal"/>
      <w:start w:val="13"/>
    </w:lvl>
    <w:lvl w:ilvl="1">
      <w:lvlJc w:val="left"/>
      <w:lvlText w:val="(%2)"/>
      <w:numFmt w:val="lowerLetter"/>
      <w:start w:val="1"/>
    </w:lvl>
  </w:abstractNum>
  <w:abstractNum w:abstractNumId="179">
    <w:nsid w:val="378D97C0"/>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5"/>
    </w:lvl>
  </w:abstractNum>
  <w:abstractNum w:abstractNumId="180">
    <w:nsid w:val="1D91467C"/>
    <w:multiLevelType w:val="hybridMultilevel"/>
    <w:lvl w:ilvl="0">
      <w:lvlJc w:val="left"/>
      <w:lvlText w:val="%1"/>
      <w:numFmt w:val="lowerLetter"/>
      <w:start w:val="1"/>
    </w:lvl>
    <w:lvl w:ilvl="1">
      <w:lvlJc w:val="left"/>
      <w:lvlText w:val="%2."/>
      <w:numFmt w:val="decimal"/>
      <w:start w:val="18"/>
    </w:lvl>
    <w:lvl w:ilvl="2">
      <w:lvlJc w:val="left"/>
      <w:lvlText w:val="(%3)"/>
      <w:numFmt w:val="lowerLetter"/>
      <w:start w:val="1"/>
    </w:lvl>
  </w:abstractNum>
  <w:abstractNum w:abstractNumId="181">
    <w:nsid w:val="316032BB"/>
    <w:multiLevelType w:val="hybridMultilevel"/>
    <w:lvl w:ilvl="0">
      <w:lvlJc w:val="left"/>
      <w:lvlText w:val="(%1)"/>
      <w:numFmt w:val="lowerLetter"/>
      <w:start w:val="35"/>
    </w:lvl>
    <w:lvl w:ilvl="1">
      <w:lvlJc w:val="left"/>
      <w:lvlText w:val="%2"/>
      <w:numFmt w:val="decimal"/>
      <w:start w:val="1"/>
    </w:lvl>
    <w:lvl w:ilvl="2">
      <w:lvlJc w:val="left"/>
      <w:lvlText w:val="%3"/>
      <w:numFmt w:val="lowerLetter"/>
      <w:start w:val="1"/>
    </w:lvl>
  </w:abstractNum>
  <w:abstractNum w:abstractNumId="182">
    <w:nsid w:val="44344C22"/>
    <w:multiLevelType w:val="hybridMultilevel"/>
    <w:lvl w:ilvl="0">
      <w:lvlJc w:val="left"/>
      <w:lvlText w:val="%1"/>
      <w:numFmt w:val="lowerRoman"/>
      <w:start w:val="1"/>
    </w:lvl>
    <w:lvl w:ilvl="1">
      <w:lvlJc w:val="left"/>
      <w:lvlText w:val="(%2)"/>
      <w:numFmt w:val="lowerLetter"/>
      <w:start w:val="2"/>
    </w:lvl>
  </w:abstractNum>
  <w:abstractNum w:abstractNumId="183">
    <w:nsid w:val="13CDFCFC"/>
    <w:multiLevelType w:val="hybridMultilevel"/>
    <w:lvl w:ilvl="0">
      <w:lvlJc w:val="left"/>
      <w:lvlText w:val="(%1)"/>
      <w:numFmt w:val="lowerRoman"/>
      <w:start w:val="4"/>
    </w:lvl>
    <w:lvl w:ilvl="1">
      <w:lvlJc w:val="left"/>
      <w:lvlText w:val="(%2)"/>
      <w:numFmt w:val="lowerLetter"/>
      <w:start w:val="6"/>
    </w:lvl>
  </w:abstractNum>
  <w:abstractNum w:abstractNumId="184">
    <w:nsid w:val="471745E4"/>
    <w:multiLevelType w:val="hybridMultilevel"/>
    <w:lvl w:ilvl="0">
      <w:lvlJc w:val="left"/>
      <w:lvlText w:val="%1"/>
      <w:numFmt w:val="decimal"/>
      <w:start w:val="1"/>
    </w:lvl>
    <w:lvl w:ilvl="1">
      <w:lvlJc w:val="left"/>
      <w:lvlText w:val="(%2)"/>
      <w:numFmt w:val="lowerLetter"/>
      <w:start w:val="8"/>
    </w:lvl>
  </w:abstractNum>
  <w:abstractNum w:abstractNumId="185">
    <w:nsid w:val="1DDBC66"/>
    <w:multiLevelType w:val="hybridMultilevel"/>
    <w:lvl w:ilvl="0">
      <w:lvlJc w:val="left"/>
      <w:lvlText w:val="%1."/>
      <w:numFmt w:val="decimal"/>
      <w:start w:val="19"/>
    </w:lvl>
    <w:lvl w:ilvl="1">
      <w:lvlJc w:val="left"/>
      <w:lvlText w:val="(%2)"/>
      <w:numFmt w:val="lowerLetter"/>
      <w:start w:val="1"/>
    </w:lvl>
  </w:abstractNum>
  <w:abstractNum w:abstractNumId="186">
    <w:nsid w:val="30AADFDA"/>
    <w:multiLevelType w:val="hybridMultilevel"/>
    <w:lvl w:ilvl="0">
      <w:lvlJc w:val="left"/>
      <w:lvlText w:val="(%1)"/>
      <w:numFmt w:val="lowerLetter"/>
      <w:start w:val="4"/>
    </w:lvl>
  </w:abstractNum>
  <w:abstractNum w:abstractNumId="187">
    <w:nsid w:val="30EADA61"/>
    <w:multiLevelType w:val="hybridMultilevel"/>
    <w:lvl w:ilvl="0">
      <w:lvlJc w:val="left"/>
      <w:lvlText w:val="(%1)"/>
      <w:numFmt w:val="lowerLetter"/>
      <w:start w:val="9"/>
    </w:lvl>
  </w:abstractNum>
  <w:abstractNum w:abstractNumId="188">
    <w:nsid w:val="27179C0B"/>
    <w:multiLevelType w:val="hybridMultilevel"/>
    <w:lvl w:ilvl="0">
      <w:lvlJc w:val="left"/>
      <w:lvlText w:val="(%1)"/>
      <w:numFmt w:val="lowerLetter"/>
      <w:start w:val="15"/>
    </w:lvl>
  </w:abstractNum>
  <w:abstractNum w:abstractNumId="189">
    <w:nsid w:val="5E636063"/>
    <w:multiLevelType w:val="hybridMultilevel"/>
    <w:lvl w:ilvl="0">
      <w:lvlJc w:val="left"/>
      <w:lvlText w:val="%1."/>
      <w:numFmt w:val="decimal"/>
      <w:start w:val="2"/>
    </w:lvl>
  </w:abstractNum>
  <w:abstractNum w:abstractNumId="190">
    <w:nsid w:val="215641AF"/>
    <w:multiLevelType w:val="hybridMultilevel"/>
    <w:lvl w:ilvl="0">
      <w:lvlJc w:val="left"/>
      <w:lvlText w:val="%1"/>
      <w:numFmt w:val="upperLetter"/>
      <w:start w:val="1"/>
    </w:lvl>
    <w:lvl w:ilvl="1">
      <w:lvlJc w:val="left"/>
      <w:lvlText w:val="%2."/>
      <w:numFmt w:val="decimal"/>
      <w:start w:val="1"/>
    </w:lvl>
    <w:lvl w:ilvl="2">
      <w:lvlJc w:val="left"/>
      <w:lvlText w:val="(%3)"/>
      <w:numFmt w:val="lowerLetter"/>
      <w:start w:val="1"/>
    </w:lvl>
  </w:abstractNum>
  <w:abstractNum w:abstractNumId="191">
    <w:nsid w:val="53280662"/>
    <w:multiLevelType w:val="hybridMultilevel"/>
    <w:lvl w:ilvl="0">
      <w:lvlJc w:val="left"/>
      <w:lvlText w:val="(%1)"/>
      <w:numFmt w:val="upperLetter"/>
      <w:start w:val="24"/>
    </w:lvl>
    <w:lvl w:ilvl="1">
      <w:lvlJc w:val="left"/>
      <w:lvlText w:val="%2"/>
      <w:numFmt w:val="decimal"/>
      <w:start w:val="1"/>
    </w:lvl>
    <w:lvl w:ilvl="2">
      <w:lvlJc w:val="left"/>
      <w:lvlText w:val="%3"/>
      <w:numFmt w:val="lowerLetter"/>
      <w:start w:val="1"/>
    </w:lvl>
  </w:abstractNum>
  <w:abstractNum w:abstractNumId="192">
    <w:nsid w:val="46B24DBC"/>
    <w:multiLevelType w:val="hybridMultilevel"/>
    <w:lvl w:ilvl="0">
      <w:lvlJc w:val="left"/>
      <w:lvlText w:val="(%1)"/>
      <w:numFmt w:val="lowerLetter"/>
      <w:start w:val="2"/>
    </w:lvl>
  </w:abstractNum>
  <w:abstractNum w:abstractNumId="193">
    <w:nsid w:val="75B52783"/>
    <w:multiLevelType w:val="hybridMultilevel"/>
    <w:lvl w:ilvl="0">
      <w:lvlJc w:val="left"/>
      <w:lvlText w:val="(%1)"/>
      <w:numFmt w:val="lowerLetter"/>
      <w:start w:val="4"/>
    </w:lvl>
  </w:abstractNum>
  <w:abstractNum w:abstractNumId="194">
    <w:nsid w:val="57CE66B4"/>
    <w:multiLevelType w:val="hybridMultilevel"/>
    <w:lvl w:ilvl="0">
      <w:lvlJc w:val="left"/>
      <w:lvlText w:val="(%1)"/>
      <w:numFmt w:val="lowerLetter"/>
      <w:start w:val="5"/>
    </w:lvl>
  </w:abstractNum>
  <w:abstractNum w:abstractNumId="195">
    <w:nsid w:val="67A70B69"/>
    <w:multiLevelType w:val="hybridMultilevel"/>
    <w:lvl w:ilvl="0">
      <w:lvlJc w:val="left"/>
      <w:lvlText w:val="%1"/>
      <w:numFmt w:val="lowerLetter"/>
      <w:start w:val="1"/>
    </w:lvl>
    <w:lvl w:ilvl="1">
      <w:lvlJc w:val="left"/>
      <w:lvlText w:val="(%2)"/>
      <w:numFmt w:val="lowerLetter"/>
      <w:start w:val="6"/>
    </w:lvl>
  </w:abstractNum>
  <w:abstractNum w:abstractNumId="196">
    <w:nsid w:val="5953172F"/>
    <w:multiLevelType w:val="hybridMultilevel"/>
    <w:lvl w:ilvl="0">
      <w:lvlJc w:val="left"/>
      <w:lvlText w:val="(%1)"/>
      <w:numFmt w:val="lowerLetter"/>
      <w:start w:val="35"/>
    </w:lvl>
    <w:lvl w:ilvl="1">
      <w:lvlJc w:val="left"/>
      <w:lvlText w:val="%2"/>
      <w:numFmt w:val="lowerLetter"/>
      <w:start w:val="1"/>
    </w:lvl>
  </w:abstractNum>
  <w:abstractNum w:abstractNumId="197">
    <w:nsid w:val="27EDFE3A"/>
    <w:multiLevelType w:val="hybridMultilevel"/>
    <w:lvl w:ilvl="0">
      <w:lvlJc w:val="left"/>
      <w:lvlText w:val="%1"/>
      <w:numFmt w:val="decimal"/>
      <w:start w:val="1"/>
    </w:lvl>
    <w:lvl w:ilvl="1">
      <w:lvlJc w:val="left"/>
      <w:lvlText w:val="(%2)"/>
      <w:numFmt w:val="lowerLetter"/>
      <w:start w:val="7"/>
    </w:lvl>
  </w:abstractNum>
  <w:abstractNum w:abstractNumId="198">
    <w:nsid w:val="52AC7DFF"/>
    <w:multiLevelType w:val="hybridMultilevel"/>
    <w:lvl w:ilvl="0">
      <w:lvlJc w:val="left"/>
      <w:lvlText w:val="%1."/>
      <w:numFmt w:val="decimal"/>
      <w:start w:val="2"/>
    </w:lvl>
    <w:lvl w:ilvl="1">
      <w:lvlJc w:val="left"/>
      <w:lvlText w:val="(%2)"/>
      <w:numFmt w:val="lowerLetter"/>
      <w:start w:val="1"/>
    </w:lvl>
  </w:abstractNum>
  <w:abstractNum w:abstractNumId="199">
    <w:nsid w:val="C4C3AF"/>
    <w:multiLevelType w:val="hybridMultilevel"/>
    <w:lvl w:ilvl="0">
      <w:lvlJc w:val="left"/>
      <w:lvlText w:val="%1"/>
      <w:numFmt w:val="decimal"/>
      <w:start w:val="1"/>
    </w:lvl>
    <w:lvl w:ilvl="1">
      <w:lvlJc w:val="left"/>
      <w:lvlText w:val="(%2)"/>
      <w:numFmt w:val="lowerLetter"/>
      <w:start w:val="4"/>
    </w:lvl>
  </w:abstractNum>
  <w:abstractNum w:abstractNumId="200">
    <w:nsid w:val="44380727"/>
    <w:multiLevelType w:val="hybridMultilevel"/>
    <w:lvl w:ilvl="0">
      <w:lvlJc w:val="left"/>
      <w:lvlText w:val="%1."/>
      <w:numFmt w:val="decimal"/>
      <w:start w:val="3"/>
    </w:lvl>
    <w:lvl w:ilvl="1">
      <w:lvlJc w:val="left"/>
      <w:lvlText w:val="(%2)"/>
      <w:numFmt w:val="lowerLetter"/>
      <w:start w:val="1"/>
    </w:lvl>
  </w:abstractNum>
  <w:abstractNum w:abstractNumId="201">
    <w:nsid w:val="6C053B16"/>
    <w:multiLevelType w:val="hybridMultilevel"/>
    <w:lvl w:ilvl="0">
      <w:lvlJc w:val="left"/>
      <w:lvlText w:val="(%1)"/>
      <w:numFmt w:val="lowerLetter"/>
      <w:start w:val="2"/>
    </w:lvl>
    <w:lvl w:ilvl="1">
      <w:lvlJc w:val="left"/>
      <w:lvlText w:val="(%2)"/>
      <w:numFmt w:val="lowerRoman"/>
      <w:start w:val="1"/>
    </w:lvl>
  </w:abstractNum>
  <w:abstractNum w:abstractNumId="202">
    <w:nsid w:val="4F294393"/>
    <w:multiLevelType w:val="hybridMultilevel"/>
    <w:lvl w:ilvl="0">
      <w:lvlJc w:val="left"/>
      <w:lvlText w:val="%1"/>
      <w:numFmt w:val="decimal"/>
      <w:start w:val="1"/>
    </w:lvl>
    <w:lvl w:ilvl="1">
      <w:lvlJc w:val="left"/>
      <w:lvlText w:val="(%2)"/>
      <w:numFmt w:val="lowerLetter"/>
      <w:start w:val="3"/>
    </w:lvl>
  </w:abstractNum>
  <w:abstractNum w:abstractNumId="203">
    <w:nsid w:val="5243BFAC"/>
    <w:multiLevelType w:val="hybridMultilevel"/>
    <w:lvl w:ilvl="0">
      <w:lvlJc w:val="left"/>
      <w:lvlText w:val="%1."/>
      <w:numFmt w:val="decimal"/>
      <w:start w:val="5"/>
    </w:lvl>
    <w:lvl w:ilvl="1">
      <w:lvlJc w:val="left"/>
      <w:lvlText w:val="%2"/>
      <w:numFmt w:val="lowerLetter"/>
      <w:start w:val="1"/>
    </w:lvl>
  </w:abstractNum>
  <w:abstractNum w:abstractNumId="204">
    <w:nsid w:val="425EB207"/>
    <w:multiLevelType w:val="hybridMultilevel"/>
    <w:lvl w:ilvl="0">
      <w:lvlJc w:val="left"/>
      <w:lvlText w:val="%1."/>
      <w:numFmt w:val="decimal"/>
      <w:start w:val="6"/>
    </w:lvl>
    <w:lvl w:ilvl="1">
      <w:lvlJc w:val="left"/>
      <w:lvlText w:val="(%2)"/>
      <w:numFmt w:val="lowerLetter"/>
      <w:start w:val="1"/>
    </w:lvl>
  </w:abstractNum>
  <w:abstractNum w:abstractNumId="205">
    <w:nsid w:val="334A6F1F"/>
    <w:multiLevelType w:val="hybridMultilevel"/>
    <w:lvl w:ilvl="0">
      <w:lvlJc w:val="left"/>
      <w:lvlText w:val="%1."/>
      <w:numFmt w:val="decimal"/>
      <w:start w:val="8"/>
    </w:lvl>
  </w:abstractNum>
  <w:abstractNum w:abstractNumId="206">
    <w:nsid w:val="2E5B12B8"/>
    <w:multiLevelType w:val="hybridMultilevel"/>
    <w:lvl w:ilvl="0">
      <w:lvlJc w:val="left"/>
      <w:lvlText w:val="%1."/>
      <w:numFmt w:val="decimal"/>
      <w:start w:val="12"/>
    </w:lvl>
  </w:abstractNum>
  <w:abstractNum w:abstractNumId="207">
    <w:nsid w:val="5C03D76D"/>
    <w:multiLevelType w:val="hybridMultilevel"/>
    <w:lvl w:ilvl="0">
      <w:lvlJc w:val="left"/>
      <w:lvlText w:val="%1."/>
      <w:numFmt w:val="decimal"/>
      <w:start w:val="17"/>
    </w:lvl>
    <w:lvl w:ilvl="1">
      <w:lvlJc w:val="left"/>
      <w:lvlText w:val="(%2)"/>
      <w:numFmt w:val="lowerLetter"/>
      <w:start w:val="1"/>
    </w:lvl>
  </w:abstractNum>
  <w:abstractNum w:abstractNumId="208">
    <w:nsid w:val="66A48D11"/>
    <w:multiLevelType w:val="hybridMultilevel"/>
    <w:lvl w:ilvl="0">
      <w:lvlJc w:val="left"/>
      <w:lvlText w:val="%1"/>
      <w:numFmt w:val="lowerLetter"/>
      <w:start w:val="1"/>
    </w:lvl>
    <w:lvl w:ilvl="1">
      <w:lvlJc w:val="left"/>
      <w:lvlText w:val="%2."/>
      <w:numFmt w:val="decimal"/>
      <w:start w:val="18"/>
    </w:lvl>
    <w:lvl w:ilvl="2">
      <w:lvlJc w:val="left"/>
      <w:lvlText w:val="(%3)"/>
      <w:numFmt w:val="lowerLetter"/>
      <w:start w:val="1"/>
    </w:lvl>
  </w:abstractNum>
  <w:abstractNum w:abstractNumId="209">
    <w:nsid w:val="56C28E34"/>
    <w:multiLevelType w:val="hybridMultilevel"/>
    <w:lvl w:ilvl="0">
      <w:lvlJc w:val="left"/>
      <w:lvlText w:val="(%1)"/>
      <w:numFmt w:val="lowerLetter"/>
      <w:start w:val="35"/>
    </w:lvl>
    <w:lvl w:ilvl="1">
      <w:lvlJc w:val="left"/>
      <w:lvlText w:val="%2"/>
      <w:numFmt w:val="decimal"/>
      <w:start w:val="1"/>
    </w:lvl>
    <w:lvl w:ilvl="2">
      <w:lvlJc w:val="left"/>
      <w:lvlText w:val="(%3)"/>
      <w:numFmt w:val="lowerLetter"/>
      <w:start w:val="2"/>
    </w:lvl>
  </w:abstractNum>
  <w:abstractNum w:abstractNumId="210">
    <w:nsid w:val="13916F2D"/>
    <w:multiLevelType w:val="hybridMultilevel"/>
    <w:lvl w:ilvl="0">
      <w:lvlJc w:val="left"/>
      <w:lvlText w:val="%1"/>
      <w:numFmt w:val="lowerRoman"/>
      <w:start w:val="1"/>
    </w:lvl>
    <w:lvl w:ilvl="1">
      <w:lvlJc w:val="left"/>
      <w:lvlText w:val="(%2)"/>
      <w:numFmt w:val="lowerLetter"/>
      <w:start w:val="5"/>
    </w:lvl>
  </w:abstractNum>
  <w:abstractNum w:abstractNumId="211">
    <w:nsid w:val="435D38D"/>
    <w:multiLevelType w:val="hybridMultilevel"/>
    <w:lvl w:ilvl="0">
      <w:lvlJc w:val="left"/>
      <w:lvlText w:val="(%1)"/>
      <w:numFmt w:val="lowerRoman"/>
      <w:start w:val="4"/>
    </w:lvl>
    <w:lvl w:ilvl="1">
      <w:lvlJc w:val="left"/>
      <w:lvlText w:val="(%2)"/>
      <w:numFmt w:val="lowerLetter"/>
      <w:start w:val="6"/>
    </w:lvl>
  </w:abstractNum>
  <w:abstractNum w:abstractNumId="212">
    <w:nsid w:val="822C0EF"/>
    <w:multiLevelType w:val="hybridMultilevel"/>
    <w:lvl w:ilvl="0">
      <w:lvlJc w:val="left"/>
      <w:lvlText w:val="%1"/>
      <w:numFmt w:val="decimal"/>
      <w:start w:val="1"/>
    </w:lvl>
    <w:lvl w:ilvl="1">
      <w:lvlJc w:val="left"/>
      <w:lvlText w:val="(%2)"/>
      <w:numFmt w:val="lowerLetter"/>
      <w:start w:val="11"/>
    </w:lvl>
  </w:abstractNum>
  <w:abstractNum w:abstractNumId="213">
    <w:nsid w:val="57C5BB4F"/>
    <w:multiLevelType w:val="hybridMultilevel"/>
    <w:lvl w:ilvl="0">
      <w:lvlJc w:val="left"/>
      <w:lvlText w:val="%1."/>
      <w:numFmt w:val="decimal"/>
      <w:start w:val="19"/>
    </w:lvl>
    <w:lvl w:ilvl="1">
      <w:lvlJc w:val="left"/>
      <w:lvlText w:val="(%2)"/>
      <w:numFmt w:val="lowerLetter"/>
      <w:start w:val="1"/>
    </w:lvl>
  </w:abstractNum>
  <w:abstractNum w:abstractNumId="214">
    <w:nsid w:val="1803D089"/>
    <w:multiLevelType w:val="hybridMultilevel"/>
    <w:lvl w:ilvl="0">
      <w:lvlJc w:val="left"/>
      <w:lvlText w:val="(%1)"/>
      <w:numFmt w:val="lowerLetter"/>
      <w:start w:val="4"/>
    </w:lvl>
  </w:abstractNum>
  <w:abstractNum w:abstractNumId="215">
    <w:nsid w:val="4F3A06D4"/>
    <w:multiLevelType w:val="hybridMultilevel"/>
    <w:lvl w:ilvl="0">
      <w:lvlJc w:val="left"/>
      <w:lvlText w:val="(%1)"/>
      <w:numFmt w:val="lowerLetter"/>
      <w:start w:val="10"/>
    </w:lvl>
  </w:abstractNum>
  <w:abstractNum w:abstractNumId="216">
    <w:nsid w:val="59A377B6"/>
    <w:multiLevelType w:val="hybridMultilevel"/>
    <w:lvl w:ilvl="0">
      <w:lvlJc w:val="left"/>
      <w:lvlText w:val="(%1)"/>
      <w:numFmt w:val="lowerLetter"/>
      <w:start w:val="15"/>
    </w:lvl>
  </w:abstractNum>
  <w:abstractNum w:abstractNumId="217">
    <w:nsid w:val="48AEB063"/>
    <w:multiLevelType w:val="hybridMultilevel"/>
    <w:lvl w:ilvl="0">
      <w:lvlJc w:val="left"/>
      <w:lvlText w:val="%1."/>
      <w:numFmt w:val="decimal"/>
      <w:start w:val="2"/>
    </w:lvl>
  </w:abstractNum>
  <w:abstractNum w:abstractNumId="218">
    <w:nsid w:val="24E135"/>
    <w:multiLevelType w:val="hybridMultilevel"/>
    <w:lvl w:ilvl="0">
      <w:lvlJc w:val="left"/>
      <w:lvlText w:val="%1"/>
      <w:numFmt w:val="upperLetter"/>
      <w:start w:val="1"/>
    </w:lvl>
    <w:lvl w:ilvl="1">
      <w:lvlJc w:val="left"/>
      <w:lvlText w:val="%2."/>
      <w:numFmt w:val="decimal"/>
      <w:start w:val="1"/>
    </w:lvl>
    <w:lvl w:ilvl="2">
      <w:lvlJc w:val="left"/>
      <w:lvlText w:val="(%3)"/>
      <w:numFmt w:val="lowerLetter"/>
      <w:start w:val="1"/>
    </w:lvl>
  </w:abstractNum>
  <w:abstractNum w:abstractNumId="219">
    <w:nsid w:val="BB13C1"/>
    <w:multiLevelType w:val="hybridMultilevel"/>
    <w:lvl w:ilvl="0">
      <w:lvlJc w:val="left"/>
      <w:lvlText w:val="(%1)"/>
      <w:numFmt w:val="upperLetter"/>
      <w:start w:val="24"/>
    </w:lvl>
    <w:lvl w:ilvl="1">
      <w:lvlJc w:val="left"/>
      <w:lvlText w:val="%2"/>
      <w:numFmt w:val="decimal"/>
      <w:start w:val="1"/>
    </w:lvl>
    <w:lvl w:ilvl="2">
      <w:lvlJc w:val="left"/>
      <w:lvlText w:val="(%3)"/>
      <w:numFmt w:val="lowerLetter"/>
      <w:start w:val="2"/>
    </w:lvl>
  </w:abstractNum>
  <w:abstractNum w:abstractNumId="220">
    <w:nsid w:val="271210C7"/>
    <w:multiLevelType w:val="hybridMultilevel"/>
    <w:lvl w:ilvl="0">
      <w:lvlJc w:val="left"/>
      <w:lvlText w:val="(%1)"/>
      <w:numFmt w:val="lowerLetter"/>
      <w:start w:val="3"/>
    </w:lvl>
  </w:abstractNum>
  <w:abstractNum w:abstractNumId="221">
    <w:nsid w:val="217B22E4"/>
    <w:multiLevelType w:val="hybridMultilevel"/>
    <w:lvl w:ilvl="0">
      <w:lvlJc w:val="left"/>
      <w:lvlText w:val="%1"/>
      <w:numFmt w:val="lowerLetter"/>
      <w:start w:val="1"/>
    </w:lvl>
    <w:lvl w:ilvl="1">
      <w:lvlJc w:val="left"/>
      <w:lvlText w:val="(%2)"/>
      <w:numFmt w:val="lowerLetter"/>
      <w:start w:val="5"/>
    </w:lvl>
  </w:abstractNum>
  <w:abstractNum w:abstractNumId="222">
    <w:nsid w:val="53E31A24"/>
    <w:multiLevelType w:val="hybridMultilevel"/>
    <w:lvl w:ilvl="0">
      <w:lvlJc w:val="left"/>
      <w:lvlText w:val="(%1)"/>
      <w:numFmt w:val="lowerLetter"/>
      <w:start w:val="35"/>
    </w:lvl>
    <w:lvl w:ilvl="1">
      <w:lvlJc w:val="left"/>
      <w:lvlText w:val="%2"/>
      <w:numFmt w:val="lowerLetter"/>
      <w:start w:val="1"/>
    </w:lvl>
  </w:abstractNum>
  <w:abstractNum w:abstractNumId="223">
    <w:nsid w:val="6DC45E83"/>
    <w:multiLevelType w:val="hybridMultilevel"/>
    <w:lvl w:ilvl="0">
      <w:lvlJc w:val="left"/>
      <w:lvlText w:val="%1"/>
      <w:numFmt w:val="decimal"/>
      <w:start w:val="1"/>
    </w:lvl>
    <w:lvl w:ilvl="1">
      <w:lvlJc w:val="left"/>
      <w:lvlText w:val="(%2)"/>
      <w:numFmt w:val="lowerLetter"/>
      <w:start w:val="7"/>
    </w:lvl>
  </w:abstractNum>
  <w:abstractNum w:abstractNumId="224">
    <w:nsid w:val="17304A67"/>
    <w:multiLevelType w:val="hybridMultilevel"/>
    <w:lvl w:ilvl="0">
      <w:lvlJc w:val="left"/>
      <w:lvlText w:val="%1."/>
      <w:numFmt w:val="decimal"/>
      <w:start w:val="2"/>
    </w:lvl>
    <w:lvl w:ilvl="1">
      <w:lvlJc w:val="left"/>
      <w:lvlText w:val="(%2)"/>
      <w:numFmt w:val="lowerLetter"/>
      <w:start w:val="1"/>
    </w:lvl>
  </w:abstractNum>
  <w:abstractNum w:abstractNumId="225">
    <w:nsid w:val="2BB180D8"/>
    <w:multiLevelType w:val="hybridMultilevel"/>
    <w:lvl w:ilvl="0">
      <w:lvlJc w:val="left"/>
      <w:lvlText w:val="%1."/>
      <w:numFmt w:val="decimal"/>
      <w:start w:val="3"/>
    </w:lvl>
    <w:lvl w:ilvl="1">
      <w:lvlJc w:val="left"/>
      <w:lvlText w:val="(%2)"/>
      <w:numFmt w:val="lowerLetter"/>
      <w:start w:val="1"/>
    </w:lvl>
    <w:lvl w:ilvl="2">
      <w:lvlJc w:val="left"/>
      <w:lvlText w:val="(%3)"/>
      <w:numFmt w:val="lowerLetter"/>
      <w:start w:val="9"/>
    </w:lvl>
  </w:abstractNum>
  <w:abstractNum w:abstractNumId="226">
    <w:nsid w:val="556B69ED"/>
    <w:multiLevelType w:val="hybridMultilevel"/>
    <w:lvl w:ilvl="0">
      <w:lvlJc w:val="left"/>
      <w:lvlText w:val="(%1)"/>
      <w:numFmt w:val="lowerRoman"/>
      <w:start w:val="2"/>
    </w:lvl>
  </w:abstractNum>
  <w:abstractNum w:abstractNumId="227">
    <w:nsid w:val="70836196"/>
    <w:multiLevelType w:val="hybridMultilevel"/>
    <w:lvl w:ilvl="0">
      <w:lvlJc w:val="left"/>
      <w:lvlText w:val="%1"/>
      <w:numFmt w:val="decimal"/>
      <w:start w:val="1"/>
    </w:lvl>
    <w:lvl w:ilvl="1">
      <w:lvlJc w:val="left"/>
      <w:lvlText w:val="(%2)"/>
      <w:numFmt w:val="lowerLetter"/>
      <w:start w:val="3"/>
    </w:lvl>
  </w:abstractNum>
  <w:abstractNum w:abstractNumId="228">
    <w:nsid w:val="539F7F12"/>
    <w:multiLevelType w:val="hybridMultilevel"/>
    <w:lvl w:ilvl="0">
      <w:lvlJc w:val="left"/>
      <w:lvlText w:val="%1."/>
      <w:numFmt w:val="decimal"/>
      <w:start w:val="5"/>
    </w:lvl>
    <w:lvl w:ilvl="1">
      <w:lvlJc w:val="left"/>
      <w:lvlText w:val="%2"/>
      <w:numFmt w:val="lowerLetter"/>
      <w:start w:val="1"/>
    </w:lvl>
  </w:abstractNum>
  <w:abstractNum w:abstractNumId="229">
    <w:nsid w:val="2817E7EC"/>
    <w:multiLevelType w:val="hybridMultilevel"/>
    <w:lvl w:ilvl="0">
      <w:lvlJc w:val="left"/>
      <w:lvlText w:val="%1."/>
      <w:numFmt w:val="decimal"/>
      <w:start w:val="7"/>
    </w:lvl>
    <w:lvl w:ilvl="1">
      <w:lvlJc w:val="left"/>
      <w:lvlText w:val="(%2)"/>
      <w:numFmt w:val="lowerLetter"/>
      <w:start w:val="1"/>
    </w:lvl>
  </w:abstractNum>
  <w:abstractNum w:abstractNumId="230">
    <w:nsid w:val="71482545"/>
    <w:multiLevelType w:val="hybridMultilevel"/>
    <w:lvl w:ilvl="0">
      <w:lvlJc w:val="left"/>
      <w:lvlText w:val="%1."/>
      <w:numFmt w:val="decimal"/>
      <w:start w:val="10"/>
    </w:lvl>
  </w:abstractNum>
  <w:abstractNum w:abstractNumId="231">
    <w:nsid w:val="17D78639"/>
    <w:multiLevelType w:val="hybridMultilevel"/>
    <w:lvl w:ilvl="0">
      <w:lvlJc w:val="left"/>
      <w:lvlText w:val="%1."/>
      <w:numFmt w:val="decimal"/>
      <w:start w:val="15"/>
    </w:lvl>
    <w:lvl w:ilvl="1">
      <w:lvlJc w:val="left"/>
      <w:lvlText w:val="(%2)"/>
      <w:numFmt w:val="lowerLetter"/>
      <w:start w:val="1"/>
    </w:lvl>
  </w:abstractNum>
  <w:abstractNum w:abstractNumId="232">
    <w:nsid w:val="141D2302"/>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8"/>
    </w:lvl>
  </w:abstractNum>
  <w:abstractNum w:abstractNumId="233">
    <w:nsid w:val="407168D8"/>
    <w:multiLevelType w:val="hybridMultilevel"/>
    <w:lvl w:ilvl="0">
      <w:lvlJc w:val="left"/>
      <w:lvlText w:val="%1"/>
      <w:numFmt w:val="lowerLetter"/>
      <w:start w:val="1"/>
    </w:lvl>
    <w:lvl w:ilvl="1">
      <w:lvlJc w:val="left"/>
      <w:lvlText w:val="%2."/>
      <w:numFmt w:val="decimal"/>
      <w:start w:val="18"/>
    </w:lvl>
    <w:lvl w:ilvl="2">
      <w:lvlJc w:val="left"/>
      <w:lvlText w:val="(%3)"/>
      <w:numFmt w:val="lowerLetter"/>
      <w:start w:val="1"/>
    </w:lvl>
  </w:abstractNum>
  <w:abstractNum w:abstractNumId="234">
    <w:nsid w:val="6A1B45E5"/>
    <w:multiLevelType w:val="hybridMultilevel"/>
    <w:lvl w:ilvl="0">
      <w:lvlJc w:val="left"/>
      <w:lvlText w:val="(%1)"/>
      <w:numFmt w:val="lowerLetter"/>
      <w:start w:val="35"/>
    </w:lvl>
    <w:lvl w:ilvl="1">
      <w:lvlJc w:val="left"/>
      <w:lvlText w:val="%2"/>
      <w:numFmt w:val="decimal"/>
      <w:start w:val="1"/>
    </w:lvl>
    <w:lvl w:ilvl="2">
      <w:lvlJc w:val="left"/>
      <w:lvlText w:val="(%3)"/>
      <w:numFmt w:val="lowerLetter"/>
      <w:start w:val="2"/>
    </w:lvl>
  </w:abstractNum>
  <w:abstractNum w:abstractNumId="235">
    <w:nsid w:val="567BD50A"/>
    <w:multiLevelType w:val="hybridMultilevel"/>
    <w:lvl w:ilvl="0">
      <w:lvlJc w:val="left"/>
      <w:lvlText w:val="%1"/>
      <w:numFmt w:val="lowerRoman"/>
      <w:start w:val="1"/>
    </w:lvl>
    <w:lvl w:ilvl="1">
      <w:lvlJc w:val="left"/>
      <w:lvlText w:val="(%2)"/>
      <w:numFmt w:val="lowerLetter"/>
      <w:start w:val="5"/>
    </w:lvl>
  </w:abstractNum>
  <w:abstractNum w:abstractNumId="236">
    <w:nsid w:val="73BBD7F8"/>
    <w:multiLevelType w:val="hybridMultilevel"/>
    <w:lvl w:ilvl="0">
      <w:lvlJc w:val="left"/>
      <w:lvlText w:val="(%1)"/>
      <w:numFmt w:val="lowerRoman"/>
      <w:start w:val="4"/>
    </w:lvl>
    <w:lvl w:ilvl="1">
      <w:lvlJc w:val="left"/>
      <w:lvlText w:val="(%2)"/>
      <w:numFmt w:val="lowerLetter"/>
      <w:start w:val="6"/>
    </w:lvl>
  </w:abstractNum>
  <w:abstractNum w:abstractNumId="237">
    <w:nsid w:val="1876589D"/>
    <w:multiLevelType w:val="hybridMultilevel"/>
    <w:lvl w:ilvl="0">
      <w:lvlJc w:val="left"/>
      <w:lvlText w:val="%1."/>
      <w:numFmt w:val="decimal"/>
      <w:start w:val="19"/>
    </w:lvl>
    <w:lvl w:ilvl="1">
      <w:lvlJc w:val="left"/>
      <w:lvlText w:val="(%2)"/>
      <w:numFmt w:val="lowerLetter"/>
      <w:start w:val="1"/>
    </w:lvl>
  </w:abstractNum>
  <w:abstractNum w:abstractNumId="238">
    <w:nsid w:val="327FAC77"/>
    <w:multiLevelType w:val="hybridMultilevel"/>
    <w:lvl w:ilvl="0">
      <w:lvlJc w:val="left"/>
      <w:lvlText w:val="(%1)"/>
      <w:numFmt w:val="lowerLetter"/>
      <w:start w:val="5"/>
    </w:lvl>
  </w:abstractNum>
  <w:abstractNum w:abstractNumId="239">
    <w:nsid w:val="5A606509"/>
    <w:multiLevelType w:val="hybridMultilevel"/>
    <w:lvl w:ilvl="0">
      <w:lvlJc w:val="left"/>
      <w:lvlText w:val="(%1)"/>
      <w:numFmt w:val="lowerLetter"/>
      <w:start w:val="12"/>
    </w:lvl>
  </w:abstractNum>
  <w:abstractNum w:abstractNumId="240">
    <w:nsid w:val="6F38E6D1"/>
    <w:multiLevelType w:val="hybridMultilevel"/>
    <w:lvl w:ilvl="0">
      <w:lvlJc w:val="left"/>
      <w:lvlText w:val="(%1)"/>
      <w:numFmt w:val="lowerLetter"/>
      <w:start w:val="16"/>
    </w:lvl>
  </w:abstractNum>
  <w:abstractNum w:abstractNumId="241">
    <w:nsid w:val="46111BA5"/>
    <w:multiLevelType w:val="hybridMultilevel"/>
    <w:lvl w:ilvl="0">
      <w:lvlJc w:val="left"/>
      <w:lvlText w:val="%1."/>
      <w:numFmt w:val="decimal"/>
      <w:start w:val="2"/>
    </w:lvl>
  </w:abstractNum>
  <w:abstractNum w:abstractNumId="242">
    <w:nsid w:val="5E963896"/>
    <w:multiLevelType w:val="hybridMultilevel"/>
    <w:lvl w:ilvl="0">
      <w:lvlJc w:val="left"/>
      <w:lvlText w:val="%1"/>
      <w:numFmt w:val="upperLetter"/>
      <w:start w:val="1"/>
    </w:lvl>
    <w:lvl w:ilvl="1">
      <w:lvlJc w:val="left"/>
      <w:lvlText w:val="%2."/>
      <w:numFmt w:val="decimal"/>
      <w:start w:val="1"/>
    </w:lvl>
    <w:lvl w:ilvl="2">
      <w:lvlJc w:val="left"/>
      <w:lvlText w:val="(%3)"/>
      <w:numFmt w:val="lowerLetter"/>
      <w:start w:val="1"/>
    </w:lvl>
  </w:abstractNum>
  <w:abstractNum w:abstractNumId="243">
    <w:nsid w:val="775BA7C1"/>
    <w:multiLevelType w:val="hybridMultilevel"/>
    <w:lvl w:ilvl="0">
      <w:lvlJc w:val="left"/>
      <w:lvlText w:val="(%1)"/>
      <w:numFmt w:val="upperLetter"/>
      <w:start w:val="24"/>
    </w:lvl>
    <w:lvl w:ilvl="1">
      <w:lvlJc w:val="left"/>
      <w:lvlText w:val="%2"/>
      <w:numFmt w:val="decimal"/>
      <w:start w:val="1"/>
    </w:lvl>
    <w:lvl w:ilvl="2">
      <w:lvlJc w:val="left"/>
      <w:lvlText w:val="%3"/>
      <w:numFmt w:val="lowerLetter"/>
      <w:start w:val="1"/>
    </w:lvl>
  </w:abstractNum>
  <w:abstractNum w:abstractNumId="244">
    <w:nsid w:val="1DD6D6F4"/>
    <w:multiLevelType w:val="hybridMultilevel"/>
    <w:lvl w:ilvl="0">
      <w:lvlJc w:val="left"/>
      <w:lvlText w:val="(%1)"/>
      <w:numFmt w:val="lowerLetter"/>
      <w:start w:val="2"/>
    </w:lvl>
  </w:abstractNum>
  <w:abstractNum w:abstractNumId="245">
    <w:nsid w:val="769A091F"/>
    <w:multiLevelType w:val="hybridMultilevel"/>
    <w:lvl w:ilvl="0">
      <w:lvlJc w:val="left"/>
      <w:lvlText w:val="%1"/>
      <w:numFmt w:val="lowerLetter"/>
      <w:start w:val="1"/>
    </w:lvl>
    <w:lvl w:ilvl="1">
      <w:lvlJc w:val="left"/>
      <w:lvlText w:val="(%2)"/>
      <w:numFmt w:val="lowerLetter"/>
      <w:start w:val="5"/>
    </w:lvl>
  </w:abstractNum>
  <w:abstractNum w:abstractNumId="246">
    <w:nsid w:val="4695AE95"/>
    <w:multiLevelType w:val="hybridMultilevel"/>
    <w:lvl w:ilvl="0">
      <w:lvlJc w:val="left"/>
      <w:lvlText w:val="(%1)"/>
      <w:numFmt w:val="lowerLetter"/>
      <w:start w:val="35"/>
    </w:lvl>
    <w:lvl w:ilvl="1">
      <w:lvlJc w:val="left"/>
      <w:lvlText w:val="%2"/>
      <w:numFmt w:val="lowerLetter"/>
      <w:start w:val="1"/>
    </w:lvl>
  </w:abstractNum>
  <w:abstractNum w:abstractNumId="247">
    <w:nsid w:val="777A4EAA"/>
    <w:multiLevelType w:val="hybridMultilevel"/>
    <w:lvl w:ilvl="0">
      <w:lvlJc w:val="left"/>
      <w:lvlText w:val="%1"/>
      <w:numFmt w:val="decimal"/>
      <w:start w:val="1"/>
    </w:lvl>
    <w:lvl w:ilvl="1">
      <w:lvlJc w:val="left"/>
      <w:lvlText w:val="(%2)"/>
      <w:numFmt w:val="lowerLetter"/>
      <w:start w:val="7"/>
    </w:lvl>
  </w:abstractNum>
  <w:abstractNum w:abstractNumId="248">
    <w:nsid w:val="3F48B982"/>
    <w:multiLevelType w:val="hybridMultilevel"/>
    <w:lvl w:ilvl="0">
      <w:lvlJc w:val="left"/>
      <w:lvlText w:val="%1."/>
      <w:numFmt w:val="decimal"/>
      <w:start w:val="2"/>
    </w:lvl>
    <w:lvl w:ilvl="1">
      <w:lvlJc w:val="left"/>
      <w:lvlText w:val="(%2)"/>
      <w:numFmt w:val="lowerLetter"/>
      <w:start w:val="1"/>
    </w:lvl>
  </w:abstractNum>
  <w:abstractNum w:abstractNumId="249">
    <w:nsid w:val="46BA8FCA"/>
    <w:multiLevelType w:val="hybridMultilevel"/>
    <w:lvl w:ilvl="0">
      <w:lvlJc w:val="left"/>
      <w:lvlText w:val="%1."/>
      <w:numFmt w:val="decimal"/>
      <w:start w:val="3"/>
    </w:lvl>
    <w:lvl w:ilvl="1">
      <w:lvlJc w:val="left"/>
      <w:lvlText w:val="(%2)"/>
      <w:numFmt w:val="lowerLetter"/>
      <w:start w:val="1"/>
    </w:lvl>
  </w:abstractNum>
  <w:abstractNum w:abstractNumId="250">
    <w:nsid w:val="7835626C"/>
    <w:multiLevelType w:val="hybridMultilevel"/>
    <w:lvl w:ilvl="0">
      <w:lvlJc w:val="left"/>
      <w:lvlText w:val="(%1)"/>
      <w:numFmt w:val="lowerLetter"/>
      <w:start w:val="2"/>
    </w:lvl>
    <w:lvl w:ilvl="1">
      <w:lvlJc w:val="left"/>
      <w:lvlText w:val="(%2)"/>
      <w:numFmt w:val="lowerRoman"/>
      <w:start w:val="1"/>
    </w:lvl>
  </w:abstractNum>
  <w:abstractNum w:abstractNumId="251">
    <w:nsid w:val="665ACA49"/>
    <w:multiLevelType w:val="hybridMultilevel"/>
    <w:lvl w:ilvl="0">
      <w:lvlJc w:val="left"/>
      <w:lvlText w:val="%1"/>
      <w:numFmt w:val="decimal"/>
      <w:start w:val="1"/>
    </w:lvl>
    <w:lvl w:ilvl="1">
      <w:lvlJc w:val="left"/>
      <w:lvlText w:val="(%2)"/>
      <w:numFmt w:val="lowerLetter"/>
      <w:start w:val="3"/>
    </w:lvl>
  </w:abstractNum>
  <w:abstractNum w:abstractNumId="252">
    <w:nsid w:val="6835B2AE"/>
    <w:multiLevelType w:val="hybridMultilevel"/>
    <w:lvl w:ilvl="0">
      <w:lvlJc w:val="left"/>
      <w:lvlText w:val="%1."/>
      <w:numFmt w:val="decimal"/>
      <w:start w:val="5"/>
    </w:lvl>
    <w:lvl w:ilvl="1">
      <w:lvlJc w:val="left"/>
      <w:lvlText w:val="%2"/>
      <w:numFmt w:val="lowerLetter"/>
      <w:start w:val="1"/>
    </w:lvl>
  </w:abstractNum>
  <w:abstractNum w:abstractNumId="253">
    <w:nsid w:val="4C187C90"/>
    <w:multiLevelType w:val="hybridMultilevel"/>
    <w:lvl w:ilvl="0">
      <w:lvlJc w:val="left"/>
      <w:lvlText w:val="%1."/>
      <w:numFmt w:val="decimal"/>
      <w:start w:val="7"/>
    </w:lvl>
    <w:lvl w:ilvl="1">
      <w:lvlJc w:val="left"/>
      <w:lvlText w:val="(%2)"/>
      <w:numFmt w:val="lowerLetter"/>
      <w:start w:val="1"/>
    </w:lvl>
  </w:abstractNum>
  <w:abstractNum w:abstractNumId="254">
    <w:nsid w:val="541F28CD"/>
    <w:multiLevelType w:val="hybridMultilevel"/>
    <w:lvl w:ilvl="0">
      <w:lvlJc w:val="left"/>
      <w:lvlText w:val="%1."/>
      <w:numFmt w:val="decimal"/>
      <w:start w:val="8"/>
    </w:lvl>
  </w:abstractNum>
  <w:abstractNum w:abstractNumId="255">
    <w:nsid w:val="7F65FD16"/>
    <w:multiLevelType w:val="hybridMultilevel"/>
    <w:lvl w:ilvl="0">
      <w:lvlJc w:val="left"/>
      <w:lvlText w:val="%1."/>
      <w:numFmt w:val="decimal"/>
      <w:start w:val="12"/>
    </w:lvl>
  </w:abstractNum>
  <w:abstractNum w:abstractNumId="256">
    <w:nsid w:val="77C9FD68"/>
    <w:multiLevelType w:val="hybridMultilevel"/>
    <w:lvl w:ilvl="0">
      <w:lvlJc w:val="left"/>
      <w:lvlText w:val="%1."/>
      <w:numFmt w:val="decimal"/>
      <w:start w:val="17"/>
    </w:lvl>
    <w:lvl w:ilvl="1">
      <w:lvlJc w:val="left"/>
      <w:lvlText w:val="(%2)"/>
      <w:numFmt w:val="lowerLetter"/>
      <w:start w:val="1"/>
    </w:lvl>
  </w:abstractNum>
  <w:abstractNum w:abstractNumId="257">
    <w:nsid w:val="298A92BA"/>
    <w:multiLevelType w:val="hybridMultilevel"/>
    <w:lvl w:ilvl="0">
      <w:lvlJc w:val="left"/>
      <w:lvlText w:val="%1"/>
      <w:numFmt w:val="lowerLetter"/>
      <w:start w:val="1"/>
    </w:lvl>
    <w:lvl w:ilvl="1">
      <w:lvlJc w:val="left"/>
      <w:lvlText w:val="%2."/>
      <w:numFmt w:val="decimal"/>
      <w:start w:val="18"/>
    </w:lvl>
    <w:lvl w:ilvl="2">
      <w:lvlJc w:val="left"/>
      <w:lvlText w:val="(%3)"/>
      <w:numFmt w:val="lowerLetter"/>
      <w:start w:val="1"/>
    </w:lvl>
  </w:abstractNum>
  <w:abstractNum w:abstractNumId="258">
    <w:nsid w:val="6FE95EAC"/>
    <w:multiLevelType w:val="hybridMultilevel"/>
    <w:lvl w:ilvl="0">
      <w:lvlJc w:val="left"/>
      <w:lvlText w:val="(%1)"/>
      <w:numFmt w:val="lowerLetter"/>
      <w:start w:val="35"/>
    </w:lvl>
    <w:lvl w:ilvl="1">
      <w:lvlJc w:val="left"/>
      <w:lvlText w:val="%2"/>
      <w:numFmt w:val="decimal"/>
      <w:start w:val="1"/>
    </w:lvl>
    <w:lvl w:ilvl="2">
      <w:lvlJc w:val="left"/>
      <w:lvlText w:val="(%3)"/>
      <w:numFmt w:val="lowerLetter"/>
      <w:start w:val="2"/>
    </w:lvl>
  </w:abstractNum>
  <w:abstractNum w:abstractNumId="259">
    <w:nsid w:val="4B697C7A"/>
    <w:multiLevelType w:val="hybridMultilevel"/>
    <w:lvl w:ilvl="0">
      <w:lvlJc w:val="left"/>
      <w:lvlText w:val="(%1)"/>
      <w:numFmt w:val="lowerLetter"/>
      <w:start w:val="7"/>
    </w:lvl>
  </w:abstractNum>
  <w:abstractNum w:abstractNumId="260">
    <w:nsid w:val="51A27AA6"/>
    <w:multiLevelType w:val="hybridMultilevel"/>
    <w:lvl w:ilvl="0">
      <w:lvlJc w:val="left"/>
      <w:lvlText w:val="%1"/>
      <w:numFmt w:val="decimal"/>
      <w:start w:val="1"/>
    </w:lvl>
    <w:lvl w:ilvl="1">
      <w:lvlJc w:val="left"/>
      <w:lvlText w:val="(%2)"/>
      <w:numFmt w:val="lowerLetter"/>
      <w:start w:val="11"/>
    </w:lvl>
  </w:abstractNum>
  <w:abstractNum w:abstractNumId="261">
    <w:nsid w:val="613183F2"/>
    <w:multiLevelType w:val="hybridMultilevel"/>
    <w:lvl w:ilvl="0">
      <w:lvlJc w:val="left"/>
      <w:lvlText w:val="%1."/>
      <w:numFmt w:val="decimal"/>
      <w:start w:val="19"/>
    </w:lvl>
    <w:lvl w:ilvl="1">
      <w:lvlJc w:val="left"/>
      <w:lvlText w:val="(%2)"/>
      <w:numFmt w:val="lowerLetter"/>
      <w:start w:val="1"/>
    </w:lvl>
  </w:abstractNum>
  <w:abstractNum w:abstractNumId="262">
    <w:nsid w:val="634102B4"/>
    <w:multiLevelType w:val="hybridMultilevel"/>
    <w:lvl w:ilvl="0">
      <w:lvlJc w:val="left"/>
      <w:lvlText w:val="(%1)"/>
      <w:numFmt w:val="lowerLetter"/>
      <w:start w:val="4"/>
    </w:lvl>
  </w:abstractNum>
  <w:abstractNum w:abstractNumId="263">
    <w:nsid w:val="65BF9DA8"/>
    <w:multiLevelType w:val="hybridMultilevel"/>
    <w:lvl w:ilvl="0">
      <w:lvlJc w:val="left"/>
      <w:lvlText w:val="(%1)"/>
      <w:numFmt w:val="lowerLetter"/>
      <w:start w:val="9"/>
    </w:lvl>
  </w:abstractNum>
  <w:abstractNum w:abstractNumId="264">
    <w:nsid w:val="21A2ECCA"/>
    <w:multiLevelType w:val="hybridMultilevel"/>
    <w:lvl w:ilvl="0">
      <w:lvlJc w:val="left"/>
      <w:lvlText w:val="(%1)"/>
      <w:numFmt w:val="lowerLetter"/>
      <w:start w:val="15"/>
    </w:lvl>
  </w:abstractNum>
  <w:abstractNum w:abstractNumId="265">
    <w:nsid w:val="4D5C4899"/>
    <w:multiLevelType w:val="hybridMultilevel"/>
    <w:lvl w:ilvl="0">
      <w:lvlJc w:val="left"/>
      <w:lvlText w:val="%1."/>
      <w:numFmt w:val="decimal"/>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6" Type="http://schemas.openxmlformats.org/officeDocument/2006/relationships/image" Target="media/image8.png"/><Relationship Id="rId17" Type="http://schemas.openxmlformats.org/officeDocument/2006/relationships/image" Target="media/image9.png"/><Relationship Id="rId18" Type="http://schemas.openxmlformats.org/officeDocument/2006/relationships/image" Target="media/image10.png"/><Relationship Id="rId19" Type="http://schemas.openxmlformats.org/officeDocument/2006/relationships/image" Target="media/image11.png"/><Relationship Id="rId20" Type="http://schemas.openxmlformats.org/officeDocument/2006/relationships/image" Target="media/image12.png"/><Relationship Id="rId21" Type="http://schemas.openxmlformats.org/officeDocument/2006/relationships/image" Target="media/image13.png"/><Relationship Id="rId22" Type="http://schemas.openxmlformats.org/officeDocument/2006/relationships/image" Target="media/image14.png"/><Relationship Id="rId23" Type="http://schemas.openxmlformats.org/officeDocument/2006/relationships/image" Target="media/image15.png"/><Relationship Id="rId24" Type="http://schemas.openxmlformats.org/officeDocument/2006/relationships/image" Target="media/image16.png"/><Relationship Id="rId25" Type="http://schemas.openxmlformats.org/officeDocument/2006/relationships/image" Target="media/image17.png"/><Relationship Id="rId26" Type="http://schemas.openxmlformats.org/officeDocument/2006/relationships/image" Target="media/image18.png"/><Relationship Id="rId27" Type="http://schemas.openxmlformats.org/officeDocument/2006/relationships/image" Target="media/image19.png"/><Relationship Id="rId28" Type="http://schemas.openxmlformats.org/officeDocument/2006/relationships/image" Target="media/image20.png"/><Relationship Id="rId29" Type="http://schemas.openxmlformats.org/officeDocument/2006/relationships/image" Target="media/image21.png"/><Relationship Id="rId30" Type="http://schemas.openxmlformats.org/officeDocument/2006/relationships/image" Target="media/image22.png"/><Relationship Id="rId31" Type="http://schemas.openxmlformats.org/officeDocument/2006/relationships/image" Target="media/image23.png"/><Relationship Id="rId32" Type="http://schemas.openxmlformats.org/officeDocument/2006/relationships/image" Target="media/image24.png"/><Relationship Id="rId33" Type="http://schemas.openxmlformats.org/officeDocument/2006/relationships/image" Target="media/image25.png"/><Relationship Id="rId34" Type="http://schemas.openxmlformats.org/officeDocument/2006/relationships/image" Target="media/image26.png"/><Relationship Id="rId35" Type="http://schemas.openxmlformats.org/officeDocument/2006/relationships/image" Target="media/image27.png"/><Relationship Id="rId36" Type="http://schemas.openxmlformats.org/officeDocument/2006/relationships/image" Target="media/image28.png"/><Relationship Id="rId37" Type="http://schemas.openxmlformats.org/officeDocument/2006/relationships/image" Target="media/image29.png"/><Relationship Id="rId38" Type="http://schemas.openxmlformats.org/officeDocument/2006/relationships/image" Target="media/image30.png"/><Relationship Id="rId39" Type="http://schemas.openxmlformats.org/officeDocument/2006/relationships/image" Target="media/image31.png"/><Relationship Id="rId40" Type="http://schemas.openxmlformats.org/officeDocument/2006/relationships/image" Target="media/image32.png"/><Relationship Id="rId41" Type="http://schemas.openxmlformats.org/officeDocument/2006/relationships/image" Target="media/image33.png"/><Relationship Id="rId42" Type="http://schemas.openxmlformats.org/officeDocument/2006/relationships/image" Target="media/image34.png"/><Relationship Id="rId43" Type="http://schemas.openxmlformats.org/officeDocument/2006/relationships/image" Target="media/image35.png"/><Relationship Id="rId44" Type="http://schemas.openxmlformats.org/officeDocument/2006/relationships/image" Target="media/image36.png"/><Relationship Id="rId45" Type="http://schemas.openxmlformats.org/officeDocument/2006/relationships/image" Target="media/image37.png"/><Relationship Id="rId46" Type="http://schemas.openxmlformats.org/officeDocument/2006/relationships/image" Target="media/image38.png"/><Relationship Id="rId47" Type="http://schemas.openxmlformats.org/officeDocument/2006/relationships/image" Target="media/image39.png"/><Relationship Id="rId48" Type="http://schemas.openxmlformats.org/officeDocument/2006/relationships/image" Target="media/image40.png"/><Relationship Id="rId49" Type="http://schemas.openxmlformats.org/officeDocument/2006/relationships/image" Target="media/image41.png"/><Relationship Id="rId50" Type="http://schemas.openxmlformats.org/officeDocument/2006/relationships/image" Target="media/image42.png"/><Relationship Id="rId51" Type="http://schemas.openxmlformats.org/officeDocument/2006/relationships/image" Target="media/image43.png"/><Relationship Id="rId52" Type="http://schemas.openxmlformats.org/officeDocument/2006/relationships/image" Target="media/image44.png"/><Relationship Id="rId53" Type="http://schemas.openxmlformats.org/officeDocument/2006/relationships/image" Target="media/image45.png"/><Relationship Id="rId54" Type="http://schemas.openxmlformats.org/officeDocument/2006/relationships/image" Target="media/image46.png"/><Relationship Id="rId55" Type="http://schemas.openxmlformats.org/officeDocument/2006/relationships/image" Target="media/image47.png"/><Relationship Id="rId56" Type="http://schemas.openxmlformats.org/officeDocument/2006/relationships/image" Target="media/image48.png"/><Relationship Id="rId57" Type="http://schemas.openxmlformats.org/officeDocument/2006/relationships/image" Target="media/image49.png"/><Relationship Id="rId58" Type="http://schemas.openxmlformats.org/officeDocument/2006/relationships/image" Target="media/image50.png"/><Relationship Id="rId59" Type="http://schemas.openxmlformats.org/officeDocument/2006/relationships/image" Target="media/image51.png"/><Relationship Id="rId60" Type="http://schemas.openxmlformats.org/officeDocument/2006/relationships/image" Target="media/image52.png"/><Relationship Id="rId61" Type="http://schemas.openxmlformats.org/officeDocument/2006/relationships/image" Target="media/image53.png"/><Relationship Id="rId62" Type="http://schemas.openxmlformats.org/officeDocument/2006/relationships/image" Target="media/image54.png"/><Relationship Id="rId63" Type="http://schemas.openxmlformats.org/officeDocument/2006/relationships/image" Target="media/image55.png"/><Relationship Id="rId64" Type="http://schemas.openxmlformats.org/officeDocument/2006/relationships/image" Target="media/image56.png"/><Relationship Id="rId65" Type="http://schemas.openxmlformats.org/officeDocument/2006/relationships/image" Target="media/image57.png"/><Relationship Id="rId66" Type="http://schemas.openxmlformats.org/officeDocument/2006/relationships/image" Target="media/image58.png"/><Relationship Id="rId67" Type="http://schemas.openxmlformats.org/officeDocument/2006/relationships/image" Target="media/image59.png"/><Relationship Id="rId68" Type="http://schemas.openxmlformats.org/officeDocument/2006/relationships/image" Target="media/image60.png"/><Relationship Id="rId69" Type="http://schemas.openxmlformats.org/officeDocument/2006/relationships/image" Target="media/image61.png"/><Relationship Id="rId70" Type="http://schemas.openxmlformats.org/officeDocument/2006/relationships/image" Target="media/image62.png"/><Relationship Id="rId71" Type="http://schemas.openxmlformats.org/officeDocument/2006/relationships/image" Target="media/image63.png"/><Relationship Id="rId72" Type="http://schemas.openxmlformats.org/officeDocument/2006/relationships/image" Target="media/image64.png"/><Relationship Id="rId73" Type="http://schemas.openxmlformats.org/officeDocument/2006/relationships/image" Target="media/image65.png"/><Relationship Id="rId74" Type="http://schemas.openxmlformats.org/officeDocument/2006/relationships/image" Target="media/image66.png"/><Relationship Id="rId75" Type="http://schemas.openxmlformats.org/officeDocument/2006/relationships/image" Target="media/image67.png"/><Relationship Id="rId76" Type="http://schemas.openxmlformats.org/officeDocument/2006/relationships/image" Target="media/image68.png"/><Relationship Id="rId77" Type="http://schemas.openxmlformats.org/officeDocument/2006/relationships/image" Target="media/image69.png"/><Relationship Id="rId78" Type="http://schemas.openxmlformats.org/officeDocument/2006/relationships/image" Target="media/image70.png"/><Relationship Id="rId79" Type="http://schemas.openxmlformats.org/officeDocument/2006/relationships/image" Target="media/image71.png"/><Relationship Id="rId80" Type="http://schemas.openxmlformats.org/officeDocument/2006/relationships/image" Target="media/image72.png"/><Relationship Id="rId81" Type="http://schemas.openxmlformats.org/officeDocument/2006/relationships/image" Target="media/image73.png"/><Relationship Id="rId82" Type="http://schemas.openxmlformats.org/officeDocument/2006/relationships/image" Target="media/image74.png"/><Relationship Id="rId83" Type="http://schemas.openxmlformats.org/officeDocument/2006/relationships/image" Target="media/image75.png"/><Relationship Id="rId84" Type="http://schemas.openxmlformats.org/officeDocument/2006/relationships/image" Target="media/image76.png"/><Relationship Id="rId85" Type="http://schemas.openxmlformats.org/officeDocument/2006/relationships/image" Target="media/image77.png"/><Relationship Id="rId86" Type="http://schemas.openxmlformats.org/officeDocument/2006/relationships/image" Target="media/image78.png"/><Relationship Id="rId87" Type="http://schemas.openxmlformats.org/officeDocument/2006/relationships/image" Target="media/image79.png"/><Relationship Id="rId88" Type="http://schemas.openxmlformats.org/officeDocument/2006/relationships/image" Target="media/image80.png"/><Relationship Id="rId89" Type="http://schemas.openxmlformats.org/officeDocument/2006/relationships/image" Target="media/image81.png"/><Relationship Id="rId90" Type="http://schemas.openxmlformats.org/officeDocument/2006/relationships/image" Target="media/image82.png"/><Relationship Id="rId91" Type="http://schemas.openxmlformats.org/officeDocument/2006/relationships/image" Target="media/image83.png"/><Relationship Id="rId92" Type="http://schemas.openxmlformats.org/officeDocument/2006/relationships/image" Target="media/image84.png"/><Relationship Id="rId93" Type="http://schemas.openxmlformats.org/officeDocument/2006/relationships/image" Target="media/image85.png"/><Relationship Id="rId94" Type="http://schemas.openxmlformats.org/officeDocument/2006/relationships/image" Target="media/image86.png"/><Relationship Id="rId95" Type="http://schemas.openxmlformats.org/officeDocument/2006/relationships/image" Target="media/image87.png"/><Relationship Id="rId96" Type="http://schemas.openxmlformats.org/officeDocument/2006/relationships/image" Target="media/image88.png"/><Relationship Id="rId97" Type="http://schemas.openxmlformats.org/officeDocument/2006/relationships/image" Target="media/image89.png"/><Relationship Id="rId98" Type="http://schemas.openxmlformats.org/officeDocument/2006/relationships/image" Target="media/image90.png"/><Relationship Id="rId99" Type="http://schemas.openxmlformats.org/officeDocument/2006/relationships/image" Target="media/image91.png"/><Relationship Id="rId100" Type="http://schemas.openxmlformats.org/officeDocument/2006/relationships/image" Target="media/image92.png"/><Relationship Id="rId101" Type="http://schemas.openxmlformats.org/officeDocument/2006/relationships/image" Target="media/image93.png"/><Relationship Id="rId102" Type="http://schemas.openxmlformats.org/officeDocument/2006/relationships/image" Target="media/image94.png"/><Relationship Id="rId103" Type="http://schemas.openxmlformats.org/officeDocument/2006/relationships/image" Target="media/image95.png"/><Relationship Id="rId104" Type="http://schemas.openxmlformats.org/officeDocument/2006/relationships/image" Target="media/image96.png"/><Relationship Id="rId105" Type="http://schemas.openxmlformats.org/officeDocument/2006/relationships/image" Target="media/image97.png"/><Relationship Id="rId106" Type="http://schemas.openxmlformats.org/officeDocument/2006/relationships/image" Target="media/image98.png"/><Relationship Id="rId107" Type="http://schemas.openxmlformats.org/officeDocument/2006/relationships/image" Target="media/image99.png"/><Relationship Id="rId108" Type="http://schemas.openxmlformats.org/officeDocument/2006/relationships/image" Target="media/image100.png"/><Relationship Id="rId109" Type="http://schemas.openxmlformats.org/officeDocument/2006/relationships/image" Target="media/image101.png"/><Relationship Id="rId110" Type="http://schemas.openxmlformats.org/officeDocument/2006/relationships/image" Target="media/image102.png"/><Relationship Id="rId111" Type="http://schemas.openxmlformats.org/officeDocument/2006/relationships/image" Target="media/image103.png"/><Relationship Id="rId112" Type="http://schemas.openxmlformats.org/officeDocument/2006/relationships/image" Target="media/image104.png"/><Relationship Id="rId113" Type="http://schemas.openxmlformats.org/officeDocument/2006/relationships/image" Target="media/image105.png"/><Relationship Id="rId114" Type="http://schemas.openxmlformats.org/officeDocument/2006/relationships/image" Target="media/image106.png"/><Relationship Id="rId115" Type="http://schemas.openxmlformats.org/officeDocument/2006/relationships/image" Target="media/image107.png"/><Relationship Id="rId116" Type="http://schemas.openxmlformats.org/officeDocument/2006/relationships/image" Target="media/image108.png"/><Relationship Id="rId117" Type="http://schemas.openxmlformats.org/officeDocument/2006/relationships/image" Target="media/image109.png"/><Relationship Id="rId118" Type="http://schemas.openxmlformats.org/officeDocument/2006/relationships/image" Target="media/image110.png"/><Relationship Id="rId119" Type="http://schemas.openxmlformats.org/officeDocument/2006/relationships/image" Target="media/image111.png"/><Relationship Id="rId120" Type="http://schemas.openxmlformats.org/officeDocument/2006/relationships/image" Target="media/image112.png"/><Relationship Id="rId121" Type="http://schemas.openxmlformats.org/officeDocument/2006/relationships/image" Target="media/image113.png"/><Relationship Id="rId122" Type="http://schemas.openxmlformats.org/officeDocument/2006/relationships/image" Target="media/image114.png"/><Relationship Id="rId123" Type="http://schemas.openxmlformats.org/officeDocument/2006/relationships/image" Target="media/image115.png"/><Relationship Id="rId124" Type="http://schemas.openxmlformats.org/officeDocument/2006/relationships/image" Target="media/image116.png"/><Relationship Id="rId125" Type="http://schemas.openxmlformats.org/officeDocument/2006/relationships/image" Target="media/image117.png"/><Relationship Id="rId126" Type="http://schemas.openxmlformats.org/officeDocument/2006/relationships/image" Target="media/image118.png"/><Relationship Id="rId127" Type="http://schemas.openxmlformats.org/officeDocument/2006/relationships/image" Target="media/image119.png"/><Relationship Id="rId128" Type="http://schemas.openxmlformats.org/officeDocument/2006/relationships/image" Target="media/image120.png"/><Relationship Id="rId129" Type="http://schemas.openxmlformats.org/officeDocument/2006/relationships/image" Target="media/image121.png"/><Relationship Id="rId130" Type="http://schemas.openxmlformats.org/officeDocument/2006/relationships/image" Target="media/image122.png"/><Relationship Id="rId131" Type="http://schemas.openxmlformats.org/officeDocument/2006/relationships/image" Target="media/image123.png"/><Relationship Id="rId132" Type="http://schemas.openxmlformats.org/officeDocument/2006/relationships/image" Target="media/image124.png"/><Relationship Id="rId133" Type="http://schemas.openxmlformats.org/officeDocument/2006/relationships/image" Target="media/image125.png"/><Relationship Id="rId134" Type="http://schemas.openxmlformats.org/officeDocument/2006/relationships/image" Target="media/image126.png"/><Relationship Id="rId135" Type="http://schemas.openxmlformats.org/officeDocument/2006/relationships/image" Target="media/image127.png"/><Relationship Id="rId136" Type="http://schemas.openxmlformats.org/officeDocument/2006/relationships/image" Target="media/image128.png"/><Relationship Id="rId137" Type="http://schemas.openxmlformats.org/officeDocument/2006/relationships/image" Target="media/image129.png"/><Relationship Id="rId138" Type="http://schemas.openxmlformats.org/officeDocument/2006/relationships/image" Target="media/image130.png"/><Relationship Id="rId139" Type="http://schemas.openxmlformats.org/officeDocument/2006/relationships/image" Target="media/image131.png"/><Relationship Id="rId140" Type="http://schemas.openxmlformats.org/officeDocument/2006/relationships/image" Target="media/image132.png"/><Relationship Id="rId141" Type="http://schemas.openxmlformats.org/officeDocument/2006/relationships/image" Target="media/image133.png"/><Relationship Id="rId142" Type="http://schemas.openxmlformats.org/officeDocument/2006/relationships/image" Target="media/image134.png"/><Relationship Id="rId143" Type="http://schemas.openxmlformats.org/officeDocument/2006/relationships/image" Target="media/image135.png"/><Relationship Id="rId144" Type="http://schemas.openxmlformats.org/officeDocument/2006/relationships/image" Target="media/image136.png"/><Relationship Id="rId145" Type="http://schemas.openxmlformats.org/officeDocument/2006/relationships/image" Target="media/image137.png"/><Relationship Id="rId146" Type="http://schemas.openxmlformats.org/officeDocument/2006/relationships/image" Target="media/image138.png"/><Relationship Id="rId147" Type="http://schemas.openxmlformats.org/officeDocument/2006/relationships/image" Target="media/image139.png"/><Relationship Id="rId148" Type="http://schemas.openxmlformats.org/officeDocument/2006/relationships/image" Target="media/image140.png"/><Relationship Id="rId149" Type="http://schemas.openxmlformats.org/officeDocument/2006/relationships/image" Target="media/image141.png"/><Relationship Id="rId150" Type="http://schemas.openxmlformats.org/officeDocument/2006/relationships/image" Target="media/image142.png"/><Relationship Id="rId151" Type="http://schemas.openxmlformats.org/officeDocument/2006/relationships/image" Target="media/image143.png"/><Relationship Id="rId152" Type="http://schemas.openxmlformats.org/officeDocument/2006/relationships/image" Target="media/image144.png"/><Relationship Id="rId153" Type="http://schemas.openxmlformats.org/officeDocument/2006/relationships/image" Target="media/image145.png"/><Relationship Id="rId154" Type="http://schemas.openxmlformats.org/officeDocument/2006/relationships/image" Target="media/image146.png"/><Relationship Id="rId155" Type="http://schemas.openxmlformats.org/officeDocument/2006/relationships/image" Target="media/image147.png"/><Relationship Id="rId156" Type="http://schemas.openxmlformats.org/officeDocument/2006/relationships/image" Target="media/image148.png"/><Relationship Id="rId157" Type="http://schemas.openxmlformats.org/officeDocument/2006/relationships/image" Target="media/image149.png"/><Relationship Id="rId158" Type="http://schemas.openxmlformats.org/officeDocument/2006/relationships/image" Target="media/image150.png"/><Relationship Id="rId159" Type="http://schemas.openxmlformats.org/officeDocument/2006/relationships/image" Target="media/image151.png"/><Relationship Id="rId160" Type="http://schemas.openxmlformats.org/officeDocument/2006/relationships/image" Target="media/image152.png"/><Relationship Id="rId161" Type="http://schemas.openxmlformats.org/officeDocument/2006/relationships/image" Target="media/image153.png"/><Relationship Id="rId162" Type="http://schemas.openxmlformats.org/officeDocument/2006/relationships/image" Target="media/image154.png"/><Relationship Id="rId163" Type="http://schemas.openxmlformats.org/officeDocument/2006/relationships/image" Target="media/image155.png"/><Relationship Id="rId164" Type="http://schemas.openxmlformats.org/officeDocument/2006/relationships/image" Target="media/image156.png"/><Relationship Id="rId165" Type="http://schemas.openxmlformats.org/officeDocument/2006/relationships/image" Target="media/image157.png"/><Relationship Id="rId166" Type="http://schemas.openxmlformats.org/officeDocument/2006/relationships/image" Target="media/image158.png"/><Relationship Id="rId167" Type="http://schemas.openxmlformats.org/officeDocument/2006/relationships/image" Target="media/image159.png"/><Relationship Id="rId168" Type="http://schemas.openxmlformats.org/officeDocument/2006/relationships/image" Target="media/image160.png"/><Relationship Id="rId169" Type="http://schemas.openxmlformats.org/officeDocument/2006/relationships/image" Target="media/image161.png"/><Relationship Id="rId170" Type="http://schemas.openxmlformats.org/officeDocument/2006/relationships/image" Target="media/image162.png"/><Relationship Id="rId171" Type="http://schemas.openxmlformats.org/officeDocument/2006/relationships/image" Target="media/image163.png"/><Relationship Id="rId172" Type="http://schemas.openxmlformats.org/officeDocument/2006/relationships/image" Target="media/image164.png"/><Relationship Id="rId173" Type="http://schemas.openxmlformats.org/officeDocument/2006/relationships/image" Target="media/image165.png"/><Relationship Id="rId174" Type="http://schemas.openxmlformats.org/officeDocument/2006/relationships/image" Target="media/image166.png"/><Relationship Id="rId175" Type="http://schemas.openxmlformats.org/officeDocument/2006/relationships/image" Target="media/image167.png"/><Relationship Id="rId176" Type="http://schemas.openxmlformats.org/officeDocument/2006/relationships/image" Target="media/image168.png"/><Relationship Id="rId177" Type="http://schemas.openxmlformats.org/officeDocument/2006/relationships/image" Target="media/image169.png"/><Relationship Id="rId178" Type="http://schemas.openxmlformats.org/officeDocument/2006/relationships/image" Target="media/image170.png"/><Relationship Id="rId179" Type="http://schemas.openxmlformats.org/officeDocument/2006/relationships/image" Target="media/image171.png"/><Relationship Id="rId180" Type="http://schemas.openxmlformats.org/officeDocument/2006/relationships/image" Target="media/image172.png"/><Relationship Id="rId181" Type="http://schemas.openxmlformats.org/officeDocument/2006/relationships/image" Target="media/image173.png"/><Relationship Id="rId182" Type="http://schemas.openxmlformats.org/officeDocument/2006/relationships/image" Target="media/image174.png"/><Relationship Id="rId183" Type="http://schemas.openxmlformats.org/officeDocument/2006/relationships/image" Target="media/image175.png"/><Relationship Id="rId184" Type="http://schemas.openxmlformats.org/officeDocument/2006/relationships/image" Target="media/image176.png"/><Relationship Id="rId185" Type="http://schemas.openxmlformats.org/officeDocument/2006/relationships/image" Target="media/image177.png"/><Relationship Id="rId186" Type="http://schemas.openxmlformats.org/officeDocument/2006/relationships/image" Target="media/image178.png"/><Relationship Id="rId187" Type="http://schemas.openxmlformats.org/officeDocument/2006/relationships/image" Target="media/image179.png"/><Relationship Id="rId188" Type="http://schemas.openxmlformats.org/officeDocument/2006/relationships/image" Target="media/image180.png"/><Relationship Id="rId189" Type="http://schemas.openxmlformats.org/officeDocument/2006/relationships/image" Target="media/image181.png"/><Relationship Id="rId190" Type="http://schemas.openxmlformats.org/officeDocument/2006/relationships/image" Target="media/image182.png"/><Relationship Id="rId191" Type="http://schemas.openxmlformats.org/officeDocument/2006/relationships/image" Target="media/image183.png"/><Relationship Id="rId192" Type="http://schemas.openxmlformats.org/officeDocument/2006/relationships/image" Target="media/image184.png"/><Relationship Id="rId193" Type="http://schemas.openxmlformats.org/officeDocument/2006/relationships/image" Target="media/image185.png"/><Relationship Id="rId194" Type="http://schemas.openxmlformats.org/officeDocument/2006/relationships/image" Target="media/image186.png"/><Relationship Id="rId195" Type="http://schemas.openxmlformats.org/officeDocument/2006/relationships/image" Target="media/image187.png"/><Relationship Id="rId196" Type="http://schemas.openxmlformats.org/officeDocument/2006/relationships/image" Target="media/image188.png"/><Relationship Id="rId197" Type="http://schemas.openxmlformats.org/officeDocument/2006/relationships/image" Target="media/image189.png"/><Relationship Id="rId198" Type="http://schemas.openxmlformats.org/officeDocument/2006/relationships/image" Target="media/image190.png"/><Relationship Id="rId199" Type="http://schemas.openxmlformats.org/officeDocument/2006/relationships/image" Target="media/image191.png"/><Relationship Id="rId200" Type="http://schemas.openxmlformats.org/officeDocument/2006/relationships/image" Target="media/image192.png"/><Relationship Id="rId201" Type="http://schemas.openxmlformats.org/officeDocument/2006/relationships/image" Target="media/image193.png"/><Relationship Id="rId202" Type="http://schemas.openxmlformats.org/officeDocument/2006/relationships/image" Target="media/image194.png"/><Relationship Id="rId203" Type="http://schemas.openxmlformats.org/officeDocument/2006/relationships/image" Target="media/image195.png"/><Relationship Id="rId204" Type="http://schemas.openxmlformats.org/officeDocument/2006/relationships/image" Target="media/image196.png"/><Relationship Id="rId205" Type="http://schemas.openxmlformats.org/officeDocument/2006/relationships/image" Target="media/image197.png"/><Relationship Id="rId206" Type="http://schemas.openxmlformats.org/officeDocument/2006/relationships/image" Target="media/image198.png"/><Relationship Id="rId207" Type="http://schemas.openxmlformats.org/officeDocument/2006/relationships/image" Target="media/image199.png"/><Relationship Id="rId208" Type="http://schemas.openxmlformats.org/officeDocument/2006/relationships/image" Target="media/image200.png"/><Relationship Id="rId209" Type="http://schemas.openxmlformats.org/officeDocument/2006/relationships/image" Target="media/image201.png"/><Relationship Id="rId210" Type="http://schemas.openxmlformats.org/officeDocument/2006/relationships/image" Target="media/image202.png"/><Relationship Id="rId211" Type="http://schemas.openxmlformats.org/officeDocument/2006/relationships/image" Target="media/image203.png"/><Relationship Id="rId212" Type="http://schemas.openxmlformats.org/officeDocument/2006/relationships/image" Target="media/image204.png"/><Relationship Id="rId213" Type="http://schemas.openxmlformats.org/officeDocument/2006/relationships/image" Target="media/image205.png"/><Relationship Id="rId214" Type="http://schemas.openxmlformats.org/officeDocument/2006/relationships/image" Target="media/image206.png"/><Relationship Id="rId215" Type="http://schemas.openxmlformats.org/officeDocument/2006/relationships/image" Target="media/image207.png"/><Relationship Id="rId216" Type="http://schemas.openxmlformats.org/officeDocument/2006/relationships/image" Target="media/image208.png"/><Relationship Id="rId217" Type="http://schemas.openxmlformats.org/officeDocument/2006/relationships/image" Target="media/image209.png"/><Relationship Id="rId218" Type="http://schemas.openxmlformats.org/officeDocument/2006/relationships/image" Target="media/image210.png"/><Relationship Id="rId219" Type="http://schemas.openxmlformats.org/officeDocument/2006/relationships/image" Target="media/image211.png"/><Relationship Id="rId220" Type="http://schemas.openxmlformats.org/officeDocument/2006/relationships/image" Target="media/image212.png"/><Relationship Id="rId221" Type="http://schemas.openxmlformats.org/officeDocument/2006/relationships/image" Target="media/image213.png"/><Relationship Id="rId222" Type="http://schemas.openxmlformats.org/officeDocument/2006/relationships/image" Target="media/image214.png"/><Relationship Id="rId223" Type="http://schemas.openxmlformats.org/officeDocument/2006/relationships/image" Target="media/image215.png"/><Relationship Id="rId224" Type="http://schemas.openxmlformats.org/officeDocument/2006/relationships/image" Target="media/image216.png"/><Relationship Id="rId225" Type="http://schemas.openxmlformats.org/officeDocument/2006/relationships/image" Target="media/image217.png"/><Relationship Id="rId226" Type="http://schemas.openxmlformats.org/officeDocument/2006/relationships/image" Target="media/image218.png"/><Relationship Id="rId227" Type="http://schemas.openxmlformats.org/officeDocument/2006/relationships/image" Target="media/image219.png"/><Relationship Id="rId228" Type="http://schemas.openxmlformats.org/officeDocument/2006/relationships/image" Target="media/image220.png"/><Relationship Id="rId229" Type="http://schemas.openxmlformats.org/officeDocument/2006/relationships/image" Target="media/image221.png"/><Relationship Id="rId230" Type="http://schemas.openxmlformats.org/officeDocument/2006/relationships/image" Target="media/image222.png"/><Relationship Id="rId231" Type="http://schemas.openxmlformats.org/officeDocument/2006/relationships/image" Target="media/image223.png"/><Relationship Id="rId232" Type="http://schemas.openxmlformats.org/officeDocument/2006/relationships/image" Target="media/image224.png"/><Relationship Id="rId233" Type="http://schemas.openxmlformats.org/officeDocument/2006/relationships/image" Target="media/image225.png"/><Relationship Id="rId234" Type="http://schemas.openxmlformats.org/officeDocument/2006/relationships/image" Target="media/image226.png"/><Relationship Id="rId235" Type="http://schemas.openxmlformats.org/officeDocument/2006/relationships/image" Target="media/image227.png"/><Relationship Id="rId236" Type="http://schemas.openxmlformats.org/officeDocument/2006/relationships/image" Target="media/image228.png"/><Relationship Id="rId237" Type="http://schemas.openxmlformats.org/officeDocument/2006/relationships/image" Target="media/image229.png"/><Relationship Id="rId238" Type="http://schemas.openxmlformats.org/officeDocument/2006/relationships/image" Target="media/image230.png"/><Relationship Id="rId239" Type="http://schemas.openxmlformats.org/officeDocument/2006/relationships/image" Target="media/image231.png"/><Relationship Id="rId240" Type="http://schemas.openxmlformats.org/officeDocument/2006/relationships/image" Target="media/image232.png"/><Relationship Id="rId241" Type="http://schemas.openxmlformats.org/officeDocument/2006/relationships/image" Target="media/image233.png"/><Relationship Id="rId242" Type="http://schemas.openxmlformats.org/officeDocument/2006/relationships/image" Target="media/image234.png"/><Relationship Id="rId243" Type="http://schemas.openxmlformats.org/officeDocument/2006/relationships/image" Target="media/image235.png"/><Relationship Id="rId244" Type="http://schemas.openxmlformats.org/officeDocument/2006/relationships/image" Target="media/image236.png"/><Relationship Id="rId245" Type="http://schemas.openxmlformats.org/officeDocument/2006/relationships/image" Target="media/image237.png"/><Relationship Id="rId246" Type="http://schemas.openxmlformats.org/officeDocument/2006/relationships/image" Target="media/image238.png"/><Relationship Id="rId247" Type="http://schemas.openxmlformats.org/officeDocument/2006/relationships/image" Target="media/image239.png"/><Relationship Id="rId248" Type="http://schemas.openxmlformats.org/officeDocument/2006/relationships/image" Target="media/image240.png"/><Relationship Id="rId249" Type="http://schemas.openxmlformats.org/officeDocument/2006/relationships/image" Target="media/image241.png"/><Relationship Id="rId250" Type="http://schemas.openxmlformats.org/officeDocument/2006/relationships/image" Target="media/image242.png"/><Relationship Id="rId251" Type="http://schemas.openxmlformats.org/officeDocument/2006/relationships/image" Target="media/image243.png"/><Relationship Id="rId252" Type="http://schemas.openxmlformats.org/officeDocument/2006/relationships/image" Target="media/image244.png"/><Relationship Id="rId253" Type="http://schemas.openxmlformats.org/officeDocument/2006/relationships/image" Target="media/image245.png"/><Relationship Id="rId254" Type="http://schemas.openxmlformats.org/officeDocument/2006/relationships/image" Target="media/image246.png"/><Relationship Id="rId255" Type="http://schemas.openxmlformats.org/officeDocument/2006/relationships/image" Target="media/image247.png"/><Relationship Id="rId256" Type="http://schemas.openxmlformats.org/officeDocument/2006/relationships/image" Target="media/image248.png"/><Relationship Id="rId257" Type="http://schemas.openxmlformats.org/officeDocument/2006/relationships/image" Target="media/image249.png"/><Relationship Id="rId258" Type="http://schemas.openxmlformats.org/officeDocument/2006/relationships/image" Target="media/image250.png"/><Relationship Id="rId259" Type="http://schemas.openxmlformats.org/officeDocument/2006/relationships/image" Target="media/image251.png"/><Relationship Id="rId260" Type="http://schemas.openxmlformats.org/officeDocument/2006/relationships/image" Target="media/image252.png"/><Relationship Id="rId261" Type="http://schemas.openxmlformats.org/officeDocument/2006/relationships/image" Target="media/image253.png"/><Relationship Id="rId262" Type="http://schemas.openxmlformats.org/officeDocument/2006/relationships/image" Target="media/image254.png"/><Relationship Id="rId263" Type="http://schemas.openxmlformats.org/officeDocument/2006/relationships/image" Target="media/image255.png"/><Relationship Id="rId264" Type="http://schemas.openxmlformats.org/officeDocument/2006/relationships/image" Target="media/image256.png"/><Relationship Id="rId265" Type="http://schemas.openxmlformats.org/officeDocument/2006/relationships/image" Target="media/image257.png"/><Relationship Id="rId266" Type="http://schemas.openxmlformats.org/officeDocument/2006/relationships/image" Target="media/image258.png"/><Relationship Id="rId267" Type="http://schemas.openxmlformats.org/officeDocument/2006/relationships/image" Target="media/image259.png"/><Relationship Id="rId268" Type="http://schemas.openxmlformats.org/officeDocument/2006/relationships/image" Target="media/image260.png"/><Relationship Id="rId269" Type="http://schemas.openxmlformats.org/officeDocument/2006/relationships/image" Target="media/image261.png"/><Relationship Id="rId270" Type="http://schemas.openxmlformats.org/officeDocument/2006/relationships/image" Target="media/image262.png"/><Relationship Id="rId271" Type="http://schemas.openxmlformats.org/officeDocument/2006/relationships/image" Target="media/image263.png"/><Relationship Id="rId272" Type="http://schemas.openxmlformats.org/officeDocument/2006/relationships/image" Target="media/image264.png"/><Relationship Id="rId273" Type="http://schemas.openxmlformats.org/officeDocument/2006/relationships/image" Target="media/image265.png"/><Relationship Id="rId274" Type="http://schemas.openxmlformats.org/officeDocument/2006/relationships/image" Target="media/image266.png"/><Relationship Id="rId275" Type="http://schemas.openxmlformats.org/officeDocument/2006/relationships/image" Target="media/image267.png"/><Relationship Id="rId276" Type="http://schemas.openxmlformats.org/officeDocument/2006/relationships/image" Target="media/image268.png"/><Relationship Id="rId277" Type="http://schemas.openxmlformats.org/officeDocument/2006/relationships/image" Target="media/image269.png"/><Relationship Id="rId278" Type="http://schemas.openxmlformats.org/officeDocument/2006/relationships/image" Target="media/image270.png"/><Relationship Id="rId279" Type="http://schemas.openxmlformats.org/officeDocument/2006/relationships/image" Target="media/image271.png"/><Relationship Id="rId280" Type="http://schemas.openxmlformats.org/officeDocument/2006/relationships/image" Target="media/image272.png"/><Relationship Id="rId281" Type="http://schemas.openxmlformats.org/officeDocument/2006/relationships/image" Target="media/image273.png"/><Relationship Id="rId282" Type="http://schemas.openxmlformats.org/officeDocument/2006/relationships/image" Target="media/image274.png"/><Relationship Id="rId283" Type="http://schemas.openxmlformats.org/officeDocument/2006/relationships/image" Target="media/image275.png"/><Relationship Id="rId284" Type="http://schemas.openxmlformats.org/officeDocument/2006/relationships/image" Target="media/image276.png"/><Relationship Id="rId285" Type="http://schemas.openxmlformats.org/officeDocument/2006/relationships/image" Target="media/image277.png"/><Relationship Id="rId286" Type="http://schemas.openxmlformats.org/officeDocument/2006/relationships/image" Target="media/image278.png"/><Relationship Id="rId287" Type="http://schemas.openxmlformats.org/officeDocument/2006/relationships/image" Target="media/image279.png"/><Relationship Id="rId288" Type="http://schemas.openxmlformats.org/officeDocument/2006/relationships/image" Target="media/image280.png"/><Relationship Id="rId289" Type="http://schemas.openxmlformats.org/officeDocument/2006/relationships/image" Target="media/image281.png"/><Relationship Id="rId290" Type="http://schemas.openxmlformats.org/officeDocument/2006/relationships/image" Target="media/image282.png"/><Relationship Id="rId291" Type="http://schemas.openxmlformats.org/officeDocument/2006/relationships/image" Target="media/image283.png"/><Relationship Id="rId292" Type="http://schemas.openxmlformats.org/officeDocument/2006/relationships/image" Target="media/image284.png"/><Relationship Id="rId293" Type="http://schemas.openxmlformats.org/officeDocument/2006/relationships/image" Target="media/image285.png"/><Relationship Id="rId294" Type="http://schemas.openxmlformats.org/officeDocument/2006/relationships/image" Target="media/image286.png"/><Relationship Id="rId15" Type="http://schemas.openxmlformats.org/officeDocument/2006/relationships/hyperlink" Target="http://www.sec.gov/Archives/edgar/data/1822145/000155837023005593/prst-20230331xex10d7.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2023-05-22T08:43:28Z</dcterms:created>
  <dcterms:modified xsi:type="dcterms:W3CDTF">2023-05-22T08:43:28Z</dcterms:modified>
</cp:coreProperties>
</file>