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Presto Automation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74113T105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Krishna K. Gupta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Romulus Capital</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307 Harvard Street</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(516) 603-9357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21,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403" w:right="519" w:bottom="1440" w:gutter="0" w:footer="0" w:header="0"/>
        </w:sectPr>
      </w:pPr>
    </w:p>
    <w:bookmarkStart w:id="1" w:name="page2"/>
    <w:bookmarkEnd w:id="1"/>
    <w:p>
      <w:pPr>
        <w:ind w:left="744" w:right="8160" w:hanging="497"/>
        <w:spacing w:after="0" w:line="430" w:lineRule="auto"/>
        <w:tabs>
          <w:tab w:leader="none" w:pos="7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Romulus Capital I, L.P.</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239,399</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239,399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239,399</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2" w:name="page3"/>
    <w:bookmarkEnd w:id="2"/>
    <w:p>
      <w:pPr>
        <w:ind w:left="744" w:right="7960" w:hanging="497"/>
        <w:spacing w:after="0" w:line="430" w:lineRule="auto"/>
        <w:tabs>
          <w:tab w:leader="none" w:pos="7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Palatine Hill Ventures GP LLC</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239,399</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239,399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239,399</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3" w:name="page4"/>
    <w:bookmarkEnd w:id="3"/>
    <w:p>
      <w:pPr>
        <w:ind w:left="744" w:right="8160" w:hanging="497"/>
        <w:spacing w:after="0" w:line="430" w:lineRule="auto"/>
        <w:tabs>
          <w:tab w:leader="none" w:pos="7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Romulus Capital II, L.P.</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3,608,384</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3,608,384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3,608,384</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4" w:name="page5"/>
    <w:bookmarkEnd w:id="4"/>
    <w:p>
      <w:pPr>
        <w:ind w:left="744" w:right="8160" w:hanging="497"/>
        <w:spacing w:after="0" w:line="430" w:lineRule="auto"/>
        <w:tabs>
          <w:tab w:leader="none" w:pos="7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Romulus Capital III, L.P.</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8,225,642</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8,225,642</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8,225,642</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5" w:name="page6"/>
    <w:bookmarkEnd w:id="5"/>
    <w:p>
      <w:pPr>
        <w:ind w:left="744" w:hanging="497"/>
        <w:spacing w:after="0"/>
        <w:tabs>
          <w:tab w:leader="none" w:pos="7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Romulus ELC B3 Special Opportunity, L.P.</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159,209</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159,209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159,209</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6" w:name="page7"/>
    <w:bookmarkEnd w:id="6"/>
    <w:p>
      <w:pPr>
        <w:ind w:left="744" w:right="7760" w:hanging="497"/>
        <w:spacing w:after="0" w:line="430" w:lineRule="auto"/>
        <w:tabs>
          <w:tab w:leader="none" w:pos="7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Romulus Capital Partners II, LLC</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11,993,235</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11,993,235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11,993,235</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7" w:name="page8"/>
    <w:bookmarkEnd w:id="7"/>
    <w:p>
      <w:pPr>
        <w:ind w:left="744" w:right="7680" w:hanging="497"/>
        <w:spacing w:after="0" w:line="430" w:lineRule="auto"/>
        <w:tabs>
          <w:tab w:leader="none" w:pos="7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Zaffran Special Opportunities LLC</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00" w:lineRule="auto"/>
        <w:tabs>
          <w:tab w:leader="none" w:pos="7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638,076</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638,076</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360" w:hanging="587"/>
        <w:spacing w:after="0" w:line="406" w:lineRule="auto"/>
        <w:tabs>
          <w:tab w:leader="none" w:pos="73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638,076</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8" w:name="page9"/>
    <w:bookmarkEnd w:id="8"/>
    <w:p>
      <w:pPr>
        <w:ind w:left="744" w:right="8220" w:hanging="497"/>
        <w:spacing w:after="0" w:line="430" w:lineRule="auto"/>
        <w:tabs>
          <w:tab w:leader="none" w:pos="74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KKG Enterprises LLC</w:t>
      </w:r>
    </w:p>
    <w:p>
      <w:pPr>
        <w:spacing w:after="0" w:line="1" w:lineRule="exact"/>
        <w:rPr>
          <w:rFonts w:ascii="Times New Roman" w:cs="Times New Roman" w:eastAsia="Times New Roman" w:hAnsi="Times New Roman"/>
          <w:sz w:val="17"/>
          <w:szCs w:val="17"/>
          <w:color w:val="auto"/>
        </w:rPr>
      </w:pPr>
    </w:p>
    <w:p>
      <w:pPr>
        <w:ind w:left="744" w:hanging="497"/>
        <w:spacing w:after="0"/>
        <w:tabs>
          <w:tab w:leader="none" w:pos="7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600" w:hanging="497"/>
        <w:spacing w:after="0" w:line="400" w:lineRule="auto"/>
        <w:tabs>
          <w:tab w:leader="none" w:pos="7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304" w:hanging="498"/>
        <w:spacing w:after="0"/>
        <w:tabs>
          <w:tab w:leader="none" w:pos="2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279,680</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279,680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44" w:right="5420" w:hanging="587"/>
        <w:spacing w:after="0" w:line="406" w:lineRule="auto"/>
        <w:tabs>
          <w:tab w:leader="none" w:pos="73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279,680</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52"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1004"/>
          </w:cols>
          <w:pgMar w:left="436" w:top="283" w:right="459" w:bottom="1440" w:gutter="0" w:footer="0" w:header="0"/>
        </w:sectPr>
      </w:pPr>
    </w:p>
    <w:bookmarkStart w:id="9" w:name="page10"/>
    <w:bookmarkEnd w:id="9"/>
    <w:p>
      <w:pPr>
        <w:ind w:left="744" w:right="8160" w:hanging="497"/>
        <w:spacing w:after="0" w:line="406" w:lineRule="auto"/>
        <w:tabs>
          <w:tab w:leader="none" w:pos="7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Neil Chheda</w:t>
      </w:r>
    </w:p>
    <w:p>
      <w:pPr>
        <w:spacing w:after="0" w:line="1"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540" w:hanging="497"/>
        <w:spacing w:after="0" w:line="423" w:lineRule="auto"/>
        <w:tabs>
          <w:tab w:leader="none" w:pos="7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1" w:lineRule="exact"/>
        <w:rPr>
          <w:rFonts w:ascii="Times New Roman" w:cs="Times New Roman" w:eastAsia="Times New Roman" w:hAnsi="Times New Roman"/>
          <w:sz w:val="17"/>
          <w:szCs w:val="17"/>
          <w:color w:val="auto"/>
        </w:rPr>
      </w:pPr>
    </w:p>
    <w:p>
      <w:pPr>
        <w:ind w:left="2304" w:hanging="498"/>
        <w:spacing w:after="0"/>
        <w:tabs>
          <w:tab w:leader="none" w:pos="2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12,232,634</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12,232,634</w:t>
      </w:r>
    </w:p>
    <w:p>
      <w:pPr>
        <w:spacing w:after="0" w:line="36" w:lineRule="exact"/>
        <w:rPr>
          <w:sz w:val="20"/>
          <w:szCs w:val="20"/>
          <w:color w:val="auto"/>
        </w:rPr>
      </w:pPr>
    </w:p>
    <w:p>
      <w:pPr>
        <w:ind w:left="744" w:right="5360" w:hanging="587"/>
        <w:spacing w:after="0" w:line="406" w:lineRule="auto"/>
        <w:tabs>
          <w:tab w:leader="none" w:pos="73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12,232,634</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0944"/>
          </w:cols>
          <w:pgMar w:left="436" w:top="283" w:right="519" w:bottom="1440" w:gutter="0" w:footer="0" w:header="0"/>
        </w:sectPr>
      </w:pPr>
    </w:p>
    <w:bookmarkStart w:id="10" w:name="page11"/>
    <w:bookmarkEnd w:id="10"/>
    <w:p>
      <w:pPr>
        <w:ind w:left="744" w:right="8220" w:hanging="497"/>
        <w:spacing w:after="0" w:line="406" w:lineRule="auto"/>
        <w:tabs>
          <w:tab w:leader="none" w:pos="7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Krishna K. Gupta</w:t>
      </w:r>
    </w:p>
    <w:p>
      <w:pPr>
        <w:spacing w:after="0" w:line="1"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4"/>
        <w:spacing w:after="0" w:line="207" w:lineRule="exact"/>
        <w:tabs>
          <w:tab w:leader="none" w:pos="152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4" w:hanging="497"/>
        <w:spacing w:after="0"/>
        <w:tabs>
          <w:tab w:leader="none" w:pos="7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744" w:hanging="497"/>
        <w:spacing w:after="0"/>
        <w:tabs>
          <w:tab w:leader="none" w:pos="7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right="7600" w:hanging="497"/>
        <w:spacing w:after="0" w:line="423" w:lineRule="auto"/>
        <w:tabs>
          <w:tab w:leader="none" w:pos="7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1" w:lineRule="exact"/>
        <w:rPr>
          <w:rFonts w:ascii="Times New Roman" w:cs="Times New Roman" w:eastAsia="Times New Roman" w:hAnsi="Times New Roman"/>
          <w:sz w:val="17"/>
          <w:szCs w:val="17"/>
          <w:color w:val="auto"/>
        </w:rPr>
      </w:pPr>
    </w:p>
    <w:p>
      <w:pPr>
        <w:ind w:left="2304" w:hanging="498"/>
        <w:spacing w:after="0"/>
        <w:tabs>
          <w:tab w:leader="none" w:pos="2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1,347,321</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12,232,634</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1,347,321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12,232,634</w:t>
      </w:r>
    </w:p>
    <w:p>
      <w:pPr>
        <w:spacing w:after="0" w:line="36" w:lineRule="exact"/>
        <w:rPr>
          <w:sz w:val="20"/>
          <w:szCs w:val="20"/>
          <w:color w:val="auto"/>
        </w:rPr>
      </w:pPr>
    </w:p>
    <w:p>
      <w:pPr>
        <w:ind w:left="744" w:right="5420" w:hanging="587"/>
        <w:spacing w:after="0" w:line="406" w:lineRule="auto"/>
        <w:tabs>
          <w:tab w:leader="none" w:pos="7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13,579,955</w:t>
      </w:r>
    </w:p>
    <w:p>
      <w:pPr>
        <w:spacing w:after="0" w:line="1"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74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 (1)</w:t>
      </w:r>
    </w:p>
    <w:p>
      <w:pPr>
        <w:spacing w:after="0" w:line="36" w:lineRule="exact"/>
        <w:rPr>
          <w:rFonts w:ascii="Times New Roman" w:cs="Times New Roman" w:eastAsia="Times New Roman" w:hAnsi="Times New Roman"/>
          <w:sz w:val="18"/>
          <w:szCs w:val="18"/>
          <w:color w:val="auto"/>
        </w:rPr>
      </w:pPr>
    </w:p>
    <w:p>
      <w:pPr>
        <w:ind w:left="744" w:hanging="587"/>
        <w:spacing w:after="0"/>
        <w:tabs>
          <w:tab w:leader="none" w:pos="7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52"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50,639,837 shares of Common Stock outstanding, as disclosed in the Issuer’s Registration Statement on Form S-1 filed with the Securities and Exchange Commission on October 21, 2022.</w:t>
      </w:r>
    </w:p>
    <w:p>
      <w:pPr>
        <w:sectPr>
          <w:pgSz w:w="11900" w:h="16838" w:orient="portrait"/>
          <w:cols w:equalWidth="0" w:num="1">
            <w:col w:w="11004"/>
          </w:cols>
          <w:pgMar w:left="436" w:top="283"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(this “Amendment”) amends and restates in its entirety the Schedule 13D originally filed by the Reporting Persons on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October 3, 2022 (the “Schedule 13D”) to correct the number of shares of Common Stock beneficially owned by certain of the Reporting Persons. Except as set forth in this Amendment, each capitalized term used but not defined in this Amendment shall have the meaning assigned to such term in the Schedule 13D.</w:t>
      </w:r>
    </w:p>
    <w:p>
      <w:pPr>
        <w:spacing w:after="0" w:line="3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Schedule 13D relates to the shares of Common Stock, $0.0001 par value per share (the “Common Stock”), of Presto Automation Inc. (the “Issuer” or the “Company”). The address of the principal executive offices of the Issuer is 985 Industrial Road, San Carlos, CA 94070.</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is being filed by the following persons (each a “Reporting Person”):</w:t>
      </w:r>
    </w:p>
    <w:p>
      <w:pPr>
        <w:spacing w:after="0" w:line="131" w:lineRule="exact"/>
        <w:rPr>
          <w:sz w:val="20"/>
          <w:szCs w:val="20"/>
          <w:color w:val="auto"/>
        </w:rPr>
      </w:pPr>
    </w:p>
    <w:p>
      <w:pPr>
        <w:ind w:left="960" w:right="38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Romulus Capital I, L.P., a Delaware limited partnership (“Romulus I”). Palatine Hill Ventures GP LLC (“Palatine Hill”) is the general partner of Romulus I.</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Palatine Hill, a Delaware limited liability company. Krishna K. Gupta and Neil Chheda are the managing members.</w:t>
      </w:r>
    </w:p>
    <w:p>
      <w:pPr>
        <w:spacing w:after="0" w:line="130"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Romulus Capital II, L.P., a Delaware limited partnership (“Romulus II”). Romulus Capital Partners II, LLC (“Romulus II GP”) is the general partner of Romulus II.</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Romulus Capital III, L.P., a Delaware limited partnership (“Romulus III”). Romulus II GP is the general partner of Romulus III.</w:t>
      </w:r>
    </w:p>
    <w:p>
      <w:pPr>
        <w:spacing w:after="0" w:line="130"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Romulus ELC B3 Special Opportunity, L.P., a Delaware limited partnership (“Romulus ELC”). Romulus II GP is the general partner of Romulus ELC.</w:t>
      </w:r>
    </w:p>
    <w:p>
      <w:pPr>
        <w:spacing w:after="0" w:line="67"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Zaffran Special Opportunities LLC, a Delaware limited liability company (“Zaffran”). Krishna K. Gupta is the sole general partner of Zaffran.</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KKG Enterprises LLC, a Delaware limited liability company (“KKG Enterprises”). Krishna K. Gupta is the sole managing member of KKG Enterprises.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Neil Chheda, a citizen of the United States of America.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Krishna K. Gupta, a citizen of the United States of America.</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principal business of each Reporting Person is the venture capital investment business. The principal business address of each Reporting Person is 307 Harvard Street, Cambridge, MA 02139.</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last five years, none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6 of this statement is incorporated by reference into this Item 3.</w:t>
      </w:r>
    </w:p>
    <w:p>
      <w:pPr>
        <w:sectPr>
          <w:pgSz w:w="11900" w:h="16838" w:orient="portrait"/>
          <w:cols w:equalWidth="0" w:num="1">
            <w:col w:w="11000"/>
          </w:cols>
          <w:pgMar w:left="440" w:top="270" w:right="459" w:bottom="1440" w:gutter="0" w:footer="0" w:header="0"/>
        </w:sectPr>
      </w:pPr>
    </w:p>
    <w:bookmarkStart w:id="12" w:name="page13"/>
    <w:bookmarkEnd w:id="12"/>
    <w:p>
      <w:pPr>
        <w:ind w:left="4"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described in Item 6 of this Statement, the securities reported on this Statement reflect the consummation of the Business Combination (as defined below) contemplated by the Merger Agreement (as defined below) and the transactions consummated in connection therewith.</w:t>
      </w:r>
    </w:p>
    <w:p>
      <w:pPr>
        <w:spacing w:after="0" w:line="30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Items 5 and 6 of this Statement is incorporated by reference into this Item 4.</w:t>
      </w:r>
    </w:p>
    <w:p>
      <w:pPr>
        <w:spacing w:after="0" w:line="225"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On September 21, 2022 (the “Closing Date” as defined below and described in Item 6 of this Statement), the Reporting Persons acquired (or have been deemed to have acquired) beneficial ownership of an aggregate of 13,150,390 shares of Common Stock in connection with the Business Combination (as defined below).</w:t>
      </w:r>
    </w:p>
    <w:p>
      <w:pPr>
        <w:spacing w:after="0" w:line="176"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The shares of Common Stock reported herein were acquired solely for investment purposes. None of the Reporting Persons have any present plans or proposals that relate to or would result in any change in the business, policies, management, structure or capitalization of the Issuer. The Reporting Persons reserve the right to acquire, or dispose of, additional securities of the Issuer in the ordinary course of their business, to the extent deemed advisable in light of their general investment and trading policies, market conditions or other factors. The Reporting Persons may engage in discussions from time to time with other stockholders of the Issuer regarding the acquisition by the Reporting Persons of others of shares of the Issuer’s Common Stock held by such stockholders. Additionally, the Reporting Persons may acquire additional Securities through open market transactions, privately negotiated transactions or other methods.</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connection with the foregoing, and as may be appropriate from time to time, each of the Reporting Persons may consider the feasibility and advisability of various alternative courses of action with respect to the Reporting Persons’ investment in the Issuer, including, without limitation: (a) the acquisition or disposition of Common Stock, including through derivative transactions which may include security-based swaps and short sales;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other material changes in the Issuer’s business or corporate structure;</w:t>
      </w:r>
    </w:p>
    <w:p>
      <w:pPr>
        <w:spacing w:after="0" w:line="5" w:lineRule="exact"/>
        <w:rPr>
          <w:sz w:val="20"/>
          <w:szCs w:val="20"/>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articles of incorporation or bylaws or other actions that may impede the acquisition of control of the Issuer by any person;</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any class of the Issuer’s securities to be delisted from a national securities exchange or to cease to be authorized to be quoted in an inter-dealer quotation system of a registered national securities association; (i) causing a class of equity securities of the Issuer to become eligible for termination of registration pursuant to Section 12 of the Exchange Act; or (j) any action similar to those enumerated above. Except as described in Item 6 and this Item 4 and any plans or proposals that may from time to time be discussed or considered by the directors of the Issuer, including Mr. Gupta, in his fiduciary capacity as a director of the Issuer, the Reporting Persons do not currently have any plans or proposals that relate to or would result in any of the actions specified in clause (a) through (j) of this paragraph.</w:t>
      </w:r>
    </w:p>
    <w:p>
      <w:pPr>
        <w:spacing w:after="0" w:line="190"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w:t>
      </w:r>
    </w:p>
    <w:p>
      <w:pPr>
        <w:spacing w:after="0" w:line="32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(a)-(b) The information set forth in rows 7 through 13 of the cover pages to this Schedule 13D is incorporated by reference. The percent of class was calculated based on 50,639,837 shares of Common Stock outstanding, as disclosed in the Issuer’s Registration Statement on Form S-1 filed with the Securities and Exchange Commission on October 21, 2022.</w:t>
      </w:r>
    </w:p>
    <w:p>
      <w:pPr>
        <w:spacing w:after="0" w:line="176"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Romulus I directly owns 239,399 shares of Common Stock, representing approximately 0.5% of the outstanding Common Stock. Palatine Hill, as the general partner of Romulus I, and Krishna K. Gupta and Neil Chheda, as the managing members of Palatine Hill, may each be deemed to beneficially own the shares of Common Stock held directly by Romulus I.</w:t>
      </w:r>
    </w:p>
    <w:p>
      <w:pPr>
        <w:sectPr>
          <w:pgSz w:w="11900" w:h="16838" w:orient="portrait"/>
          <w:cols w:equalWidth="0" w:num="1">
            <w:col w:w="11004"/>
          </w:cols>
          <w:pgMar w:left="436" w:top="270" w:right="459" w:bottom="1440" w:gutter="0" w:footer="0" w:header="0"/>
        </w:sectPr>
      </w:pPr>
    </w:p>
    <w:bookmarkStart w:id="13" w:name="page14"/>
    <w:bookmarkEnd w:id="1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Romulus II directly owns 3,608,384 shares of Common Stock, representing approximately 7.1% of the outstanding Common Stock. Romulus III directly owns 8,225,642 shares of Common Stock, representing approximately 16.2% of the outstanding Common Stock. Romulus ELC directly owns 159,209 shares of Common Stock, representing approximately 0.3% of the outstanding Common Stock. Romulus II GP, as the general partner of each of Romulus II, Romulus III and Romulus ELC, and Krishna K. Gupta and Neil Chheda, as the managing members of Romulus II GP, may each be deemed to beneficially own the shares of Common Stock held directly by Romulus II, Romulus III and Romulus ELC.</w:t>
      </w:r>
    </w:p>
    <w:p>
      <w:pPr>
        <w:spacing w:after="0" w:line="183"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Zaffran directly owns 638,076 shares of Common Stock, representing approximately 1.3% of the outstanding Common Stock. KKG Enterprises directly owns 279,680 shares of Common Stock, representing approximately 0.6% of the outstanding Common Stock. Krishna K. Gupta, as the sole general partner of Zaffran and sole managing member of KKG Enterprises, may be deemed to beneficially own the shares of Common Stock held directly by Zaffran and KKG Enterprises. As of the date of this Statement, Mr. Gupta also held 1,200,000 restricted stock units, of which 429,565 shall vest within 60 days and are included in the beneficial ownership totals reported herein.</w:t>
      </w:r>
    </w:p>
    <w:p>
      <w:pPr>
        <w:spacing w:after="0" w:line="183"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The foregoing excludes the contingent right of Romulus I, Romulus II, Romulus III, Romulus ELC, Zaffran and KKG Enterprises to receive an aggregate of up to 3,761,549 Earn-Out Shares (as defined and described in Item 6 of this Statement).</w:t>
      </w:r>
    </w:p>
    <w:p>
      <w:pPr>
        <w:spacing w:after="0" w:line="162" w:lineRule="exact"/>
        <w:rPr>
          <w:sz w:val="20"/>
          <w:szCs w:val="20"/>
          <w:color w:val="auto"/>
        </w:rPr>
      </w:pPr>
    </w:p>
    <w:p>
      <w:pPr>
        <w:ind w:left="244" w:hanging="244"/>
        <w:spacing w:after="0"/>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none of the Reporting Persons has effected any transaction of the Issuer’s Common Stock in the last 60 days.</w:t>
      </w:r>
    </w:p>
    <w:p>
      <w:pPr>
        <w:spacing w:after="0" w:line="225" w:lineRule="exact"/>
        <w:rPr>
          <w:rFonts w:ascii="Times New Roman" w:cs="Times New Roman" w:eastAsia="Times New Roman" w:hAnsi="Times New Roman"/>
          <w:sz w:val="18"/>
          <w:szCs w:val="18"/>
          <w:color w:val="auto"/>
        </w:rPr>
      </w:pPr>
    </w:p>
    <w:p>
      <w:pPr>
        <w:ind w:left="4" w:right="60" w:hanging="4"/>
        <w:spacing w:after="0" w:line="282"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has the right to receive or the power to direct the receipt of dividends from, or the proceeds from the sale of, securities covered by this statement.</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4" w:right="100" w:hanging="984"/>
        <w:spacing w:after="0" w:line="286" w:lineRule="auto"/>
        <w:tabs>
          <w:tab w:leader="none" w:pos="9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On the Closing Date, pursuant to the Agreement and Plan of Merger, dated as of November 10, 2021 (the “Merger Agreement”), as amended by that certain Amendment to Agreement and Plan of Merger, dated as of April 1, 2022 (“Amendment No. 1”), as further amended by that Second Amendment to Agreement and Plan of Merger, dated as of July 25, 2022 (“Amendment No. 2”), by and among the Issuer (f/k/a Ventoux CCM Acquisition Corp.), Ventoux Merger Sub I Inc., a Delaware corporation and a direct, wholly-owned subsidiary of the Issuer (“Ventoux Merger Sub I”), Ventoux Merger Sub II, LLC, a Delaware limited liability company and a direct, wholly-owned subsidiary of the Issuer (“Ventoux Merger Sub II”), and E La Carte, Inc., a Delaware corporation (d/b/a Presto, Inc. “Legacy Presto”), (a) Ventoux Merger Sub merged with and into Legacy Presto, with Legacy Presto being the surviving entity in the First Merger and continuing (immediately following the First Merger) as a wholly-owned subsidiary of the Issuer (the “Surviving Corporation”) and (b) immediately following the First Merger and as part of the same overall transaction as the First Merger, the Surviving Corporation merged with and into Ventoux Merger Sub II (the “Second Merger”), with Ventoux Merger Sub II being the surviving entity in the Second Merger and continuing (immediately following the Second Merger) as a wholly-owned subsidiary of the Issuer (the “Mergers” and together with the other transactions contemplated by the Merger Agreement, the “Business Combination”)</w:t>
      </w:r>
    </w:p>
    <w:p>
      <w:pPr>
        <w:spacing w:after="0" w:line="19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At the Effective Time of the First Merger on the Closing Date (the “Effective Time”), each share of Common Stock of Legacy Presto issued and outstanding as of immediately prior to the Effective Time was converted into the right to receive shares of Common Stock of the Issuer. Pursuant to the Merger Agreement, the Reporting Persons received an aggregate of 13,150,390 shares of Common Stock.</w:t>
      </w:r>
    </w:p>
    <w:p>
      <w:pPr>
        <w:sectPr>
          <w:pgSz w:w="11900" w:h="16838" w:orient="portrait"/>
          <w:cols w:equalWidth="0" w:num="1">
            <w:col w:w="11024"/>
          </w:cols>
          <w:pgMar w:left="436" w:top="270" w:right="439" w:bottom="1440" w:gutter="0" w:footer="0" w:header="0"/>
        </w:sectPr>
      </w:pPr>
    </w:p>
    <w:bookmarkStart w:id="14" w:name="page15"/>
    <w:bookmarkEnd w:id="14"/>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excludes the contingent right of Romulus I, Romulus II, Romulus III, Romulus ELC, Zaffran and KKG Enterprises to receive an aggregate of up to 3,761,549 shares of Common Stock (the “Earn-Out Shares”). The Earn-Out Shares shall vest and be released upon the satisfaction of certain share price vesting conditions as follows: (i) if, at any time prior to September 21, 2025 the volume-weighted average price (“VWAP”) of the Issuer’s Common Stock equals or exceeds $12.50 per share for any 20 trading days within a 30-trading day period, one half (1/2) of the Earnout Shares shall vest; and (ii) if, at any time prior to September 21, 2027, the VWAP of the Issuer’s Common Stock equals or exceeds $15.00 per share for any 20 trading days within a 30-trading day period, one half (1/2) of the Earnout Shares shall vest.</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Amendment No. 1 and Amendment No. 2 do not purport to be complete and are qualified in their entirety by reference to the text of such agreements, copies of which are included as Exhibits 99.2, 99.3 and 99.4 to this Statement,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an Amended and Restated Registration Rights Agreement with certain securityholders and the other parties thereto (including certain of the Reporting Persons, the “Holders”).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99.5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Closing Date, the Company entered into a Governance Agreement (the “Governance Agreement”) with certain securityholders of the Company, including Romulus I, Romulus II, Romulus III, Romulus ELC and Zaffran (together, the “REMUS Stockholders”) to provide for certain governance rights and address certain governance matters relating to the Company. The Governance Agreement provides the REMUS Stockholders with the right to nominate one individual to the Company’s board of directors (the “REMUS Director”), subject to certain qualifications, requirements and exceptions as set forth therein, including varying equity holding threshold requirements. Krishna K. Gupta has been designated as the initial REMUS Director, and shall also serve as the Chairperson of the Board of Directors of the Company, continuing in such role after the 2023 annual meeting of stockholders until the earlier of (1) such time as he is no longer a director of the Company, and (2) the succeeding annual meeting of stockholders of the Company at which the class of directors of which he is a member is subject to reelection. In addition to the right of the REMUS Stockholders to appoint the REMUS Director, and without limiting any of the rights associated with the foregoing, the REMUS Stockholders also have the exclusive right to designate a successor for appointment for Gail Zauder upon her resignation, however, such right is limited to Ms. Zauder only, and, after such successor for appointment is appointed by the REMUS Stockholders, the right to appoint any vacancy created by such seat is no longer the right of the REMUS Stockholders, but rather is to be determined by the Company’s nominating and corporate governance committee and its board of directors.</w:t>
      </w:r>
    </w:p>
    <w:p>
      <w:pPr>
        <w:spacing w:after="0" w:line="1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Governance Agreement does not purport to be complete and is qualified in its entirety by the terms and conditions of the Governance Agreement, a form of which is attached as Exhibit 99.6 hereto, and the terms of which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Presto Stockholder Support Agreement</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Issuer, Legacy Presto and certain Legacy Presto Stockholders (including certain of the Reporting Persons, the “Presto Supporting Stockholders”) entered into the Presto Stockholder Support Agreement, as amended on July 25, 2022. Among other things, the Presto Stockholder Support Agreement provides that during the period beginning on the Closing Date and ending 18 months after the Closing Date, the Presto Supporting Stockholders may not transfer any of their shares of Common Stock, except for certain limited permitted transfers.</w:t>
      </w:r>
    </w:p>
    <w:p>
      <w:pPr>
        <w:sectPr>
          <w:pgSz w:w="11900" w:h="16838" w:orient="portrait"/>
          <w:cols w:equalWidth="0" w:num="1">
            <w:col w:w="11020"/>
          </w:cols>
          <w:pgMar w:left="440" w:top="270" w:right="439" w:bottom="1440" w:gutter="0" w:footer="0" w:header="0"/>
        </w:sectPr>
      </w:pPr>
    </w:p>
    <w:bookmarkStart w:id="15" w:name="page16"/>
    <w:bookmarkEnd w:id="1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Presto Stockholder Support Agreement does not purport to be complete and is qualified in its entirety by the terms and conditions of the Amended and Restated Support Agreement, a form of which is attached as Exhibit 99.7 hereto, and the terms of which are incorporated herein by reference.</w:t>
      </w:r>
    </w:p>
    <w:p>
      <w:pPr>
        <w:spacing w:after="0" w:line="200" w:lineRule="exact"/>
        <w:rPr>
          <w:sz w:val="20"/>
          <w:szCs w:val="20"/>
          <w:color w:val="auto"/>
        </w:rPr>
      </w:pPr>
    </w:p>
    <w:p>
      <w:pPr>
        <w:spacing w:after="0" w:line="24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1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Joint Filing Agreement (filed herewith).</w:t>
      </w:r>
    </w:p>
    <w:p>
      <w:pPr>
        <w:spacing w:after="0" w:line="117" w:lineRule="exact"/>
        <w:rPr>
          <w:sz w:val="20"/>
          <w:szCs w:val="20"/>
          <w:color w:val="auto"/>
        </w:rPr>
      </w:pPr>
    </w:p>
    <w:p>
      <w:pPr>
        <w:ind w:left="1320" w:right="62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8"/>
          <w:szCs w:val="18"/>
          <w:color w:val="auto"/>
        </w:rPr>
        <w:t>Agreement and Plan of Merger (incorporated by reference to Exhibit 2.1 to the Issuer’s Current Report on Form 8-K filed on November 10, 2021).</w:t>
      </w:r>
    </w:p>
    <w:p>
      <w:pPr>
        <w:spacing w:after="0" w:line="54" w:lineRule="exact"/>
        <w:rPr>
          <w:sz w:val="20"/>
          <w:szCs w:val="20"/>
          <w:color w:val="auto"/>
        </w:rPr>
      </w:pPr>
    </w:p>
    <w:p>
      <w:pPr>
        <w:ind w:left="1320" w:right="4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99.3</w:t>
      </w:r>
      <w:r>
        <w:rPr>
          <w:sz w:val="20"/>
          <w:szCs w:val="20"/>
          <w:color w:val="auto"/>
        </w:rPr>
        <w:tab/>
      </w:r>
      <w:r>
        <w:rPr>
          <w:rFonts w:ascii="Times New Roman" w:cs="Times New Roman" w:eastAsia="Times New Roman" w:hAnsi="Times New Roman"/>
          <w:sz w:val="18"/>
          <w:szCs w:val="18"/>
          <w:color w:val="auto"/>
        </w:rPr>
        <w:t>First Amendment to Agreement and Plan of Merger (incorporated by reference to Exhibit 2.1 to the Issuer’s Current Report on Form 8-K filed on April 4, 2022).</w:t>
      </w:r>
    </w:p>
    <w:p>
      <w:pPr>
        <w:spacing w:after="0" w:line="54" w:lineRule="exact"/>
        <w:rPr>
          <w:sz w:val="20"/>
          <w:szCs w:val="20"/>
          <w:color w:val="auto"/>
        </w:rPr>
      </w:pPr>
    </w:p>
    <w:p>
      <w:pPr>
        <w:ind w:left="132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99.4</w:t>
      </w:r>
      <w:r>
        <w:rPr>
          <w:sz w:val="20"/>
          <w:szCs w:val="20"/>
          <w:color w:val="auto"/>
        </w:rPr>
        <w:tab/>
      </w:r>
      <w:r>
        <w:rPr>
          <w:rFonts w:ascii="Times New Roman" w:cs="Times New Roman" w:eastAsia="Times New Roman" w:hAnsi="Times New Roman"/>
          <w:sz w:val="18"/>
          <w:szCs w:val="18"/>
          <w:color w:val="auto"/>
        </w:rPr>
        <w:t>Second Amendment to Agreement and Plan of Merger (incorporated by reference to Annex A-3 to Exhibit 2.1 to the Issuer’s Current Report on Form 8-K filed on July 26, 2022).</w:t>
      </w:r>
    </w:p>
    <w:p>
      <w:pPr>
        <w:spacing w:after="0" w:line="54" w:lineRule="exact"/>
        <w:rPr>
          <w:sz w:val="20"/>
          <w:szCs w:val="20"/>
          <w:color w:val="auto"/>
        </w:rPr>
      </w:pPr>
    </w:p>
    <w:p>
      <w:pPr>
        <w:ind w:left="1320" w:right="30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99.5</w:t>
      </w:r>
      <w:r>
        <w:rPr>
          <w:sz w:val="20"/>
          <w:szCs w:val="20"/>
          <w:color w:val="auto"/>
        </w:rPr>
        <w:tab/>
      </w:r>
      <w:r>
        <w:rPr>
          <w:rFonts w:ascii="Times New Roman" w:cs="Times New Roman" w:eastAsia="Times New Roman" w:hAnsi="Times New Roman"/>
          <w:sz w:val="18"/>
          <w:szCs w:val="18"/>
          <w:color w:val="auto"/>
        </w:rPr>
        <w:t>Form of Amended and Restated Registration Rights Agreement (incorporated by reference to Exhibit 10.2 to the Issuer’s Current Report on Form 8-K, as filed with the Securities and Exchange Commission on September 27, 2022).</w:t>
      </w:r>
    </w:p>
    <w:p>
      <w:pPr>
        <w:spacing w:after="0" w:line="54" w:lineRule="exact"/>
        <w:rPr>
          <w:sz w:val="20"/>
          <w:szCs w:val="20"/>
          <w:color w:val="auto"/>
        </w:rPr>
      </w:pPr>
    </w:p>
    <w:p>
      <w:pPr>
        <w:ind w:left="1320" w:right="4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99.6</w:t>
      </w:r>
      <w:r>
        <w:rPr>
          <w:sz w:val="20"/>
          <w:szCs w:val="20"/>
          <w:color w:val="auto"/>
        </w:rPr>
        <w:tab/>
      </w:r>
      <w:r>
        <w:rPr>
          <w:rFonts w:ascii="Times New Roman" w:cs="Times New Roman" w:eastAsia="Times New Roman" w:hAnsi="Times New Roman"/>
          <w:sz w:val="18"/>
          <w:szCs w:val="18"/>
          <w:color w:val="auto"/>
        </w:rPr>
        <w:t>Form of Governance Agreement (incorporated by reference to Exhibit 10.4 to the Issuer’s Current Report on Form 8-K, as filed with the Securities and Exchange Commission on September 27, 2022).</w:t>
      </w:r>
    </w:p>
    <w:p>
      <w:pPr>
        <w:spacing w:after="0" w:line="54" w:lineRule="exact"/>
        <w:rPr>
          <w:sz w:val="20"/>
          <w:szCs w:val="20"/>
          <w:color w:val="auto"/>
        </w:rPr>
      </w:pPr>
    </w:p>
    <w:p>
      <w:pPr>
        <w:ind w:left="1320" w:right="24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99.7</w:t>
      </w:r>
      <w:r>
        <w:rPr>
          <w:sz w:val="20"/>
          <w:szCs w:val="20"/>
          <w:color w:val="auto"/>
        </w:rPr>
        <w:tab/>
      </w:r>
      <w:r>
        <w:rPr>
          <w:rFonts w:ascii="Times New Roman" w:cs="Times New Roman" w:eastAsia="Times New Roman" w:hAnsi="Times New Roman"/>
          <w:sz w:val="18"/>
          <w:szCs w:val="18"/>
          <w:color w:val="auto"/>
        </w:rPr>
        <w:t>Form of Presto Stockholder Support Agreement (incorporated by reference to Exhibit 10.8 to the Issuer’s Current Report on Form 8-K, as filed with the Securities and Exchange Commission on July 26, 2022).</w:t>
      </w:r>
    </w:p>
    <w:p>
      <w:pPr>
        <w:sectPr>
          <w:pgSz w:w="11900" w:h="16838" w:orient="portrait"/>
          <w:cols w:equalWidth="0" w:num="1">
            <w:col w:w="10920"/>
          </w:cols>
          <w:pgMar w:left="440" w:top="270" w:right="539" w:bottom="1440" w:gutter="0" w:footer="0" w:header="0"/>
        </w:sectPr>
      </w:pPr>
    </w:p>
    <w:bookmarkStart w:id="16" w:name="page17"/>
    <w:bookmarkEnd w:id="16"/>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28,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Palatine Hill Ventures GP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PALATINE HILL VENTURES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ELC B3 SPECIAL OPPORTUNITY, 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Romulus Capital Partners II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PARTNERS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KKG ENTERPRISES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ZAFFRAN SPECIAL OPPORTUNITIES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KRISHNA K. GUPTA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NEIL CHHEDA</w:t>
      </w:r>
    </w:p>
    <w:p>
      <w:pPr>
        <w:sectPr>
          <w:pgSz w:w="11900" w:h="16838" w:orient="portrait"/>
          <w:cols w:equalWidth="0" w:num="1">
            <w:col w:w="10600"/>
          </w:cols>
          <w:pgMar w:left="440" w:top="266" w:right="8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28,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Palatine Hill Ventures GP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PALATINE HILL VENTURES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ELC B3 SPECIAL OPPORTUNITY, 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Romulus Capital Partners II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ROMULUS CAPITAL PARTNERS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KKG ENTERPRISES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1020"/>
          </w:cols>
          <w:pgMar w:left="440" w:top="117"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ZAFFRAN SPECIAL OPPORTUNITIES LLC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KRISHNA K. GUPTA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NEIL CHHEDA</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3"/>
    </w:lvl>
    <w:lvl w:ilvl="1">
      <w:lvlJc w:val="left"/>
      <w:lvlText w:val="(%2)"/>
      <w:numFmt w:val="decimal"/>
      <w:start w:val="7"/>
    </w:lvl>
  </w:abstractNum>
  <w:abstractNum w:abstractNumId="3">
    <w:nsid w:val="75A2A8D4"/>
    <w:multiLevelType w:val="hybridMultilevel"/>
    <w:lvl w:ilvl="0">
      <w:lvlJc w:val="left"/>
      <w:lvlText w:val="%1"/>
      <w:numFmt w:val="decimal"/>
      <w:start w:val="1"/>
    </w:lvl>
    <w:lvl w:ilvl="1">
      <w:lvlJc w:val="left"/>
      <w:lvlText w:val="(%2)"/>
      <w:numFmt w:val="decimal"/>
      <w:start w:val="11"/>
    </w:lvl>
  </w:abstractNum>
  <w:abstractNum w:abstractNumId="4">
    <w:nsid w:val="8EDBDAB"/>
    <w:multiLevelType w:val="hybridMultilevel"/>
    <w:lvl w:ilvl="0">
      <w:lvlJc w:val="left"/>
      <w:lvlText w:val="(%1)"/>
      <w:numFmt w:val="decimal"/>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3"/>
    </w:lvl>
    <w:lvl w:ilvl="1">
      <w:lvlJc w:val="left"/>
      <w:lvlText w:val="(%2)"/>
      <w:numFmt w:val="decimal"/>
      <w:start w:val="7"/>
    </w:lvl>
  </w:abstractNum>
  <w:abstractNum w:abstractNumId="7">
    <w:nsid w:val="B03E0C6"/>
    <w:multiLevelType w:val="hybridMultilevel"/>
    <w:lvl w:ilvl="0">
      <w:lvlJc w:val="left"/>
      <w:lvlText w:val="%1"/>
      <w:numFmt w:val="decimal"/>
      <w:start w:val="1"/>
    </w:lvl>
    <w:lvl w:ilvl="1">
      <w:lvlJc w:val="left"/>
      <w:lvlText w:val="(%2)"/>
      <w:numFmt w:val="decimal"/>
      <w:start w:val="11"/>
    </w:lvl>
  </w:abstractNum>
  <w:abstractNum w:abstractNumId="8">
    <w:nsid w:val="189A769B"/>
    <w:multiLevelType w:val="hybridMultilevel"/>
    <w:lvl w:ilvl="0">
      <w:lvlJc w:val="left"/>
      <w:lvlText w:val="(%1)"/>
      <w:numFmt w:val="decimal"/>
      <w:start w:val="1"/>
    </w:lvl>
    <w:lvl w:ilvl="1">
      <w:lvlJc w:val="left"/>
      <w:lvlText w:val="%2"/>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3"/>
    </w:lvl>
    <w:lvl w:ilvl="1">
      <w:lvlJc w:val="left"/>
      <w:lvlText w:val="(%2)"/>
      <w:numFmt w:val="decimal"/>
      <w:start w:val="7"/>
    </w:lvl>
  </w:abstractNum>
  <w:abstractNum w:abstractNumId="11">
    <w:nsid w:val="2CA88611"/>
    <w:multiLevelType w:val="hybridMultilevel"/>
    <w:lvl w:ilvl="0">
      <w:lvlJc w:val="left"/>
      <w:lvlText w:val="%1"/>
      <w:numFmt w:val="decimal"/>
      <w:start w:val="1"/>
    </w:lvl>
    <w:lvl w:ilvl="1">
      <w:lvlJc w:val="left"/>
      <w:lvlText w:val="(%2)"/>
      <w:numFmt w:val="decimal"/>
      <w:start w:val="11"/>
    </w:lvl>
  </w:abstractNum>
  <w:abstractNum w:abstractNumId="12">
    <w:nsid w:val="836C40E"/>
    <w:multiLevelType w:val="hybridMultilevel"/>
    <w:lvl w:ilvl="0">
      <w:lvlJc w:val="left"/>
      <w:lvlText w:val="(%1)"/>
      <w:numFmt w:val="decimal"/>
      <w:start w:val="1"/>
    </w:lvl>
    <w:lvl w:ilvl="1">
      <w:lvlJc w:val="left"/>
      <w:lvlText w:val="%2"/>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3"/>
    </w:lvl>
    <w:lvl w:ilvl="1">
      <w:lvlJc w:val="left"/>
      <w:lvlText w:val="(%2)"/>
      <w:numFmt w:val="decimal"/>
      <w:start w:val="7"/>
    </w:lvl>
  </w:abstractNum>
  <w:abstractNum w:abstractNumId="15">
    <w:nsid w:val="8138641"/>
    <w:multiLevelType w:val="hybridMultilevel"/>
    <w:lvl w:ilvl="0">
      <w:lvlJc w:val="left"/>
      <w:lvlText w:val="%1"/>
      <w:numFmt w:val="decimal"/>
      <w:start w:val="1"/>
    </w:lvl>
    <w:lvl w:ilvl="1">
      <w:lvlJc w:val="left"/>
      <w:lvlText w:val="(%2)"/>
      <w:numFmt w:val="decimal"/>
      <w:start w:val="11"/>
    </w:lvl>
  </w:abstractNum>
  <w:abstractNum w:abstractNumId="16">
    <w:nsid w:val="1E7FF521"/>
    <w:multiLevelType w:val="hybridMultilevel"/>
    <w:lvl w:ilvl="0">
      <w:lvlJc w:val="left"/>
      <w:lvlText w:val="(%1)"/>
      <w:numFmt w:val="decimal"/>
      <w:start w:val="1"/>
    </w:lvl>
    <w:lvl w:ilvl="1">
      <w:lvlJc w:val="left"/>
      <w:lvlText w:val="%2"/>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3"/>
    </w:lvl>
    <w:lvl w:ilvl="1">
      <w:lvlJc w:val="left"/>
      <w:lvlText w:val="(%2)"/>
      <w:numFmt w:val="decimal"/>
      <w:start w:val="7"/>
    </w:lvl>
  </w:abstractNum>
  <w:abstractNum w:abstractNumId="19">
    <w:nsid w:val="6CEAF087"/>
    <w:multiLevelType w:val="hybridMultilevel"/>
    <w:lvl w:ilvl="0">
      <w:lvlJc w:val="left"/>
      <w:lvlText w:val="%1"/>
      <w:numFmt w:val="decimal"/>
      <w:start w:val="1"/>
    </w:lvl>
    <w:lvl w:ilvl="1">
      <w:lvlJc w:val="left"/>
      <w:lvlText w:val="(%2)"/>
      <w:numFmt w:val="decimal"/>
      <w:start w:val="11"/>
    </w:lvl>
  </w:abstractNum>
  <w:abstractNum w:abstractNumId="20">
    <w:nsid w:val="22221A70"/>
    <w:multiLevelType w:val="hybridMultilevel"/>
    <w:lvl w:ilvl="0">
      <w:lvlJc w:val="left"/>
      <w:lvlText w:val="(%1)"/>
      <w:numFmt w:val="decimal"/>
      <w:start w:val="1"/>
    </w:lvl>
    <w:lvl w:ilvl="1">
      <w:lvlJc w:val="left"/>
      <w:lvlText w:val="%2"/>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3"/>
    </w:lvl>
    <w:lvl w:ilvl="1">
      <w:lvlJc w:val="left"/>
      <w:lvlText w:val="(%2)"/>
      <w:numFmt w:val="decimal"/>
      <w:start w:val="7"/>
    </w:lvl>
  </w:abstractNum>
  <w:abstractNum w:abstractNumId="23">
    <w:nsid w:val="614FD4A1"/>
    <w:multiLevelType w:val="hybridMultilevel"/>
    <w:lvl w:ilvl="0">
      <w:lvlJc w:val="left"/>
      <w:lvlText w:val="%1"/>
      <w:numFmt w:val="decimal"/>
      <w:start w:val="1"/>
    </w:lvl>
    <w:lvl w:ilvl="1">
      <w:lvlJc w:val="left"/>
      <w:lvlText w:val="(%2)"/>
      <w:numFmt w:val="decimal"/>
      <w:start w:val="11"/>
    </w:lvl>
  </w:abstractNum>
  <w:abstractNum w:abstractNumId="24">
    <w:nsid w:val="419AC241"/>
    <w:multiLevelType w:val="hybridMultilevel"/>
    <w:lvl w:ilvl="0">
      <w:lvlJc w:val="left"/>
      <w:lvlText w:val="(%1)"/>
      <w:numFmt w:val="decimal"/>
      <w:start w:val="1"/>
    </w:lvl>
    <w:lvl w:ilvl="1">
      <w:lvlJc w:val="left"/>
      <w:lvlText w:val="%2"/>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3"/>
    </w:lvl>
    <w:lvl w:ilvl="1">
      <w:lvlJc w:val="left"/>
      <w:lvlText w:val="(%2)"/>
      <w:numFmt w:val="decimal"/>
      <w:start w:val="7"/>
    </w:lvl>
  </w:abstractNum>
  <w:abstractNum w:abstractNumId="27">
    <w:nsid w:val="5072367"/>
    <w:multiLevelType w:val="hybridMultilevel"/>
    <w:lvl w:ilvl="0">
      <w:lvlJc w:val="left"/>
      <w:lvlText w:val="%1"/>
      <w:numFmt w:val="decimal"/>
      <w:start w:val="1"/>
    </w:lvl>
    <w:lvl w:ilvl="1">
      <w:lvlJc w:val="left"/>
      <w:lvlText w:val="(%2)"/>
      <w:numFmt w:val="decimal"/>
      <w:start w:val="11"/>
    </w:lvl>
  </w:abstractNum>
  <w:abstractNum w:abstractNumId="28">
    <w:nsid w:val="3804823E"/>
    <w:multiLevelType w:val="hybridMultilevel"/>
    <w:lvl w:ilvl="0">
      <w:lvlJc w:val="left"/>
      <w:lvlText w:val="(%1)"/>
      <w:numFmt w:val="decimal"/>
      <w:start w:val="1"/>
    </w:lvl>
    <w:lvl w:ilvl="1">
      <w:lvlJc w:val="left"/>
      <w:lvlText w:val="%2"/>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3"/>
    </w:lvl>
    <w:lvl w:ilvl="1">
      <w:lvlJc w:val="left"/>
      <w:lvlText w:val="(%2)"/>
      <w:numFmt w:val="decimal"/>
      <w:start w:val="7"/>
    </w:lvl>
  </w:abstractNum>
  <w:abstractNum w:abstractNumId="31">
    <w:nsid w:val="5C482A97"/>
    <w:multiLevelType w:val="hybridMultilevel"/>
    <w:lvl w:ilvl="0">
      <w:lvlJc w:val="left"/>
      <w:lvlText w:val="%1"/>
      <w:numFmt w:val="decimal"/>
      <w:start w:val="1"/>
    </w:lvl>
    <w:lvl w:ilvl="1">
      <w:lvlJc w:val="left"/>
      <w:lvlText w:val="(%2)"/>
      <w:numFmt w:val="decimal"/>
      <w:start w:val="11"/>
    </w:lvl>
  </w:abstractNum>
  <w:abstractNum w:abstractNumId="32">
    <w:nsid w:val="2463B9EA"/>
    <w:multiLevelType w:val="hybridMultilevel"/>
    <w:lvl w:ilvl="0">
      <w:lvlJc w:val="left"/>
      <w:lvlText w:val="(%1)"/>
      <w:numFmt w:val="decimal"/>
      <w:start w:val="1"/>
    </w:lvl>
    <w:lvl w:ilvl="1">
      <w:lvlJc w:val="left"/>
      <w:lvlText w:val="%2"/>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3"/>
    </w:lvl>
    <w:lvl w:ilvl="1">
      <w:lvlJc w:val="left"/>
      <w:lvlText w:val="(%2)"/>
      <w:numFmt w:val="decimal"/>
      <w:start w:val="7"/>
    </w:lvl>
  </w:abstractNum>
  <w:abstractNum w:abstractNumId="35">
    <w:nsid w:val="2D517796"/>
    <w:multiLevelType w:val="hybridMultilevel"/>
    <w:lvl w:ilvl="0">
      <w:lvlJc w:val="left"/>
      <w:lvlText w:val="%1"/>
      <w:numFmt w:val="decimal"/>
      <w:start w:val="1"/>
    </w:lvl>
    <w:lvl w:ilvl="1">
      <w:lvlJc w:val="left"/>
      <w:lvlText w:val="(%2)"/>
      <w:numFmt w:val="decimal"/>
      <w:start w:val="11"/>
    </w:lvl>
  </w:abstractNum>
  <w:abstractNum w:abstractNumId="36">
    <w:nsid w:val="580BD78F"/>
    <w:multiLevelType w:val="hybridMultilevel"/>
    <w:lvl w:ilvl="0">
      <w:lvlJc w:val="left"/>
      <w:lvlText w:val="(%1)"/>
      <w:numFmt w:val="decimal"/>
      <w:start w:val="1"/>
    </w:lvl>
    <w:lvl w:ilvl="1">
      <w:lvlJc w:val="left"/>
      <w:lvlText w:val="%2"/>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3"/>
    </w:lvl>
    <w:lvl w:ilvl="1">
      <w:lvlJc w:val="left"/>
      <w:lvlText w:val="(%2)"/>
      <w:numFmt w:val="decimal"/>
      <w:start w:val="7"/>
    </w:lvl>
  </w:abstractNum>
  <w:abstractNum w:abstractNumId="39">
    <w:nsid w:val="70A64E2A"/>
    <w:multiLevelType w:val="hybridMultilevel"/>
    <w:lvl w:ilvl="0">
      <w:lvlJc w:val="left"/>
      <w:lvlText w:val="%1"/>
      <w:numFmt w:val="decimal"/>
      <w:start w:val="1"/>
    </w:lvl>
    <w:lvl w:ilvl="1">
      <w:lvlJc w:val="left"/>
      <w:lvlText w:val="(%2)"/>
      <w:numFmt w:val="decimal"/>
      <w:start w:val="11"/>
    </w:lvl>
  </w:abstractNum>
  <w:abstractNum w:abstractNumId="40">
    <w:nsid w:val="6A2342EC"/>
    <w:multiLevelType w:val="hybridMultilevel"/>
    <w:lvl w:ilvl="0">
      <w:lvlJc w:val="left"/>
      <w:lvlText w:val="(%1)"/>
      <w:numFmt w:val="decimal"/>
      <w:start w:val="1"/>
    </w:lvl>
    <w:lvl w:ilvl="1">
      <w:lvlJc w:val="left"/>
      <w:lvlText w:val="%2"/>
      <w:numFmt w:val="decimal"/>
      <w:start w:val="1"/>
    </w:lvl>
  </w:abstractNum>
  <w:abstractNum w:abstractNumId="41">
    <w:nsid w:val="2A487CB0"/>
    <w:multiLevelType w:val="hybridMultilevel"/>
    <w:lvl w:ilvl="0">
      <w:lvlJc w:val="left"/>
      <w:lvlText w:val="%1."/>
      <w:numFmt w:val="lowerRoman"/>
      <w:start w:val="1"/>
    </w:lvl>
  </w:abstractNum>
  <w:abstractNum w:abstractNumId="42">
    <w:nsid w:val="1D4ED43B"/>
    <w:multiLevelType w:val="hybridMultilevel"/>
    <w:lvl w:ilvl="0">
      <w:lvlJc w:val="left"/>
      <w:lvlText w:val="(%1)"/>
      <w:numFmt w:val="lowerLetter"/>
      <w:start w:val="7"/>
    </w:lvl>
  </w:abstractNum>
  <w:abstractNum w:abstractNumId="43">
    <w:nsid w:val="725A06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2022-11-28T15:28:10Z</dcterms:created>
  <dcterms:modified xsi:type="dcterms:W3CDTF">2022-11-28T15:28:10Z</dcterms:modified>
</cp:coreProperties>
</file>