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033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330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Gupta Ashish Ram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INDUSTRIAL ROAD,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Presto Automation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CARLOS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94070</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0.41</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760" w:type="dxa"/>
            <w:vAlign w:val="bottom"/>
            <w:gridSpan w:val="2"/>
          </w:tcPr>
          <w:p>
            <w:pPr>
              <w:ind w:left="100"/>
              <w:spacing w:after="0" w:line="24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456,626</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09/21/2029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456,626</w:t>
            </w:r>
          </w:p>
        </w:tc>
        <w:tc>
          <w:tcPr>
            <w:tcW w:w="40" w:type="dxa"/>
            <w:vAlign w:val="bottom"/>
          </w:tcPr>
          <w:p>
            <w:pPr>
              <w:spacing w:after="0"/>
              <w:rPr>
                <w:sz w:val="21"/>
                <w:szCs w:val="21"/>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456,626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760" w:type="dxa"/>
            <w:vAlign w:val="bottom"/>
            <w:gridSpan w:val="2"/>
          </w:tcPr>
          <w:p>
            <w:pPr>
              <w:ind w:left="100"/>
              <w:spacing w:after="0" w:line="24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127,962</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12/16/2030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127,962</w:t>
            </w:r>
          </w:p>
        </w:tc>
        <w:tc>
          <w:tcPr>
            <w:tcW w:w="40" w:type="dxa"/>
            <w:vAlign w:val="bottom"/>
          </w:tcPr>
          <w:p>
            <w:pPr>
              <w:spacing w:after="0"/>
              <w:rPr>
                <w:sz w:val="21"/>
                <w:szCs w:val="21"/>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127,962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760" w:type="dxa"/>
            <w:vAlign w:val="bottom"/>
            <w:gridSpan w:val="2"/>
          </w:tcPr>
          <w:p>
            <w:pPr>
              <w:ind w:left="100"/>
              <w:spacing w:after="0" w:line="24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143,770</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03/04/2031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143,770</w:t>
            </w:r>
          </w:p>
        </w:tc>
        <w:tc>
          <w:tcPr>
            <w:tcW w:w="40" w:type="dxa"/>
            <w:vAlign w:val="bottom"/>
          </w:tcPr>
          <w:p>
            <w:pPr>
              <w:spacing w:after="0"/>
              <w:rPr>
                <w:sz w:val="21"/>
                <w:szCs w:val="21"/>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143,770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09/21/2022</w:t>
            </w:r>
          </w:p>
        </w:tc>
        <w:tc>
          <w:tcPr>
            <w:tcW w:w="1080" w:type="dxa"/>
            <w:vAlign w:val="bottom"/>
          </w:tcPr>
          <w:p>
            <w:pPr>
              <w:spacing w:after="0"/>
              <w:rPr>
                <w:sz w:val="21"/>
                <w:szCs w:val="21"/>
                <w:color w:val="auto"/>
              </w:rPr>
            </w:pPr>
          </w:p>
        </w:tc>
        <w:tc>
          <w:tcPr>
            <w:tcW w:w="760" w:type="dxa"/>
            <w:vAlign w:val="bottom"/>
            <w:gridSpan w:val="2"/>
          </w:tcPr>
          <w:p>
            <w:pPr>
              <w:ind w:left="100"/>
              <w:spacing w:after="0" w:line="24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208,340</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09/21/2027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208,340</w:t>
            </w:r>
          </w:p>
        </w:tc>
        <w:tc>
          <w:tcPr>
            <w:tcW w:w="40" w:type="dxa"/>
            <w:vAlign w:val="bottom"/>
          </w:tcPr>
          <w:p>
            <w:pPr>
              <w:spacing w:after="0"/>
              <w:rPr>
                <w:sz w:val="21"/>
                <w:szCs w:val="21"/>
                <w:color w:val="auto"/>
              </w:rPr>
            </w:pPr>
          </w:p>
        </w:tc>
        <w:tc>
          <w:tcPr>
            <w:tcW w:w="68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(1)(3)</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208,340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-2426970</wp:posOffset>
            </wp:positionV>
            <wp:extent cx="28575" cy="2432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320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acquired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options, of which there were 114,156 as of the Closing Date, that vest in equal installments monthly until September 16,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options, of which there were 63,981 as of the Closing Date, that vest in equal installments monthly until September 16,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options, of which there were 23,962 as of the Closing Date, that vest in equal installments monthly until January 14, 2023.</w:t>
      </w:r>
    </w:p>
    <w:p>
      <w:pPr>
        <w:spacing w:after="0" w:line="41"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consummation of the Business Combination, the Reporting Person received the right to acquire shares of the Issuer's common stock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and one-half will be issued to the Reporting Person if the VWAP of the Issuer common stock equals or exceeds $15.00 over 20 trading days within any 30 trading day period on or before the fifth anniversary of the Closing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Stephen Perry,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09/23/2022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157"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2022-09-23T17:49:41Z</dcterms:created>
  <dcterms:modified xsi:type="dcterms:W3CDTF">2022-09-23T17:49:41Z</dcterms:modified>
</cp:coreProperties>
</file>