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0" w:name="ea0210782-424b5_presto.htm"/>
      <w:bookmarkStart w:id="1" w:name="ksea0210782424b5_presto"/>
      <w:bookmarkEnd w:id="0"/>
      <w:bookmarkEnd w:id="1"/>
      <w:r>
        <w:rPr>
          <w:rFonts w:ascii="Times New Roman;Times;Serif" w:hAnsi="Times New Roman;Times;Serif"/>
          <w:b/>
          <w:i w:val="false"/>
          <w:caps w:val="false"/>
          <w:smallCaps w:val="false"/>
          <w:sz w:val="20"/>
        </w:rPr>
        <w:t>Filed Pursuant to Rule 424(b)(5)</w:t>
        <w:br/>
        <w:t>Registration No. 333-275112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 SUPPLEMENT No. 3</w:t>
        <w:br/>
        <w:t xml:space="preserve">(To Prospectus Dated October 30, 2023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 Prospectus Supplement dated May 28, 2024)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790700" cy="6667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790700" cy="666750"/>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8,749,940 Shares of Common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 xml:space="preserve">Pursuant to this prospectus supplement, the accompanying prospectus supplement and the accompanying base prospectus, we are offering 8,749,940 shares of our common stock, par value $0.0001 per share, to Triton Funds LP (“Triton”) pursuant to our previously announced Common Stock Purchase Agreement with Triton dated May 28, 2024, as amended by Amendment No. 1 thereto dated June 3, 2024 (the “CSPA”). These shares are being issued as in connection with the commitment by Triton to purchase from time to time up to $5,000,000 of shares of our common stock pursuant to the CSPA.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 xml:space="preserve">The sale we request under the CSPA may be for a number of shares of our common stock that does not exceed 9.9% of our outstanding shares immediately prior to the issuance of shares of our common stock issuable pursuant to such request. Each such request creates a binding agreement to sell such shares on the part of the Company and to acquire such shares on the part of Triton (a “Purchase Notice”).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Triton also committed to purchase a number of additional shares such that the total proceeds to be received by us on or before June 7, 2024 pursuant to the CSPA exceeded $3,000,000, including those shares that are the subject of the Purchase Notices (such shares, the “Backstop Shares”). The Backstop Shares, totaling 26,259,020 shares, were purchased at a price per share of $0.0759 resulting in further gross proceeds of $1,993,059.62.</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4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receiving shareholder approval for the CSPA and issuances thereunder, which occurred on July 16, 2024, we also agreed to issue 8,749,940 additional shares of our common stock to Triton (the “True-Up Shares” and together with the Backstop Shares “the Shares”) of a value such that it will receive the number of shares that it would have received had the purchase price for the Backstop Shares been the Purchase Price (e.g. $0.05175</w:t>
      </w:r>
      <w:r>
        <w:rPr>
          <w:rFonts w:ascii="Times New Roman;Times;Serif" w:hAnsi="Times New Roman;Times;Serif"/>
          <w:b w:val="false"/>
          <w:i w:val="false"/>
          <w:caps w:val="false"/>
          <w:smallCaps w:val="false"/>
          <w:sz w:val="20"/>
          <w:shd w:fill="FFFFFF" w:val="clear"/>
        </w:rPr>
        <w:t>) rather than the Minimum Price (e.g. 0.0759). The final amount of True-Up Shares to be issued was to be based on the Minimum Price three trading days following the receipt of shareholder approval. The proceeds from the issuance of the Shares were used for working capital and general corporate purposes.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the accompanying prospectus supplement and the accompanying prospectus also cover the sale of these shares by Triton to the public. Triton is deemed to be an “underwriter” within the meaning of the Securities Act of 1933, as amended (the “Securities Act”), and the compensation and discounts received by Triton will be deemed to be underwriting commissions or discounts. We will pay for expenses of this offering. For additional information on the methods of sale that may be used by Triton, see the section entitled “Plan of Distribution” on page S-15 of the accompanying prospectus supplement.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listed on the Nasdaq Stock Market LLC (“Nasdaq”) under the symbol “PRST”. On August 6, 2024, the closing price of our common stock, as reported on the Nasdaq, was $0.03 per share.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Investing in our common stock involves a high degree of risk. Before making an investment decision, please read carefully the discussion of material risks of investing in our common stock under the heading “Risk Factors” beginning on page S-6 of the accompanying prospectus supplement and in the documents incorporated by reference into the accompanying prospectus supplement.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particular, you should note that the Company is required to raise $2.0 million on or before each of August 1, 2024, August 15, 2024 and August 29, 2024 (each, a “Forbearance Date”) for a cumulative total of $6.0 million in order to prevent its senior secured lender from exercising remedies against the Company, including but not limited to an Article 9 foreclosure, which would result in the Company’s common stock, including the common stock offered hereby, becoming worthless. There is no guarantee from any third-party for such amounts. The Company received a waiver from the Lenders with respect to the August 1, 2024 Forbearance Date requiring it to raise $4.0 million by August 15, 2024. Accordingly, you will lose all of your investment if the Company does not raise the amounts described above.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Company is required to raise an additional $32.0 million by no later than the Forbearance Date in order to facilitate negotiations with its senior secured lender for the assignment and restructuring of its loan. The Company has received no indications of interest from outside investors to make such investment since the opportunity to seek such an investment was granted on May 16, 2024. While there exists a possibility that such an investment may be secured, the Company considers this outcome to be extremely unlikely. Accordingly, the Company believes that it is extremely likely that you will lose all of your investment in this offering because the senior secured lender will be free to exercise remedies at that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direct use of proceeds for this offering is working capital and other general corporate purposes. However, indirectly the funds raised in this offering may solely benefit our senior secured lender with whom we are currently cooperating to find a potential purchaser for our business in the event of an Article 9 foreclosure. By funding our business through this offering until such a purchaser is located, the date on which our lender would need to fund our business and operations prior to any such sale is deferred.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On August 6, 2024, the Company received a letter from Nasdaq informing the Company that its shares of common stock and its warrants will be suspended at the open of business on August 8, 2024 and that Nasdaq will file a Form 25-NSE with the Securities and Exchange Commission (the “SEC”), which will remove the Company’s securities from listing and registration on Nasdaq. The Company expects that the trading of its common stock will transition to the OTC Bulletin Board or “pink sheets” market shortly. The transition to over-the-counter markets is not expected to affect the Company’s operations or business and does not change its reporting requirements under SEC rules. The Company cannot predict what the impact of the transition will be on the liquidity in its Common Stock.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SEC nor any state securities commission has approved or disapproved of these securities or determined if this prospectus is truthful or complete. Any representation to the contrary is a criminal offense.</w:t>
      </w:r>
    </w:p>
    <w:p>
      <w:pPr>
        <w:pStyle w:val="TextBody"/>
        <w:bidi w:val="0"/>
        <w:spacing w:before="0" w:after="0"/>
        <w:ind w:left="0" w:right="0" w:firstLine="36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is dated August 7, 2024.</w:t>
      </w:r>
    </w:p>
    <w:p>
      <w:pPr>
        <w:pStyle w:val="TextBody"/>
        <w:bidi w:val="0"/>
        <w:spacing w:before="0" w:after="0"/>
        <w:ind w:left="0" w:right="0" w:firstLine="360"/>
        <w:jc w:val="center"/>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 SUPPLEMENT </w:t>
      </w:r>
    </w:p>
    <w:p>
      <w:pPr>
        <w:pStyle w:val="TextBody"/>
        <w:bidi w:val="0"/>
        <w:spacing w:before="0" w:after="0"/>
        <w:ind w:left="0" w:right="0" w:hanging="0"/>
        <w:jc w:val="right"/>
        <w:rPr>
          <w:caps w:val="false"/>
          <w:smallCaps w:val="false"/>
        </w:rPr>
      </w:pPr>
      <w:r>
        <w:rPr>
          <w:caps w:val="false"/>
          <w:smallCaps w:val="false"/>
        </w:rPr>
        <w:t> </w:t>
      </w:r>
    </w:p>
    <w:tbl>
      <w:tblPr>
        <w:tblW w:w="1960" w:type="dxa"/>
        <w:jc w:val="left"/>
        <w:tblInd w:w="0" w:type="dxa"/>
        <w:tblLayout w:type="fixed"/>
        <w:tblCellMar>
          <w:top w:w="0" w:type="dxa"/>
          <w:left w:w="0" w:type="dxa"/>
          <w:bottom w:w="0" w:type="dxa"/>
          <w:right w:w="0" w:type="dxa"/>
        </w:tblCellMar>
      </w:tblPr>
      <w:tblGrid>
        <w:gridCol w:w="1385"/>
        <w:gridCol w:w="575"/>
      </w:tblGrid>
      <w:tr>
        <w:trPr/>
        <w:tc>
          <w:tcPr>
            <w:tcW w:w="1385"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pBdr>
                <w:bottom w:val="single" w:sz="12" w:space="1" w:color="000000"/>
              </w:pBdr>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PAGE</w:t>
            </w:r>
          </w:p>
        </w:tc>
      </w:tr>
      <w:tr>
        <w:trPr/>
        <w:tc>
          <w:tcPr>
            <w:tcW w:w="1385" w:type="dxa"/>
            <w:tcBorders/>
            <w:shd w:fill="CCEEFF" w:val="clear"/>
            <w:vAlign w:val="center"/>
          </w:tcPr>
          <w:p>
            <w:pPr>
              <w:pStyle w:val="TableContents"/>
              <w:bidi w:val="0"/>
              <w:spacing w:before="0" w:after="283"/>
              <w:jc w:val="left"/>
              <w:rPr/>
            </w:pPr>
            <w:hyperlink w:anchor="aa_001">
              <w:r>
                <w:rPr>
                  <w:rStyle w:val="InternetLink"/>
                  <w:rFonts w:ascii="Times New Roman;Times;Serif" w:hAnsi="Times New Roman;Times;Serif"/>
                  <w:caps/>
                  <w:sz w:val="20"/>
                </w:rPr>
                <w:t>the offering</w:t>
              </w:r>
            </w:hyperlink>
          </w:p>
        </w:tc>
        <w:tc>
          <w:tcPr>
            <w:tcW w:w="575" w:type="dxa"/>
            <w:tcBorders/>
            <w:shd w:fill="CCEEFF" w:val="clear"/>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s-1</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 SUPPLEMENT DATED MAY 28, 2024 </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675"/>
        <w:gridCol w:w="530"/>
      </w:tblGrid>
      <w:tr>
        <w:trPr/>
        <w:tc>
          <w:tcPr>
            <w:tcW w:w="9675" w:type="dxa"/>
            <w:tcBorders/>
            <w:vAlign w:val="center"/>
          </w:tcPr>
          <w:p>
            <w:pPr>
              <w:pStyle w:val="TableContents"/>
              <w:bidi w:val="0"/>
              <w:spacing w:before="0" w:after="283"/>
              <w:jc w:val="left"/>
              <w:rPr>
                <w:caps/>
              </w:rPr>
            </w:pPr>
            <w:r>
              <w:rPr>
                <w:caps/>
              </w:rPr>
              <w:t> </w:t>
            </w:r>
          </w:p>
        </w:tc>
        <w:tc>
          <w:tcPr>
            <w:tcW w:w="530"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caps w:val="false"/>
                <w:smallCaps w:val="false"/>
              </w:rPr>
            </w:pPr>
            <w:r>
              <w:rPr>
                <w:rFonts w:ascii="Times New Roman;Times;Serif" w:hAnsi="Times New Roman;Times;Serif"/>
                <w:b/>
                <w:caps w:val="false"/>
                <w:smallCaps w:val="false"/>
              </w:rPr>
              <w:t>Page</w:t>
            </w:r>
          </w:p>
        </w:tc>
      </w:tr>
      <w:tr>
        <w:trPr/>
        <w:tc>
          <w:tcPr>
            <w:tcW w:w="9675" w:type="dxa"/>
            <w:tcBorders/>
            <w:shd w:fill="CCEEFF" w:val="clear"/>
            <w:vAlign w:val="center"/>
          </w:tcPr>
          <w:p>
            <w:pPr>
              <w:pStyle w:val="TableContents"/>
              <w:bidi w:val="0"/>
              <w:spacing w:before="0" w:after="283"/>
              <w:jc w:val="left"/>
              <w:rPr/>
            </w:pPr>
            <w:hyperlink w:anchor="s_001">
              <w:r>
                <w:rPr>
                  <w:rStyle w:val="InternetLink"/>
                  <w:rFonts w:ascii="Times New Roman;Times;Serif" w:hAnsi="Times New Roman;Times;Serif"/>
                  <w:caps/>
                </w:rPr>
                <w:t>ABOUT THIS PROSPECTUS SUPPLEMENT</w:t>
              </w:r>
            </w:hyperlink>
          </w:p>
        </w:tc>
        <w:tc>
          <w:tcPr>
            <w:tcW w:w="530" w:type="dxa"/>
            <w:tcBorders/>
            <w:shd w:fill="CCEEFF" w:val="clear"/>
            <w:vAlign w:val="center"/>
          </w:tcPr>
          <w:p>
            <w:pPr>
              <w:pStyle w:val="TableContents"/>
              <w:bidi w:val="0"/>
              <w:spacing w:before="0" w:after="283"/>
              <w:jc w:val="center"/>
              <w:rPr>
                <w:rFonts w:ascii="Times New Roman;Times;Serif" w:hAnsi="Times New Roman;Times;Serif"/>
                <w:caps/>
              </w:rPr>
            </w:pPr>
            <w:r>
              <w:rPr>
                <w:rFonts w:ascii="Times New Roman;Times;Serif" w:hAnsi="Times New Roman;Times;Serif"/>
                <w:caps/>
              </w:rPr>
              <w:t>S-</w:t>
            </w:r>
            <w:r>
              <w:rPr>
                <w:rFonts w:ascii="Times New Roman;Times;Serif" w:hAnsi="Times New Roman;Times;Serif"/>
                <w:caps w:val="false"/>
                <w:smallCaps w:val="false"/>
              </w:rPr>
              <w:t>ii</w:t>
            </w:r>
          </w:p>
        </w:tc>
      </w:tr>
      <w:tr>
        <w:trPr/>
        <w:tc>
          <w:tcPr>
            <w:tcW w:w="9675" w:type="dxa"/>
            <w:tcBorders/>
            <w:shd w:fill="FFFFFF" w:val="clear"/>
            <w:vAlign w:val="center"/>
          </w:tcPr>
          <w:p>
            <w:pPr>
              <w:pStyle w:val="TableContents"/>
              <w:bidi w:val="0"/>
              <w:spacing w:before="0" w:after="283"/>
              <w:jc w:val="left"/>
              <w:rPr/>
            </w:pPr>
            <w:hyperlink w:anchor="s_002">
              <w:r>
                <w:rPr>
                  <w:rStyle w:val="InternetLink"/>
                  <w:rFonts w:ascii="Times New Roman;Times;Serif" w:hAnsi="Times New Roman;Times;Serif"/>
                  <w:caps/>
                </w:rPr>
                <w:t>CAUTIONARY STATEMENT REGARDING FORWARD-LOOKING STATEMENTS</w:t>
              </w:r>
            </w:hyperlink>
          </w:p>
        </w:tc>
        <w:tc>
          <w:tcPr>
            <w:tcW w:w="530" w:type="dxa"/>
            <w:tcBorders/>
            <w:shd w:fill="FFFFFF" w:val="clear"/>
            <w:vAlign w:val="center"/>
          </w:tcPr>
          <w:p>
            <w:pPr>
              <w:pStyle w:val="TableContents"/>
              <w:bidi w:val="0"/>
              <w:spacing w:before="0" w:after="283"/>
              <w:jc w:val="center"/>
              <w:rPr>
                <w:rFonts w:ascii="Times New Roman;Times;Serif" w:hAnsi="Times New Roman;Times;Serif"/>
                <w:caps/>
              </w:rPr>
            </w:pPr>
            <w:r>
              <w:rPr>
                <w:rFonts w:ascii="Times New Roman;Times;Serif" w:hAnsi="Times New Roman;Times;Serif"/>
                <w:caps/>
              </w:rPr>
              <w:t>S-</w:t>
            </w:r>
            <w:r>
              <w:rPr>
                <w:rFonts w:ascii="Times New Roman;Times;Serif" w:hAnsi="Times New Roman;Times;Serif"/>
                <w:caps w:val="false"/>
                <w:smallCaps w:val="false"/>
              </w:rPr>
              <w:t>iii</w:t>
            </w:r>
          </w:p>
        </w:tc>
      </w:tr>
      <w:tr>
        <w:trPr/>
        <w:tc>
          <w:tcPr>
            <w:tcW w:w="9675" w:type="dxa"/>
            <w:tcBorders/>
            <w:shd w:fill="CCEEFF" w:val="clear"/>
            <w:vAlign w:val="center"/>
          </w:tcPr>
          <w:p>
            <w:pPr>
              <w:pStyle w:val="TableContents"/>
              <w:bidi w:val="0"/>
              <w:spacing w:before="0" w:after="283"/>
              <w:jc w:val="left"/>
              <w:rPr/>
            </w:pPr>
            <w:hyperlink w:anchor="s_003">
              <w:r>
                <w:rPr>
                  <w:rStyle w:val="InternetLink"/>
                  <w:rFonts w:ascii="Times New Roman;Times;Serif" w:hAnsi="Times New Roman;Times;Serif"/>
                  <w:caps/>
                </w:rPr>
                <w:t>PROSPECTUS SUPPLEMENT SUMMARY</w:t>
              </w:r>
            </w:hyperlink>
          </w:p>
        </w:tc>
        <w:tc>
          <w:tcPr>
            <w:tcW w:w="530" w:type="dxa"/>
            <w:tcBorders/>
            <w:shd w:fill="CCEEFF" w:val="clear"/>
            <w:vAlign w:val="center"/>
          </w:tcPr>
          <w:p>
            <w:pPr>
              <w:pStyle w:val="TableContents"/>
              <w:bidi w:val="0"/>
              <w:spacing w:before="0" w:after="283"/>
              <w:jc w:val="center"/>
              <w:rPr>
                <w:rFonts w:ascii="Times New Roman;Times;Serif" w:hAnsi="Times New Roman;Times;Serif"/>
                <w:caps/>
              </w:rPr>
            </w:pPr>
            <w:r>
              <w:rPr>
                <w:rFonts w:ascii="Times New Roman;Times;Serif" w:hAnsi="Times New Roman;Times;Serif"/>
                <w:caps/>
              </w:rPr>
              <w:t>S-1</w:t>
            </w:r>
          </w:p>
        </w:tc>
      </w:tr>
      <w:tr>
        <w:trPr/>
        <w:tc>
          <w:tcPr>
            <w:tcW w:w="9675" w:type="dxa"/>
            <w:tcBorders/>
            <w:shd w:fill="FFFFFF" w:val="clear"/>
            <w:vAlign w:val="center"/>
          </w:tcPr>
          <w:p>
            <w:pPr>
              <w:pStyle w:val="TableContents"/>
              <w:bidi w:val="0"/>
              <w:spacing w:before="0" w:after="283"/>
              <w:jc w:val="left"/>
              <w:rPr/>
            </w:pPr>
            <w:hyperlink w:anchor="s_004">
              <w:r>
                <w:rPr>
                  <w:rStyle w:val="InternetLink"/>
                  <w:rFonts w:ascii="Times New Roman;Times;Serif" w:hAnsi="Times New Roman;Times;Serif"/>
                  <w:caps/>
                </w:rPr>
                <w:t>Corporate Information</w:t>
              </w:r>
            </w:hyperlink>
          </w:p>
        </w:tc>
        <w:tc>
          <w:tcPr>
            <w:tcW w:w="530" w:type="dxa"/>
            <w:tcBorders/>
            <w:shd w:fill="FFFFFF" w:val="clear"/>
            <w:vAlign w:val="center"/>
          </w:tcPr>
          <w:p>
            <w:pPr>
              <w:pStyle w:val="TableContents"/>
              <w:bidi w:val="0"/>
              <w:spacing w:before="0" w:after="283"/>
              <w:jc w:val="center"/>
              <w:rPr>
                <w:rFonts w:ascii="Times New Roman;Times;Serif" w:hAnsi="Times New Roman;Times;Serif"/>
                <w:caps/>
              </w:rPr>
            </w:pPr>
            <w:r>
              <w:rPr>
                <w:rFonts w:ascii="Times New Roman;Times;Serif" w:hAnsi="Times New Roman;Times;Serif"/>
                <w:caps/>
              </w:rPr>
              <w:t>S-3</w:t>
            </w:r>
          </w:p>
        </w:tc>
      </w:tr>
      <w:tr>
        <w:trPr/>
        <w:tc>
          <w:tcPr>
            <w:tcW w:w="9675" w:type="dxa"/>
            <w:tcBorders/>
            <w:shd w:fill="CCEEFF" w:val="clear"/>
            <w:vAlign w:val="center"/>
          </w:tcPr>
          <w:p>
            <w:pPr>
              <w:pStyle w:val="TableContents"/>
              <w:bidi w:val="0"/>
              <w:spacing w:before="0" w:after="283"/>
              <w:jc w:val="left"/>
              <w:rPr/>
            </w:pPr>
            <w:hyperlink w:anchor="s_005">
              <w:r>
                <w:rPr>
                  <w:rStyle w:val="InternetLink"/>
                  <w:rFonts w:ascii="Times New Roman;Times;Serif" w:hAnsi="Times New Roman;Times;Serif"/>
                  <w:caps/>
                </w:rPr>
                <w:t>RISK FACTORS</w:t>
              </w:r>
            </w:hyperlink>
          </w:p>
        </w:tc>
        <w:tc>
          <w:tcPr>
            <w:tcW w:w="530" w:type="dxa"/>
            <w:tcBorders/>
            <w:shd w:fill="CCEEFF" w:val="clear"/>
            <w:vAlign w:val="center"/>
          </w:tcPr>
          <w:p>
            <w:pPr>
              <w:pStyle w:val="TableContents"/>
              <w:bidi w:val="0"/>
              <w:spacing w:before="0" w:after="283"/>
              <w:jc w:val="center"/>
              <w:rPr>
                <w:rFonts w:ascii="Times New Roman;Times;Serif" w:hAnsi="Times New Roman;Times;Serif"/>
                <w:caps/>
              </w:rPr>
            </w:pPr>
            <w:r>
              <w:rPr>
                <w:rFonts w:ascii="Times New Roman;Times;Serif" w:hAnsi="Times New Roman;Times;Serif"/>
                <w:caps/>
              </w:rPr>
              <w:t>S-6</w:t>
            </w:r>
          </w:p>
        </w:tc>
      </w:tr>
      <w:tr>
        <w:trPr/>
        <w:tc>
          <w:tcPr>
            <w:tcW w:w="9675" w:type="dxa"/>
            <w:tcBorders/>
            <w:shd w:fill="FFFFFF" w:val="clear"/>
            <w:vAlign w:val="center"/>
          </w:tcPr>
          <w:p>
            <w:pPr>
              <w:pStyle w:val="TableContents"/>
              <w:bidi w:val="0"/>
              <w:spacing w:before="0" w:after="283"/>
              <w:jc w:val="left"/>
              <w:rPr/>
            </w:pPr>
            <w:hyperlink w:anchor="s_006">
              <w:r>
                <w:rPr>
                  <w:rStyle w:val="InternetLink"/>
                  <w:rFonts w:ascii="Times New Roman;Times;Serif" w:hAnsi="Times New Roman;Times;Serif"/>
                  <w:caps/>
                </w:rPr>
                <w:t>USE OF PROCEEDS</w:t>
              </w:r>
            </w:hyperlink>
          </w:p>
        </w:tc>
        <w:tc>
          <w:tcPr>
            <w:tcW w:w="530" w:type="dxa"/>
            <w:tcBorders/>
            <w:shd w:fill="FFFFFF" w:val="clear"/>
            <w:vAlign w:val="center"/>
          </w:tcPr>
          <w:p>
            <w:pPr>
              <w:pStyle w:val="TableContents"/>
              <w:bidi w:val="0"/>
              <w:spacing w:before="0" w:after="283"/>
              <w:jc w:val="center"/>
              <w:rPr>
                <w:rFonts w:ascii="Times New Roman;Times;Serif" w:hAnsi="Times New Roman;Times;Serif"/>
                <w:caps/>
              </w:rPr>
            </w:pPr>
            <w:r>
              <w:rPr>
                <w:rFonts w:ascii="Times New Roman;Times;Serif" w:hAnsi="Times New Roman;Times;Serif"/>
                <w:caps/>
              </w:rPr>
              <w:t>S-9</w:t>
            </w:r>
          </w:p>
        </w:tc>
      </w:tr>
      <w:tr>
        <w:trPr/>
        <w:tc>
          <w:tcPr>
            <w:tcW w:w="9675" w:type="dxa"/>
            <w:tcBorders/>
            <w:shd w:fill="CCEEFF" w:val="clear"/>
            <w:vAlign w:val="center"/>
          </w:tcPr>
          <w:p>
            <w:pPr>
              <w:pStyle w:val="TableContents"/>
              <w:bidi w:val="0"/>
              <w:spacing w:before="0" w:after="283"/>
              <w:jc w:val="left"/>
              <w:rPr/>
            </w:pPr>
            <w:hyperlink w:anchor="s_007">
              <w:r>
                <w:rPr>
                  <w:rStyle w:val="InternetLink"/>
                  <w:rFonts w:ascii="Times New Roman;Times;Serif" w:hAnsi="Times New Roman;Times;Serif"/>
                  <w:caps/>
                </w:rPr>
                <w:t>MATERIAL U.S. FEDERAL TAX CONSIDERATIONS FOR NON-U.S. HOLDERS OF OUR COMMON STOCK</w:t>
              </w:r>
            </w:hyperlink>
          </w:p>
        </w:tc>
        <w:tc>
          <w:tcPr>
            <w:tcW w:w="530" w:type="dxa"/>
            <w:tcBorders/>
            <w:shd w:fill="CCEEFF" w:val="clear"/>
            <w:vAlign w:val="center"/>
          </w:tcPr>
          <w:p>
            <w:pPr>
              <w:pStyle w:val="TableContents"/>
              <w:bidi w:val="0"/>
              <w:spacing w:before="0" w:after="283"/>
              <w:jc w:val="center"/>
              <w:rPr>
                <w:rFonts w:ascii="Times New Roman;Times;Serif" w:hAnsi="Times New Roman;Times;Serif"/>
                <w:caps/>
              </w:rPr>
            </w:pPr>
            <w:r>
              <w:rPr>
                <w:rFonts w:ascii="Times New Roman;Times;Serif" w:hAnsi="Times New Roman;Times;Serif"/>
                <w:caps/>
              </w:rPr>
              <w:t>S-10</w:t>
            </w:r>
          </w:p>
        </w:tc>
      </w:tr>
      <w:tr>
        <w:trPr/>
        <w:tc>
          <w:tcPr>
            <w:tcW w:w="9675" w:type="dxa"/>
            <w:tcBorders/>
            <w:shd w:fill="FFFFFF" w:val="clear"/>
            <w:vAlign w:val="center"/>
          </w:tcPr>
          <w:p>
            <w:pPr>
              <w:pStyle w:val="TableContents"/>
              <w:bidi w:val="0"/>
              <w:spacing w:before="0" w:after="283"/>
              <w:jc w:val="left"/>
              <w:rPr/>
            </w:pPr>
            <w:hyperlink w:anchor="s_008">
              <w:r>
                <w:rPr>
                  <w:rStyle w:val="InternetLink"/>
                  <w:rFonts w:ascii="Times New Roman;Times;Serif" w:hAnsi="Times New Roman;Times;Serif"/>
                  <w:caps/>
                </w:rPr>
                <w:t>PLAN OF DISTRIBUTION</w:t>
              </w:r>
            </w:hyperlink>
          </w:p>
        </w:tc>
        <w:tc>
          <w:tcPr>
            <w:tcW w:w="530" w:type="dxa"/>
            <w:tcBorders/>
            <w:shd w:fill="FFFFFF" w:val="clear"/>
            <w:vAlign w:val="center"/>
          </w:tcPr>
          <w:p>
            <w:pPr>
              <w:pStyle w:val="TableContents"/>
              <w:bidi w:val="0"/>
              <w:spacing w:before="0" w:after="283"/>
              <w:jc w:val="center"/>
              <w:rPr>
                <w:rFonts w:ascii="Times New Roman;Times;Serif" w:hAnsi="Times New Roman;Times;Serif"/>
                <w:caps/>
              </w:rPr>
            </w:pPr>
            <w:r>
              <w:rPr>
                <w:rFonts w:ascii="Times New Roman;Times;Serif" w:hAnsi="Times New Roman;Times;Serif"/>
                <w:caps/>
              </w:rPr>
              <w:t>S-15</w:t>
            </w:r>
          </w:p>
        </w:tc>
      </w:tr>
      <w:tr>
        <w:trPr/>
        <w:tc>
          <w:tcPr>
            <w:tcW w:w="9675" w:type="dxa"/>
            <w:tcBorders/>
            <w:shd w:fill="CCEEFF" w:val="clear"/>
            <w:vAlign w:val="center"/>
          </w:tcPr>
          <w:p>
            <w:pPr>
              <w:pStyle w:val="TableContents"/>
              <w:bidi w:val="0"/>
              <w:spacing w:before="0" w:after="283"/>
              <w:jc w:val="left"/>
              <w:rPr/>
            </w:pPr>
            <w:hyperlink w:anchor="s_009">
              <w:r>
                <w:rPr>
                  <w:rStyle w:val="InternetLink"/>
                  <w:rFonts w:ascii="Times New Roman;Times;Serif" w:hAnsi="Times New Roman;Times;Serif"/>
                  <w:caps/>
                </w:rPr>
                <w:t>LEGAL MATTERS</w:t>
              </w:r>
            </w:hyperlink>
          </w:p>
        </w:tc>
        <w:tc>
          <w:tcPr>
            <w:tcW w:w="530" w:type="dxa"/>
            <w:tcBorders/>
            <w:shd w:fill="CCEEFF" w:val="clear"/>
            <w:vAlign w:val="center"/>
          </w:tcPr>
          <w:p>
            <w:pPr>
              <w:pStyle w:val="TableContents"/>
              <w:bidi w:val="0"/>
              <w:spacing w:before="0" w:after="283"/>
              <w:jc w:val="center"/>
              <w:rPr>
                <w:rFonts w:ascii="Times New Roman;Times;Serif" w:hAnsi="Times New Roman;Times;Serif"/>
                <w:caps/>
              </w:rPr>
            </w:pPr>
            <w:r>
              <w:rPr>
                <w:rFonts w:ascii="Times New Roman;Times;Serif" w:hAnsi="Times New Roman;Times;Serif"/>
                <w:caps/>
              </w:rPr>
              <w:t>S-17</w:t>
            </w:r>
          </w:p>
        </w:tc>
      </w:tr>
      <w:tr>
        <w:trPr/>
        <w:tc>
          <w:tcPr>
            <w:tcW w:w="9675" w:type="dxa"/>
            <w:tcBorders/>
            <w:shd w:fill="FFFFFF" w:val="clear"/>
            <w:vAlign w:val="center"/>
          </w:tcPr>
          <w:p>
            <w:pPr>
              <w:pStyle w:val="TableContents"/>
              <w:bidi w:val="0"/>
              <w:spacing w:before="0" w:after="283"/>
              <w:jc w:val="left"/>
              <w:rPr/>
            </w:pPr>
            <w:hyperlink w:anchor="s_010">
              <w:r>
                <w:rPr>
                  <w:rStyle w:val="InternetLink"/>
                  <w:rFonts w:ascii="Times New Roman;Times;Serif" w:hAnsi="Times New Roman;Times;Serif"/>
                  <w:caps/>
                </w:rPr>
                <w:t>EXPERTS</w:t>
              </w:r>
            </w:hyperlink>
          </w:p>
        </w:tc>
        <w:tc>
          <w:tcPr>
            <w:tcW w:w="530" w:type="dxa"/>
            <w:tcBorders/>
            <w:shd w:fill="FFFFFF" w:val="clear"/>
            <w:vAlign w:val="center"/>
          </w:tcPr>
          <w:p>
            <w:pPr>
              <w:pStyle w:val="TableContents"/>
              <w:bidi w:val="0"/>
              <w:spacing w:before="0" w:after="283"/>
              <w:jc w:val="center"/>
              <w:rPr>
                <w:rFonts w:ascii="Times New Roman;Times;Serif" w:hAnsi="Times New Roman;Times;Serif"/>
                <w:caps/>
              </w:rPr>
            </w:pPr>
            <w:r>
              <w:rPr>
                <w:rFonts w:ascii="Times New Roman;Times;Serif" w:hAnsi="Times New Roman;Times;Serif"/>
                <w:caps/>
              </w:rPr>
              <w:t>S-17</w:t>
            </w:r>
          </w:p>
        </w:tc>
      </w:tr>
      <w:tr>
        <w:trPr/>
        <w:tc>
          <w:tcPr>
            <w:tcW w:w="9675" w:type="dxa"/>
            <w:tcBorders/>
            <w:shd w:fill="CCEEFF" w:val="clear"/>
            <w:vAlign w:val="center"/>
          </w:tcPr>
          <w:p>
            <w:pPr>
              <w:pStyle w:val="TableContents"/>
              <w:bidi w:val="0"/>
              <w:spacing w:before="0" w:after="283"/>
              <w:jc w:val="left"/>
              <w:rPr/>
            </w:pPr>
            <w:hyperlink w:anchor="s_011">
              <w:r>
                <w:rPr>
                  <w:rStyle w:val="InternetLink"/>
                  <w:rFonts w:ascii="Times New Roman;Times;Serif" w:hAnsi="Times New Roman;Times;Serif"/>
                  <w:caps/>
                </w:rPr>
                <w:t>WHERE YOU CAN FIND MORE INFORMATION</w:t>
              </w:r>
            </w:hyperlink>
          </w:p>
        </w:tc>
        <w:tc>
          <w:tcPr>
            <w:tcW w:w="530" w:type="dxa"/>
            <w:tcBorders/>
            <w:shd w:fill="CCEEFF" w:val="clear"/>
            <w:vAlign w:val="center"/>
          </w:tcPr>
          <w:p>
            <w:pPr>
              <w:pStyle w:val="TableContents"/>
              <w:bidi w:val="0"/>
              <w:spacing w:before="0" w:after="283"/>
              <w:jc w:val="center"/>
              <w:rPr>
                <w:rFonts w:ascii="Times New Roman;Times;Serif" w:hAnsi="Times New Roman;Times;Serif"/>
                <w:caps/>
              </w:rPr>
            </w:pPr>
            <w:r>
              <w:rPr>
                <w:rFonts w:ascii="Times New Roman;Times;Serif" w:hAnsi="Times New Roman;Times;Serif"/>
                <w:caps/>
              </w:rPr>
              <w:t>S-17</w:t>
            </w:r>
          </w:p>
        </w:tc>
      </w:tr>
      <w:tr>
        <w:trPr/>
        <w:tc>
          <w:tcPr>
            <w:tcW w:w="9675" w:type="dxa"/>
            <w:tcBorders/>
            <w:shd w:fill="FFFFFF" w:val="clear"/>
            <w:vAlign w:val="center"/>
          </w:tcPr>
          <w:p>
            <w:pPr>
              <w:pStyle w:val="TableContents"/>
              <w:bidi w:val="0"/>
              <w:spacing w:before="0" w:after="283"/>
              <w:jc w:val="left"/>
              <w:rPr/>
            </w:pPr>
            <w:hyperlink w:anchor="s_012">
              <w:r>
                <w:rPr>
                  <w:rStyle w:val="InternetLink"/>
                  <w:rFonts w:ascii="Times New Roman;Times;Serif" w:hAnsi="Times New Roman;Times;Serif"/>
                  <w:caps/>
                </w:rPr>
                <w:t>INCORPORATION OF CERTAIN DOCUMENTS BY REFERENCE</w:t>
              </w:r>
            </w:hyperlink>
          </w:p>
        </w:tc>
        <w:tc>
          <w:tcPr>
            <w:tcW w:w="530" w:type="dxa"/>
            <w:tcBorders/>
            <w:shd w:fill="FFFFFF" w:val="clear"/>
            <w:vAlign w:val="center"/>
          </w:tcPr>
          <w:p>
            <w:pPr>
              <w:pStyle w:val="TableContents"/>
              <w:bidi w:val="0"/>
              <w:spacing w:before="0" w:after="283"/>
              <w:jc w:val="center"/>
              <w:rPr>
                <w:rFonts w:ascii="Times New Roman;Times;Serif" w:hAnsi="Times New Roman;Times;Serif"/>
                <w:caps/>
              </w:rPr>
            </w:pPr>
            <w:r>
              <w:rPr>
                <w:rFonts w:ascii="Times New Roman;Times;Serif" w:hAnsi="Times New Roman;Times;Serif"/>
                <w:caps/>
              </w:rPr>
              <w:t>S-18</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w:t>
      </w:r>
    </w:p>
    <w:p>
      <w:pPr>
        <w:pStyle w:val="TextBody"/>
        <w:bidi w:val="0"/>
        <w:spacing w:before="0" w:after="0"/>
        <w:ind w:left="0" w:right="0" w:hanging="0"/>
        <w:jc w:val="left"/>
        <w:rPr>
          <w:caps w:val="false"/>
          <w:smallCaps w:val="false"/>
        </w:rPr>
      </w:pPr>
      <w:r>
        <w:rPr>
          <w:caps w:val="false"/>
          <w:smallCaps w:val="false"/>
        </w:rPr>
        <w:t> </w:t>
      </w:r>
    </w:p>
    <w:tbl>
      <w:tblPr>
        <w:tblW w:w="7225" w:type="dxa"/>
        <w:jc w:val="left"/>
        <w:tblInd w:w="0" w:type="dxa"/>
        <w:tblLayout w:type="fixed"/>
        <w:tblCellMar>
          <w:top w:w="0" w:type="dxa"/>
          <w:left w:w="0" w:type="dxa"/>
          <w:bottom w:w="0" w:type="dxa"/>
          <w:right w:w="0" w:type="dxa"/>
        </w:tblCellMar>
      </w:tblPr>
      <w:tblGrid>
        <w:gridCol w:w="6890"/>
        <w:gridCol w:w="60"/>
        <w:gridCol w:w="275"/>
      </w:tblGrid>
      <w:tr>
        <w:trPr/>
        <w:tc>
          <w:tcPr>
            <w:tcW w:w="6890" w:type="dxa"/>
            <w:tcBorders/>
            <w:shd w:fill="CCEEFF" w:val="clear"/>
            <w:vAlign w:val="center"/>
          </w:tcPr>
          <w:p>
            <w:pPr>
              <w:pStyle w:val="TableContents"/>
              <w:bidi w:val="0"/>
              <w:spacing w:before="0" w:after="283"/>
              <w:jc w:val="left"/>
              <w:rPr/>
            </w:pPr>
            <w:hyperlink w:anchor="a_001">
              <w:r>
                <w:rPr>
                  <w:rStyle w:val="InternetLink"/>
                  <w:rFonts w:ascii="Times New Roman;Times;Serif" w:hAnsi="Times New Roman;Times;Serif"/>
                  <w:sz w:val="20"/>
                </w:rPr>
                <w:t>ABOUT THIS PROSPECTUS</w:t>
              </w:r>
            </w:hyperlink>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ii</w:t>
            </w:r>
          </w:p>
        </w:tc>
      </w:tr>
      <w:tr>
        <w:trPr/>
        <w:tc>
          <w:tcPr>
            <w:tcW w:w="6890" w:type="dxa"/>
            <w:tcBorders/>
            <w:shd w:fill="FFFFFF" w:val="clear"/>
            <w:vAlign w:val="center"/>
          </w:tcPr>
          <w:p>
            <w:pPr>
              <w:pStyle w:val="TableContents"/>
              <w:bidi w:val="0"/>
              <w:spacing w:before="0" w:after="283"/>
              <w:jc w:val="left"/>
              <w:rPr/>
            </w:pPr>
            <w:hyperlink w:anchor="a_002">
              <w:r>
                <w:rPr>
                  <w:rStyle w:val="InternetLink"/>
                  <w:rFonts w:ascii="Times New Roman;Times;Serif" w:hAnsi="Times New Roman;Times;Serif"/>
                  <w:sz w:val="20"/>
                </w:rPr>
                <w:t>TRADEMARKS</w:t>
              </w:r>
            </w:hyperlink>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iii</w:t>
            </w:r>
          </w:p>
        </w:tc>
      </w:tr>
      <w:tr>
        <w:trPr/>
        <w:tc>
          <w:tcPr>
            <w:tcW w:w="6890" w:type="dxa"/>
            <w:tcBorders/>
            <w:shd w:fill="CCEEFF" w:val="clear"/>
            <w:vAlign w:val="center"/>
          </w:tcPr>
          <w:p>
            <w:pPr>
              <w:pStyle w:val="TableContents"/>
              <w:bidi w:val="0"/>
              <w:spacing w:before="0" w:after="283"/>
              <w:jc w:val="left"/>
              <w:rPr/>
            </w:pPr>
            <w:hyperlink w:anchor="a_003">
              <w:r>
                <w:rPr>
                  <w:rStyle w:val="InternetLink"/>
                  <w:rFonts w:ascii="Times New Roman;Times;Serif" w:hAnsi="Times New Roman;Times;Serif"/>
                  <w:sz w:val="20"/>
                </w:rPr>
                <w:t>CAUTIONARY STATEMENT REGARDING FORWARD-LOOKING STATEMENTS</w:t>
              </w:r>
            </w:hyperlink>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iii</w:t>
            </w:r>
          </w:p>
        </w:tc>
      </w:tr>
      <w:tr>
        <w:trPr/>
        <w:tc>
          <w:tcPr>
            <w:tcW w:w="6890" w:type="dxa"/>
            <w:tcBorders/>
            <w:shd w:fill="FFFFFF" w:val="clear"/>
            <w:vAlign w:val="center"/>
          </w:tcPr>
          <w:p>
            <w:pPr>
              <w:pStyle w:val="TableContents"/>
              <w:bidi w:val="0"/>
              <w:spacing w:before="0" w:after="283"/>
              <w:jc w:val="left"/>
              <w:rPr/>
            </w:pPr>
            <w:hyperlink w:anchor="a_004">
              <w:r>
                <w:rPr>
                  <w:rStyle w:val="InternetLink"/>
                  <w:rFonts w:ascii="Times New Roman;Times;Serif" w:hAnsi="Times New Roman;Times;Serif"/>
                  <w:sz w:val="20"/>
                </w:rPr>
                <w:t>SUMMARY OF PROSPECTUS</w:t>
              </w:r>
            </w:hyperlink>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w:t>
            </w:r>
          </w:p>
        </w:tc>
      </w:tr>
      <w:tr>
        <w:trPr/>
        <w:tc>
          <w:tcPr>
            <w:tcW w:w="6890" w:type="dxa"/>
            <w:tcBorders/>
            <w:shd w:fill="CCEEFF" w:val="clear"/>
            <w:vAlign w:val="center"/>
          </w:tcPr>
          <w:p>
            <w:pPr>
              <w:pStyle w:val="TableContents"/>
              <w:bidi w:val="0"/>
              <w:spacing w:before="0" w:after="283"/>
              <w:jc w:val="left"/>
              <w:rPr/>
            </w:pPr>
            <w:hyperlink w:anchor="a_005">
              <w:r>
                <w:rPr>
                  <w:rStyle w:val="InternetLink"/>
                  <w:rFonts w:ascii="Times New Roman;Times;Serif" w:hAnsi="Times New Roman;Times;Serif"/>
                  <w:sz w:val="20"/>
                </w:rPr>
                <w:t>RISK FACTORS</w:t>
              </w:r>
            </w:hyperlink>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w:t>
            </w:r>
          </w:p>
        </w:tc>
      </w:tr>
      <w:tr>
        <w:trPr/>
        <w:tc>
          <w:tcPr>
            <w:tcW w:w="6890" w:type="dxa"/>
            <w:tcBorders/>
            <w:shd w:fill="FFFFFF" w:val="clear"/>
            <w:vAlign w:val="center"/>
          </w:tcPr>
          <w:p>
            <w:pPr>
              <w:pStyle w:val="TableContents"/>
              <w:bidi w:val="0"/>
              <w:spacing w:before="0" w:after="283"/>
              <w:jc w:val="left"/>
              <w:rPr/>
            </w:pPr>
            <w:hyperlink w:anchor="a_006">
              <w:r>
                <w:rPr>
                  <w:rStyle w:val="InternetLink"/>
                  <w:rFonts w:ascii="Times New Roman;Times;Serif" w:hAnsi="Times New Roman;Times;Serif"/>
                  <w:sz w:val="20"/>
                </w:rPr>
                <w:t>USE OF PROCEEDS</w:t>
              </w:r>
            </w:hyperlink>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3</w:t>
            </w:r>
          </w:p>
        </w:tc>
      </w:tr>
      <w:tr>
        <w:trPr/>
        <w:tc>
          <w:tcPr>
            <w:tcW w:w="6890" w:type="dxa"/>
            <w:tcBorders/>
            <w:shd w:fill="CCEEFF" w:val="clear"/>
            <w:vAlign w:val="center"/>
          </w:tcPr>
          <w:p>
            <w:pPr>
              <w:pStyle w:val="TableContents"/>
              <w:bidi w:val="0"/>
              <w:spacing w:before="0" w:after="283"/>
              <w:jc w:val="left"/>
              <w:rPr/>
            </w:pPr>
            <w:hyperlink w:anchor="a_007">
              <w:r>
                <w:rPr>
                  <w:rStyle w:val="InternetLink"/>
                  <w:rFonts w:ascii="Times New Roman;Times;Serif" w:hAnsi="Times New Roman;Times;Serif"/>
                  <w:sz w:val="20"/>
                </w:rPr>
                <w:t>DESCRIPTION OF COMMON STOCK AND PREFERRED STOCK</w:t>
              </w:r>
            </w:hyperlink>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4</w:t>
            </w:r>
          </w:p>
        </w:tc>
      </w:tr>
      <w:tr>
        <w:trPr/>
        <w:tc>
          <w:tcPr>
            <w:tcW w:w="6890" w:type="dxa"/>
            <w:tcBorders/>
            <w:shd w:fill="FFFFFF" w:val="clear"/>
            <w:vAlign w:val="center"/>
          </w:tcPr>
          <w:p>
            <w:pPr>
              <w:pStyle w:val="TableContents"/>
              <w:bidi w:val="0"/>
              <w:spacing w:before="0" w:after="283"/>
              <w:jc w:val="left"/>
              <w:rPr/>
            </w:pPr>
            <w:hyperlink w:anchor="a_008">
              <w:r>
                <w:rPr>
                  <w:rStyle w:val="InternetLink"/>
                  <w:rFonts w:ascii="Times New Roman;Times;Serif" w:hAnsi="Times New Roman;Times;Serif"/>
                  <w:sz w:val="20"/>
                </w:rPr>
                <w:t>DESCRIPTION OF DEBT SECURITIES</w:t>
              </w:r>
            </w:hyperlink>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5</w:t>
            </w:r>
          </w:p>
        </w:tc>
      </w:tr>
      <w:tr>
        <w:trPr/>
        <w:tc>
          <w:tcPr>
            <w:tcW w:w="6890" w:type="dxa"/>
            <w:tcBorders/>
            <w:shd w:fill="CCEEFF" w:val="clear"/>
            <w:vAlign w:val="center"/>
          </w:tcPr>
          <w:p>
            <w:pPr>
              <w:pStyle w:val="TableContents"/>
              <w:bidi w:val="0"/>
              <w:spacing w:before="0" w:after="283"/>
              <w:jc w:val="left"/>
              <w:rPr/>
            </w:pPr>
            <w:hyperlink w:anchor="a_009">
              <w:r>
                <w:rPr>
                  <w:rStyle w:val="InternetLink"/>
                  <w:rFonts w:ascii="Times New Roman;Times;Serif" w:hAnsi="Times New Roman;Times;Serif"/>
                  <w:sz w:val="20"/>
                </w:rPr>
                <w:t>DESCRIPTION OF WARRANTS</w:t>
              </w:r>
            </w:hyperlink>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12</w:t>
            </w:r>
          </w:p>
        </w:tc>
      </w:tr>
      <w:tr>
        <w:trPr/>
        <w:tc>
          <w:tcPr>
            <w:tcW w:w="6890" w:type="dxa"/>
            <w:tcBorders/>
            <w:shd w:fill="FFFFFF" w:val="clear"/>
            <w:vAlign w:val="center"/>
          </w:tcPr>
          <w:p>
            <w:pPr>
              <w:pStyle w:val="TableContents"/>
              <w:bidi w:val="0"/>
              <w:spacing w:before="0" w:after="283"/>
              <w:jc w:val="left"/>
              <w:rPr/>
            </w:pPr>
            <w:hyperlink w:anchor="a_010">
              <w:r>
                <w:rPr>
                  <w:rStyle w:val="InternetLink"/>
                  <w:rFonts w:ascii="Times New Roman;Times;Serif" w:hAnsi="Times New Roman;Times;Serif"/>
                  <w:sz w:val="20"/>
                </w:rPr>
                <w:t>DESCRIPTION OF RIGHTS</w:t>
              </w:r>
            </w:hyperlink>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13</w:t>
            </w:r>
          </w:p>
        </w:tc>
      </w:tr>
      <w:tr>
        <w:trPr/>
        <w:tc>
          <w:tcPr>
            <w:tcW w:w="6890" w:type="dxa"/>
            <w:tcBorders/>
            <w:shd w:fill="CCEEFF" w:val="clear"/>
            <w:vAlign w:val="center"/>
          </w:tcPr>
          <w:p>
            <w:pPr>
              <w:pStyle w:val="TableContents"/>
              <w:bidi w:val="0"/>
              <w:spacing w:before="0" w:after="283"/>
              <w:jc w:val="left"/>
              <w:rPr/>
            </w:pPr>
            <w:hyperlink w:anchor="a_011">
              <w:r>
                <w:rPr>
                  <w:rStyle w:val="InternetLink"/>
                  <w:rFonts w:ascii="Times New Roman;Times;Serif" w:hAnsi="Times New Roman;Times;Serif"/>
                  <w:sz w:val="20"/>
                </w:rPr>
                <w:t>DESCRIPTION OF UNITS</w:t>
              </w:r>
            </w:hyperlink>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14</w:t>
            </w:r>
          </w:p>
        </w:tc>
      </w:tr>
      <w:tr>
        <w:trPr/>
        <w:tc>
          <w:tcPr>
            <w:tcW w:w="6890" w:type="dxa"/>
            <w:tcBorders/>
            <w:shd w:fill="FFFFFF" w:val="clear"/>
            <w:vAlign w:val="center"/>
          </w:tcPr>
          <w:p>
            <w:pPr>
              <w:pStyle w:val="TableContents"/>
              <w:bidi w:val="0"/>
              <w:spacing w:before="0" w:after="283"/>
              <w:jc w:val="left"/>
              <w:rPr/>
            </w:pPr>
            <w:hyperlink w:anchor="a_012">
              <w:r>
                <w:rPr>
                  <w:rStyle w:val="InternetLink"/>
                  <w:rFonts w:ascii="Times New Roman;Times;Serif" w:hAnsi="Times New Roman;Times;Serif"/>
                  <w:sz w:val="20"/>
                </w:rPr>
                <w:t>GLOBAL SECURITIES</w:t>
              </w:r>
            </w:hyperlink>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15</w:t>
            </w:r>
          </w:p>
        </w:tc>
      </w:tr>
      <w:tr>
        <w:trPr/>
        <w:tc>
          <w:tcPr>
            <w:tcW w:w="6890" w:type="dxa"/>
            <w:tcBorders/>
            <w:shd w:fill="CCEEFF" w:val="clear"/>
            <w:vAlign w:val="center"/>
          </w:tcPr>
          <w:p>
            <w:pPr>
              <w:pStyle w:val="TableContents"/>
              <w:bidi w:val="0"/>
              <w:spacing w:before="0" w:after="283"/>
              <w:jc w:val="left"/>
              <w:rPr/>
            </w:pPr>
            <w:hyperlink w:anchor="a_013">
              <w:r>
                <w:rPr>
                  <w:rStyle w:val="InternetLink"/>
                  <w:rFonts w:ascii="Times New Roman;Times;Serif" w:hAnsi="Times New Roman;Times;Serif"/>
                  <w:sz w:val="20"/>
                </w:rPr>
                <w:t>SELLING SECURITYHOLDERS</w:t>
              </w:r>
            </w:hyperlink>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17</w:t>
            </w:r>
          </w:p>
        </w:tc>
      </w:tr>
      <w:tr>
        <w:trPr/>
        <w:tc>
          <w:tcPr>
            <w:tcW w:w="6890" w:type="dxa"/>
            <w:tcBorders/>
            <w:shd w:fill="FFFFFF" w:val="clear"/>
            <w:vAlign w:val="center"/>
          </w:tcPr>
          <w:p>
            <w:pPr>
              <w:pStyle w:val="TableContents"/>
              <w:bidi w:val="0"/>
              <w:spacing w:before="0" w:after="283"/>
              <w:jc w:val="left"/>
              <w:rPr/>
            </w:pPr>
            <w:hyperlink w:anchor="a_014">
              <w:r>
                <w:rPr>
                  <w:rStyle w:val="InternetLink"/>
                  <w:rFonts w:ascii="Times New Roman;Times;Serif" w:hAnsi="Times New Roman;Times;Serif"/>
                  <w:sz w:val="20"/>
                </w:rPr>
                <w:t>PLAN OF DISTRIBUTION</w:t>
              </w:r>
            </w:hyperlink>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24</w:t>
            </w:r>
          </w:p>
        </w:tc>
      </w:tr>
      <w:tr>
        <w:trPr/>
        <w:tc>
          <w:tcPr>
            <w:tcW w:w="6890" w:type="dxa"/>
            <w:tcBorders/>
            <w:shd w:fill="CCEEFF" w:val="clear"/>
            <w:vAlign w:val="center"/>
          </w:tcPr>
          <w:p>
            <w:pPr>
              <w:pStyle w:val="TableContents"/>
              <w:bidi w:val="0"/>
              <w:spacing w:before="0" w:after="283"/>
              <w:jc w:val="left"/>
              <w:rPr/>
            </w:pPr>
            <w:hyperlink w:anchor="a_015">
              <w:r>
                <w:rPr>
                  <w:rStyle w:val="InternetLink"/>
                  <w:rFonts w:ascii="Times New Roman;Times;Serif" w:hAnsi="Times New Roman;Times;Serif"/>
                  <w:sz w:val="20"/>
                </w:rPr>
                <w:t>LEGAL MATTERS</w:t>
              </w:r>
            </w:hyperlink>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26</w:t>
            </w:r>
          </w:p>
        </w:tc>
      </w:tr>
      <w:tr>
        <w:trPr/>
        <w:tc>
          <w:tcPr>
            <w:tcW w:w="6890" w:type="dxa"/>
            <w:tcBorders/>
            <w:shd w:fill="FFFFFF" w:val="clear"/>
            <w:vAlign w:val="center"/>
          </w:tcPr>
          <w:p>
            <w:pPr>
              <w:pStyle w:val="TableContents"/>
              <w:bidi w:val="0"/>
              <w:spacing w:before="0" w:after="283"/>
              <w:jc w:val="left"/>
              <w:rPr/>
            </w:pPr>
            <w:hyperlink w:anchor="a_016">
              <w:r>
                <w:rPr>
                  <w:rStyle w:val="InternetLink"/>
                  <w:rFonts w:ascii="Times New Roman;Times;Serif" w:hAnsi="Times New Roman;Times;Serif"/>
                  <w:sz w:val="20"/>
                </w:rPr>
                <w:t>EXPERTS</w:t>
              </w:r>
            </w:hyperlink>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26</w:t>
            </w:r>
          </w:p>
        </w:tc>
      </w:tr>
      <w:tr>
        <w:trPr/>
        <w:tc>
          <w:tcPr>
            <w:tcW w:w="6890" w:type="dxa"/>
            <w:tcBorders/>
            <w:shd w:fill="CCEEFF" w:val="clear"/>
            <w:vAlign w:val="center"/>
          </w:tcPr>
          <w:p>
            <w:pPr>
              <w:pStyle w:val="TableContents"/>
              <w:bidi w:val="0"/>
              <w:spacing w:before="0" w:after="283"/>
              <w:jc w:val="left"/>
              <w:rPr/>
            </w:pPr>
            <w:hyperlink w:anchor="a_017">
              <w:r>
                <w:rPr>
                  <w:rStyle w:val="InternetLink"/>
                  <w:rFonts w:ascii="Times New Roman;Times;Serif" w:hAnsi="Times New Roman;Times;Serif"/>
                  <w:sz w:val="20"/>
                </w:rPr>
                <w:t>WHERE YOU CAN FIND MORE INFORMATION</w:t>
              </w:r>
            </w:hyperlink>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27</w:t>
            </w:r>
          </w:p>
        </w:tc>
      </w:tr>
      <w:tr>
        <w:trPr/>
        <w:tc>
          <w:tcPr>
            <w:tcW w:w="6890" w:type="dxa"/>
            <w:tcBorders/>
            <w:shd w:fill="FFFFFF" w:val="clear"/>
            <w:vAlign w:val="center"/>
          </w:tcPr>
          <w:p>
            <w:pPr>
              <w:pStyle w:val="TableContents"/>
              <w:bidi w:val="0"/>
              <w:spacing w:before="0" w:after="283"/>
              <w:jc w:val="left"/>
              <w:rPr/>
            </w:pPr>
            <w:hyperlink w:anchor="a_018">
              <w:r>
                <w:rPr>
                  <w:rStyle w:val="InternetLink"/>
                  <w:rFonts w:ascii="Times New Roman;Times;Serif" w:hAnsi="Times New Roman;Times;Serif"/>
                  <w:sz w:val="20"/>
                </w:rPr>
                <w:t>INDEMNIFICATION FOR SECURITIES ACT LIABILITIES</w:t>
              </w:r>
            </w:hyperlink>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27</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You should rely only on the information contained or incorporated by reference in this prospectus supplement, the accompanying prospectus supplement and the accompanying prospectus. We have not authorized anyone to provide you with information different from that contained or incorporated by reference into this prospectus. If any person does provide you with information that differs from what is contained or incorporated by reference in this prospectus, you should not rely on it. No dealer, salesperson or other person is authorized to give any information or to represent anything not contained in this prospectus supplement, the accompanying prospectus supplement and the accompanying prospectus. You should assume that the information contained in this prospectus supplement, the accompanying prospectus supplement and the accompanying prospectus is accurate only as of the date on the front of the document and that any information contained in any document we have incorporated by reference is accurate only as of the date of the document incorporated by reference, regardless of the time of delivery of this prospectus supplement, the accompanying prospectus supplement and the accompanying prospectus or any sale of a security. These documents are not an offer to sell or a solicitation of an offer to buy these securities by anyone in any jurisdiction in which such offer or solicitation is not authorized, or in which the person is not qualified to do so or to any person to whom it is unlawful to make such offer or solicitation.</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jc w:val="center"/>
        <w:rPr>
          <w:rFonts w:ascii="Times New Roman;Times;Serif" w:hAnsi="Times New Roman;Times;Serif"/>
          <w:b/>
          <w:i w:val="false"/>
          <w:caps w:val="false"/>
          <w:smallCaps w:val="false"/>
          <w:sz w:val="20"/>
          <w:bdr w:val="single" w:sz="12" w:space="5" w:color="000000"/>
        </w:rPr>
      </w:pPr>
      <w:bookmarkStart w:id="2" w:name="aa_001"/>
      <w:bookmarkEnd w:id="2"/>
      <w:r>
        <w:rPr>
          <w:rFonts w:ascii="Times New Roman;Times;Serif" w:hAnsi="Times New Roman;Times;Serif"/>
          <w:b/>
          <w:i w:val="false"/>
          <w:caps w:val="false"/>
          <w:smallCaps w:val="false"/>
          <w:sz w:val="20"/>
          <w:bdr w:val="single" w:sz="12" w:space="5" w:color="000000"/>
        </w:rPr>
        <w:t>THE OFFERING</w:t>
      </w:r>
    </w:p>
    <w:p>
      <w:pPr>
        <w:pStyle w:val="TextBody"/>
        <w:bidi w:val="0"/>
        <w:spacing w:before="0" w:after="0"/>
        <w:jc w:val="center"/>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1820"/>
        <w:gridCol w:w="8385"/>
      </w:tblGrid>
      <w:tr>
        <w:trPr/>
        <w:tc>
          <w:tcPr>
            <w:tcW w:w="18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Securities Offered</w:t>
            </w:r>
          </w:p>
        </w:tc>
        <w:tc>
          <w:tcPr>
            <w:tcW w:w="83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8,749,940 shares of common stock of Presto Automation Inc.</w:t>
            </w:r>
          </w:p>
        </w:tc>
      </w:tr>
      <w:tr>
        <w:trPr/>
        <w:tc>
          <w:tcPr>
            <w:tcW w:w="1820" w:type="dxa"/>
            <w:tcBorders/>
            <w:vAlign w:val="center"/>
          </w:tcPr>
          <w:p>
            <w:pPr>
              <w:pStyle w:val="TableContents"/>
              <w:bidi w:val="0"/>
              <w:spacing w:before="0" w:after="283"/>
              <w:jc w:val="both"/>
              <w:rPr/>
            </w:pPr>
            <w:r>
              <w:rPr/>
              <w:t> </w:t>
            </w:r>
          </w:p>
        </w:tc>
        <w:tc>
          <w:tcPr>
            <w:tcW w:w="8385" w:type="dxa"/>
            <w:tcBorders/>
            <w:vAlign w:val="center"/>
          </w:tcPr>
          <w:p>
            <w:pPr>
              <w:pStyle w:val="TableContents"/>
              <w:bidi w:val="0"/>
              <w:spacing w:before="0" w:after="283"/>
              <w:jc w:val="both"/>
              <w:rPr/>
            </w:pPr>
            <w:r>
              <w:rPr/>
              <w:t> </w:t>
            </w:r>
          </w:p>
        </w:tc>
      </w:tr>
      <w:tr>
        <w:trPr/>
        <w:tc>
          <w:tcPr>
            <w:tcW w:w="18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Purchaser</w:t>
            </w:r>
          </w:p>
        </w:tc>
        <w:tc>
          <w:tcPr>
            <w:tcW w:w="83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Triton Funds LP pursuant to the Common Stock Purchase Agreement dated May 28, 2024, as amended by Amendment No.1 thereto dated June 3, 2024.</w:t>
            </w:r>
          </w:p>
        </w:tc>
      </w:tr>
      <w:tr>
        <w:trPr/>
        <w:tc>
          <w:tcPr>
            <w:tcW w:w="1820" w:type="dxa"/>
            <w:tcBorders/>
            <w:vAlign w:val="center"/>
          </w:tcPr>
          <w:p>
            <w:pPr>
              <w:pStyle w:val="TableContents"/>
              <w:bidi w:val="0"/>
              <w:spacing w:before="0" w:after="283"/>
              <w:jc w:val="both"/>
              <w:rPr/>
            </w:pPr>
            <w:r>
              <w:rPr/>
              <w:t> </w:t>
            </w:r>
          </w:p>
        </w:tc>
        <w:tc>
          <w:tcPr>
            <w:tcW w:w="8385" w:type="dxa"/>
            <w:tcBorders/>
            <w:vAlign w:val="center"/>
          </w:tcPr>
          <w:p>
            <w:pPr>
              <w:pStyle w:val="TableContents"/>
              <w:bidi w:val="0"/>
              <w:spacing w:before="0" w:after="283"/>
              <w:jc w:val="both"/>
              <w:rPr/>
            </w:pPr>
            <w:r>
              <w:rPr/>
              <w:t> </w:t>
            </w:r>
          </w:p>
        </w:tc>
      </w:tr>
      <w:tr>
        <w:trPr/>
        <w:tc>
          <w:tcPr>
            <w:tcW w:w="18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Purchase price</w:t>
            </w:r>
          </w:p>
        </w:tc>
        <w:tc>
          <w:tcPr>
            <w:tcW w:w="838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$0.0569</w:t>
            </w:r>
          </w:p>
        </w:tc>
      </w:tr>
      <w:tr>
        <w:trPr/>
        <w:tc>
          <w:tcPr>
            <w:tcW w:w="1820" w:type="dxa"/>
            <w:tcBorders/>
            <w:vAlign w:val="center"/>
          </w:tcPr>
          <w:p>
            <w:pPr>
              <w:pStyle w:val="TableContents"/>
              <w:bidi w:val="0"/>
              <w:spacing w:before="0" w:after="283"/>
              <w:jc w:val="both"/>
              <w:rPr/>
            </w:pPr>
            <w:r>
              <w:rPr/>
              <w:t> </w:t>
            </w:r>
          </w:p>
        </w:tc>
        <w:tc>
          <w:tcPr>
            <w:tcW w:w="8385" w:type="dxa"/>
            <w:tcBorders/>
            <w:vAlign w:val="center"/>
          </w:tcPr>
          <w:p>
            <w:pPr>
              <w:pStyle w:val="TableContents"/>
              <w:bidi w:val="0"/>
              <w:spacing w:before="0" w:after="283"/>
              <w:jc w:val="left"/>
              <w:rPr/>
            </w:pPr>
            <w:r>
              <w:rPr/>
              <w:t> </w:t>
            </w:r>
          </w:p>
        </w:tc>
      </w:tr>
      <w:tr>
        <w:trPr/>
        <w:tc>
          <w:tcPr>
            <w:tcW w:w="18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Gross proceeds</w:t>
            </w:r>
          </w:p>
        </w:tc>
        <w:tc>
          <w:tcPr>
            <w:tcW w:w="83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$1,993,059.62</w:t>
            </w:r>
          </w:p>
        </w:tc>
      </w:tr>
      <w:tr>
        <w:trPr/>
        <w:tc>
          <w:tcPr>
            <w:tcW w:w="1820" w:type="dxa"/>
            <w:tcBorders/>
            <w:vAlign w:val="center"/>
          </w:tcPr>
          <w:p>
            <w:pPr>
              <w:pStyle w:val="TableContents"/>
              <w:bidi w:val="0"/>
              <w:spacing w:before="0" w:after="283"/>
              <w:jc w:val="both"/>
              <w:rPr/>
            </w:pPr>
            <w:r>
              <w:rPr/>
              <w:t> </w:t>
            </w:r>
          </w:p>
        </w:tc>
        <w:tc>
          <w:tcPr>
            <w:tcW w:w="8385" w:type="dxa"/>
            <w:tcBorders/>
            <w:vAlign w:val="center"/>
          </w:tcPr>
          <w:p>
            <w:pPr>
              <w:pStyle w:val="TableContents"/>
              <w:bidi w:val="0"/>
              <w:spacing w:before="0" w:after="283"/>
              <w:jc w:val="both"/>
              <w:rPr/>
            </w:pPr>
            <w:r>
              <w:rPr/>
              <w:t> </w:t>
            </w:r>
          </w:p>
        </w:tc>
      </w:tr>
      <w:tr>
        <w:trPr/>
        <w:tc>
          <w:tcPr>
            <w:tcW w:w="18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Use of Proceeds</w:t>
            </w:r>
          </w:p>
        </w:tc>
        <w:tc>
          <w:tcPr>
            <w:tcW w:w="83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proceeds from this offering will be used for working capital and general corporate purposes.</w:t>
            </w:r>
          </w:p>
        </w:tc>
      </w:tr>
      <w:tr>
        <w:trPr/>
        <w:tc>
          <w:tcPr>
            <w:tcW w:w="1820" w:type="dxa"/>
            <w:tcBorders/>
            <w:vAlign w:val="center"/>
          </w:tcPr>
          <w:p>
            <w:pPr>
              <w:pStyle w:val="TableContents"/>
              <w:bidi w:val="0"/>
              <w:spacing w:before="0" w:after="283"/>
              <w:jc w:val="both"/>
              <w:rPr/>
            </w:pPr>
            <w:r>
              <w:rPr/>
              <w:t> </w:t>
            </w:r>
          </w:p>
        </w:tc>
        <w:tc>
          <w:tcPr>
            <w:tcW w:w="8385" w:type="dxa"/>
            <w:tcBorders/>
            <w:vAlign w:val="center"/>
          </w:tcPr>
          <w:p>
            <w:pPr>
              <w:pStyle w:val="TableContents"/>
              <w:bidi w:val="0"/>
              <w:spacing w:before="0" w:after="283"/>
              <w:jc w:val="both"/>
              <w:rPr/>
            </w:pPr>
            <w:r>
              <w:rPr/>
              <w:t> </w:t>
            </w:r>
          </w:p>
        </w:tc>
      </w:tr>
      <w:tr>
        <w:trPr/>
        <w:tc>
          <w:tcPr>
            <w:tcW w:w="18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Symbol for our common stock on Nasdaq</w:t>
            </w:r>
          </w:p>
        </w:tc>
        <w:tc>
          <w:tcPr>
            <w:tcW w:w="8385" w:type="dxa"/>
            <w:tcBorders/>
            <w:vAlign w:val="center"/>
          </w:tcPr>
          <w:p>
            <w:pPr>
              <w:pStyle w:val="TableContents"/>
              <w:bidi w:val="0"/>
              <w:spacing w:before="0" w:after="283"/>
              <w:jc w:val="both"/>
              <w:rPr/>
            </w:pPr>
            <w:r>
              <w:rPr/>
              <w:t>“</w:t>
            </w:r>
            <w:r>
              <w:rPr>
                <w:rFonts w:ascii="Times New Roman;Times;Serif" w:hAnsi="Times New Roman;Times;Serif"/>
                <w:sz w:val="20"/>
              </w:rPr>
              <w:t>PRST”</w:t>
            </w:r>
          </w:p>
        </w:tc>
      </w:tr>
      <w:tr>
        <w:trPr/>
        <w:tc>
          <w:tcPr>
            <w:tcW w:w="1820" w:type="dxa"/>
            <w:tcBorders/>
            <w:vAlign w:val="center"/>
          </w:tcPr>
          <w:p>
            <w:pPr>
              <w:pStyle w:val="TableContents"/>
              <w:bidi w:val="0"/>
              <w:spacing w:before="0" w:after="283"/>
              <w:jc w:val="both"/>
              <w:rPr/>
            </w:pPr>
            <w:r>
              <w:rPr/>
              <w:t> </w:t>
            </w:r>
          </w:p>
        </w:tc>
        <w:tc>
          <w:tcPr>
            <w:tcW w:w="8385" w:type="dxa"/>
            <w:tcBorders/>
            <w:vAlign w:val="center"/>
          </w:tcPr>
          <w:p>
            <w:pPr>
              <w:pStyle w:val="TableContents"/>
              <w:bidi w:val="0"/>
              <w:spacing w:before="0" w:after="283"/>
              <w:jc w:val="both"/>
              <w:rPr/>
            </w:pPr>
            <w:r>
              <w:rPr/>
              <w:t> </w:t>
            </w:r>
          </w:p>
        </w:tc>
      </w:tr>
      <w:tr>
        <w:trPr/>
        <w:tc>
          <w:tcPr>
            <w:tcW w:w="18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Resale</w:t>
            </w:r>
          </w:p>
        </w:tc>
        <w:tc>
          <w:tcPr>
            <w:tcW w:w="83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This prospectus supplement, the accompanying prospectus supplement and the accompanying prospectus also cover the resale of shares by Triton Funds LP to the public. See “Plan of Distribution” in the accompanying prospectus supplement.</w:t>
            </w:r>
          </w:p>
        </w:tc>
      </w:tr>
    </w:tbl>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S-1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 SUPPLEMENT</w:t>
        <w:br/>
        <w:t>(To Prospectus Dated October 30, 2023)</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790700" cy="6667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790700" cy="666750"/>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Up to $5,000,000 of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 xml:space="preserve">We entered into a Common Stock Purchase Agreement with Triton Funds LP (“Triton”) on May 28, 2024 (the “CSPA”). Pursuant to the CSPA, we have the right, but not the obligation, to sell to Triton up to $5,000,000 of our shares of common stock, par value $0.0001 per share, </w:t>
      </w:r>
      <w:r>
        <w:rPr>
          <w:rFonts w:ascii="Times New Roman;Times;Serif" w:hAnsi="Times New Roman;Times;Serif"/>
          <w:b w:val="false"/>
          <w:i w:val="false"/>
          <w:caps w:val="false"/>
          <w:smallCaps w:val="false"/>
          <w:sz w:val="20"/>
        </w:rPr>
        <w:t xml:space="preserve">offered by this prospectus supplement and the accompanying prospectus </w:t>
      </w:r>
      <w:r>
        <w:rPr>
          <w:rFonts w:ascii="Times New Roman;Times;Serif" w:hAnsi="Times New Roman;Times;Serif"/>
          <w:b w:val="false"/>
          <w:i w:val="false"/>
          <w:caps w:val="false"/>
          <w:smallCaps w:val="false"/>
          <w:sz w:val="20"/>
          <w:shd w:fill="FFFFFF" w:val="clear"/>
        </w:rPr>
        <w:t xml:space="preserve">at our request any time during the commitment period commencing on May 28, 2024 and terminating on the earlier of (i) December 31, 2024 or (ii) the date on which Triton shall have purchased shares of our common stock pursuant to the CSPA equal to the investment amount of $5,000,000 (the “Commitment Period”).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 xml:space="preserve">Each sale we request under the CSPA (a “Purchase Notice”) may be for a number of shares of our common stock that does not exceed 9.9% of our outstanding shares, which 9.9% amount is currently 9,988,465 shares as of the date of the CSPA (the “Commitment Shares”). Triton has committed to purchase the Commitment Shares at the lowest of </w:t>
      </w:r>
      <w:r>
        <w:rPr>
          <w:rFonts w:ascii="Times New Roman;Times;Serif" w:hAnsi="Times New Roman;Times;Serif"/>
          <w:b w:val="false"/>
          <w:i w:val="false"/>
          <w:caps w:val="false"/>
          <w:smallCaps w:val="false"/>
          <w:sz w:val="20"/>
        </w:rPr>
        <w:t xml:space="preserve">(i) the official closing price of our common stock on the </w:t>
      </w:r>
      <w:r>
        <w:rPr>
          <w:rFonts w:ascii="Times New Roman;Times;Serif" w:hAnsi="Times New Roman;Times;Serif"/>
          <w:b w:val="false"/>
          <w:i w:val="false"/>
          <w:caps w:val="false"/>
          <w:smallCaps w:val="false"/>
          <w:sz w:val="20"/>
          <w:shd w:fill="FFFFFF" w:val="clear"/>
        </w:rPr>
        <w:t xml:space="preserve">Nasdaq Stock Market </w:t>
      </w:r>
      <w:r>
        <w:rPr>
          <w:rFonts w:ascii="Times New Roman;Times;Serif" w:hAnsi="Times New Roman;Times;Serif"/>
          <w:b w:val="false"/>
          <w:i w:val="false"/>
          <w:caps w:val="false"/>
          <w:smallCaps w:val="false"/>
          <w:sz w:val="20"/>
        </w:rPr>
        <w:t xml:space="preserve">on the trading day immediately preceding our submission of a Purchase Notice to Triton, (ii) the average official closing price of our common stock on the </w:t>
      </w:r>
      <w:r>
        <w:rPr>
          <w:rFonts w:ascii="Times New Roman;Times;Serif" w:hAnsi="Times New Roman;Times;Serif"/>
          <w:b w:val="false"/>
          <w:i w:val="false"/>
          <w:caps w:val="false"/>
          <w:smallCaps w:val="false"/>
          <w:sz w:val="20"/>
          <w:shd w:fill="FFFFFF" w:val="clear"/>
        </w:rPr>
        <w:t xml:space="preserve">Nasdaq Stock Market </w:t>
      </w:r>
      <w:r>
        <w:rPr>
          <w:rFonts w:ascii="Times New Roman;Times;Serif" w:hAnsi="Times New Roman;Times;Serif"/>
          <w:b w:val="false"/>
          <w:i w:val="false"/>
          <w:caps w:val="false"/>
          <w:smallCaps w:val="false"/>
          <w:sz w:val="20"/>
        </w:rPr>
        <w:t>for the five consecutive trading days ending on the business day immediately preceding our submission of a Purchase Notice to Triton, and (iii) 75% of the lowest traded price of the common stock five days prior to the closing date for that tranche of shares</w:t>
      </w:r>
      <w:r>
        <w:rPr>
          <w:rFonts w:ascii="Times New Roman;Times;Serif" w:hAnsi="Times New Roman;Times;Serif"/>
          <w:b w:val="false"/>
          <w:i w:val="false"/>
          <w:caps w:val="false"/>
          <w:smallCaps w:val="false"/>
          <w:sz w:val="20"/>
          <w:shd w:fill="FFFFFF" w:val="clear"/>
        </w:rPr>
        <w:t xml:space="preserve">. The price in (i) and (ii) is referred to as the “Minimum Price” and the price in (i), (ii) and (iii) is referred to as the “Purchase Price”.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Triton has committed to purchase a number of additional shares such that the total proceeds to be received by us on or before June 7, 2024 pursuant to the </w:t>
      </w:r>
      <w:r>
        <w:rPr>
          <w:rFonts w:ascii="Times New Roman;Times;Serif" w:hAnsi="Times New Roman;Times;Serif"/>
          <w:b w:val="false"/>
          <w:i w:val="false"/>
          <w:caps w:val="false"/>
          <w:smallCaps w:val="false"/>
          <w:sz w:val="20"/>
          <w:shd w:fill="FFFFFF" w:val="clear"/>
        </w:rPr>
        <w:t>CSPA will</w:t>
      </w:r>
      <w:r>
        <w:rPr>
          <w:rFonts w:ascii="Times New Roman;Times;Serif" w:hAnsi="Times New Roman;Times;Serif"/>
          <w:b w:val="false"/>
          <w:i w:val="false"/>
          <w:caps w:val="false"/>
          <w:smallCaps w:val="false"/>
          <w:sz w:val="20"/>
        </w:rPr>
        <w:t xml:space="preserve"> exceed $3,000,000, including those shares that are the subject of the Purchase Notices (such shares, the “Backstop Shares”). </w:t>
      </w:r>
      <w:r>
        <w:rPr>
          <w:rFonts w:ascii="Times New Roman;Times;Serif" w:hAnsi="Times New Roman;Times;Serif"/>
          <w:b w:val="false"/>
          <w:i w:val="false"/>
          <w:caps w:val="false"/>
          <w:smallCaps w:val="false"/>
          <w:sz w:val="20"/>
          <w:shd w:fill="FFFFFF" w:val="clear"/>
        </w:rPr>
        <w:t xml:space="preserve">The Backstop Shares will be purchased at </w:t>
      </w:r>
      <w:r>
        <w:rPr>
          <w:rFonts w:ascii="Times New Roman;Times;Serif" w:hAnsi="Times New Roman;Times;Serif"/>
          <w:b w:val="false"/>
          <w:i w:val="false"/>
          <w:caps w:val="false"/>
          <w:smallCaps w:val="false"/>
          <w:sz w:val="20"/>
        </w:rPr>
        <w:t xml:space="preserve">(x) the Purchase Price, if relief provided by Nasdaq Rule 5635(f) (the “Financial Viability Relief”) has been sought and granted to us and such relief permits the receipt of proceeds from the sale of common stock on or before June 7, 2024, or (y) the Minimum Price, if the Financial Viability Relief has not been sought or granted or cannot generate such proceeds on or before June 7, 2024. Triton’s obligation with respect to purchasing the Backstop Shares is conditioned on (i) us having timely delivered a first Purchase Notice for 9.9% of our outstanding shares within one business day of the execution of the </w:t>
      </w:r>
      <w:r>
        <w:rPr>
          <w:rFonts w:ascii="Times New Roman;Times;Serif" w:hAnsi="Times New Roman;Times;Serif"/>
          <w:b w:val="false"/>
          <w:i w:val="false"/>
          <w:caps w:val="false"/>
          <w:smallCaps w:val="false"/>
          <w:sz w:val="20"/>
          <w:shd w:fill="FFFFFF" w:val="clear"/>
        </w:rPr>
        <w:t>CSPA</w:t>
      </w:r>
      <w:r>
        <w:rPr>
          <w:rFonts w:ascii="Times New Roman;Times;Serif" w:hAnsi="Times New Roman;Times;Serif"/>
          <w:b w:val="false"/>
          <w:i w:val="false"/>
          <w:caps w:val="false"/>
          <w:smallCaps w:val="false"/>
          <w:sz w:val="20"/>
        </w:rPr>
        <w:t>, and (ii) us having timely delivered a second Purchase Notice for 9.9% of our outstanding shares to Triton within one business day after the closing related to such first Purchase Notice unless Triton has failed to comply with its obligation, in which case we are not obligated to deliver such second Purchase Notice</w:t>
      </w:r>
      <w:r>
        <w:rPr>
          <w:rFonts w:ascii="Times New Roman;Times;Serif" w:hAnsi="Times New Roman;Times;Serif"/>
          <w:b w:val="false"/>
          <w:i w:val="false"/>
          <w:caps w:val="false"/>
          <w:smallCaps w:val="false"/>
          <w:sz w:val="20"/>
          <w:shd w:fill="FFFFFF" w:val="clear"/>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and the accompanying prospectus also cover the sale of these shares by Triton to the public. Triton is deemed to be an “underwriter” within the meaning of the Securities Act of 1933, as amended (the “Securities Act”), and the compensation and discounts received by Triton will be deemed to be underwriting commissions or discounts. We will pay for expenses of this offering. For additional information on the methods of sale that may be used by Triton, see the section entitled “Plan of Distribution” on page S-15.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listed on the Nasdaq Stock Market LLC (“Nasdaq”) under the symbol “PRST”. On May 24, 2024, the closing price of our common stock, as reported on the Nasdaq, was $0.15 per share.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Investing in our common stock involves a high degree of risk. Before making an investment decision, please read carefully the discussion of material risks of investing in our common stock under the heading “Risk Factors” beginning on page S-6 of this prospectus supplement and in the documents incorporated by reference into this prospectus supplement.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particular, you should note that we must raise $3.0 million before June 7, 2024 and a further $32.0 million before July 15, 2024 in order to avoid a default under our existing credit agreement and the likely exercise of remedies by our senior secured lender. We cannot give you any assurance that will be successful in raising these funds and, if we fail to do so, you will lose your investment. Please see “Risk Factors” beginning on page S-6 of this prospectus supplement for addition information on these risks.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ind w:left="0" w:right="0" w:firstLine="720"/>
        <w:jc w:val="left"/>
        <w:rPr>
          <w:bdr w:val="single" w:sz="12" w:space="1" w:color="000000"/>
        </w:rPr>
      </w:pPr>
      <w:r>
        <w:rPr>
          <w:bdr w:val="single" w:sz="12" w:space="1" w:color="000000"/>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Securities and Exchange Commission (“SEC”) nor any state securities commission has approved or disapproved of these securities or determined if this prospectus is truthful or complete. Any representation to the contrary is a criminal offense.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ind w:left="0" w:right="0" w:firstLine="720"/>
        <w:jc w:val="left"/>
        <w:rPr>
          <w:bdr w:val="single" w:sz="12" w:space="1" w:color="000000"/>
        </w:rPr>
      </w:pPr>
      <w:r>
        <w:rPr>
          <w:bdr w:val="single" w:sz="12" w:space="1" w:color="000000"/>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This prospectus supplement is dated May 28, 2024</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 Supplement </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675"/>
        <w:gridCol w:w="530"/>
      </w:tblGrid>
      <w:tr>
        <w:trPr/>
        <w:tc>
          <w:tcPr>
            <w:tcW w:w="9675" w:type="dxa"/>
            <w:tcBorders/>
            <w:vAlign w:val="center"/>
          </w:tcPr>
          <w:p>
            <w:pPr>
              <w:pStyle w:val="TableContents"/>
              <w:bidi w:val="0"/>
              <w:spacing w:before="0" w:after="283"/>
              <w:jc w:val="left"/>
              <w:rPr>
                <w:caps/>
              </w:rPr>
            </w:pPr>
            <w:r>
              <w:rPr>
                <w:caps/>
              </w:rPr>
              <w:t> </w:t>
            </w:r>
          </w:p>
        </w:tc>
        <w:tc>
          <w:tcPr>
            <w:tcW w:w="530"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caps w:val="false"/>
                <w:smallCaps w:val="false"/>
              </w:rPr>
            </w:pPr>
            <w:r>
              <w:rPr>
                <w:rFonts w:ascii="Times New Roman;Times;Serif" w:hAnsi="Times New Roman;Times;Serif"/>
                <w:b/>
                <w:caps w:val="false"/>
                <w:smallCaps w:val="false"/>
              </w:rPr>
              <w:t>Page</w:t>
            </w:r>
          </w:p>
        </w:tc>
      </w:tr>
      <w:tr>
        <w:trPr/>
        <w:tc>
          <w:tcPr>
            <w:tcW w:w="9675" w:type="dxa"/>
            <w:tcBorders/>
            <w:shd w:fill="CCEEFF" w:val="clear"/>
            <w:vAlign w:val="center"/>
          </w:tcPr>
          <w:p>
            <w:pPr>
              <w:pStyle w:val="TableContents"/>
              <w:bidi w:val="0"/>
              <w:spacing w:before="0" w:after="283"/>
              <w:jc w:val="left"/>
              <w:rPr/>
            </w:pPr>
            <w:hyperlink w:anchor="s_001">
              <w:r>
                <w:rPr>
                  <w:rStyle w:val="InternetLink"/>
                  <w:rFonts w:ascii="Times New Roman;Times;Serif" w:hAnsi="Times New Roman;Times;Serif"/>
                  <w:caps/>
                </w:rPr>
                <w:t>ABOUT THIS PROSPECTUS SUPPLEMENT</w:t>
              </w:r>
            </w:hyperlink>
          </w:p>
        </w:tc>
        <w:tc>
          <w:tcPr>
            <w:tcW w:w="530" w:type="dxa"/>
            <w:tcBorders/>
            <w:shd w:fill="CCEEFF" w:val="clear"/>
            <w:vAlign w:val="center"/>
          </w:tcPr>
          <w:p>
            <w:pPr>
              <w:pStyle w:val="TableContents"/>
              <w:bidi w:val="0"/>
              <w:spacing w:before="0" w:after="283"/>
              <w:jc w:val="center"/>
              <w:rPr>
                <w:rFonts w:ascii="Times New Roman;Times;Serif" w:hAnsi="Times New Roman;Times;Serif"/>
                <w:caps/>
              </w:rPr>
            </w:pPr>
            <w:r>
              <w:rPr>
                <w:rFonts w:ascii="Times New Roman;Times;Serif" w:hAnsi="Times New Roman;Times;Serif"/>
                <w:caps/>
              </w:rPr>
              <w:t>S-</w:t>
            </w:r>
            <w:r>
              <w:rPr>
                <w:rFonts w:ascii="Times New Roman;Times;Serif" w:hAnsi="Times New Roman;Times;Serif"/>
                <w:caps w:val="false"/>
                <w:smallCaps w:val="false"/>
              </w:rPr>
              <w:t>ii</w:t>
            </w:r>
          </w:p>
        </w:tc>
      </w:tr>
      <w:tr>
        <w:trPr/>
        <w:tc>
          <w:tcPr>
            <w:tcW w:w="9675" w:type="dxa"/>
            <w:tcBorders/>
            <w:shd w:fill="FFFFFF" w:val="clear"/>
            <w:vAlign w:val="center"/>
          </w:tcPr>
          <w:p>
            <w:pPr>
              <w:pStyle w:val="TableContents"/>
              <w:bidi w:val="0"/>
              <w:spacing w:before="0" w:after="283"/>
              <w:jc w:val="left"/>
              <w:rPr/>
            </w:pPr>
            <w:hyperlink w:anchor="s_002">
              <w:r>
                <w:rPr>
                  <w:rStyle w:val="InternetLink"/>
                  <w:rFonts w:ascii="Times New Roman;Times;Serif" w:hAnsi="Times New Roman;Times;Serif"/>
                  <w:caps/>
                </w:rPr>
                <w:t>CAUTIONARY STATEMENT REGARDING FORWARD-LOOKING STATEMENTS</w:t>
              </w:r>
            </w:hyperlink>
          </w:p>
        </w:tc>
        <w:tc>
          <w:tcPr>
            <w:tcW w:w="530" w:type="dxa"/>
            <w:tcBorders/>
            <w:shd w:fill="FFFFFF" w:val="clear"/>
            <w:vAlign w:val="center"/>
          </w:tcPr>
          <w:p>
            <w:pPr>
              <w:pStyle w:val="TableContents"/>
              <w:bidi w:val="0"/>
              <w:spacing w:before="0" w:after="283"/>
              <w:jc w:val="center"/>
              <w:rPr>
                <w:rFonts w:ascii="Times New Roman;Times;Serif" w:hAnsi="Times New Roman;Times;Serif"/>
                <w:caps/>
              </w:rPr>
            </w:pPr>
            <w:r>
              <w:rPr>
                <w:rFonts w:ascii="Times New Roman;Times;Serif" w:hAnsi="Times New Roman;Times;Serif"/>
                <w:caps/>
              </w:rPr>
              <w:t>S-</w:t>
            </w:r>
            <w:r>
              <w:rPr>
                <w:rFonts w:ascii="Times New Roman;Times;Serif" w:hAnsi="Times New Roman;Times;Serif"/>
                <w:caps w:val="false"/>
                <w:smallCaps w:val="false"/>
              </w:rPr>
              <w:t>iii</w:t>
            </w:r>
          </w:p>
        </w:tc>
      </w:tr>
      <w:tr>
        <w:trPr/>
        <w:tc>
          <w:tcPr>
            <w:tcW w:w="9675" w:type="dxa"/>
            <w:tcBorders/>
            <w:shd w:fill="CCEEFF" w:val="clear"/>
            <w:vAlign w:val="center"/>
          </w:tcPr>
          <w:p>
            <w:pPr>
              <w:pStyle w:val="TableContents"/>
              <w:bidi w:val="0"/>
              <w:spacing w:before="0" w:after="283"/>
              <w:jc w:val="left"/>
              <w:rPr/>
            </w:pPr>
            <w:hyperlink w:anchor="s_003">
              <w:r>
                <w:rPr>
                  <w:rStyle w:val="InternetLink"/>
                  <w:rFonts w:ascii="Times New Roman;Times;Serif" w:hAnsi="Times New Roman;Times;Serif"/>
                  <w:caps/>
                </w:rPr>
                <w:t>PROSPECTUS SUPPLEMENT SUMMARY</w:t>
              </w:r>
            </w:hyperlink>
          </w:p>
        </w:tc>
        <w:tc>
          <w:tcPr>
            <w:tcW w:w="530" w:type="dxa"/>
            <w:tcBorders/>
            <w:shd w:fill="CCEEFF" w:val="clear"/>
            <w:vAlign w:val="center"/>
          </w:tcPr>
          <w:p>
            <w:pPr>
              <w:pStyle w:val="TableContents"/>
              <w:bidi w:val="0"/>
              <w:spacing w:before="0" w:after="283"/>
              <w:jc w:val="center"/>
              <w:rPr>
                <w:rFonts w:ascii="Times New Roman;Times;Serif" w:hAnsi="Times New Roman;Times;Serif"/>
                <w:caps/>
              </w:rPr>
            </w:pPr>
            <w:r>
              <w:rPr>
                <w:rFonts w:ascii="Times New Roman;Times;Serif" w:hAnsi="Times New Roman;Times;Serif"/>
                <w:caps/>
              </w:rPr>
              <w:t>S-1</w:t>
            </w:r>
          </w:p>
        </w:tc>
      </w:tr>
      <w:tr>
        <w:trPr/>
        <w:tc>
          <w:tcPr>
            <w:tcW w:w="9675" w:type="dxa"/>
            <w:tcBorders/>
            <w:shd w:fill="FFFFFF" w:val="clear"/>
            <w:vAlign w:val="center"/>
          </w:tcPr>
          <w:p>
            <w:pPr>
              <w:pStyle w:val="TableContents"/>
              <w:bidi w:val="0"/>
              <w:spacing w:before="0" w:after="283"/>
              <w:jc w:val="left"/>
              <w:rPr/>
            </w:pPr>
            <w:hyperlink w:anchor="s_004">
              <w:r>
                <w:rPr>
                  <w:rStyle w:val="InternetLink"/>
                  <w:rFonts w:ascii="Times New Roman;Times;Serif" w:hAnsi="Times New Roman;Times;Serif"/>
                  <w:caps/>
                </w:rPr>
                <w:t>Corporate Information</w:t>
              </w:r>
            </w:hyperlink>
          </w:p>
        </w:tc>
        <w:tc>
          <w:tcPr>
            <w:tcW w:w="530" w:type="dxa"/>
            <w:tcBorders/>
            <w:shd w:fill="FFFFFF" w:val="clear"/>
            <w:vAlign w:val="center"/>
          </w:tcPr>
          <w:p>
            <w:pPr>
              <w:pStyle w:val="TableContents"/>
              <w:bidi w:val="0"/>
              <w:spacing w:before="0" w:after="283"/>
              <w:jc w:val="center"/>
              <w:rPr>
                <w:rFonts w:ascii="Times New Roman;Times;Serif" w:hAnsi="Times New Roman;Times;Serif"/>
                <w:caps/>
              </w:rPr>
            </w:pPr>
            <w:r>
              <w:rPr>
                <w:rFonts w:ascii="Times New Roman;Times;Serif" w:hAnsi="Times New Roman;Times;Serif"/>
                <w:caps/>
              </w:rPr>
              <w:t>S-3</w:t>
            </w:r>
          </w:p>
        </w:tc>
      </w:tr>
      <w:tr>
        <w:trPr/>
        <w:tc>
          <w:tcPr>
            <w:tcW w:w="9675" w:type="dxa"/>
            <w:tcBorders/>
            <w:shd w:fill="CCEEFF" w:val="clear"/>
            <w:vAlign w:val="center"/>
          </w:tcPr>
          <w:p>
            <w:pPr>
              <w:pStyle w:val="TableContents"/>
              <w:bidi w:val="0"/>
              <w:spacing w:before="0" w:after="283"/>
              <w:jc w:val="left"/>
              <w:rPr/>
            </w:pPr>
            <w:hyperlink w:anchor="s_005">
              <w:r>
                <w:rPr>
                  <w:rStyle w:val="InternetLink"/>
                  <w:rFonts w:ascii="Times New Roman;Times;Serif" w:hAnsi="Times New Roman;Times;Serif"/>
                  <w:caps/>
                </w:rPr>
                <w:t>RISK FACTORS</w:t>
              </w:r>
            </w:hyperlink>
          </w:p>
        </w:tc>
        <w:tc>
          <w:tcPr>
            <w:tcW w:w="530" w:type="dxa"/>
            <w:tcBorders/>
            <w:shd w:fill="CCEEFF" w:val="clear"/>
            <w:vAlign w:val="center"/>
          </w:tcPr>
          <w:p>
            <w:pPr>
              <w:pStyle w:val="TableContents"/>
              <w:bidi w:val="0"/>
              <w:spacing w:before="0" w:after="283"/>
              <w:jc w:val="center"/>
              <w:rPr>
                <w:rFonts w:ascii="Times New Roman;Times;Serif" w:hAnsi="Times New Roman;Times;Serif"/>
                <w:caps/>
              </w:rPr>
            </w:pPr>
            <w:r>
              <w:rPr>
                <w:rFonts w:ascii="Times New Roman;Times;Serif" w:hAnsi="Times New Roman;Times;Serif"/>
                <w:caps/>
              </w:rPr>
              <w:t>S-6</w:t>
            </w:r>
          </w:p>
        </w:tc>
      </w:tr>
      <w:tr>
        <w:trPr/>
        <w:tc>
          <w:tcPr>
            <w:tcW w:w="9675" w:type="dxa"/>
            <w:tcBorders/>
            <w:shd w:fill="FFFFFF" w:val="clear"/>
            <w:vAlign w:val="center"/>
          </w:tcPr>
          <w:p>
            <w:pPr>
              <w:pStyle w:val="TableContents"/>
              <w:bidi w:val="0"/>
              <w:spacing w:before="0" w:after="283"/>
              <w:jc w:val="left"/>
              <w:rPr/>
            </w:pPr>
            <w:hyperlink w:anchor="s_006">
              <w:r>
                <w:rPr>
                  <w:rStyle w:val="InternetLink"/>
                  <w:rFonts w:ascii="Times New Roman;Times;Serif" w:hAnsi="Times New Roman;Times;Serif"/>
                  <w:caps/>
                </w:rPr>
                <w:t>USE OF PROCEEDS</w:t>
              </w:r>
            </w:hyperlink>
          </w:p>
        </w:tc>
        <w:tc>
          <w:tcPr>
            <w:tcW w:w="530" w:type="dxa"/>
            <w:tcBorders/>
            <w:shd w:fill="FFFFFF" w:val="clear"/>
            <w:vAlign w:val="center"/>
          </w:tcPr>
          <w:p>
            <w:pPr>
              <w:pStyle w:val="TableContents"/>
              <w:bidi w:val="0"/>
              <w:spacing w:before="0" w:after="283"/>
              <w:jc w:val="center"/>
              <w:rPr>
                <w:rFonts w:ascii="Times New Roman;Times;Serif" w:hAnsi="Times New Roman;Times;Serif"/>
                <w:caps/>
              </w:rPr>
            </w:pPr>
            <w:r>
              <w:rPr>
                <w:rFonts w:ascii="Times New Roman;Times;Serif" w:hAnsi="Times New Roman;Times;Serif"/>
                <w:caps/>
              </w:rPr>
              <w:t>S-9</w:t>
            </w:r>
          </w:p>
        </w:tc>
      </w:tr>
      <w:tr>
        <w:trPr/>
        <w:tc>
          <w:tcPr>
            <w:tcW w:w="9675" w:type="dxa"/>
            <w:tcBorders/>
            <w:shd w:fill="CCEEFF" w:val="clear"/>
            <w:vAlign w:val="center"/>
          </w:tcPr>
          <w:p>
            <w:pPr>
              <w:pStyle w:val="TableContents"/>
              <w:bidi w:val="0"/>
              <w:spacing w:before="0" w:after="283"/>
              <w:jc w:val="left"/>
              <w:rPr/>
            </w:pPr>
            <w:hyperlink w:anchor="s_007">
              <w:r>
                <w:rPr>
                  <w:rStyle w:val="InternetLink"/>
                  <w:rFonts w:ascii="Times New Roman;Times;Serif" w:hAnsi="Times New Roman;Times;Serif"/>
                  <w:caps/>
                </w:rPr>
                <w:t>MATERIAL U.S. FEDERAL TAX CONSIDERATIONS FOR NON-U.S. HOLDERS OF OUR COMMON STOCK</w:t>
              </w:r>
            </w:hyperlink>
          </w:p>
        </w:tc>
        <w:tc>
          <w:tcPr>
            <w:tcW w:w="530" w:type="dxa"/>
            <w:tcBorders/>
            <w:shd w:fill="CCEEFF" w:val="clear"/>
            <w:vAlign w:val="center"/>
          </w:tcPr>
          <w:p>
            <w:pPr>
              <w:pStyle w:val="TableContents"/>
              <w:bidi w:val="0"/>
              <w:spacing w:before="0" w:after="283"/>
              <w:jc w:val="center"/>
              <w:rPr>
                <w:rFonts w:ascii="Times New Roman;Times;Serif" w:hAnsi="Times New Roman;Times;Serif"/>
                <w:caps/>
              </w:rPr>
            </w:pPr>
            <w:r>
              <w:rPr>
                <w:rFonts w:ascii="Times New Roman;Times;Serif" w:hAnsi="Times New Roman;Times;Serif"/>
                <w:caps/>
              </w:rPr>
              <w:t>S-10</w:t>
            </w:r>
          </w:p>
        </w:tc>
      </w:tr>
      <w:tr>
        <w:trPr/>
        <w:tc>
          <w:tcPr>
            <w:tcW w:w="9675" w:type="dxa"/>
            <w:tcBorders/>
            <w:shd w:fill="FFFFFF" w:val="clear"/>
            <w:vAlign w:val="center"/>
          </w:tcPr>
          <w:p>
            <w:pPr>
              <w:pStyle w:val="TableContents"/>
              <w:bidi w:val="0"/>
              <w:spacing w:before="0" w:after="283"/>
              <w:jc w:val="left"/>
              <w:rPr/>
            </w:pPr>
            <w:hyperlink w:anchor="s_008">
              <w:r>
                <w:rPr>
                  <w:rStyle w:val="InternetLink"/>
                  <w:rFonts w:ascii="Times New Roman;Times;Serif" w:hAnsi="Times New Roman;Times;Serif"/>
                  <w:caps/>
                </w:rPr>
                <w:t>PLAN OF DISTRIBUTION</w:t>
              </w:r>
            </w:hyperlink>
          </w:p>
        </w:tc>
        <w:tc>
          <w:tcPr>
            <w:tcW w:w="530" w:type="dxa"/>
            <w:tcBorders/>
            <w:shd w:fill="FFFFFF" w:val="clear"/>
            <w:vAlign w:val="center"/>
          </w:tcPr>
          <w:p>
            <w:pPr>
              <w:pStyle w:val="TableContents"/>
              <w:bidi w:val="0"/>
              <w:spacing w:before="0" w:after="283"/>
              <w:jc w:val="center"/>
              <w:rPr>
                <w:rFonts w:ascii="Times New Roman;Times;Serif" w:hAnsi="Times New Roman;Times;Serif"/>
                <w:caps/>
              </w:rPr>
            </w:pPr>
            <w:r>
              <w:rPr>
                <w:rFonts w:ascii="Times New Roman;Times;Serif" w:hAnsi="Times New Roman;Times;Serif"/>
                <w:caps/>
              </w:rPr>
              <w:t>S-15</w:t>
            </w:r>
          </w:p>
        </w:tc>
      </w:tr>
      <w:tr>
        <w:trPr/>
        <w:tc>
          <w:tcPr>
            <w:tcW w:w="9675" w:type="dxa"/>
            <w:tcBorders/>
            <w:shd w:fill="CCEEFF" w:val="clear"/>
            <w:vAlign w:val="center"/>
          </w:tcPr>
          <w:p>
            <w:pPr>
              <w:pStyle w:val="TableContents"/>
              <w:bidi w:val="0"/>
              <w:spacing w:before="0" w:after="283"/>
              <w:jc w:val="left"/>
              <w:rPr/>
            </w:pPr>
            <w:hyperlink w:anchor="s_009">
              <w:r>
                <w:rPr>
                  <w:rStyle w:val="InternetLink"/>
                  <w:rFonts w:ascii="Times New Roman;Times;Serif" w:hAnsi="Times New Roman;Times;Serif"/>
                  <w:caps/>
                </w:rPr>
                <w:t>LEGAL MATTERS</w:t>
              </w:r>
            </w:hyperlink>
          </w:p>
        </w:tc>
        <w:tc>
          <w:tcPr>
            <w:tcW w:w="530" w:type="dxa"/>
            <w:tcBorders/>
            <w:shd w:fill="CCEEFF" w:val="clear"/>
            <w:vAlign w:val="center"/>
          </w:tcPr>
          <w:p>
            <w:pPr>
              <w:pStyle w:val="TableContents"/>
              <w:bidi w:val="0"/>
              <w:spacing w:before="0" w:after="283"/>
              <w:jc w:val="center"/>
              <w:rPr>
                <w:rFonts w:ascii="Times New Roman;Times;Serif" w:hAnsi="Times New Roman;Times;Serif"/>
                <w:caps/>
              </w:rPr>
            </w:pPr>
            <w:r>
              <w:rPr>
                <w:rFonts w:ascii="Times New Roman;Times;Serif" w:hAnsi="Times New Roman;Times;Serif"/>
                <w:caps/>
              </w:rPr>
              <w:t>S-17</w:t>
            </w:r>
          </w:p>
        </w:tc>
      </w:tr>
      <w:tr>
        <w:trPr/>
        <w:tc>
          <w:tcPr>
            <w:tcW w:w="9675" w:type="dxa"/>
            <w:tcBorders/>
            <w:shd w:fill="FFFFFF" w:val="clear"/>
            <w:vAlign w:val="center"/>
          </w:tcPr>
          <w:p>
            <w:pPr>
              <w:pStyle w:val="TableContents"/>
              <w:bidi w:val="0"/>
              <w:spacing w:before="0" w:after="283"/>
              <w:jc w:val="left"/>
              <w:rPr/>
            </w:pPr>
            <w:hyperlink w:anchor="s_010">
              <w:r>
                <w:rPr>
                  <w:rStyle w:val="InternetLink"/>
                  <w:rFonts w:ascii="Times New Roman;Times;Serif" w:hAnsi="Times New Roman;Times;Serif"/>
                  <w:caps/>
                </w:rPr>
                <w:t>EXPERTS</w:t>
              </w:r>
            </w:hyperlink>
          </w:p>
        </w:tc>
        <w:tc>
          <w:tcPr>
            <w:tcW w:w="530" w:type="dxa"/>
            <w:tcBorders/>
            <w:shd w:fill="FFFFFF" w:val="clear"/>
            <w:vAlign w:val="center"/>
          </w:tcPr>
          <w:p>
            <w:pPr>
              <w:pStyle w:val="TableContents"/>
              <w:bidi w:val="0"/>
              <w:spacing w:before="0" w:after="283"/>
              <w:jc w:val="center"/>
              <w:rPr>
                <w:rFonts w:ascii="Times New Roman;Times;Serif" w:hAnsi="Times New Roman;Times;Serif"/>
                <w:caps/>
              </w:rPr>
            </w:pPr>
            <w:r>
              <w:rPr>
                <w:rFonts w:ascii="Times New Roman;Times;Serif" w:hAnsi="Times New Roman;Times;Serif"/>
                <w:caps/>
              </w:rPr>
              <w:t>S-17</w:t>
            </w:r>
          </w:p>
        </w:tc>
      </w:tr>
      <w:tr>
        <w:trPr/>
        <w:tc>
          <w:tcPr>
            <w:tcW w:w="9675" w:type="dxa"/>
            <w:tcBorders/>
            <w:shd w:fill="CCEEFF" w:val="clear"/>
            <w:vAlign w:val="center"/>
          </w:tcPr>
          <w:p>
            <w:pPr>
              <w:pStyle w:val="TableContents"/>
              <w:bidi w:val="0"/>
              <w:spacing w:before="0" w:after="283"/>
              <w:jc w:val="left"/>
              <w:rPr/>
            </w:pPr>
            <w:hyperlink w:anchor="s_011">
              <w:r>
                <w:rPr>
                  <w:rStyle w:val="InternetLink"/>
                  <w:rFonts w:ascii="Times New Roman;Times;Serif" w:hAnsi="Times New Roman;Times;Serif"/>
                  <w:caps/>
                </w:rPr>
                <w:t>WHERE YOU CAN FIND MORE INFORMATION</w:t>
              </w:r>
            </w:hyperlink>
          </w:p>
        </w:tc>
        <w:tc>
          <w:tcPr>
            <w:tcW w:w="530" w:type="dxa"/>
            <w:tcBorders/>
            <w:shd w:fill="CCEEFF" w:val="clear"/>
            <w:vAlign w:val="center"/>
          </w:tcPr>
          <w:p>
            <w:pPr>
              <w:pStyle w:val="TableContents"/>
              <w:bidi w:val="0"/>
              <w:spacing w:before="0" w:after="283"/>
              <w:jc w:val="center"/>
              <w:rPr>
                <w:rFonts w:ascii="Times New Roman;Times;Serif" w:hAnsi="Times New Roman;Times;Serif"/>
                <w:caps/>
              </w:rPr>
            </w:pPr>
            <w:r>
              <w:rPr>
                <w:rFonts w:ascii="Times New Roman;Times;Serif" w:hAnsi="Times New Roman;Times;Serif"/>
                <w:caps/>
              </w:rPr>
              <w:t>S-17</w:t>
            </w:r>
          </w:p>
        </w:tc>
      </w:tr>
      <w:tr>
        <w:trPr/>
        <w:tc>
          <w:tcPr>
            <w:tcW w:w="9675" w:type="dxa"/>
            <w:tcBorders/>
            <w:shd w:fill="FFFFFF" w:val="clear"/>
            <w:vAlign w:val="center"/>
          </w:tcPr>
          <w:p>
            <w:pPr>
              <w:pStyle w:val="TableContents"/>
              <w:bidi w:val="0"/>
              <w:spacing w:before="0" w:after="283"/>
              <w:jc w:val="left"/>
              <w:rPr/>
            </w:pPr>
            <w:hyperlink w:anchor="s_012">
              <w:r>
                <w:rPr>
                  <w:rStyle w:val="InternetLink"/>
                  <w:rFonts w:ascii="Times New Roman;Times;Serif" w:hAnsi="Times New Roman;Times;Serif"/>
                  <w:caps/>
                </w:rPr>
                <w:t>INCORPORATION OF CERTAIN DOCUMENTS BY REFERENCE</w:t>
              </w:r>
            </w:hyperlink>
          </w:p>
        </w:tc>
        <w:tc>
          <w:tcPr>
            <w:tcW w:w="530" w:type="dxa"/>
            <w:tcBorders/>
            <w:shd w:fill="FFFFFF" w:val="clear"/>
            <w:vAlign w:val="center"/>
          </w:tcPr>
          <w:p>
            <w:pPr>
              <w:pStyle w:val="TableContents"/>
              <w:bidi w:val="0"/>
              <w:spacing w:before="0" w:after="283"/>
              <w:jc w:val="center"/>
              <w:rPr>
                <w:rFonts w:ascii="Times New Roman;Times;Serif" w:hAnsi="Times New Roman;Times;Serif"/>
                <w:caps/>
              </w:rPr>
            </w:pPr>
            <w:r>
              <w:rPr>
                <w:rFonts w:ascii="Times New Roman;Times;Serif" w:hAnsi="Times New Roman;Times;Serif"/>
                <w:caps/>
              </w:rPr>
              <w:t>S-18</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w:t>
      </w:r>
    </w:p>
    <w:p>
      <w:pPr>
        <w:pStyle w:val="TextBody"/>
        <w:bidi w:val="0"/>
        <w:spacing w:before="0" w:after="0"/>
        <w:ind w:left="0" w:right="0" w:hanging="0"/>
        <w:jc w:val="left"/>
        <w:rPr>
          <w:caps w:val="false"/>
          <w:smallCaps w:val="false"/>
        </w:rPr>
      </w:pPr>
      <w:r>
        <w:rPr>
          <w:caps w:val="false"/>
          <w:smallCaps w:val="false"/>
        </w:rPr>
        <w:t> </w:t>
      </w:r>
    </w:p>
    <w:tbl>
      <w:tblPr>
        <w:tblW w:w="7225" w:type="dxa"/>
        <w:jc w:val="left"/>
        <w:tblInd w:w="0" w:type="dxa"/>
        <w:tblLayout w:type="fixed"/>
        <w:tblCellMar>
          <w:top w:w="0" w:type="dxa"/>
          <w:left w:w="0" w:type="dxa"/>
          <w:bottom w:w="0" w:type="dxa"/>
          <w:right w:w="0" w:type="dxa"/>
        </w:tblCellMar>
      </w:tblPr>
      <w:tblGrid>
        <w:gridCol w:w="6890"/>
        <w:gridCol w:w="60"/>
        <w:gridCol w:w="275"/>
      </w:tblGrid>
      <w:tr>
        <w:trPr/>
        <w:tc>
          <w:tcPr>
            <w:tcW w:w="6890" w:type="dxa"/>
            <w:tcBorders/>
            <w:shd w:fill="CCEEFF" w:val="clear"/>
            <w:vAlign w:val="center"/>
          </w:tcPr>
          <w:p>
            <w:pPr>
              <w:pStyle w:val="TableContents"/>
              <w:bidi w:val="0"/>
              <w:spacing w:before="0" w:after="283"/>
              <w:jc w:val="left"/>
              <w:rPr/>
            </w:pPr>
            <w:hyperlink w:anchor="a_001">
              <w:r>
                <w:rPr>
                  <w:rStyle w:val="InternetLink"/>
                  <w:rFonts w:ascii="Times New Roman;Times;Serif" w:hAnsi="Times New Roman;Times;Serif"/>
                  <w:sz w:val="20"/>
                </w:rPr>
                <w:t>ABOUT THIS PROSPECTUS</w:t>
              </w:r>
            </w:hyperlink>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ii</w:t>
            </w:r>
          </w:p>
        </w:tc>
      </w:tr>
      <w:tr>
        <w:trPr/>
        <w:tc>
          <w:tcPr>
            <w:tcW w:w="68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pPr>
            <w:r>
              <w:rPr/>
              <w:t> </w:t>
            </w:r>
          </w:p>
        </w:tc>
      </w:tr>
      <w:tr>
        <w:trPr/>
        <w:tc>
          <w:tcPr>
            <w:tcW w:w="6890" w:type="dxa"/>
            <w:tcBorders/>
            <w:shd w:fill="CCEEFF" w:val="clear"/>
            <w:vAlign w:val="center"/>
          </w:tcPr>
          <w:p>
            <w:pPr>
              <w:pStyle w:val="TableContents"/>
              <w:bidi w:val="0"/>
              <w:spacing w:before="0" w:after="283"/>
              <w:jc w:val="left"/>
              <w:rPr/>
            </w:pPr>
            <w:hyperlink w:anchor="a_002">
              <w:r>
                <w:rPr>
                  <w:rStyle w:val="InternetLink"/>
                  <w:rFonts w:ascii="Times New Roman;Times;Serif" w:hAnsi="Times New Roman;Times;Serif"/>
                  <w:sz w:val="20"/>
                </w:rPr>
                <w:t>TRADEMARKS</w:t>
              </w:r>
            </w:hyperlink>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iii</w:t>
            </w:r>
          </w:p>
        </w:tc>
      </w:tr>
      <w:tr>
        <w:trPr/>
        <w:tc>
          <w:tcPr>
            <w:tcW w:w="68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pPr>
            <w:r>
              <w:rPr/>
              <w:t> </w:t>
            </w:r>
          </w:p>
        </w:tc>
      </w:tr>
      <w:tr>
        <w:trPr/>
        <w:tc>
          <w:tcPr>
            <w:tcW w:w="6890" w:type="dxa"/>
            <w:tcBorders/>
            <w:shd w:fill="CCEEFF" w:val="clear"/>
            <w:vAlign w:val="center"/>
          </w:tcPr>
          <w:p>
            <w:pPr>
              <w:pStyle w:val="TableContents"/>
              <w:bidi w:val="0"/>
              <w:spacing w:before="0" w:after="283"/>
              <w:jc w:val="left"/>
              <w:rPr/>
            </w:pPr>
            <w:hyperlink w:anchor="a_003">
              <w:r>
                <w:rPr>
                  <w:rStyle w:val="InternetLink"/>
                  <w:rFonts w:ascii="Times New Roman;Times;Serif" w:hAnsi="Times New Roman;Times;Serif"/>
                  <w:sz w:val="20"/>
                </w:rPr>
                <w:t>CAUTIONARY STATEMENT REGARDING FORWARD-LOOKING STATEMENTS</w:t>
              </w:r>
            </w:hyperlink>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iii</w:t>
            </w:r>
          </w:p>
        </w:tc>
      </w:tr>
      <w:tr>
        <w:trPr/>
        <w:tc>
          <w:tcPr>
            <w:tcW w:w="68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pPr>
            <w:r>
              <w:rPr/>
              <w:t> </w:t>
            </w:r>
          </w:p>
        </w:tc>
      </w:tr>
      <w:tr>
        <w:trPr/>
        <w:tc>
          <w:tcPr>
            <w:tcW w:w="6890" w:type="dxa"/>
            <w:tcBorders/>
            <w:shd w:fill="CCEEFF" w:val="clear"/>
            <w:vAlign w:val="center"/>
          </w:tcPr>
          <w:p>
            <w:pPr>
              <w:pStyle w:val="TableContents"/>
              <w:bidi w:val="0"/>
              <w:spacing w:before="0" w:after="283"/>
              <w:jc w:val="left"/>
              <w:rPr/>
            </w:pPr>
            <w:hyperlink w:anchor="a_004">
              <w:r>
                <w:rPr>
                  <w:rStyle w:val="InternetLink"/>
                  <w:rFonts w:ascii="Times New Roman;Times;Serif" w:hAnsi="Times New Roman;Times;Serif"/>
                  <w:sz w:val="20"/>
                </w:rPr>
                <w:t>SUMMARY OF PROSPECTUS</w:t>
              </w:r>
            </w:hyperlink>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w:t>
            </w:r>
          </w:p>
        </w:tc>
      </w:tr>
      <w:tr>
        <w:trPr/>
        <w:tc>
          <w:tcPr>
            <w:tcW w:w="68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pPr>
            <w:r>
              <w:rPr/>
              <w:t> </w:t>
            </w:r>
          </w:p>
        </w:tc>
      </w:tr>
      <w:tr>
        <w:trPr/>
        <w:tc>
          <w:tcPr>
            <w:tcW w:w="6890" w:type="dxa"/>
            <w:tcBorders/>
            <w:shd w:fill="CCEEFF" w:val="clear"/>
            <w:vAlign w:val="center"/>
          </w:tcPr>
          <w:p>
            <w:pPr>
              <w:pStyle w:val="TableContents"/>
              <w:bidi w:val="0"/>
              <w:spacing w:before="0" w:after="283"/>
              <w:jc w:val="left"/>
              <w:rPr/>
            </w:pPr>
            <w:hyperlink w:anchor="a_005">
              <w:r>
                <w:rPr>
                  <w:rStyle w:val="InternetLink"/>
                  <w:rFonts w:ascii="Times New Roman;Times;Serif" w:hAnsi="Times New Roman;Times;Serif"/>
                  <w:sz w:val="20"/>
                </w:rPr>
                <w:t>RISK FACTORS</w:t>
              </w:r>
            </w:hyperlink>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w:t>
            </w:r>
          </w:p>
        </w:tc>
      </w:tr>
      <w:tr>
        <w:trPr/>
        <w:tc>
          <w:tcPr>
            <w:tcW w:w="68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pPr>
            <w:r>
              <w:rPr/>
              <w:t> </w:t>
            </w:r>
          </w:p>
        </w:tc>
      </w:tr>
      <w:tr>
        <w:trPr/>
        <w:tc>
          <w:tcPr>
            <w:tcW w:w="6890" w:type="dxa"/>
            <w:tcBorders/>
            <w:shd w:fill="CCEEFF" w:val="clear"/>
            <w:vAlign w:val="center"/>
          </w:tcPr>
          <w:p>
            <w:pPr>
              <w:pStyle w:val="TableContents"/>
              <w:bidi w:val="0"/>
              <w:spacing w:before="0" w:after="283"/>
              <w:jc w:val="left"/>
              <w:rPr/>
            </w:pPr>
            <w:hyperlink w:anchor="a_006">
              <w:r>
                <w:rPr>
                  <w:rStyle w:val="InternetLink"/>
                  <w:rFonts w:ascii="Times New Roman;Times;Serif" w:hAnsi="Times New Roman;Times;Serif"/>
                  <w:sz w:val="20"/>
                </w:rPr>
                <w:t>USE OF PROCEEDS</w:t>
              </w:r>
            </w:hyperlink>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3</w:t>
            </w:r>
          </w:p>
        </w:tc>
      </w:tr>
      <w:tr>
        <w:trPr/>
        <w:tc>
          <w:tcPr>
            <w:tcW w:w="68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pPr>
            <w:r>
              <w:rPr/>
              <w:t> </w:t>
            </w:r>
          </w:p>
        </w:tc>
      </w:tr>
      <w:tr>
        <w:trPr/>
        <w:tc>
          <w:tcPr>
            <w:tcW w:w="6890" w:type="dxa"/>
            <w:tcBorders/>
            <w:shd w:fill="CCEEFF" w:val="clear"/>
            <w:vAlign w:val="center"/>
          </w:tcPr>
          <w:p>
            <w:pPr>
              <w:pStyle w:val="TableContents"/>
              <w:bidi w:val="0"/>
              <w:spacing w:before="0" w:after="283"/>
              <w:jc w:val="left"/>
              <w:rPr/>
            </w:pPr>
            <w:hyperlink w:anchor="a_007">
              <w:r>
                <w:rPr>
                  <w:rStyle w:val="InternetLink"/>
                  <w:rFonts w:ascii="Times New Roman;Times;Serif" w:hAnsi="Times New Roman;Times;Serif"/>
                  <w:sz w:val="20"/>
                </w:rPr>
                <w:t>DESCRIPTION OF COMMON STOCK AND PREFERRED STOCK</w:t>
              </w:r>
            </w:hyperlink>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4</w:t>
            </w:r>
          </w:p>
        </w:tc>
      </w:tr>
      <w:tr>
        <w:trPr/>
        <w:tc>
          <w:tcPr>
            <w:tcW w:w="68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pPr>
            <w:r>
              <w:rPr/>
              <w:t> </w:t>
            </w:r>
          </w:p>
        </w:tc>
      </w:tr>
      <w:tr>
        <w:trPr/>
        <w:tc>
          <w:tcPr>
            <w:tcW w:w="6890" w:type="dxa"/>
            <w:tcBorders/>
            <w:shd w:fill="CCEEFF" w:val="clear"/>
            <w:vAlign w:val="center"/>
          </w:tcPr>
          <w:p>
            <w:pPr>
              <w:pStyle w:val="TableContents"/>
              <w:bidi w:val="0"/>
              <w:spacing w:before="0" w:after="283"/>
              <w:jc w:val="left"/>
              <w:rPr/>
            </w:pPr>
            <w:hyperlink w:anchor="a_008">
              <w:r>
                <w:rPr>
                  <w:rStyle w:val="InternetLink"/>
                  <w:rFonts w:ascii="Times New Roman;Times;Serif" w:hAnsi="Times New Roman;Times;Serif"/>
                  <w:sz w:val="20"/>
                </w:rPr>
                <w:t>DESCRIPTION OF DEBT SECURITIES</w:t>
              </w:r>
            </w:hyperlink>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5</w:t>
            </w:r>
          </w:p>
        </w:tc>
      </w:tr>
      <w:tr>
        <w:trPr/>
        <w:tc>
          <w:tcPr>
            <w:tcW w:w="68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pPr>
            <w:r>
              <w:rPr/>
              <w:t> </w:t>
            </w:r>
          </w:p>
        </w:tc>
      </w:tr>
      <w:tr>
        <w:trPr/>
        <w:tc>
          <w:tcPr>
            <w:tcW w:w="6890" w:type="dxa"/>
            <w:tcBorders/>
            <w:shd w:fill="CCEEFF" w:val="clear"/>
            <w:vAlign w:val="center"/>
          </w:tcPr>
          <w:p>
            <w:pPr>
              <w:pStyle w:val="TableContents"/>
              <w:bidi w:val="0"/>
              <w:spacing w:before="0" w:after="283"/>
              <w:jc w:val="left"/>
              <w:rPr/>
            </w:pPr>
            <w:hyperlink w:anchor="a_009">
              <w:r>
                <w:rPr>
                  <w:rStyle w:val="InternetLink"/>
                  <w:rFonts w:ascii="Times New Roman;Times;Serif" w:hAnsi="Times New Roman;Times;Serif"/>
                  <w:sz w:val="20"/>
                </w:rPr>
                <w:t>DESCRIPTION OF WARRANTS</w:t>
              </w:r>
            </w:hyperlink>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12</w:t>
            </w:r>
          </w:p>
        </w:tc>
      </w:tr>
      <w:tr>
        <w:trPr/>
        <w:tc>
          <w:tcPr>
            <w:tcW w:w="68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pPr>
            <w:r>
              <w:rPr/>
              <w:t> </w:t>
            </w:r>
          </w:p>
        </w:tc>
      </w:tr>
      <w:tr>
        <w:trPr/>
        <w:tc>
          <w:tcPr>
            <w:tcW w:w="6890" w:type="dxa"/>
            <w:tcBorders/>
            <w:shd w:fill="CCEEFF" w:val="clear"/>
            <w:vAlign w:val="center"/>
          </w:tcPr>
          <w:p>
            <w:pPr>
              <w:pStyle w:val="TableContents"/>
              <w:bidi w:val="0"/>
              <w:spacing w:before="0" w:after="283"/>
              <w:jc w:val="left"/>
              <w:rPr/>
            </w:pPr>
            <w:hyperlink w:anchor="a_010">
              <w:r>
                <w:rPr>
                  <w:rStyle w:val="InternetLink"/>
                  <w:rFonts w:ascii="Times New Roman;Times;Serif" w:hAnsi="Times New Roman;Times;Serif"/>
                  <w:sz w:val="20"/>
                </w:rPr>
                <w:t>DESCRIPTION OF RIGHTS</w:t>
              </w:r>
            </w:hyperlink>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13</w:t>
            </w:r>
          </w:p>
        </w:tc>
      </w:tr>
      <w:tr>
        <w:trPr/>
        <w:tc>
          <w:tcPr>
            <w:tcW w:w="68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pPr>
            <w:r>
              <w:rPr/>
              <w:t> </w:t>
            </w:r>
          </w:p>
        </w:tc>
      </w:tr>
      <w:tr>
        <w:trPr/>
        <w:tc>
          <w:tcPr>
            <w:tcW w:w="6890" w:type="dxa"/>
            <w:tcBorders/>
            <w:shd w:fill="CCEEFF" w:val="clear"/>
            <w:vAlign w:val="center"/>
          </w:tcPr>
          <w:p>
            <w:pPr>
              <w:pStyle w:val="TableContents"/>
              <w:bidi w:val="0"/>
              <w:spacing w:before="0" w:after="283"/>
              <w:jc w:val="left"/>
              <w:rPr/>
            </w:pPr>
            <w:hyperlink w:anchor="a_011">
              <w:r>
                <w:rPr>
                  <w:rStyle w:val="InternetLink"/>
                  <w:rFonts w:ascii="Times New Roman;Times;Serif" w:hAnsi="Times New Roman;Times;Serif"/>
                  <w:sz w:val="20"/>
                </w:rPr>
                <w:t>DESCRIPTION OF UNITS</w:t>
              </w:r>
            </w:hyperlink>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14</w:t>
            </w:r>
          </w:p>
        </w:tc>
      </w:tr>
      <w:tr>
        <w:trPr/>
        <w:tc>
          <w:tcPr>
            <w:tcW w:w="68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pPr>
            <w:r>
              <w:rPr/>
              <w:t> </w:t>
            </w:r>
          </w:p>
        </w:tc>
      </w:tr>
      <w:tr>
        <w:trPr/>
        <w:tc>
          <w:tcPr>
            <w:tcW w:w="6890" w:type="dxa"/>
            <w:tcBorders/>
            <w:shd w:fill="CCEEFF" w:val="clear"/>
            <w:vAlign w:val="center"/>
          </w:tcPr>
          <w:p>
            <w:pPr>
              <w:pStyle w:val="TableContents"/>
              <w:bidi w:val="0"/>
              <w:spacing w:before="0" w:after="283"/>
              <w:jc w:val="left"/>
              <w:rPr/>
            </w:pPr>
            <w:hyperlink w:anchor="a_012">
              <w:r>
                <w:rPr>
                  <w:rStyle w:val="InternetLink"/>
                  <w:rFonts w:ascii="Times New Roman;Times;Serif" w:hAnsi="Times New Roman;Times;Serif"/>
                  <w:sz w:val="20"/>
                </w:rPr>
                <w:t>GLOBAL SECURITIES</w:t>
              </w:r>
            </w:hyperlink>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15</w:t>
            </w:r>
          </w:p>
        </w:tc>
      </w:tr>
      <w:tr>
        <w:trPr/>
        <w:tc>
          <w:tcPr>
            <w:tcW w:w="68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pPr>
            <w:r>
              <w:rPr/>
              <w:t> </w:t>
            </w:r>
          </w:p>
        </w:tc>
      </w:tr>
      <w:tr>
        <w:trPr/>
        <w:tc>
          <w:tcPr>
            <w:tcW w:w="6890" w:type="dxa"/>
            <w:tcBorders/>
            <w:shd w:fill="CCEEFF" w:val="clear"/>
            <w:vAlign w:val="center"/>
          </w:tcPr>
          <w:p>
            <w:pPr>
              <w:pStyle w:val="TableContents"/>
              <w:bidi w:val="0"/>
              <w:spacing w:before="0" w:after="283"/>
              <w:jc w:val="left"/>
              <w:rPr/>
            </w:pPr>
            <w:hyperlink w:anchor="a_013">
              <w:r>
                <w:rPr>
                  <w:rStyle w:val="InternetLink"/>
                  <w:rFonts w:ascii="Times New Roman;Times;Serif" w:hAnsi="Times New Roman;Times;Serif"/>
                  <w:sz w:val="20"/>
                </w:rPr>
                <w:t>SELLING SECURITYHOLDERS</w:t>
              </w:r>
            </w:hyperlink>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17</w:t>
            </w:r>
          </w:p>
        </w:tc>
      </w:tr>
      <w:tr>
        <w:trPr/>
        <w:tc>
          <w:tcPr>
            <w:tcW w:w="68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pPr>
            <w:r>
              <w:rPr/>
              <w:t> </w:t>
            </w:r>
          </w:p>
        </w:tc>
      </w:tr>
      <w:tr>
        <w:trPr/>
        <w:tc>
          <w:tcPr>
            <w:tcW w:w="6890" w:type="dxa"/>
            <w:tcBorders/>
            <w:shd w:fill="CCEEFF" w:val="clear"/>
            <w:vAlign w:val="center"/>
          </w:tcPr>
          <w:p>
            <w:pPr>
              <w:pStyle w:val="TableContents"/>
              <w:bidi w:val="0"/>
              <w:spacing w:before="0" w:after="283"/>
              <w:jc w:val="left"/>
              <w:rPr/>
            </w:pPr>
            <w:hyperlink w:anchor="a_014">
              <w:r>
                <w:rPr>
                  <w:rStyle w:val="InternetLink"/>
                  <w:rFonts w:ascii="Times New Roman;Times;Serif" w:hAnsi="Times New Roman;Times;Serif"/>
                  <w:sz w:val="20"/>
                </w:rPr>
                <w:t>PLAN OF DISTRIBUTION</w:t>
              </w:r>
            </w:hyperlink>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24</w:t>
            </w:r>
          </w:p>
        </w:tc>
      </w:tr>
      <w:tr>
        <w:trPr/>
        <w:tc>
          <w:tcPr>
            <w:tcW w:w="68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pPr>
            <w:r>
              <w:rPr/>
              <w:t> </w:t>
            </w:r>
          </w:p>
        </w:tc>
      </w:tr>
      <w:tr>
        <w:trPr/>
        <w:tc>
          <w:tcPr>
            <w:tcW w:w="6890" w:type="dxa"/>
            <w:tcBorders/>
            <w:shd w:fill="CCEEFF" w:val="clear"/>
            <w:vAlign w:val="center"/>
          </w:tcPr>
          <w:p>
            <w:pPr>
              <w:pStyle w:val="TableContents"/>
              <w:bidi w:val="0"/>
              <w:spacing w:before="0" w:after="283"/>
              <w:jc w:val="left"/>
              <w:rPr/>
            </w:pPr>
            <w:hyperlink w:anchor="a_015">
              <w:r>
                <w:rPr>
                  <w:rStyle w:val="InternetLink"/>
                  <w:rFonts w:ascii="Times New Roman;Times;Serif" w:hAnsi="Times New Roman;Times;Serif"/>
                  <w:sz w:val="20"/>
                </w:rPr>
                <w:t>LEGAL MATTERS</w:t>
              </w:r>
            </w:hyperlink>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26</w:t>
            </w:r>
          </w:p>
        </w:tc>
      </w:tr>
      <w:tr>
        <w:trPr/>
        <w:tc>
          <w:tcPr>
            <w:tcW w:w="68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pPr>
            <w:r>
              <w:rPr/>
              <w:t> </w:t>
            </w:r>
          </w:p>
        </w:tc>
      </w:tr>
      <w:tr>
        <w:trPr/>
        <w:tc>
          <w:tcPr>
            <w:tcW w:w="6890" w:type="dxa"/>
            <w:tcBorders/>
            <w:shd w:fill="CCEEFF" w:val="clear"/>
            <w:vAlign w:val="center"/>
          </w:tcPr>
          <w:p>
            <w:pPr>
              <w:pStyle w:val="TableContents"/>
              <w:bidi w:val="0"/>
              <w:spacing w:before="0" w:after="283"/>
              <w:jc w:val="left"/>
              <w:rPr/>
            </w:pPr>
            <w:hyperlink w:anchor="a_016">
              <w:r>
                <w:rPr>
                  <w:rStyle w:val="InternetLink"/>
                  <w:rFonts w:ascii="Times New Roman;Times;Serif" w:hAnsi="Times New Roman;Times;Serif"/>
                  <w:sz w:val="20"/>
                </w:rPr>
                <w:t>EXPERTS</w:t>
              </w:r>
            </w:hyperlink>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26</w:t>
            </w:r>
          </w:p>
        </w:tc>
      </w:tr>
      <w:tr>
        <w:trPr/>
        <w:tc>
          <w:tcPr>
            <w:tcW w:w="68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pPr>
            <w:r>
              <w:rPr/>
              <w:t> </w:t>
            </w:r>
          </w:p>
        </w:tc>
      </w:tr>
      <w:tr>
        <w:trPr/>
        <w:tc>
          <w:tcPr>
            <w:tcW w:w="6890" w:type="dxa"/>
            <w:tcBorders/>
            <w:shd w:fill="CCEEFF" w:val="clear"/>
            <w:vAlign w:val="center"/>
          </w:tcPr>
          <w:p>
            <w:pPr>
              <w:pStyle w:val="TableContents"/>
              <w:bidi w:val="0"/>
              <w:spacing w:before="0" w:after="283"/>
              <w:jc w:val="left"/>
              <w:rPr/>
            </w:pPr>
            <w:hyperlink w:anchor="a_017">
              <w:r>
                <w:rPr>
                  <w:rStyle w:val="InternetLink"/>
                  <w:rFonts w:ascii="Times New Roman;Times;Serif" w:hAnsi="Times New Roman;Times;Serif"/>
                  <w:sz w:val="20"/>
                </w:rPr>
                <w:t>WHERE YOU CAN FIND MORE INFORMATION</w:t>
              </w:r>
            </w:hyperlink>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27</w:t>
            </w:r>
          </w:p>
        </w:tc>
      </w:tr>
      <w:tr>
        <w:trPr/>
        <w:tc>
          <w:tcPr>
            <w:tcW w:w="68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pPr>
            <w:r>
              <w:rPr/>
              <w:t> </w:t>
            </w:r>
          </w:p>
        </w:tc>
      </w:tr>
      <w:tr>
        <w:trPr/>
        <w:tc>
          <w:tcPr>
            <w:tcW w:w="6890" w:type="dxa"/>
            <w:tcBorders/>
            <w:shd w:fill="CCEEFF" w:val="clear"/>
            <w:vAlign w:val="center"/>
          </w:tcPr>
          <w:p>
            <w:pPr>
              <w:pStyle w:val="TableContents"/>
              <w:bidi w:val="0"/>
              <w:spacing w:before="0" w:after="283"/>
              <w:jc w:val="left"/>
              <w:rPr/>
            </w:pPr>
            <w:hyperlink w:anchor="a_018">
              <w:r>
                <w:rPr>
                  <w:rStyle w:val="InternetLink"/>
                  <w:rFonts w:ascii="Times New Roman;Times;Serif" w:hAnsi="Times New Roman;Times;Serif"/>
                  <w:sz w:val="20"/>
                </w:rPr>
                <w:t>INDEMNIFICATION FOR SECURITIES ACT LIABILITIES</w:t>
              </w:r>
            </w:hyperlink>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27</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You should rely only on the information contained or incorporated by reference in this prospectus supplement and the accompanying prospectus. We have not authorized anyone to provide you with information different from that contained or incorporated by reference into this prospectus. If any person does provide you with information that differs from what is contained or incorporated by reference in this prospectus, you should not rely on it. No dealer, salesperson or other person is authorized to give any information or to represent anything not contained in this prospectus supplement and the accompanying prospectus. You should assume that the information contained in this prospectus supplement and the accompanying prospectus is accurate only as of the date on the front of the document and that any information contained in any document we have incorporated by reference is accurate only as of the date of the document incorporated by reference, regardless of the time of delivery of this prospectus supplement, the accompanying prospectus or any sale of a security. These documents are not an offer to sell or a solicitation of an offer to buy these securities by anyone in any jurisdiction in which such offer or solicitation is not authorized, or in which the person is not qualified to do so or to any person to whom it is unlawful to make such offer or solicitation.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bdr w:val="single" w:sz="12" w:space="1" w:color="000000"/>
        </w:rPr>
      </w:pPr>
      <w:r>
        <w:rPr>
          <w:bdr w:val="single" w:sz="12" w:space="1" w:color="000000"/>
        </w:rPr>
        <w:t>S-i</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 w:name="s_001"/>
      <w:bookmarkEnd w:id="3"/>
      <w:r>
        <w:rPr>
          <w:rFonts w:ascii="Times New Roman;Times;Serif" w:hAnsi="Times New Roman;Times;Serif"/>
          <w:b/>
          <w:i w:val="false"/>
          <w:caps w:val="false"/>
          <w:smallCaps w:val="false"/>
          <w:sz w:val="20"/>
        </w:rPr>
        <w:t>ABOUT THIS PROSPECTUS SUPPLEMENT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and the accompanying prospectus are part of a “shelf” registration statement on Form S-3 (File No. 333-</w:t>
      </w:r>
      <w:r>
        <w:rPr>
          <w:rFonts w:ascii="Times New Roman;Times;Serif" w:hAnsi="Times New Roman;Times;Serif"/>
          <w:b w:val="false"/>
          <w:i w:val="false"/>
          <w:caps w:val="false"/>
          <w:smallCaps w:val="false"/>
          <w:sz w:val="20"/>
          <w:shd w:fill="FFFFFF" w:val="clear"/>
        </w:rPr>
        <w:t>275112</w:t>
      </w:r>
      <w:r>
        <w:rPr>
          <w:rFonts w:ascii="Times New Roman;Times;Serif" w:hAnsi="Times New Roman;Times;Serif"/>
          <w:b w:val="false"/>
          <w:i w:val="false"/>
          <w:caps w:val="false"/>
          <w:smallCaps w:val="false"/>
          <w:sz w:val="20"/>
        </w:rPr>
        <w:t>) that we initially filed with the SEC on October 20, 2023, and was declared effective on October 30, 2023. Under this shelf registration process, we may, from time to time, sell any combination of the securities described in the accompanying prospectus in one or more offerings up to a total dollar amount of $75,000,000.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provides specific details regarding the issuance of up to $5,000,000 of shares of our common stock pursuant to the CSPA. To the extent there is a conflict between the information contained in this prospectus supplement and accompanying prospectus, you should rely on the information in this prospectus supplement. Generally, when we refer to this prospectus supplement, we are referring to both parts of this document combined together with all documents incorporated by reference. This prospectus supplement, the accompanying prospectus and the documents we incorporate by reference herein and therein include important information about us and our common stock, and other information you should know before investing. You should read this prospectus supplement, the accompanying prospectus and the documents incorporated by reference in this prospectus supplement and the accompanying prospectus before making an investment decision. You should also read and consider the information in the documents referred to in the sections of this prospectus supplement entitled “Where You Can Find More Information” and “Incorporation of Certain Documents by Reference.”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document is in two parts. The first part is this prospectus supplement, which describes the specific terms of this offering (this “Offering”) and also adds to and updates information contained in the accompanying prospectus and the documents incorporated by reference into this prospectus supplement and the accompanying prospectus. The second part is the accompanying prospectus, which gives more general information about the shares of our common stock and other securities we may offer from time to time under our shelf registration statement, some of which does not apply to the common stock offered by this prospectus supplement.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rely only on the information contained in or incorporated by reference into this prospectus supplement or contained in or incorporated by reference into the accompanying prospectus to which we have referred you. We have not authorized anyone to provide you with information that is different. If anyone provides you with different or inconsistent information, you should not rely on it. The information contained in, or incorporated by reference into, this prospectus supplement and contained in, or incorporated by reference into, the accompanying prospectus is accurate only as of the respective dates thereof, regardless of the time of delivery of this prospectus supplement and the accompanying prospectus or of any sale of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offering to sell, and are seeking offers to buy, the shares of common stock only in jurisdictions where such offers and sales are permitted. The distribution of this prospectus supplement and the accompanying prospectus and the offering of the shares of common stock in certain states or jurisdictions or to certain persons within such states and jurisdictions may be restricted by law. Persons outside the United States who come into possession of this prospectus supplement and the accompanying prospectus must inform themselves about and observe any restrictions relating to the offering of the shares of common stock and the distribution of this prospectus supplement and the accompanying prospectus outside the United States. This prospectus supplement and the accompanying prospectus do not constitute, and may not be used in connection with, an offer to sell, or a solicitation of an offer to buy, any securities offered by this prospectus supplement and the accompanying prospectus by any person in any state or jurisdiction in which it is unlawful for such person to make such an offer or solicitation.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context requires otherwise, references in this prospectus to “Presto,” “we,” “us” and “our” refer to Presto Automation Inc. and its consolidated subsidiaries, unless otherwise specified.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S-ii</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s_002"/>
      <w:bookmarkEnd w:id="4"/>
      <w:r>
        <w:rPr>
          <w:rFonts w:ascii="Times New Roman;Times;Serif" w:hAnsi="Times New Roman;Times;Serif"/>
          <w:b/>
          <w:i w:val="false"/>
          <w:caps w:val="false"/>
          <w:smallCaps w:val="false"/>
          <w:sz w:val="20"/>
        </w:rPr>
        <w:t>CAUTIONARY STATEMENT REGARDING FORWARD-LOOKING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the accompanying prospectus and the documents incorporated by reference herein and therein contain forward-looking statements within the meaning of the Private Securities Litigation Reform Act of 1995, Section 27A of the Securities Act of 1933, as amended, or the Securities Act, and Section 21E of the Securities Exchange Act of 1934, as amended, or the Exchange Act, and are based on our management’s beliefs and assumptions and on information currently available to our management. Forward-looking statements include information concerning our possible or assumed future results of our business and statements regarding our financial condition, results of operations, liquidity, plans and objectives. Forward-looking statements include all statements that are not historical facts and in some cases can be identified by terminology such as “believe,” “may,” “anticipate,” “estimate,” “continue,” “anticipate,” “intend,” “should,” “plan,” “expect,” “predict,” “project,” “potential,” “will,” or the negative of these terms or other similar expressions that convey uncertainty of future events or outcomes.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statements are based on the beliefs and assumptions of our management based on information currently available to management. Such forward-looking statements are subject to risks, uncertainties and other important factors that could cause actual results and the timing of certain events to differ materially from future results expressed or implied by such forward-looking statements. Factors that could cause or contribute to such differences are discussed in the section titled “Risk Factors” included in our Annual Report on Form 10-K for the year ended June 30, 2023 filed with the SEC on October 11, 2023, as amended by Amendment No. 1 on Form 10-K/A filed with the SEC on October 12, 2023 (the “2023 Form 10-K”), and other risk factors detailed from time to time in filings with the SEC. Our ability to predict the results of our operations or the effects of various events on our operating results is inherently uncertain. Therefore, we caution you to consider carefully the matters described under the caption “Risk Factors” and certain other matters discussed in this prospectus supplement, the accompanying prospectus and the documents incorporated by reference herein and therein, and other publicly available sources. Such factors and many other factors beyond the control of our management could cause our actual results, performance or achievements to differ materially from any future results, performance or achievements that may be expressed or implied by the forward-looking statements. Unless we are required to do so under U.S. federal securities laws or other applicable laws, we do not intend to update or revise any forward-looking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bdr w:val="single" w:sz="12" w:space="1" w:color="000000"/>
        </w:rPr>
      </w:pPr>
      <w:r>
        <w:rPr>
          <w:bdr w:val="single" w:sz="12" w:space="1" w:color="000000"/>
        </w:rPr>
        <w:t>S-iii</w:t>
      </w:r>
    </w:p>
    <w:p>
      <w:pPr>
        <w:pStyle w:val="TextBody"/>
        <w:bidi w:val="0"/>
        <w:spacing w:before="0" w:after="0"/>
        <w:ind w:left="0" w:right="0" w:hanging="0"/>
        <w:jc w:val="left"/>
        <w:rPr/>
      </w:pPr>
      <w:r>
        <w:rPr/>
        <w:t> </w:t>
      </w:r>
    </w:p>
    <w:p>
      <w:pPr>
        <w:pStyle w:val="TextBody"/>
        <w:bidi w:val="0"/>
        <w:spacing w:before="0" w:after="0"/>
        <w:jc w:val="center"/>
        <w:rPr>
          <w:caps w:val="false"/>
          <w:smallCaps w:val="false"/>
          <w:bdr w:val="single" w:sz="12" w:space="6" w:color="000000"/>
        </w:rPr>
      </w:pPr>
      <w:r>
        <w:rPr>
          <w:caps w:val="false"/>
          <w:smallCaps w:val="false"/>
          <w:bdr w:val="single" w:sz="12" w:space="6" w:color="000000"/>
        </w:rPr>
        <w:t> </w:t>
      </w:r>
    </w:p>
    <w:p>
      <w:pPr>
        <w:pStyle w:val="TextBody"/>
        <w:bidi w:val="0"/>
        <w:spacing w:before="0" w:after="0"/>
        <w:ind w:left="0" w:right="0" w:hanging="0"/>
        <w:jc w:val="center"/>
        <w:rPr>
          <w:rFonts w:ascii="Times New Roman;Times;Serif" w:hAnsi="Times New Roman;Times;Serif"/>
          <w:b/>
          <w:i w:val="false"/>
          <w:caps w:val="false"/>
          <w:smallCaps w:val="false"/>
          <w:sz w:val="20"/>
          <w:bdr w:val="single" w:sz="12" w:space="6" w:color="000000"/>
        </w:rPr>
      </w:pPr>
      <w:bookmarkStart w:id="5" w:name="s_003"/>
      <w:bookmarkEnd w:id="5"/>
      <w:r>
        <w:rPr>
          <w:rFonts w:ascii="Times New Roman;Times;Serif" w:hAnsi="Times New Roman;Times;Serif"/>
          <w:b/>
          <w:i w:val="false"/>
          <w:caps w:val="false"/>
          <w:smallCaps w:val="false"/>
          <w:sz w:val="20"/>
          <w:bdr w:val="single" w:sz="12" w:space="6" w:color="000000"/>
        </w:rPr>
        <w:t>PROSPECTUS SUPPLEMENT SUMMARY</w:t>
      </w:r>
    </w:p>
    <w:p>
      <w:pPr>
        <w:pStyle w:val="TextBody"/>
        <w:bidi w:val="0"/>
        <w:spacing w:before="0" w:after="0"/>
        <w:ind w:left="0" w:right="0" w:firstLine="720"/>
        <w:jc w:val="both"/>
        <w:rPr>
          <w:caps w:val="false"/>
          <w:smallCaps w:val="false"/>
          <w:bdr w:val="single" w:sz="12" w:space="6" w:color="000000"/>
        </w:rPr>
      </w:pPr>
      <w:r>
        <w:rPr>
          <w:caps w:val="false"/>
          <w:smallCaps w:val="false"/>
          <w:bdr w:val="single" w:sz="12" w:space="6" w:color="000000"/>
        </w:rPr>
        <w:t> </w:t>
      </w:r>
    </w:p>
    <w:p>
      <w:pPr>
        <w:pStyle w:val="TextBody"/>
        <w:bidi w:val="0"/>
        <w:spacing w:before="0" w:after="0"/>
        <w:ind w:left="0" w:right="0" w:firstLine="360"/>
        <w:jc w:val="both"/>
        <w:rPr>
          <w:rFonts w:ascii="Times New Roman;Times;Serif" w:hAnsi="Times New Roman;Times;Serif"/>
          <w:b w:val="false"/>
          <w:i/>
          <w:caps w:val="false"/>
          <w:smallCaps w:val="false"/>
          <w:sz w:val="20"/>
          <w:bdr w:val="single" w:sz="12" w:space="6" w:color="000000"/>
        </w:rPr>
      </w:pPr>
      <w:r>
        <w:rPr>
          <w:rFonts w:ascii="Times New Roman;Times;Serif" w:hAnsi="Times New Roman;Times;Serif"/>
          <w:b w:val="false"/>
          <w:i/>
          <w:caps w:val="false"/>
          <w:smallCaps w:val="false"/>
          <w:sz w:val="20"/>
          <w:bdr w:val="single" w:sz="12" w:space="6" w:color="000000"/>
        </w:rPr>
        <w:t>This summary highlights information contained elsewhere in this prospectus supplement. This summary does not contain all of the information that you should consider before deciding whether to invest in our common stock. You should read this entire prospectus supplement carefully, including accompanying prospectus, the “Risk Factors” section in this prospectus supplement, the risks set forth under the heading “Risk Factors” in the 2023 Form 10-K, and the other documents incorporated by reference in this prospectus supplement and the accompanying prospectus, prior to making an investment decision. References in this prospectus supplement to “we,” “us,” “our,” the “Company,” and “Presto” refer to Presto Automation Inc. unless otherwise stated or the context otherwise requires.</w:t>
      </w:r>
    </w:p>
    <w:p>
      <w:pPr>
        <w:pStyle w:val="TextBody"/>
        <w:bidi w:val="0"/>
        <w:spacing w:before="0" w:after="0"/>
        <w:ind w:left="0" w:right="0" w:hanging="0"/>
        <w:jc w:val="center"/>
        <w:rPr>
          <w:caps w:val="false"/>
          <w:smallCaps w:val="false"/>
          <w:bdr w:val="single" w:sz="12" w:space="6" w:color="000000"/>
        </w:rPr>
      </w:pPr>
      <w:r>
        <w:rPr>
          <w:caps w:val="false"/>
          <w:smallCaps w:val="false"/>
          <w:bdr w:val="single" w:sz="12" w:space="6" w:color="000000"/>
        </w:rPr>
        <w:t> </w:t>
      </w:r>
    </w:p>
    <w:p>
      <w:pPr>
        <w:pStyle w:val="TextBody"/>
        <w:bidi w:val="0"/>
        <w:spacing w:before="0" w:after="0"/>
        <w:ind w:left="0" w:right="0" w:hanging="0"/>
        <w:jc w:val="center"/>
        <w:rPr>
          <w:rFonts w:ascii="Times New Roman;Times;Serif" w:hAnsi="Times New Roman;Times;Serif"/>
          <w:b/>
          <w:i w:val="false"/>
          <w:caps w:val="false"/>
          <w:smallCaps w:val="false"/>
          <w:sz w:val="20"/>
          <w:bdr w:val="single" w:sz="12" w:space="6" w:color="000000"/>
        </w:rPr>
      </w:pPr>
      <w:r>
        <w:rPr>
          <w:rFonts w:ascii="Times New Roman;Times;Serif" w:hAnsi="Times New Roman;Times;Serif"/>
          <w:b/>
          <w:i w:val="false"/>
          <w:caps w:val="false"/>
          <w:smallCaps w:val="false"/>
          <w:sz w:val="20"/>
          <w:bdr w:val="single" w:sz="12" w:space="6" w:color="000000"/>
        </w:rPr>
        <w:t>Our Business</w:t>
      </w:r>
    </w:p>
    <w:p>
      <w:pPr>
        <w:pStyle w:val="TextBody"/>
        <w:bidi w:val="0"/>
        <w:spacing w:before="0" w:after="0"/>
        <w:ind w:left="0" w:right="0" w:hanging="0"/>
        <w:jc w:val="left"/>
        <w:rPr>
          <w:caps w:val="false"/>
          <w:smallCaps w:val="false"/>
          <w:bdr w:val="single" w:sz="12" w:space="6" w:color="000000"/>
        </w:rPr>
      </w:pPr>
      <w:r>
        <w:rPr>
          <w:caps w:val="false"/>
          <w:smallCaps w:val="false"/>
          <w:bdr w:val="single" w:sz="12" w:space="6"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6" w:color="000000"/>
        </w:rPr>
      </w:pPr>
      <w:r>
        <w:rPr>
          <w:rFonts w:ascii="Times New Roman;Times;Serif" w:hAnsi="Times New Roman;Times;Serif"/>
          <w:b/>
          <w:i w:val="false"/>
          <w:caps w:val="false"/>
          <w:smallCaps w:val="false"/>
          <w:sz w:val="20"/>
          <w:bdr w:val="single" w:sz="12" w:space="6" w:color="000000"/>
        </w:rPr>
        <w:t>Overview</w:t>
      </w:r>
    </w:p>
    <w:p>
      <w:pPr>
        <w:pStyle w:val="TextBody"/>
        <w:bidi w:val="0"/>
        <w:spacing w:before="0" w:after="0"/>
        <w:ind w:left="0" w:right="0" w:firstLine="720"/>
        <w:jc w:val="both"/>
        <w:rPr>
          <w:caps w:val="false"/>
          <w:smallCaps w:val="false"/>
          <w:bdr w:val="single" w:sz="12" w:space="6" w:color="000000"/>
        </w:rPr>
      </w:pPr>
      <w:r>
        <w:rPr>
          <w:caps w:val="false"/>
          <w:smallCaps w:val="false"/>
          <w:bdr w:val="single" w:sz="12" w:space="6"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6" w:color="000000"/>
        </w:rPr>
      </w:pPr>
      <w:r>
        <w:rPr>
          <w:rFonts w:ascii="Times New Roman;Times;Serif" w:hAnsi="Times New Roman;Times;Serif"/>
          <w:b w:val="false"/>
          <w:i w:val="false"/>
          <w:caps w:val="false"/>
          <w:smallCaps w:val="false"/>
          <w:sz w:val="20"/>
          <w:bdr w:val="single" w:sz="12" w:space="6" w:color="000000"/>
        </w:rPr>
        <w:t>Presto provides enterprise-grade AI and automation solutions to the restaurant industry. Presto’s solutions are designed to decrease labor costs, improve staff productivity, increase revenue and enhance the guest experience. We offer our industry-leading AI solution, Presto Voice, to quick service restaurants (QSR), and we have some of the most recognized restaurant names in the United States as our customers.</w:t>
      </w:r>
    </w:p>
    <w:p>
      <w:pPr>
        <w:pStyle w:val="TextBody"/>
        <w:bidi w:val="0"/>
        <w:spacing w:before="0" w:after="0"/>
        <w:ind w:left="0" w:right="0" w:firstLine="720"/>
        <w:jc w:val="both"/>
        <w:rPr>
          <w:caps w:val="false"/>
          <w:smallCaps w:val="false"/>
          <w:bdr w:val="single" w:sz="12" w:space="6" w:color="000000"/>
        </w:rPr>
      </w:pPr>
      <w:r>
        <w:rPr>
          <w:caps w:val="false"/>
          <w:smallCaps w:val="false"/>
          <w:bdr w:val="single" w:sz="12" w:space="6"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6" w:color="000000"/>
        </w:rPr>
      </w:pPr>
      <w:r>
        <w:rPr>
          <w:rFonts w:ascii="Times New Roman;Times;Serif" w:hAnsi="Times New Roman;Times;Serif"/>
          <w:b w:val="false"/>
          <w:i w:val="false"/>
          <w:caps w:val="false"/>
          <w:smallCaps w:val="false"/>
          <w:sz w:val="20"/>
          <w:bdr w:val="single" w:sz="12" w:space="6" w:color="000000"/>
        </w:rPr>
        <w:t xml:space="preserve">Following our founding in 2008, we initially focused exclusively on Presto Touch, a pay-at-table tablet solution. </w:t>
      </w:r>
      <w:r>
        <w:rPr>
          <w:rFonts w:ascii="Times New Roman;Times;Serif" w:hAnsi="Times New Roman;Times;Serif"/>
          <w:b w:val="false"/>
          <w:i w:val="false"/>
          <w:caps w:val="false"/>
          <w:smallCaps w:val="false"/>
          <w:sz w:val="20"/>
          <w:bdr w:val="single" w:sz="12" w:space="6" w:color="000000"/>
          <w:shd w:fill="FFFFFF" w:val="clear"/>
        </w:rPr>
        <w:t>As a result of the Presto Voice opportunities, we have taken decisive action to focus on this solution and, as has been disclosed previously, to wind down our Presto Touch pay-at-table product. Presto will exit this business line with the expiration of our final customer contracts at the end of June 2024.</w:t>
      </w:r>
      <w:r>
        <w:rPr>
          <w:rFonts w:ascii="Times New Roman;Times;Serif" w:hAnsi="Times New Roman;Times;Serif"/>
          <w:b w:val="false"/>
          <w:i w:val="false"/>
          <w:caps w:val="false"/>
          <w:smallCaps w:val="false"/>
          <w:sz w:val="20"/>
          <w:bdr w:val="single" w:sz="12" w:space="6" w:color="000000"/>
        </w:rPr>
        <w:t xml:space="preserve"> Our Presto Voice product line addresses the pressing needs of drive-thru restaurant operators by improving order accuracy, reducing labor costs and increasing revenue through menu upselling, while also providing guests with an improved drive-thru experience.</w:t>
      </w:r>
    </w:p>
    <w:p>
      <w:pPr>
        <w:pStyle w:val="TextBody"/>
        <w:bidi w:val="0"/>
        <w:spacing w:before="0" w:after="0"/>
        <w:ind w:left="0" w:right="0" w:hanging="0"/>
        <w:jc w:val="left"/>
        <w:rPr>
          <w:caps w:val="false"/>
          <w:smallCaps w:val="false"/>
          <w:bdr w:val="single" w:sz="12" w:space="6" w:color="000000"/>
        </w:rPr>
      </w:pPr>
      <w:r>
        <w:rPr>
          <w:caps w:val="false"/>
          <w:smallCaps w:val="false"/>
          <w:bdr w:val="single" w:sz="12" w:space="6"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6" w:color="000000"/>
        </w:rPr>
      </w:pPr>
      <w:r>
        <w:rPr>
          <w:rFonts w:ascii="Times New Roman;Times;Serif" w:hAnsi="Times New Roman;Times;Serif"/>
          <w:b/>
          <w:i w:val="false"/>
          <w:caps w:val="false"/>
          <w:smallCaps w:val="false"/>
          <w:sz w:val="20"/>
          <w:bdr w:val="single" w:sz="12" w:space="6" w:color="000000"/>
        </w:rPr>
        <w:t>Cooperation Agreement</w:t>
      </w:r>
    </w:p>
    <w:p>
      <w:pPr>
        <w:pStyle w:val="TextBody"/>
        <w:shd w:fill="FFFFFF" w:val="clear"/>
        <w:bidi w:val="0"/>
        <w:spacing w:before="0" w:after="0"/>
        <w:ind w:left="0" w:right="0" w:firstLine="360"/>
        <w:jc w:val="both"/>
        <w:rPr>
          <w:caps w:val="false"/>
          <w:smallCaps w:val="false"/>
          <w:bdr w:val="single" w:sz="12" w:space="6" w:color="000000"/>
        </w:rPr>
      </w:pPr>
      <w:r>
        <w:rPr>
          <w:caps w:val="false"/>
          <w:smallCaps w:val="false"/>
          <w:bdr w:val="single" w:sz="12" w:space="6"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6" w:color="000000"/>
        </w:rPr>
      </w:pPr>
      <w:r>
        <w:rPr>
          <w:rFonts w:ascii="Times New Roman;Times;Serif" w:hAnsi="Times New Roman;Times;Serif"/>
          <w:b w:val="false"/>
          <w:i w:val="false"/>
          <w:caps w:val="false"/>
          <w:smallCaps w:val="false"/>
          <w:sz w:val="20"/>
          <w:bdr w:val="single" w:sz="12" w:space="6" w:color="000000"/>
        </w:rPr>
        <w:t>On May 16, 2024, we and Presto Automation LLC (the “Borrower”), our wholly owned subsidiary (the “Loan Parties”), entered into a Cooperation Agreement (the “Cooperation Agreement”) with Metropolitan Partners Group Administration, LLC, the administrative, payment and collateral agent (the “Agent”) under the Credit Agreement, dated as of September 21, 2022 (as amended, the “Credit Agreement”), Metropolitan Levered Partners Fund VII, LP, Metropolitan Partners Fund VII, LP, Metropolitan Offshore Partners Fund VII, LP and CEOF Holdings LP (collectively, the “Lenders”), and certain significant stockholders.</w:t>
      </w:r>
    </w:p>
    <w:p>
      <w:pPr>
        <w:pStyle w:val="TextBody"/>
        <w:shd w:fill="FFFFFF" w:val="clear"/>
        <w:bidi w:val="0"/>
        <w:spacing w:before="0" w:after="0"/>
        <w:ind w:left="0" w:right="0" w:firstLine="360"/>
        <w:jc w:val="both"/>
        <w:rPr>
          <w:caps w:val="false"/>
          <w:smallCaps w:val="false"/>
          <w:bdr w:val="single" w:sz="12" w:space="6" w:color="000000"/>
        </w:rPr>
      </w:pPr>
      <w:r>
        <w:rPr>
          <w:caps w:val="false"/>
          <w:smallCaps w:val="false"/>
          <w:bdr w:val="single" w:sz="12" w:space="6" w:color="000000"/>
        </w:rPr>
        <w:t> </w:t>
      </w:r>
    </w:p>
    <w:p>
      <w:pPr>
        <w:pStyle w:val="TextBody"/>
        <w:bidi w:val="0"/>
        <w:spacing w:before="0" w:after="0"/>
        <w:ind w:left="0" w:right="0" w:hanging="0"/>
        <w:jc w:val="both"/>
        <w:rPr>
          <w:rFonts w:ascii="Times New Roman;Times;Serif" w:hAnsi="Times New Roman;Times;Serif"/>
          <w:b w:val="false"/>
          <w:i/>
          <w:caps w:val="false"/>
          <w:smallCaps w:val="false"/>
          <w:sz w:val="20"/>
          <w:bdr w:val="single" w:sz="12" w:space="6" w:color="000000"/>
        </w:rPr>
      </w:pPr>
      <w:r>
        <w:rPr>
          <w:rFonts w:ascii="Times New Roman;Times;Serif" w:hAnsi="Times New Roman;Times;Serif"/>
          <w:b w:val="false"/>
          <w:i/>
          <w:caps w:val="false"/>
          <w:smallCaps w:val="false"/>
          <w:sz w:val="20"/>
          <w:bdr w:val="single" w:sz="12" w:space="6" w:color="000000"/>
        </w:rPr>
        <w:t>Extension to Forbearance Date and Related Terms</w:t>
      </w:r>
    </w:p>
    <w:p>
      <w:pPr>
        <w:pStyle w:val="TextBody"/>
        <w:bidi w:val="0"/>
        <w:spacing w:before="0" w:after="0"/>
        <w:ind w:left="0" w:right="0" w:hanging="0"/>
        <w:jc w:val="both"/>
        <w:rPr>
          <w:caps w:val="false"/>
          <w:smallCaps w:val="false"/>
          <w:bdr w:val="single" w:sz="12" w:space="6" w:color="000000"/>
        </w:rPr>
      </w:pPr>
      <w:r>
        <w:rPr>
          <w:caps w:val="false"/>
          <w:smallCaps w:val="false"/>
          <w:bdr w:val="single" w:sz="12" w:space="6" w:color="000000"/>
        </w:rPr>
        <w:t> </w:t>
      </w:r>
    </w:p>
    <w:p>
      <w:pPr>
        <w:pStyle w:val="TextBody"/>
        <w:bidi w:val="0"/>
        <w:ind w:left="0" w:right="0" w:firstLine="360"/>
        <w:jc w:val="both"/>
        <w:rPr>
          <w:rFonts w:ascii="Times New Roman;Times;Serif" w:hAnsi="Times New Roman;Times;Serif"/>
          <w:b w:val="false"/>
          <w:i w:val="false"/>
          <w:caps w:val="false"/>
          <w:smallCaps w:val="false"/>
          <w:sz w:val="20"/>
          <w:bdr w:val="single" w:sz="12" w:space="6" w:color="000000"/>
        </w:rPr>
      </w:pPr>
      <w:r>
        <w:rPr>
          <w:rFonts w:ascii="Times New Roman;Times;Serif" w:hAnsi="Times New Roman;Times;Serif"/>
          <w:b w:val="false"/>
          <w:i w:val="false"/>
          <w:caps w:val="false"/>
          <w:smallCaps w:val="false"/>
          <w:sz w:val="20"/>
          <w:bdr w:val="single" w:sz="12" w:space="6" w:color="000000"/>
        </w:rPr>
        <w:t>The Cooperation Agreement provides that the Lenders will not exercise remedies as a result of certain continuing events of default under the Credit Agreement, if we raise $3,000,000 or more of working capital by June 7, 2024 (the “Capital Raise”), in which event the Agent and the Lenders agree to extend the Forbearance termination date to July 15, 2024 (“Forbearance”). The CSPA and this Offering are intended to enable us to satisfy that requirement.</w:t>
      </w:r>
    </w:p>
    <w:p>
      <w:pPr>
        <w:pStyle w:val="TextBody"/>
        <w:bidi w:val="0"/>
        <w:spacing w:before="0" w:after="0"/>
        <w:ind w:left="0" w:right="0" w:hanging="0"/>
        <w:jc w:val="left"/>
        <w:rPr>
          <w:caps w:val="false"/>
          <w:smallCaps w:val="false"/>
          <w:bdr w:val="single" w:sz="12" w:space="6" w:color="000000"/>
        </w:rPr>
      </w:pPr>
      <w:r>
        <w:rPr>
          <w:caps w:val="false"/>
          <w:smallCaps w:val="false"/>
          <w:bdr w:val="single" w:sz="12" w:space="6"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6" w:color="000000"/>
        </w:rPr>
      </w:pPr>
      <w:r>
        <w:rPr>
          <w:rFonts w:ascii="Times New Roman;Times;Serif" w:hAnsi="Times New Roman;Times;Serif"/>
          <w:b w:val="false"/>
          <w:i w:val="false"/>
          <w:caps w:val="false"/>
          <w:smallCaps w:val="false"/>
          <w:sz w:val="20"/>
          <w:bdr w:val="single" w:sz="12" w:space="6" w:color="000000"/>
        </w:rPr>
        <w:t xml:space="preserve">Assuming continued Forbearance, the Lenders have agreed to engage in good faith discussions with a view to concluding a binding agreement with a third party based on a binding written offer (the “Offer”) from such third party submitted by any Loan Party or Significant Stakeholder (as defined in the Cooperation Agreement) to purchase all of the Lenders’ rights and obligations under the Loan Documents, </w:t>
      </w:r>
      <w:r>
        <w:rPr>
          <w:rFonts w:ascii="Times New Roman;Times;Serif" w:hAnsi="Times New Roman;Times;Serif"/>
          <w:b w:val="false"/>
          <w:i/>
          <w:caps w:val="false"/>
          <w:smallCaps w:val="false"/>
          <w:sz w:val="20"/>
          <w:bdr w:val="single" w:sz="12" w:space="6" w:color="000000"/>
        </w:rPr>
        <w:t>provided</w:t>
      </w:r>
      <w:r>
        <w:rPr>
          <w:rFonts w:ascii="Times New Roman;Times;Serif" w:hAnsi="Times New Roman;Times;Serif"/>
          <w:b w:val="false"/>
          <w:i w:val="false"/>
          <w:caps w:val="false"/>
          <w:smallCaps w:val="false"/>
          <w:sz w:val="20"/>
          <w:bdr w:val="single" w:sz="12" w:space="6" w:color="000000"/>
        </w:rPr>
        <w:t xml:space="preserve"> that such Offer is (A) for a cash purchase price of at least $20.0 million, (B) accompanied by a binding commitment by the Borrower to issue one or more promissory notes to the Lenders (the “Convertible Notes”) in an aggregate principal amount equal to fifty percent (50%) of the outstanding balance of the Obligations (as defined in the Credit Agreement) less the proposed cash purchase price, which Convertible Notes shall be convertible into equity of the Company of the same class and on the same terms as are set out in that certain convertible subordinated note issued to Remus Capital Series B II, L.P. on January 30, 2024, and (C) accompanied by evidence, in form and substance satisfactory to Lenders in their sole discretion, reflecting that the Offer will provide us with operating capital of not less than $18.0 million, not including the cash purchase price described in subparagraph (A) above. To the extent that the operating capital is less than $18.0 million but greater than $12.0 million, the amount of the convertible note set forth above will be increased by a dollar amount equal the reduction in operating capital below $18.0 million</w:t>
      </w:r>
    </w:p>
    <w:p>
      <w:pPr>
        <w:pStyle w:val="TextBody"/>
        <w:shd w:fill="FFFFFF" w:val="clear"/>
        <w:bidi w:val="0"/>
        <w:spacing w:before="0" w:after="0"/>
        <w:ind w:left="0" w:right="0" w:firstLine="360"/>
        <w:jc w:val="both"/>
        <w:rPr>
          <w:caps w:val="false"/>
          <w:smallCaps w:val="false"/>
          <w:bdr w:val="single" w:sz="12" w:space="6" w:color="000000"/>
        </w:rPr>
      </w:pPr>
      <w:r>
        <w:rPr>
          <w:caps w:val="false"/>
          <w:smallCaps w:val="false"/>
          <w:bdr w:val="single" w:sz="12" w:space="6" w:color="000000"/>
        </w:rPr>
        <w:t> </w:t>
      </w:r>
    </w:p>
    <w:p>
      <w:pPr>
        <w:pStyle w:val="TextBody"/>
        <w:bidi w:val="0"/>
        <w:spacing w:before="0" w:after="0"/>
        <w:ind w:left="0" w:right="0" w:firstLine="360"/>
        <w:jc w:val="center"/>
        <w:rPr>
          <w:bdr w:val="single" w:sz="12" w:space="1" w:color="000000"/>
        </w:rPr>
      </w:pPr>
      <w:r>
        <w:rPr>
          <w:bdr w:val="single" w:sz="12" w:space="1" w:color="000000"/>
        </w:rPr>
        <w:t>S-1</w:t>
      </w:r>
    </w:p>
    <w:p>
      <w:pPr>
        <w:pStyle w:val="TextBody"/>
        <w:bidi w:val="0"/>
        <w:spacing w:before="0" w:after="0"/>
        <w:ind w:left="0" w:right="0" w:hanging="0"/>
        <w:jc w:val="left"/>
        <w:rPr/>
      </w:pPr>
      <w:r>
        <w:rPr/>
        <w:t> </w:t>
      </w:r>
    </w:p>
    <w:p>
      <w:pPr>
        <w:pStyle w:val="TextBody"/>
        <w:shd w:fill="FFFFFF" w:val="clear"/>
        <w:bidi w:val="0"/>
        <w:spacing w:before="0" w:after="0"/>
        <w:ind w:left="0" w:right="0" w:firstLine="360"/>
        <w:jc w:val="both"/>
        <w:rPr>
          <w:caps w:val="false"/>
          <w:smallCaps w:val="false"/>
          <w:bdr w:val="single" w:sz="12" w:space="6" w:color="000000"/>
        </w:rPr>
      </w:pPr>
      <w:r>
        <w:rPr>
          <w:caps w:val="false"/>
          <w:smallCaps w:val="false"/>
          <w:bdr w:val="single" w:sz="12" w:space="6" w:color="000000"/>
        </w:rPr>
        <w:t> </w:t>
      </w:r>
    </w:p>
    <w:p>
      <w:pPr>
        <w:pStyle w:val="TextBody"/>
        <w:bidi w:val="0"/>
        <w:spacing w:before="0" w:after="0"/>
        <w:ind w:left="0" w:right="0" w:hanging="0"/>
        <w:jc w:val="both"/>
        <w:rPr>
          <w:rFonts w:ascii="Times New Roman;Times;Serif" w:hAnsi="Times New Roman;Times;Serif"/>
          <w:b w:val="false"/>
          <w:i/>
          <w:caps w:val="false"/>
          <w:smallCaps w:val="false"/>
          <w:sz w:val="20"/>
          <w:bdr w:val="single" w:sz="12" w:space="6" w:color="000000"/>
        </w:rPr>
      </w:pPr>
      <w:r>
        <w:rPr>
          <w:rFonts w:ascii="Times New Roman;Times;Serif" w:hAnsi="Times New Roman;Times;Serif"/>
          <w:b w:val="false"/>
          <w:i/>
          <w:caps w:val="false"/>
          <w:smallCaps w:val="false"/>
          <w:sz w:val="20"/>
          <w:bdr w:val="single" w:sz="12" w:space="6" w:color="000000"/>
        </w:rPr>
        <w:t>Cooperation in Connection with Sale of the Company</w:t>
      </w:r>
    </w:p>
    <w:p>
      <w:pPr>
        <w:pStyle w:val="TextBody"/>
        <w:bidi w:val="0"/>
        <w:spacing w:before="0" w:after="0"/>
        <w:ind w:left="0" w:right="0" w:hanging="0"/>
        <w:jc w:val="both"/>
        <w:rPr>
          <w:caps w:val="false"/>
          <w:smallCaps w:val="false"/>
          <w:bdr w:val="single" w:sz="12" w:space="6" w:color="000000"/>
        </w:rPr>
      </w:pPr>
      <w:r>
        <w:rPr>
          <w:caps w:val="false"/>
          <w:smallCaps w:val="false"/>
          <w:bdr w:val="single" w:sz="12" w:space="6"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6" w:color="000000"/>
        </w:rPr>
      </w:pPr>
      <w:r>
        <w:rPr>
          <w:rFonts w:ascii="Times New Roman;Times;Serif" w:hAnsi="Times New Roman;Times;Serif"/>
          <w:b w:val="false"/>
          <w:i w:val="false"/>
          <w:caps w:val="false"/>
          <w:smallCaps w:val="false"/>
          <w:sz w:val="20"/>
          <w:bdr w:val="single" w:sz="12" w:space="6" w:color="000000"/>
        </w:rPr>
        <w:t>In the event of termination of Forbearance, the Loan Parties have agreed to cooperate and not impede in the exercise of the Agent’s and Lenders’ rights and remedies under the Loan Documents (as defined in the Credit Agreement), including, among other things, the realization of their collateral and a potential sale process under Article 9 of the Uniform Commercial Code. In the event of such outcome, it is likely that the holders of shares of our common stock, including the shares purchased in this Offering, will receive no value and the shares will become worthless.</w:t>
      </w:r>
    </w:p>
    <w:p>
      <w:pPr>
        <w:pStyle w:val="TextBody"/>
        <w:shd w:fill="FFFFFF" w:val="clear"/>
        <w:bidi w:val="0"/>
        <w:spacing w:before="0" w:after="0"/>
        <w:ind w:left="0" w:right="0" w:firstLine="360"/>
        <w:jc w:val="both"/>
        <w:rPr>
          <w:caps w:val="false"/>
          <w:smallCaps w:val="false"/>
          <w:bdr w:val="single" w:sz="12" w:space="6" w:color="000000"/>
        </w:rPr>
      </w:pPr>
      <w:r>
        <w:rPr>
          <w:caps w:val="false"/>
          <w:smallCaps w:val="false"/>
          <w:bdr w:val="single" w:sz="12" w:space="6" w:color="000000"/>
        </w:rPr>
        <w:t> </w:t>
      </w:r>
    </w:p>
    <w:p>
      <w:pPr>
        <w:pStyle w:val="TextBody"/>
        <w:bidi w:val="0"/>
        <w:spacing w:before="0" w:after="0"/>
        <w:ind w:left="0" w:right="0" w:hanging="0"/>
        <w:jc w:val="both"/>
        <w:rPr>
          <w:rFonts w:ascii="Times New Roman;Times;Serif" w:hAnsi="Times New Roman;Times;Serif"/>
          <w:b w:val="false"/>
          <w:i/>
          <w:caps w:val="false"/>
          <w:smallCaps w:val="false"/>
          <w:sz w:val="20"/>
          <w:bdr w:val="single" w:sz="12" w:space="6" w:color="000000"/>
        </w:rPr>
      </w:pPr>
      <w:r>
        <w:rPr>
          <w:rFonts w:ascii="Times New Roman;Times;Serif" w:hAnsi="Times New Roman;Times;Serif"/>
          <w:b w:val="false"/>
          <w:i/>
          <w:caps w:val="false"/>
          <w:smallCaps w:val="false"/>
          <w:sz w:val="20"/>
          <w:bdr w:val="single" w:sz="12" w:space="6" w:color="000000"/>
        </w:rPr>
        <w:t>Development of Alternative Path</w:t>
      </w:r>
    </w:p>
    <w:p>
      <w:pPr>
        <w:pStyle w:val="TextBody"/>
        <w:bidi w:val="0"/>
        <w:spacing w:before="0" w:after="0"/>
        <w:ind w:left="0" w:right="0" w:hanging="0"/>
        <w:jc w:val="both"/>
        <w:rPr>
          <w:caps w:val="false"/>
          <w:smallCaps w:val="false"/>
          <w:bdr w:val="single" w:sz="12" w:space="6" w:color="000000"/>
        </w:rPr>
      </w:pPr>
      <w:r>
        <w:rPr>
          <w:caps w:val="false"/>
          <w:smallCaps w:val="false"/>
          <w:bdr w:val="single" w:sz="12" w:space="6"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6" w:color="000000"/>
        </w:rPr>
      </w:pPr>
      <w:r>
        <w:rPr>
          <w:rFonts w:ascii="Times New Roman;Times;Serif" w:hAnsi="Times New Roman;Times;Serif"/>
          <w:b w:val="false"/>
          <w:i w:val="false"/>
          <w:caps w:val="false"/>
          <w:smallCaps w:val="false"/>
          <w:sz w:val="20"/>
          <w:bdr w:val="single" w:sz="12" w:space="6" w:color="000000"/>
        </w:rPr>
        <w:t>We have agreed to maintain a committee of independent directors to work with the Lenders on the development and execution of a strategic plan (the “Alternative Path”) to address our obligations under the Credit Agreement in the event that Forbearance ends, including directing our professional advisors to work with the Agent in the development and execution of the Alternative Path, including the identification and solicitation of additional financing sources. We have agreed to provide access to properties, systems and our access to various types of information as the Lenders reasonably request and make reasonably available its directors, officers, employees and advisors.</w:t>
      </w:r>
    </w:p>
    <w:p>
      <w:pPr>
        <w:pStyle w:val="TextBody"/>
        <w:shd w:fill="FFFFFF" w:val="clear"/>
        <w:bidi w:val="0"/>
        <w:spacing w:before="0" w:after="0"/>
        <w:ind w:left="0" w:right="0" w:firstLine="360"/>
        <w:jc w:val="both"/>
        <w:rPr>
          <w:caps w:val="false"/>
          <w:smallCaps w:val="false"/>
          <w:bdr w:val="single" w:sz="12" w:space="6" w:color="000000"/>
        </w:rPr>
      </w:pPr>
      <w:r>
        <w:rPr>
          <w:caps w:val="false"/>
          <w:smallCaps w:val="false"/>
          <w:bdr w:val="single" w:sz="12" w:space="6" w:color="000000"/>
        </w:rPr>
        <w:t> </w:t>
      </w:r>
    </w:p>
    <w:p>
      <w:pPr>
        <w:pStyle w:val="TextBody"/>
        <w:bidi w:val="0"/>
        <w:spacing w:before="0" w:after="0"/>
        <w:ind w:left="0" w:right="0" w:hanging="0"/>
        <w:jc w:val="both"/>
        <w:rPr>
          <w:rFonts w:ascii="Times New Roman;Times;Serif" w:hAnsi="Times New Roman;Times;Serif"/>
          <w:b w:val="false"/>
          <w:i/>
          <w:caps w:val="false"/>
          <w:smallCaps w:val="false"/>
          <w:sz w:val="20"/>
          <w:bdr w:val="single" w:sz="12" w:space="6" w:color="000000"/>
        </w:rPr>
      </w:pPr>
      <w:r>
        <w:rPr>
          <w:rFonts w:ascii="Times New Roman;Times;Serif" w:hAnsi="Times New Roman;Times;Serif"/>
          <w:b w:val="false"/>
          <w:i/>
          <w:caps w:val="false"/>
          <w:smallCaps w:val="false"/>
          <w:sz w:val="20"/>
          <w:bdr w:val="single" w:sz="12" w:space="6" w:color="000000"/>
        </w:rPr>
        <w:t>Release from Claims</w:t>
      </w:r>
    </w:p>
    <w:p>
      <w:pPr>
        <w:pStyle w:val="TextBody"/>
        <w:bidi w:val="0"/>
        <w:spacing w:before="0" w:after="0"/>
        <w:ind w:left="0" w:right="0" w:hanging="0"/>
        <w:jc w:val="both"/>
        <w:rPr>
          <w:caps w:val="false"/>
          <w:smallCaps w:val="false"/>
          <w:bdr w:val="single" w:sz="12" w:space="6" w:color="000000"/>
        </w:rPr>
      </w:pPr>
      <w:r>
        <w:rPr>
          <w:caps w:val="false"/>
          <w:smallCaps w:val="false"/>
          <w:bdr w:val="single" w:sz="12" w:space="6"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6" w:color="000000"/>
        </w:rPr>
      </w:pPr>
      <w:r>
        <w:rPr>
          <w:rFonts w:ascii="Times New Roman;Times;Serif" w:hAnsi="Times New Roman;Times;Serif"/>
          <w:b w:val="false"/>
          <w:i w:val="false"/>
          <w:caps w:val="false"/>
          <w:smallCaps w:val="false"/>
          <w:sz w:val="20"/>
          <w:bdr w:val="single" w:sz="12" w:space="6" w:color="000000"/>
        </w:rPr>
        <w:t>We, together with our past, present and future successors, assigns, managers, members, officers, directors, agents, employees, professionals and other representatives (in their capacities as such and not in any other capacity), and entities affiliated with Remus Capital Series B II, L.P. and </w:t>
      </w:r>
      <w:r>
        <w:rPr>
          <w:rFonts w:ascii="Times New Roman;Times;Serif" w:hAnsi="Times New Roman;Times;Serif"/>
          <w:b w:val="false"/>
          <w:i w:val="false"/>
          <w:caps w:val="false"/>
          <w:smallCaps w:val="false"/>
          <w:sz w:val="20"/>
          <w:bdr w:val="single" w:sz="12" w:space="6" w:color="000000"/>
          <w:shd w:fill="FFFFFF" w:val="clear"/>
        </w:rPr>
        <w:t>Presto CA LLC</w:t>
      </w:r>
      <w:r>
        <w:rPr>
          <w:rFonts w:ascii="Times New Roman;Times;Serif" w:hAnsi="Times New Roman;Times;Serif"/>
          <w:b w:val="false"/>
          <w:i w:val="false"/>
          <w:caps w:val="false"/>
          <w:smallCaps w:val="false"/>
          <w:sz w:val="20"/>
          <w:bdr w:val="single" w:sz="12" w:space="6" w:color="000000"/>
        </w:rPr>
        <w:t> (an affiliate of Cleveland Avenue, LLC) together with their respective past, present and future successors and assigns released the Agent and the Lenders from any claims related to our forbearance agreement, the Credit Agreement and any Loan Documents.</w:t>
      </w:r>
    </w:p>
    <w:p>
      <w:pPr>
        <w:pStyle w:val="TextBody"/>
        <w:shd w:fill="FFFFFF" w:val="clear"/>
        <w:bidi w:val="0"/>
        <w:spacing w:before="0" w:after="0"/>
        <w:ind w:left="0" w:right="0" w:hanging="0"/>
        <w:jc w:val="left"/>
        <w:rPr>
          <w:caps w:val="false"/>
          <w:smallCaps w:val="false"/>
          <w:bdr w:val="single" w:sz="12" w:space="6" w:color="000000"/>
        </w:rPr>
      </w:pPr>
      <w:r>
        <w:rPr>
          <w:caps w:val="false"/>
          <w:smallCaps w:val="false"/>
          <w:bdr w:val="single" w:sz="12" w:space="6" w:color="000000"/>
        </w:rPr>
        <w:t> </w:t>
      </w:r>
    </w:p>
    <w:p>
      <w:pPr>
        <w:pStyle w:val="TextBody"/>
        <w:bidi w:val="0"/>
        <w:spacing w:before="0" w:after="0"/>
        <w:ind w:left="0" w:right="0" w:hanging="0"/>
        <w:jc w:val="left"/>
        <w:rPr>
          <w:rFonts w:ascii="Times New Roman;Times;Serif" w:hAnsi="Times New Roman;Times;Serif"/>
          <w:b/>
          <w:i/>
          <w:caps w:val="false"/>
          <w:smallCaps w:val="false"/>
          <w:sz w:val="20"/>
          <w:bdr w:val="single" w:sz="12" w:space="6" w:color="000000"/>
        </w:rPr>
      </w:pPr>
      <w:r>
        <w:rPr>
          <w:rFonts w:ascii="Times New Roman;Times;Serif" w:hAnsi="Times New Roman;Times;Serif"/>
          <w:b/>
          <w:i/>
          <w:caps w:val="false"/>
          <w:smallCaps w:val="false"/>
          <w:sz w:val="20"/>
          <w:bdr w:val="single" w:sz="12" w:space="6" w:color="000000"/>
        </w:rPr>
        <w:t>Update Regarding Liquidity</w:t>
      </w:r>
    </w:p>
    <w:p>
      <w:pPr>
        <w:pStyle w:val="TextBody"/>
        <w:bidi w:val="0"/>
        <w:spacing w:before="0" w:after="0"/>
        <w:ind w:left="0" w:right="0" w:hanging="0"/>
        <w:jc w:val="left"/>
        <w:rPr>
          <w:caps w:val="false"/>
          <w:smallCaps w:val="false"/>
          <w:bdr w:val="single" w:sz="12" w:space="6" w:color="000000"/>
        </w:rPr>
      </w:pPr>
      <w:r>
        <w:rPr>
          <w:caps w:val="false"/>
          <w:smallCaps w:val="false"/>
          <w:bdr w:val="single" w:sz="12" w:space="6" w:color="000000"/>
        </w:rPr>
        <w:t> </w:t>
      </w:r>
    </w:p>
    <w:p>
      <w:pPr>
        <w:pStyle w:val="TextBody"/>
        <w:bidi w:val="0"/>
        <w:ind w:left="0" w:right="0" w:firstLine="360"/>
        <w:jc w:val="both"/>
        <w:rPr>
          <w:rFonts w:ascii="Times New Roman;Times;Serif" w:hAnsi="Times New Roman;Times;Serif"/>
          <w:b w:val="false"/>
          <w:i w:val="false"/>
          <w:caps w:val="false"/>
          <w:smallCaps w:val="false"/>
          <w:sz w:val="20"/>
          <w:bdr w:val="single" w:sz="12" w:space="6" w:color="000000"/>
        </w:rPr>
      </w:pPr>
      <w:r>
        <w:rPr>
          <w:rFonts w:ascii="Times New Roman;Times;Serif" w:hAnsi="Times New Roman;Times;Serif"/>
          <w:b w:val="false"/>
          <w:i w:val="false"/>
          <w:caps w:val="false"/>
          <w:smallCaps w:val="false"/>
          <w:sz w:val="20"/>
          <w:bdr w:val="single" w:sz="12" w:space="6" w:color="000000"/>
        </w:rPr>
        <w:t>As of May 24, 2024, we had $2.8 million of cash and cash equivalents.</w:t>
      </w:r>
    </w:p>
    <w:p>
      <w:pPr>
        <w:pStyle w:val="TextBody"/>
        <w:shd w:fill="FFFFFF" w:val="clear"/>
        <w:bidi w:val="0"/>
        <w:spacing w:before="0" w:after="0"/>
        <w:ind w:left="0" w:right="0" w:firstLine="360"/>
        <w:jc w:val="both"/>
        <w:rPr>
          <w:caps w:val="false"/>
          <w:smallCaps w:val="false"/>
          <w:bdr w:val="single" w:sz="12" w:space="6" w:color="000000"/>
        </w:rPr>
      </w:pPr>
      <w:r>
        <w:rPr>
          <w:caps w:val="false"/>
          <w:smallCaps w:val="false"/>
          <w:bdr w:val="single" w:sz="12" w:space="6"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6" w:color="000000"/>
        </w:rPr>
      </w:pPr>
      <w:r>
        <w:rPr>
          <w:rFonts w:ascii="Times New Roman;Times;Serif" w:hAnsi="Times New Roman;Times;Serif"/>
          <w:b w:val="false"/>
          <w:i w:val="false"/>
          <w:caps w:val="false"/>
          <w:smallCaps w:val="false"/>
          <w:sz w:val="20"/>
          <w:bdr w:val="single" w:sz="12" w:space="6" w:color="000000"/>
        </w:rPr>
        <w:t>Assuming that we raise $3,000,000 from the transactions contemplated by the CSPA including this Offering, we expect to be able to sustain our operations through July 15, 2024, which is the same date that the Forbearance terminates. After that time, absent a further capital raise, and assuming the Lenders have not previously sold their loan, the Agent and Lenders will no longer be required to forbear from exercising rights and remedies against us under the Credit Agreement as a result of defaults under the Credit Agreement, and the Note will be due and payable. See “—Cooperation Agreement— Cooperation in Connection with Sale of the Company.”</w:t>
      </w:r>
    </w:p>
    <w:p>
      <w:pPr>
        <w:pStyle w:val="TextBody"/>
        <w:shd w:fill="FFFFFF" w:val="clear"/>
        <w:bidi w:val="0"/>
        <w:spacing w:before="0" w:after="0"/>
        <w:ind w:left="0" w:right="0" w:firstLine="360"/>
        <w:jc w:val="both"/>
        <w:rPr>
          <w:caps w:val="false"/>
          <w:smallCaps w:val="false"/>
          <w:bdr w:val="single" w:sz="12" w:space="6" w:color="000000"/>
        </w:rPr>
      </w:pPr>
      <w:r>
        <w:rPr>
          <w:caps w:val="false"/>
          <w:smallCaps w:val="false"/>
          <w:bdr w:val="single" w:sz="12" w:space="6" w:color="000000"/>
        </w:rPr>
        <w:t> </w:t>
      </w:r>
    </w:p>
    <w:p>
      <w:pPr>
        <w:pStyle w:val="TextBody"/>
        <w:bidi w:val="0"/>
        <w:spacing w:before="0" w:after="0"/>
        <w:ind w:left="0" w:right="0" w:hanging="0"/>
        <w:jc w:val="left"/>
        <w:rPr>
          <w:rFonts w:ascii="Times New Roman;Times;Serif" w:hAnsi="Times New Roman;Times;Serif"/>
          <w:b/>
          <w:i/>
          <w:caps w:val="false"/>
          <w:smallCaps w:val="false"/>
          <w:sz w:val="20"/>
          <w:bdr w:val="single" w:sz="12" w:space="6" w:color="000000"/>
        </w:rPr>
      </w:pPr>
      <w:r>
        <w:rPr>
          <w:rFonts w:ascii="Times New Roman;Times;Serif" w:hAnsi="Times New Roman;Times;Serif"/>
          <w:b/>
          <w:i/>
          <w:caps w:val="false"/>
          <w:smallCaps w:val="false"/>
          <w:sz w:val="20"/>
          <w:bdr w:val="single" w:sz="12" w:space="6" w:color="000000"/>
        </w:rPr>
        <w:t>Potential Anti-Dilution Impact of this Offering</w:t>
      </w:r>
    </w:p>
    <w:p>
      <w:pPr>
        <w:pStyle w:val="TextBody"/>
        <w:bidi w:val="0"/>
        <w:spacing w:before="0" w:after="0"/>
        <w:ind w:left="0" w:right="0" w:hanging="0"/>
        <w:jc w:val="left"/>
        <w:rPr>
          <w:caps w:val="false"/>
          <w:smallCaps w:val="false"/>
          <w:bdr w:val="single" w:sz="12" w:space="6" w:color="000000"/>
        </w:rPr>
      </w:pPr>
      <w:r>
        <w:rPr>
          <w:caps w:val="false"/>
          <w:smallCaps w:val="false"/>
          <w:bdr w:val="single" w:sz="12" w:space="6"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6" w:color="000000"/>
        </w:rPr>
      </w:pPr>
      <w:r>
        <w:rPr>
          <w:rFonts w:ascii="Times New Roman;Times;Serif" w:hAnsi="Times New Roman;Times;Serif"/>
          <w:b w:val="false"/>
          <w:i w:val="false"/>
          <w:caps w:val="false"/>
          <w:smallCaps w:val="false"/>
          <w:sz w:val="20"/>
          <w:bdr w:val="single" w:sz="12" w:space="6" w:color="000000"/>
        </w:rPr>
        <w:t>If the Purchase Price of our common stock in this Offering is less than $0.14 per share, the Offering will trigger anti-dilution adjustment provisions pursuant to the following instruments:</w:t>
      </w:r>
    </w:p>
    <w:p>
      <w:pPr>
        <w:pStyle w:val="TextBody"/>
        <w:shd w:fill="FFFFFF" w:val="clear"/>
        <w:bidi w:val="0"/>
        <w:spacing w:before="0" w:after="0"/>
        <w:ind w:left="0" w:right="0" w:firstLine="360"/>
        <w:jc w:val="both"/>
        <w:rPr>
          <w:caps w:val="false"/>
          <w:smallCaps w:val="false"/>
          <w:bdr w:val="single" w:sz="12" w:space="6" w:color="000000"/>
        </w:rPr>
      </w:pPr>
      <w:r>
        <w:rPr>
          <w:caps w:val="false"/>
          <w:smallCaps w:val="false"/>
          <w:bdr w:val="single" w:sz="12" w:space="6"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6" w:color="000000"/>
        </w:rPr>
      </w:pPr>
      <w:r>
        <w:rPr>
          <w:rFonts w:ascii="Times New Roman;Times;Serif" w:hAnsi="Times New Roman;Times;Serif"/>
          <w:b w:val="false"/>
          <w:i w:val="false"/>
          <w:caps w:val="false"/>
          <w:smallCaps w:val="false"/>
          <w:sz w:val="20"/>
          <w:bdr w:val="single" w:sz="12" w:space="6" w:color="000000"/>
        </w:rPr>
        <w:t>(1) the securities purchase agreement, dated October 10, 2023, between the Company and Presto CA (the “CA Purchase Agreement”);</w:t>
      </w:r>
    </w:p>
    <w:p>
      <w:pPr>
        <w:pStyle w:val="TextBody"/>
        <w:shd w:fill="FFFFFF" w:val="clear"/>
        <w:bidi w:val="0"/>
        <w:spacing w:before="0" w:after="0"/>
        <w:ind w:left="0" w:right="0" w:firstLine="360"/>
        <w:jc w:val="both"/>
        <w:rPr>
          <w:caps w:val="false"/>
          <w:smallCaps w:val="false"/>
          <w:bdr w:val="single" w:sz="12" w:space="6" w:color="000000"/>
        </w:rPr>
      </w:pPr>
      <w:r>
        <w:rPr>
          <w:caps w:val="false"/>
          <w:smallCaps w:val="false"/>
          <w:bdr w:val="single" w:sz="12" w:space="6"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6" w:color="000000"/>
        </w:rPr>
      </w:pPr>
      <w:r>
        <w:rPr>
          <w:rFonts w:ascii="Times New Roman;Times;Serif" w:hAnsi="Times New Roman;Times;Serif"/>
          <w:b w:val="false"/>
          <w:i w:val="false"/>
          <w:caps w:val="false"/>
          <w:smallCaps w:val="false"/>
          <w:sz w:val="20"/>
          <w:bdr w:val="single" w:sz="12" w:space="6" w:color="000000"/>
        </w:rPr>
        <w:t>(2) the common stock purchase agreements, dated November 17, 2023, between the Company and several investors (the “November 2023 Purchase Agreements”) solely with respect to those parties that also participated in our offering of common stock set forth under subparagraph (5) below;</w:t>
      </w:r>
    </w:p>
    <w:p>
      <w:pPr>
        <w:pStyle w:val="TextBody"/>
        <w:shd w:fill="FFFFFF" w:val="clear"/>
        <w:bidi w:val="0"/>
        <w:spacing w:before="0" w:after="0"/>
        <w:ind w:left="0" w:right="0" w:firstLine="360"/>
        <w:jc w:val="both"/>
        <w:rPr>
          <w:caps w:val="false"/>
          <w:smallCaps w:val="false"/>
          <w:bdr w:val="single" w:sz="12" w:space="6" w:color="000000"/>
        </w:rPr>
      </w:pPr>
      <w:r>
        <w:rPr>
          <w:caps w:val="false"/>
          <w:smallCaps w:val="false"/>
          <w:bdr w:val="single" w:sz="12" w:space="6" w:color="000000"/>
        </w:rPr>
        <w:t> </w:t>
      </w:r>
    </w:p>
    <w:p>
      <w:pPr>
        <w:pStyle w:val="TextBody"/>
        <w:bidi w:val="0"/>
        <w:spacing w:before="0" w:after="0"/>
        <w:ind w:left="0" w:right="0" w:firstLine="360"/>
        <w:jc w:val="center"/>
        <w:rPr>
          <w:bdr w:val="single" w:sz="12" w:space="1" w:color="000000"/>
        </w:rPr>
      </w:pPr>
      <w:r>
        <w:rPr>
          <w:bdr w:val="single" w:sz="12" w:space="1" w:color="000000"/>
        </w:rPr>
        <w:t>S-2</w:t>
      </w:r>
    </w:p>
    <w:p>
      <w:pPr>
        <w:pStyle w:val="TextBody"/>
        <w:bidi w:val="0"/>
        <w:spacing w:before="0" w:after="0"/>
        <w:ind w:left="0" w:right="0" w:hanging="0"/>
        <w:jc w:val="left"/>
        <w:rPr/>
      </w:pPr>
      <w:r>
        <w:rPr/>
        <w:t> </w:t>
      </w:r>
    </w:p>
    <w:p>
      <w:pPr>
        <w:pStyle w:val="TextBody"/>
        <w:shd w:fill="FFFFFF" w:val="clear"/>
        <w:bidi w:val="0"/>
        <w:spacing w:before="0" w:after="0"/>
        <w:ind w:left="0" w:right="0" w:firstLine="360"/>
        <w:jc w:val="both"/>
        <w:rPr>
          <w:caps w:val="false"/>
          <w:smallCaps w:val="false"/>
          <w:bdr w:val="single" w:sz="12" w:space="6" w:color="000000"/>
        </w:rPr>
      </w:pPr>
      <w:r>
        <w:rPr>
          <w:caps w:val="false"/>
          <w:smallCaps w:val="false"/>
          <w:bdr w:val="single" w:sz="12" w:space="6"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6" w:color="000000"/>
        </w:rPr>
      </w:pPr>
      <w:r>
        <w:rPr>
          <w:rFonts w:ascii="Times New Roman;Times;Serif" w:hAnsi="Times New Roman;Times;Serif"/>
          <w:b w:val="false"/>
          <w:i w:val="false"/>
          <w:caps w:val="false"/>
          <w:smallCaps w:val="false"/>
          <w:sz w:val="20"/>
          <w:bdr w:val="single" w:sz="12" w:space="6" w:color="000000"/>
        </w:rPr>
        <w:t>(3) the warrants to purchase shares of common stock of the Company initially issued to the Lenders on October 16, 2023 (as amended and restated, the “Third Amendment Conversion Warrants”);</w:t>
      </w:r>
    </w:p>
    <w:p>
      <w:pPr>
        <w:pStyle w:val="TextBody"/>
        <w:shd w:fill="FFFFFF" w:val="clear"/>
        <w:bidi w:val="0"/>
        <w:spacing w:before="0" w:after="0"/>
        <w:ind w:left="0" w:right="0" w:firstLine="360"/>
        <w:jc w:val="both"/>
        <w:rPr>
          <w:caps w:val="false"/>
          <w:smallCaps w:val="false"/>
          <w:bdr w:val="single" w:sz="12" w:space="6" w:color="000000"/>
        </w:rPr>
      </w:pPr>
      <w:r>
        <w:rPr>
          <w:caps w:val="false"/>
          <w:smallCaps w:val="false"/>
          <w:bdr w:val="single" w:sz="12" w:space="6"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6" w:color="000000"/>
        </w:rPr>
      </w:pPr>
      <w:r>
        <w:rPr>
          <w:rFonts w:ascii="Times New Roman;Times;Serif" w:hAnsi="Times New Roman;Times;Serif"/>
          <w:b w:val="false"/>
          <w:i w:val="false"/>
          <w:caps w:val="false"/>
          <w:smallCaps w:val="false"/>
          <w:sz w:val="20"/>
          <w:bdr w:val="single" w:sz="12" w:space="6" w:color="000000"/>
        </w:rPr>
        <w:t>(4) the warrants to purchase shares of common stock of the Company initially issued to the Lenders on January 30, 2024 (as amended and restated, the “Fifth Amendment Conversion Warrants”);</w:t>
      </w:r>
    </w:p>
    <w:p>
      <w:pPr>
        <w:pStyle w:val="TextBody"/>
        <w:shd w:fill="FFFFFF" w:val="clear"/>
        <w:bidi w:val="0"/>
        <w:spacing w:before="0" w:after="0"/>
        <w:ind w:left="0" w:right="0" w:firstLine="360"/>
        <w:jc w:val="both"/>
        <w:rPr>
          <w:caps w:val="false"/>
          <w:smallCaps w:val="false"/>
          <w:bdr w:val="single" w:sz="12" w:space="6" w:color="000000"/>
        </w:rPr>
      </w:pPr>
      <w:r>
        <w:rPr>
          <w:caps w:val="false"/>
          <w:smallCaps w:val="false"/>
          <w:bdr w:val="single" w:sz="12" w:space="6"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6" w:color="000000"/>
        </w:rPr>
      </w:pPr>
      <w:r>
        <w:rPr>
          <w:rFonts w:ascii="Times New Roman;Times;Serif" w:hAnsi="Times New Roman;Times;Serif"/>
          <w:b w:val="false"/>
          <w:i w:val="false"/>
          <w:caps w:val="false"/>
          <w:smallCaps w:val="false"/>
          <w:sz w:val="20"/>
          <w:bdr w:val="single" w:sz="12" w:space="6" w:color="000000"/>
        </w:rPr>
        <w:t>(5) the subordinated convertible notes issued on January 30, 2024 (the “January 2024 Notes”); and</w:t>
      </w:r>
    </w:p>
    <w:p>
      <w:pPr>
        <w:pStyle w:val="TextBody"/>
        <w:shd w:fill="FFFFFF" w:val="clear"/>
        <w:bidi w:val="0"/>
        <w:spacing w:before="0" w:after="0"/>
        <w:ind w:left="0" w:right="0" w:firstLine="360"/>
        <w:jc w:val="both"/>
        <w:rPr>
          <w:caps w:val="false"/>
          <w:smallCaps w:val="false"/>
          <w:bdr w:val="single" w:sz="12" w:space="6" w:color="000000"/>
        </w:rPr>
      </w:pPr>
      <w:r>
        <w:rPr>
          <w:caps w:val="false"/>
          <w:smallCaps w:val="false"/>
          <w:bdr w:val="single" w:sz="12" w:space="6"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6" w:color="000000"/>
        </w:rPr>
      </w:pPr>
      <w:r>
        <w:rPr>
          <w:rFonts w:ascii="Times New Roman;Times;Serif" w:hAnsi="Times New Roman;Times;Serif"/>
          <w:b w:val="false"/>
          <w:i w:val="false"/>
          <w:caps w:val="false"/>
          <w:smallCaps w:val="false"/>
          <w:sz w:val="20"/>
          <w:bdr w:val="single" w:sz="12" w:space="6" w:color="000000"/>
        </w:rPr>
        <w:t>(6) the securities purchase agreement, dated as of May 20, 2024, between the Company and the purchasers thereto (the “May 2024 Purchase Agreement”).</w:t>
      </w:r>
    </w:p>
    <w:p>
      <w:pPr>
        <w:pStyle w:val="TextBody"/>
        <w:shd w:fill="FFFFFF" w:val="clear"/>
        <w:bidi w:val="0"/>
        <w:spacing w:before="0" w:after="0"/>
        <w:ind w:left="0" w:right="0" w:hanging="0"/>
        <w:jc w:val="both"/>
        <w:rPr>
          <w:caps w:val="false"/>
          <w:smallCaps w:val="false"/>
          <w:bdr w:val="single" w:sz="12" w:space="6" w:color="000000"/>
        </w:rPr>
      </w:pPr>
      <w:r>
        <w:rPr>
          <w:caps w:val="false"/>
          <w:smallCaps w:val="false"/>
          <w:bdr w:val="single" w:sz="12" w:space="6" w:color="000000"/>
        </w:rPr>
        <w:t> </w:t>
      </w:r>
    </w:p>
    <w:p>
      <w:pPr>
        <w:pStyle w:val="TextBody"/>
        <w:bidi w:val="0"/>
        <w:ind w:left="0" w:right="0" w:firstLine="360"/>
        <w:jc w:val="both"/>
        <w:rPr>
          <w:rFonts w:ascii="Times New Roman;Times;Serif" w:hAnsi="Times New Roman;Times;Serif"/>
          <w:b w:val="false"/>
          <w:i w:val="false"/>
          <w:caps w:val="false"/>
          <w:smallCaps w:val="false"/>
          <w:sz w:val="20"/>
          <w:bdr w:val="single" w:sz="12" w:space="6" w:color="000000"/>
        </w:rPr>
      </w:pPr>
      <w:r>
        <w:rPr>
          <w:rFonts w:ascii="Times New Roman;Times;Serif" w:hAnsi="Times New Roman;Times;Serif"/>
          <w:b w:val="false"/>
          <w:i w:val="false"/>
          <w:caps w:val="false"/>
          <w:smallCaps w:val="false"/>
          <w:sz w:val="20"/>
          <w:bdr w:val="single" w:sz="12" w:space="6" w:color="000000"/>
        </w:rPr>
        <w:t>For illustrative purposes, assuming the above amendments, extensions and reinstatements are effective, if we were to undertake an offering in the future at a purchase price of $0.10 per share, we would be required to issue approximately 8.6 million additional shares to Presto CA under the CA Purchase Agreement, 16.8 million additional shares to the November 2023 purchasers under the November 2023 Purchase Agreements, approximately 15.9 million additional shares underlying the Third Amendment Conversion Warrants, approximately 6.0 million additional shares underlying the Fifth Amendment Conversion Warrants, approximately 25.7 million additional shares underlying the principal of the January 2024 Notes and approximately 4.4 million additional shares underlying the May 2024 Purchase Agreement.</w:t>
      </w:r>
    </w:p>
    <w:p>
      <w:pPr>
        <w:pStyle w:val="TextBody"/>
        <w:bidi w:val="0"/>
        <w:spacing w:before="0" w:after="0"/>
        <w:ind w:left="0" w:right="0" w:firstLine="360"/>
        <w:jc w:val="both"/>
        <w:rPr>
          <w:caps w:val="false"/>
          <w:smallCaps w:val="false"/>
          <w:bdr w:val="single" w:sz="12" w:space="6" w:color="000000"/>
        </w:rPr>
      </w:pPr>
      <w:r>
        <w:rPr>
          <w:caps w:val="false"/>
          <w:smallCaps w:val="false"/>
          <w:bdr w:val="single" w:sz="12" w:space="6" w:color="000000"/>
        </w:rPr>
        <w:t> </w:t>
      </w:r>
    </w:p>
    <w:p>
      <w:pPr>
        <w:pStyle w:val="TextBody"/>
        <w:bidi w:val="0"/>
        <w:spacing w:before="0" w:after="0"/>
        <w:jc w:val="center"/>
        <w:rPr>
          <w:rFonts w:ascii="Times New Roman;Times;Serif" w:hAnsi="Times New Roman;Times;Serif"/>
          <w:b/>
          <w:i w:val="false"/>
          <w:caps w:val="false"/>
          <w:smallCaps w:val="false"/>
          <w:sz w:val="20"/>
          <w:bdr w:val="single" w:sz="12" w:space="6" w:color="000000"/>
        </w:rPr>
      </w:pPr>
      <w:bookmarkStart w:id="6" w:name="s_004"/>
      <w:bookmarkEnd w:id="6"/>
      <w:r>
        <w:rPr>
          <w:rFonts w:ascii="Times New Roman;Times;Serif" w:hAnsi="Times New Roman;Times;Serif"/>
          <w:b/>
          <w:i w:val="false"/>
          <w:caps w:val="false"/>
          <w:smallCaps w:val="false"/>
          <w:sz w:val="20"/>
          <w:bdr w:val="single" w:sz="12" w:space="6" w:color="000000"/>
        </w:rPr>
        <w:t>Corporate Information</w:t>
      </w:r>
    </w:p>
    <w:p>
      <w:pPr>
        <w:pStyle w:val="TextBody"/>
        <w:bidi w:val="0"/>
        <w:spacing w:before="0" w:after="0"/>
        <w:ind w:left="0" w:right="0" w:firstLine="720"/>
        <w:jc w:val="both"/>
        <w:rPr>
          <w:caps w:val="false"/>
          <w:smallCaps w:val="false"/>
          <w:bdr w:val="single" w:sz="12" w:space="6" w:color="000000"/>
        </w:rPr>
      </w:pPr>
      <w:r>
        <w:rPr>
          <w:caps w:val="false"/>
          <w:smallCaps w:val="false"/>
          <w:bdr w:val="single" w:sz="12" w:space="6"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6" w:color="000000"/>
        </w:rPr>
      </w:pPr>
      <w:r>
        <w:rPr>
          <w:rFonts w:ascii="Times New Roman;Times;Serif" w:hAnsi="Times New Roman;Times;Serif"/>
          <w:b w:val="false"/>
          <w:i w:val="false"/>
          <w:caps w:val="false"/>
          <w:smallCaps w:val="false"/>
          <w:sz w:val="20"/>
          <w:bdr w:val="single" w:sz="12" w:space="6" w:color="000000"/>
        </w:rPr>
        <w:t>Our principal executive office is located at 985 Industrial Road, San Carlos, CA 94070. Our telephone number is (650) 817-9012. Our website address is www.presto.com. Information on or connected to our website is not a part of or incorporated by reference into this prospectus supplement.</w:t>
      </w:r>
    </w:p>
    <w:p>
      <w:pPr>
        <w:pStyle w:val="TextBody"/>
        <w:bidi w:val="0"/>
        <w:spacing w:before="0" w:after="0"/>
        <w:ind w:left="0" w:right="0" w:hanging="0"/>
        <w:jc w:val="left"/>
        <w:rPr>
          <w:caps w:val="false"/>
          <w:smallCaps w:val="false"/>
          <w:bdr w:val="single" w:sz="12" w:space="6" w:color="000000"/>
        </w:rPr>
      </w:pPr>
      <w:r>
        <w:rPr>
          <w:caps w:val="false"/>
          <w:smallCaps w:val="false"/>
          <w:bdr w:val="single" w:sz="12" w:space="6" w:color="000000"/>
        </w:rPr>
        <w:t> </w:t>
      </w:r>
    </w:p>
    <w:p>
      <w:pPr>
        <w:pStyle w:val="TextBody"/>
        <w:bidi w:val="0"/>
        <w:spacing w:before="0" w:after="0"/>
        <w:ind w:left="0" w:right="0" w:hanging="0"/>
        <w:jc w:val="center"/>
        <w:rPr>
          <w:bdr w:val="single" w:sz="12" w:space="1" w:color="000000"/>
        </w:rPr>
      </w:pPr>
      <w:r>
        <w:rPr>
          <w:bdr w:val="single" w:sz="12" w:space="1" w:color="000000"/>
        </w:rPr>
        <w:t>S-3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bdr w:val="single" w:sz="12" w:space="6" w:color="000000"/>
        </w:rPr>
      </w:pPr>
      <w:r>
        <w:rPr>
          <w:caps w:val="false"/>
          <w:smallCaps w:val="false"/>
          <w:bdr w:val="single" w:sz="12" w:space="6" w:color="000000"/>
        </w:rPr>
        <w:t> </w:t>
      </w:r>
    </w:p>
    <w:p>
      <w:pPr>
        <w:pStyle w:val="TextBody"/>
        <w:bidi w:val="0"/>
        <w:spacing w:before="0" w:after="0"/>
        <w:ind w:left="0" w:right="0" w:hanging="0"/>
        <w:jc w:val="center"/>
        <w:rPr>
          <w:rFonts w:ascii="Times New Roman;Times;Serif" w:hAnsi="Times New Roman;Times;Serif"/>
          <w:b/>
          <w:i w:val="false"/>
          <w:caps w:val="false"/>
          <w:smallCaps w:val="false"/>
          <w:sz w:val="20"/>
          <w:bdr w:val="single" w:sz="12" w:space="6" w:color="000000"/>
        </w:rPr>
      </w:pPr>
      <w:r>
        <w:rPr>
          <w:rFonts w:ascii="Times New Roman;Times;Serif" w:hAnsi="Times New Roman;Times;Serif"/>
          <w:b/>
          <w:i w:val="false"/>
          <w:caps w:val="false"/>
          <w:smallCaps w:val="false"/>
          <w:sz w:val="20"/>
          <w:bdr w:val="single" w:sz="12" w:space="6" w:color="000000"/>
        </w:rPr>
        <w:t>THE OFFERING</w:t>
      </w:r>
    </w:p>
    <w:p>
      <w:pPr>
        <w:pStyle w:val="TextBody"/>
        <w:bidi w:val="0"/>
        <w:spacing w:before="0" w:after="0"/>
        <w:ind w:left="0" w:right="0" w:firstLine="720"/>
        <w:jc w:val="both"/>
        <w:rPr>
          <w:caps w:val="false"/>
          <w:smallCaps w:val="false"/>
          <w:bdr w:val="single" w:sz="12" w:space="6" w:color="000000"/>
        </w:rPr>
      </w:pPr>
      <w:r>
        <w:rPr>
          <w:caps w:val="false"/>
          <w:smallCaps w:val="false"/>
          <w:bdr w:val="single" w:sz="12" w:space="6" w:color="000000"/>
        </w:rPr>
        <w:t> </w:t>
      </w:r>
    </w:p>
    <w:tbl>
      <w:tblPr>
        <w:tblW w:w="10205" w:type="dxa"/>
        <w:jc w:val="left"/>
        <w:tblInd w:w="0" w:type="dxa"/>
        <w:tblLayout w:type="fixed"/>
        <w:tblCellMar>
          <w:top w:w="0" w:type="dxa"/>
          <w:left w:w="0" w:type="dxa"/>
          <w:bottom w:w="0" w:type="dxa"/>
          <w:right w:w="0" w:type="dxa"/>
        </w:tblCellMar>
      </w:tblPr>
      <w:tblGrid>
        <w:gridCol w:w="1453"/>
        <w:gridCol w:w="8752"/>
      </w:tblGrid>
      <w:tr>
        <w:trPr/>
        <w:tc>
          <w:tcPr>
            <w:tcW w:w="145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Common stock offered by us</w:t>
            </w:r>
          </w:p>
        </w:tc>
        <w:tc>
          <w:tcPr>
            <w:tcW w:w="875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Up to $5.0 million of shares of common stock.</w:t>
            </w:r>
          </w:p>
        </w:tc>
      </w:tr>
      <w:tr>
        <w:trPr/>
        <w:tc>
          <w:tcPr>
            <w:tcW w:w="1453" w:type="dxa"/>
            <w:tcBorders/>
            <w:vAlign w:val="center"/>
          </w:tcPr>
          <w:p>
            <w:pPr>
              <w:pStyle w:val="TableContents"/>
              <w:bidi w:val="0"/>
              <w:spacing w:before="0" w:after="283"/>
              <w:jc w:val="left"/>
              <w:rPr/>
            </w:pPr>
            <w:r>
              <w:rPr/>
              <w:t> </w:t>
            </w:r>
          </w:p>
        </w:tc>
        <w:tc>
          <w:tcPr>
            <w:tcW w:w="8752" w:type="dxa"/>
            <w:tcBorders/>
            <w:vAlign w:val="center"/>
          </w:tcPr>
          <w:p>
            <w:pPr>
              <w:pStyle w:val="TableContents"/>
              <w:bidi w:val="0"/>
              <w:spacing w:before="0" w:after="283"/>
              <w:jc w:val="both"/>
              <w:rPr/>
            </w:pPr>
            <w:r>
              <w:rPr/>
              <w:t> </w:t>
            </w:r>
          </w:p>
        </w:tc>
      </w:tr>
      <w:tr>
        <w:trPr/>
        <w:tc>
          <w:tcPr>
            <w:tcW w:w="145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Common stock outstanding after this Offering</w:t>
            </w:r>
          </w:p>
        </w:tc>
        <w:tc>
          <w:tcPr>
            <w:tcW w:w="875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134,226,924 shares of common stock, which assumes the sale of shares our common stock at a price of $0.15 per share, which was the closing price of our common stock, for the up to $5,000,000 of shares of our common stock we may sell to Triton from time to time. The actual sale price will likely be lower. The actual number of shares of our common stock issued will vary depending on the sales prices under this Offering.</w:t>
            </w:r>
          </w:p>
        </w:tc>
      </w:tr>
      <w:tr>
        <w:trPr/>
        <w:tc>
          <w:tcPr>
            <w:tcW w:w="1453" w:type="dxa"/>
            <w:tcBorders/>
            <w:vAlign w:val="center"/>
          </w:tcPr>
          <w:p>
            <w:pPr>
              <w:pStyle w:val="TableContents"/>
              <w:bidi w:val="0"/>
              <w:spacing w:before="0" w:after="283"/>
              <w:jc w:val="left"/>
              <w:rPr/>
            </w:pPr>
            <w:r>
              <w:rPr/>
              <w:t> </w:t>
            </w:r>
          </w:p>
        </w:tc>
        <w:tc>
          <w:tcPr>
            <w:tcW w:w="8752" w:type="dxa"/>
            <w:tcBorders/>
            <w:vAlign w:val="center"/>
          </w:tcPr>
          <w:p>
            <w:pPr>
              <w:pStyle w:val="TableContents"/>
              <w:bidi w:val="0"/>
              <w:spacing w:before="0" w:after="283"/>
              <w:jc w:val="both"/>
              <w:rPr/>
            </w:pPr>
            <w:r>
              <w:rPr/>
              <w:t> </w:t>
            </w:r>
          </w:p>
        </w:tc>
      </w:tr>
      <w:tr>
        <w:trPr/>
        <w:tc>
          <w:tcPr>
            <w:tcW w:w="145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Commitment Shares</w:t>
            </w:r>
          </w:p>
        </w:tc>
        <w:tc>
          <w:tcPr>
            <w:tcW w:w="8752" w:type="dxa"/>
            <w:tcBorders/>
            <w:vAlign w:val="center"/>
          </w:tcPr>
          <w:p>
            <w:pPr>
              <w:pStyle w:val="TableContents"/>
              <w:bidi w:val="0"/>
              <w:spacing w:before="0" w:after="283"/>
              <w:jc w:val="both"/>
              <w:rPr>
                <w:rFonts w:ascii="Times New Roman;Times;Serif" w:hAnsi="Times New Roman;Times;Serif"/>
                <w:shd w:fill="FFFFFF" w:val="clear"/>
              </w:rPr>
            </w:pPr>
            <w:r>
              <w:rPr>
                <w:rFonts w:ascii="Times New Roman;Times;Serif" w:hAnsi="Times New Roman;Times;Serif"/>
                <w:shd w:fill="FFFFFF" w:val="clear"/>
              </w:rPr>
              <w:t xml:space="preserve">Each sale we request under the CSPA (a “Purchase Notice”) may be for a number of shares of our common stock that does not exceed 9.9% of our outstanding shares, which 9.9% amount is currently 9,988,465 shares as of the date of the CSPA (the “Commitment Shares”).  Triton has committed to purchase the Commitment Shares at the lowest of (i) the official closing price of our common stock on the Nasdaq Stock Market on the trading day immediately preceding our submission of a Purchase Notice to Triton, (ii) the average official closing price of our common stock on the Nasdaq Stock Market for the five consecutive trading days ending on the business day immediately preceding our submission of a Purchase Notice to Triton, and (iii) 75% of the lowest traded price of the common stock five days prior to the closing date for that tranche of shares.  The price in (i) and (ii) is referred to as the “Minimum Price” and the price in (i), (ii) and (iii) is referred to as the Purchase Price. </w:t>
            </w:r>
          </w:p>
        </w:tc>
      </w:tr>
      <w:tr>
        <w:trPr/>
        <w:tc>
          <w:tcPr>
            <w:tcW w:w="1453" w:type="dxa"/>
            <w:tcBorders/>
            <w:vAlign w:val="center"/>
          </w:tcPr>
          <w:p>
            <w:pPr>
              <w:pStyle w:val="TableContents"/>
              <w:bidi w:val="0"/>
              <w:spacing w:before="0" w:after="283"/>
              <w:jc w:val="left"/>
              <w:rPr/>
            </w:pPr>
            <w:r>
              <w:rPr/>
              <w:t> </w:t>
            </w:r>
          </w:p>
        </w:tc>
        <w:tc>
          <w:tcPr>
            <w:tcW w:w="8752" w:type="dxa"/>
            <w:tcBorders/>
            <w:vAlign w:val="center"/>
          </w:tcPr>
          <w:p>
            <w:pPr>
              <w:pStyle w:val="TableContents"/>
              <w:bidi w:val="0"/>
              <w:spacing w:before="0" w:after="283"/>
              <w:jc w:val="both"/>
              <w:rPr/>
            </w:pPr>
            <w:r>
              <w:rPr/>
              <w:t> </w:t>
            </w:r>
          </w:p>
        </w:tc>
      </w:tr>
      <w:tr>
        <w:trPr/>
        <w:tc>
          <w:tcPr>
            <w:tcW w:w="145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Backstop Shares</w:t>
            </w:r>
          </w:p>
        </w:tc>
        <w:tc>
          <w:tcPr>
            <w:tcW w:w="875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 xml:space="preserve">Triton has committed to purchase a number of additional shares such that the total proceeds to be received by us on or before June 7, 2024 pursuant to the </w:t>
            </w:r>
            <w:r>
              <w:rPr>
                <w:rFonts w:ascii="Times New Roman;Times;Serif" w:hAnsi="Times New Roman;Times;Serif"/>
                <w:shd w:fill="FFFFFF" w:val="clear"/>
              </w:rPr>
              <w:t>CSPA will</w:t>
            </w:r>
            <w:r>
              <w:rPr>
                <w:rFonts w:ascii="Times New Roman;Times;Serif" w:hAnsi="Times New Roman;Times;Serif"/>
              </w:rPr>
              <w:t xml:space="preserve"> exceed $3,000,000, including those shares that are the subject of the Purchase Notices (such shares, the “Backstop Shares”). </w:t>
            </w:r>
            <w:r>
              <w:rPr>
                <w:rFonts w:ascii="Times New Roman;Times;Serif" w:hAnsi="Times New Roman;Times;Serif"/>
                <w:shd w:fill="FFFFFF" w:val="clear"/>
              </w:rPr>
              <w:t xml:space="preserve">The Backstop Shares will be purchased at </w:t>
            </w:r>
            <w:r>
              <w:rPr>
                <w:rFonts w:ascii="Times New Roman;Times;Serif" w:hAnsi="Times New Roman;Times;Serif"/>
              </w:rPr>
              <w:t xml:space="preserve">(x) the Purchase Price, if relief provided by Nasdaq Rule 5635(f) (the “Financial Viability Relief”) has been sought and granted to us and such relief permits the receipt of proceeds from the sale of common stock on or before June 7, 2024, or (y) the Minimum Price, if the Financial Viability Relief has not been sought or granted or cannot generate such proceeds on or before June 7, 2024.  Triton’s obligation with respect to purchasing the Backstop Shares is conditioned on (i) us having timely delivered a first Purchase Notice for 9.9% of our outstanding shares within one business day of the execution of the </w:t>
            </w:r>
            <w:r>
              <w:rPr>
                <w:rFonts w:ascii="Times New Roman;Times;Serif" w:hAnsi="Times New Roman;Times;Serif"/>
                <w:shd w:fill="FFFFFF" w:val="clear"/>
              </w:rPr>
              <w:t>CSPA</w:t>
            </w:r>
            <w:r>
              <w:rPr>
                <w:rFonts w:ascii="Times New Roman;Times;Serif" w:hAnsi="Times New Roman;Times;Serif"/>
              </w:rPr>
              <w:t>, and (ii) us having timely delivered a second Purchase Notice for 9.9% of our outstanding shares to Triton within one business day after the closing related to such first Purchase Notice unless Triton has failed to comply with its obligation in which case we are not obligated to deliver such second Purchase Notice</w:t>
            </w:r>
            <w:r>
              <w:rPr>
                <w:rFonts w:ascii="Times New Roman;Times;Serif" w:hAnsi="Times New Roman;Times;Serif"/>
                <w:shd w:fill="FFFFFF" w:val="clear"/>
              </w:rPr>
              <w:t>.</w:t>
            </w:r>
          </w:p>
        </w:tc>
      </w:tr>
      <w:tr>
        <w:trPr/>
        <w:tc>
          <w:tcPr>
            <w:tcW w:w="1453" w:type="dxa"/>
            <w:tcBorders/>
            <w:vAlign w:val="center"/>
          </w:tcPr>
          <w:p>
            <w:pPr>
              <w:pStyle w:val="TableContents"/>
              <w:bidi w:val="0"/>
              <w:spacing w:before="0" w:after="283"/>
              <w:jc w:val="left"/>
              <w:rPr/>
            </w:pPr>
            <w:r>
              <w:rPr/>
              <w:t> </w:t>
            </w:r>
          </w:p>
        </w:tc>
        <w:tc>
          <w:tcPr>
            <w:tcW w:w="8752" w:type="dxa"/>
            <w:tcBorders/>
            <w:vAlign w:val="center"/>
          </w:tcPr>
          <w:p>
            <w:pPr>
              <w:pStyle w:val="TableContents"/>
              <w:bidi w:val="0"/>
              <w:spacing w:before="0" w:after="283"/>
              <w:jc w:val="both"/>
              <w:rPr/>
            </w:pPr>
            <w:r>
              <w:rPr/>
              <w:t> </w:t>
            </w:r>
          </w:p>
        </w:tc>
      </w:tr>
      <w:tr>
        <w:trPr/>
        <w:tc>
          <w:tcPr>
            <w:tcW w:w="145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Use of proceeds</w:t>
            </w:r>
          </w:p>
        </w:tc>
        <w:tc>
          <w:tcPr>
            <w:tcW w:w="875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We intend to use the net proceeds from this Offering for working capital and general corporate purposes.  See “Use of Proceeds.”</w:t>
            </w:r>
          </w:p>
        </w:tc>
      </w:tr>
      <w:tr>
        <w:trPr/>
        <w:tc>
          <w:tcPr>
            <w:tcW w:w="1453" w:type="dxa"/>
            <w:tcBorders/>
            <w:vAlign w:val="center"/>
          </w:tcPr>
          <w:p>
            <w:pPr>
              <w:pStyle w:val="TableContents"/>
              <w:bidi w:val="0"/>
              <w:spacing w:before="0" w:after="283"/>
              <w:jc w:val="left"/>
              <w:rPr/>
            </w:pPr>
            <w:r>
              <w:rPr/>
              <w:t> </w:t>
            </w:r>
          </w:p>
        </w:tc>
        <w:tc>
          <w:tcPr>
            <w:tcW w:w="8752" w:type="dxa"/>
            <w:tcBorders/>
            <w:vAlign w:val="center"/>
          </w:tcPr>
          <w:p>
            <w:pPr>
              <w:pStyle w:val="TableContents"/>
              <w:bidi w:val="0"/>
              <w:spacing w:before="0" w:after="283"/>
              <w:jc w:val="both"/>
              <w:rPr/>
            </w:pPr>
            <w:r>
              <w:rPr/>
              <w:t> </w:t>
            </w:r>
          </w:p>
        </w:tc>
      </w:tr>
      <w:tr>
        <w:trPr/>
        <w:tc>
          <w:tcPr>
            <w:tcW w:w="145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Listing</w:t>
            </w:r>
          </w:p>
        </w:tc>
        <w:tc>
          <w:tcPr>
            <w:tcW w:w="875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Our common stock is listed on Nasdaq under the trading symbol “PRST.”</w:t>
            </w:r>
          </w:p>
        </w:tc>
      </w:tr>
      <w:tr>
        <w:trPr/>
        <w:tc>
          <w:tcPr>
            <w:tcW w:w="1453" w:type="dxa"/>
            <w:tcBorders/>
            <w:vAlign w:val="center"/>
          </w:tcPr>
          <w:p>
            <w:pPr>
              <w:pStyle w:val="TableContents"/>
              <w:bidi w:val="0"/>
              <w:spacing w:before="0" w:after="283"/>
              <w:jc w:val="left"/>
              <w:rPr/>
            </w:pPr>
            <w:r>
              <w:rPr/>
              <w:t> </w:t>
            </w:r>
          </w:p>
        </w:tc>
        <w:tc>
          <w:tcPr>
            <w:tcW w:w="8752" w:type="dxa"/>
            <w:tcBorders/>
            <w:vAlign w:val="center"/>
          </w:tcPr>
          <w:p>
            <w:pPr>
              <w:pStyle w:val="TableContents"/>
              <w:bidi w:val="0"/>
              <w:spacing w:before="0" w:after="283"/>
              <w:jc w:val="both"/>
              <w:rPr/>
            </w:pPr>
            <w:r>
              <w:rPr/>
              <w:t> </w:t>
            </w:r>
          </w:p>
        </w:tc>
      </w:tr>
      <w:tr>
        <w:trPr/>
        <w:tc>
          <w:tcPr>
            <w:tcW w:w="145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Anti-dilution issuance</w:t>
            </w:r>
          </w:p>
        </w:tc>
        <w:tc>
          <w:tcPr>
            <w:tcW w:w="875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If the Purchase Price of our common stock in this Offering is less than $0.14 per share, the Offering will trigger anti-dilution adjustment provisions in our existing agreements.  See “Summary — Potential Anti-Dilution Impact of this Offering.” See the information below for the number of shares issued or issuable.</w:t>
            </w:r>
          </w:p>
        </w:tc>
      </w:tr>
    </w:tbl>
    <w:p>
      <w:pPr>
        <w:pStyle w:val="TextBody"/>
        <w:bidi w:val="0"/>
        <w:jc w:val="left"/>
        <w:rPr>
          <w:bdr w:val="single" w:sz="12" w:space="6" w:color="000000"/>
        </w:rPr>
      </w:pPr>
      <w:r>
        <w:rPr>
          <w:bdr w:val="single" w:sz="12" w:space="6" w:color="000000"/>
        </w:rPr>
        <w:t> </w:t>
      </w:r>
    </w:p>
    <w:p>
      <w:pPr>
        <w:pStyle w:val="TextBody"/>
        <w:bidi w:val="0"/>
        <w:spacing w:before="0" w:after="0"/>
        <w:jc w:val="center"/>
        <w:rPr>
          <w:bdr w:val="single" w:sz="12" w:space="1" w:color="000000"/>
        </w:rPr>
      </w:pPr>
      <w:r>
        <w:rPr>
          <w:bdr w:val="single" w:sz="12" w:space="1" w:color="000000"/>
        </w:rPr>
        <w:t>S-4</w:t>
      </w:r>
    </w:p>
    <w:p>
      <w:pPr>
        <w:pStyle w:val="TextBody"/>
        <w:bidi w:val="0"/>
        <w:spacing w:before="0" w:after="0"/>
        <w:ind w:left="0" w:right="0" w:hanging="0"/>
        <w:jc w:val="left"/>
        <w:rPr/>
      </w:pPr>
      <w:r>
        <w:rPr/>
        <w:t> </w:t>
      </w:r>
    </w:p>
    <w:p>
      <w:pPr>
        <w:pStyle w:val="TextBody"/>
        <w:bidi w:val="0"/>
        <w:jc w:val="left"/>
        <w:rPr>
          <w:bdr w:val="single" w:sz="12" w:space="6" w:color="000000"/>
        </w:rPr>
      </w:pPr>
      <w:r>
        <w:rPr>
          <w:bdr w:val="single" w:sz="12" w:space="6" w:color="000000"/>
        </w:rPr>
        <w:t> </w:t>
      </w:r>
    </w:p>
    <w:tbl>
      <w:tblPr>
        <w:tblW w:w="10205" w:type="dxa"/>
        <w:jc w:val="left"/>
        <w:tblInd w:w="0" w:type="dxa"/>
        <w:tblLayout w:type="fixed"/>
        <w:tblCellMar>
          <w:top w:w="0" w:type="dxa"/>
          <w:left w:w="0" w:type="dxa"/>
          <w:bottom w:w="0" w:type="dxa"/>
          <w:right w:w="0" w:type="dxa"/>
        </w:tblCellMar>
      </w:tblPr>
      <w:tblGrid>
        <w:gridCol w:w="780"/>
        <w:gridCol w:w="9425"/>
      </w:tblGrid>
      <w:tr>
        <w:trPr/>
        <w:tc>
          <w:tcPr>
            <w:tcW w:w="78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Risk factors</w:t>
            </w:r>
          </w:p>
        </w:tc>
        <w:tc>
          <w:tcPr>
            <w:tcW w:w="9425"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Investing in our common stock involves a high degree of risk. In particular, you should note that we must raise $3.0 million before June 7, 2024 and a further $32.0 million before July 15, 2024 in order to avoid a default under our existing credit agreement and the likely exercise of remedies by our senior secured lender. We cannot give you any assurance that will be successful in raising these funds and, if we fail to do so, you will lose your investment.</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read the section titled “Risk Factors,” and the other information included, or incorporated by reference, in this prospectus supplement for a discussion of some of the risks and uncertainties you should carefully consider before deciding to invest in our common stock.</w:t>
            </w:r>
          </w:p>
        </w:tc>
      </w:tr>
    </w:tbl>
    <w:p>
      <w:pPr>
        <w:pStyle w:val="TextBody"/>
        <w:bidi w:val="0"/>
        <w:spacing w:before="0" w:after="0"/>
        <w:ind w:left="0" w:right="0" w:hanging="0"/>
        <w:jc w:val="left"/>
        <w:rPr>
          <w:caps w:val="false"/>
          <w:smallCaps w:val="false"/>
          <w:bdr w:val="single" w:sz="12" w:space="6" w:color="000000"/>
        </w:rPr>
      </w:pPr>
      <w:r>
        <w:rPr>
          <w:caps w:val="false"/>
          <w:smallCaps w:val="false"/>
          <w:bdr w:val="single" w:sz="12" w:space="6"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6" w:color="000000"/>
        </w:rPr>
      </w:pPr>
      <w:r>
        <w:rPr>
          <w:rFonts w:ascii="Times New Roman;Times;Serif" w:hAnsi="Times New Roman;Times;Serif"/>
          <w:b w:val="false"/>
          <w:i w:val="false"/>
          <w:caps w:val="false"/>
          <w:smallCaps w:val="false"/>
          <w:sz w:val="20"/>
          <w:bdr w:val="single" w:sz="12" w:space="6" w:color="000000"/>
        </w:rPr>
        <w:t>Unless otherwise indicated, all information in this prospectus relating to the number of shares of our common stock outstanding is based on 100,893,591 shares of common stock outstanding as of May 24, 2024 and does not include:</w:t>
      </w:r>
    </w:p>
    <w:p>
      <w:pPr>
        <w:pStyle w:val="TextBody"/>
        <w:bidi w:val="0"/>
        <w:spacing w:before="0" w:after="0"/>
        <w:ind w:left="1440" w:right="0" w:hanging="720"/>
        <w:jc w:val="both"/>
        <w:rPr>
          <w:caps w:val="false"/>
          <w:smallCaps w:val="false"/>
          <w:bdr w:val="single" w:sz="12" w:space="6" w:color="000000"/>
        </w:rPr>
      </w:pPr>
      <w:r>
        <w:rPr>
          <w:caps w:val="false"/>
          <w:smallCaps w:val="false"/>
          <w:bdr w:val="single" w:sz="12" w:space="6"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approximately 5.0 million shares of common stock pending issuance pursuant to the May 2024 Purchase Agreement;</w:t>
            </w:r>
          </w:p>
        </w:tc>
      </w:tr>
    </w:tbl>
    <w:p>
      <w:pPr>
        <w:pStyle w:val="TextBody"/>
        <w:bidi w:val="0"/>
        <w:spacing w:before="0" w:after="0"/>
        <w:ind w:left="1440" w:right="0" w:hanging="720"/>
        <w:jc w:val="both"/>
        <w:rPr>
          <w:caps w:val="false"/>
          <w:smallCaps w:val="false"/>
          <w:bdr w:val="single" w:sz="12" w:space="6" w:color="000000"/>
        </w:rPr>
      </w:pPr>
      <w:r>
        <w:rPr>
          <w:caps w:val="false"/>
          <w:smallCaps w:val="false"/>
          <w:bdr w:val="single" w:sz="12" w:space="6"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shares of common stock issuable upon the exercise of certain outstanding warrants outstanding as of May 20, 2024 as follows:</w:t>
            </w:r>
          </w:p>
        </w:tc>
      </w:tr>
    </w:tbl>
    <w:p>
      <w:pPr>
        <w:pStyle w:val="TextBody"/>
        <w:bidi w:val="0"/>
        <w:spacing w:before="0" w:after="0"/>
        <w:ind w:left="1440" w:right="0" w:hanging="720"/>
        <w:jc w:val="both"/>
        <w:rPr>
          <w:caps w:val="false"/>
          <w:smallCaps w:val="false"/>
          <w:bdr w:val="single" w:sz="12" w:space="6" w:color="000000"/>
        </w:rPr>
      </w:pPr>
      <w:r>
        <w:rPr>
          <w:caps w:val="false"/>
          <w:smallCaps w:val="false"/>
          <w:bdr w:val="single" w:sz="12" w:space="6" w:color="000000"/>
        </w:rPr>
        <w:t> </w:t>
      </w:r>
    </w:p>
    <w:tbl>
      <w:tblPr>
        <w:tblW w:w="4585" w:type="dxa"/>
        <w:jc w:val="left"/>
        <w:tblInd w:w="0" w:type="dxa"/>
        <w:tblLayout w:type="fixed"/>
        <w:tblCellMar>
          <w:top w:w="0" w:type="dxa"/>
          <w:left w:w="0" w:type="dxa"/>
          <w:bottom w:w="28" w:type="dxa"/>
          <w:right w:w="0" w:type="dxa"/>
        </w:tblCellMar>
      </w:tblPr>
      <w:tblGrid>
        <w:gridCol w:w="2990"/>
        <w:gridCol w:w="60"/>
        <w:gridCol w:w="292"/>
        <w:gridCol w:w="1168"/>
        <w:gridCol w:w="75"/>
      </w:tblGrid>
      <w:tr>
        <w:trPr/>
        <w:tc>
          <w:tcPr>
            <w:tcW w:w="2990" w:type="dxa"/>
            <w:tcBorders>
              <w:bottom w:val="single" w:sz="12" w:space="0" w:color="000000"/>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Shares Underlying Warrants</w:t>
            </w:r>
          </w:p>
        </w:tc>
        <w:tc>
          <w:tcPr>
            <w:tcW w:w="60" w:type="dxa"/>
            <w:tcBorders/>
            <w:tcMar>
              <w:bottom w:w="0" w:type="dxa"/>
            </w:tcMar>
            <w:vAlign w:val="center"/>
          </w:tcPr>
          <w:p>
            <w:pPr>
              <w:pStyle w:val="TableContents"/>
              <w:bidi w:val="0"/>
              <w:spacing w:before="0" w:after="283"/>
              <w:jc w:val="left"/>
              <w:rPr/>
            </w:pPr>
            <w:r>
              <w:rPr/>
              <w:t> </w:t>
            </w:r>
          </w:p>
        </w:tc>
        <w:tc>
          <w:tcPr>
            <w:tcW w:w="1460"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Exercise Price</w:t>
            </w:r>
          </w:p>
        </w:tc>
        <w:tc>
          <w:tcPr>
            <w:tcW w:w="75" w:type="dxa"/>
            <w:tcBorders/>
            <w:tcMar>
              <w:bottom w:w="0" w:type="dxa"/>
            </w:tcMar>
            <w:vAlign w:val="center"/>
          </w:tcPr>
          <w:p>
            <w:pPr>
              <w:pStyle w:val="TableContents"/>
              <w:bidi w:val="0"/>
              <w:spacing w:before="0" w:after="283"/>
              <w:jc w:val="left"/>
              <w:rPr/>
            </w:pPr>
            <w:r>
              <w:rPr/>
              <w:t> </w:t>
            </w:r>
          </w:p>
        </w:tc>
      </w:tr>
      <w:tr>
        <w:trPr/>
        <w:tc>
          <w:tcPr>
            <w:tcW w:w="299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35,847,239</w:t>
            </w:r>
          </w:p>
        </w:tc>
        <w:tc>
          <w:tcPr>
            <w:tcW w:w="60" w:type="dxa"/>
            <w:tcBorders/>
            <w:shd w:fill="CCEEFF" w:val="clear"/>
            <w:tcMar>
              <w:bottom w:w="0" w:type="dxa"/>
            </w:tcMar>
            <w:vAlign w:val="center"/>
          </w:tcPr>
          <w:p>
            <w:pPr>
              <w:pStyle w:val="TableContents"/>
              <w:bidi w:val="0"/>
              <w:spacing w:before="0" w:after="283"/>
              <w:jc w:val="left"/>
              <w:rPr/>
            </w:pPr>
            <w:r>
              <w:rPr/>
              <w:t> </w:t>
            </w:r>
          </w:p>
        </w:tc>
        <w:tc>
          <w:tcPr>
            <w:tcW w:w="292"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68"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0.01</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99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639,026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292"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68"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0.37</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99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294,725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292"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68"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6.53</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99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71,101</w:t>
            </w:r>
          </w:p>
        </w:tc>
        <w:tc>
          <w:tcPr>
            <w:tcW w:w="60" w:type="dxa"/>
            <w:tcBorders/>
            <w:shd w:fill="FFFFFF" w:val="clear"/>
            <w:tcMar>
              <w:bottom w:w="0" w:type="dxa"/>
            </w:tcMar>
            <w:vAlign w:val="center"/>
          </w:tcPr>
          <w:p>
            <w:pPr>
              <w:pStyle w:val="TableContents"/>
              <w:bidi w:val="0"/>
              <w:spacing w:before="0" w:after="283"/>
              <w:jc w:val="left"/>
              <w:rPr/>
            </w:pPr>
            <w:r>
              <w:rPr/>
              <w:t> </w:t>
            </w:r>
          </w:p>
        </w:tc>
        <w:tc>
          <w:tcPr>
            <w:tcW w:w="292"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68"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7.80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99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584,648</w:t>
            </w:r>
          </w:p>
        </w:tc>
        <w:tc>
          <w:tcPr>
            <w:tcW w:w="60" w:type="dxa"/>
            <w:tcBorders/>
            <w:shd w:fill="CCEEFF" w:val="clear"/>
            <w:tcMar>
              <w:bottom w:w="0" w:type="dxa"/>
            </w:tcMar>
            <w:vAlign w:val="center"/>
          </w:tcPr>
          <w:p>
            <w:pPr>
              <w:pStyle w:val="TableContents"/>
              <w:bidi w:val="0"/>
              <w:spacing w:before="0" w:after="283"/>
              <w:jc w:val="left"/>
              <w:rPr/>
            </w:pPr>
            <w:r>
              <w:rPr/>
              <w:t> </w:t>
            </w:r>
          </w:p>
        </w:tc>
        <w:tc>
          <w:tcPr>
            <w:tcW w:w="292"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68"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8.16</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99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8,625,000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292"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68"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8.21</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99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170,993</w:t>
            </w:r>
          </w:p>
        </w:tc>
        <w:tc>
          <w:tcPr>
            <w:tcW w:w="60" w:type="dxa"/>
            <w:tcBorders/>
            <w:shd w:fill="CCEEFF" w:val="clear"/>
            <w:tcMar>
              <w:bottom w:w="0" w:type="dxa"/>
            </w:tcMar>
            <w:vAlign w:val="center"/>
          </w:tcPr>
          <w:p>
            <w:pPr>
              <w:pStyle w:val="TableContents"/>
              <w:bidi w:val="0"/>
              <w:spacing w:before="0" w:after="283"/>
              <w:jc w:val="left"/>
              <w:rPr/>
            </w:pPr>
            <w:r>
              <w:rPr/>
              <w:t> </w:t>
            </w:r>
          </w:p>
        </w:tc>
        <w:tc>
          <w:tcPr>
            <w:tcW w:w="292"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68"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9.25</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99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7,625,000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292"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68"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11.50</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bdr w:val="single" w:sz="12" w:space="6" w:color="000000"/>
        </w:rPr>
      </w:pPr>
      <w:r>
        <w:rPr>
          <w:caps w:val="false"/>
          <w:smallCaps w:val="false"/>
          <w:bdr w:val="single" w:sz="12" w:space="6"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3,284,075 shares of common stock underlying outstanding restricted stock units (“RSUs”) as of May 20, 2024 and 5,638,810 shares issuable upon the exercise of stock options outstanding as of May 20, 2024 previously granted under the Company’s equity incentive plans;</w:t>
            </w:r>
          </w:p>
        </w:tc>
      </w:tr>
    </w:tbl>
    <w:p>
      <w:pPr>
        <w:pStyle w:val="TextBody"/>
        <w:bidi w:val="0"/>
        <w:spacing w:before="0" w:after="0"/>
        <w:ind w:left="0" w:right="0" w:hanging="0"/>
        <w:jc w:val="left"/>
        <w:rPr>
          <w:caps w:val="false"/>
          <w:smallCaps w:val="false"/>
          <w:bdr w:val="single" w:sz="12" w:space="6" w:color="000000"/>
        </w:rPr>
      </w:pPr>
      <w:r>
        <w:rPr>
          <w:caps w:val="false"/>
          <w:smallCaps w:val="false"/>
          <w:bdr w:val="single" w:sz="12" w:space="6"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60,991,568 shares of common stock underlying warrants with an exercise price of $0.01 per share held by the Agent and the Lenders in connection with anti-dilution protections under the warrants that were triggered by the February 2024 Offering (as defined below), but that may only be issued following receipt of shareholder approval pursuant to Nasdaq Rule 5635(d);</w:t>
            </w:r>
          </w:p>
        </w:tc>
      </w:tr>
    </w:tbl>
    <w:p>
      <w:pPr>
        <w:pStyle w:val="TextBody"/>
        <w:bidi w:val="0"/>
        <w:spacing w:before="0" w:after="0"/>
        <w:ind w:left="1440" w:right="0" w:hanging="720"/>
        <w:jc w:val="both"/>
        <w:rPr>
          <w:caps w:val="false"/>
          <w:smallCaps w:val="false"/>
          <w:bdr w:val="single" w:sz="12" w:space="6" w:color="000000"/>
        </w:rPr>
      </w:pPr>
      <w:r>
        <w:rPr>
          <w:caps w:val="false"/>
          <w:smallCaps w:val="false"/>
          <w:bdr w:val="single" w:sz="12" w:space="6"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13,928,571 shares of common stock issuable to Presto CA pursuant to anti-dilution protections previously granted to Presto CA, an affiliate of our shareholder, Cleveland Avenue, but that may only be issued following receipt of shareholder approval pursuant to Nasdaq Listing Rule 5635(d);</w:t>
            </w:r>
          </w:p>
        </w:tc>
      </w:tr>
    </w:tbl>
    <w:p>
      <w:pPr>
        <w:pStyle w:val="TextBody"/>
        <w:bidi w:val="0"/>
        <w:spacing w:before="0" w:after="0"/>
        <w:ind w:left="1440" w:right="0" w:hanging="720"/>
        <w:jc w:val="both"/>
        <w:rPr>
          <w:caps w:val="false"/>
          <w:smallCaps w:val="false"/>
          <w:bdr w:val="single" w:sz="12" w:space="6" w:color="000000"/>
        </w:rPr>
      </w:pPr>
      <w:r>
        <w:rPr>
          <w:caps w:val="false"/>
          <w:smallCaps w:val="false"/>
          <w:bdr w:val="single" w:sz="12" w:space="6"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4,500,000 shares of common stock issuable to investors who participated in the Company’s registered direct offering dated November 17, 2023, but that may only be issued following receipt of shareholder approval pursuant to Nasdaq Listing Rule 5635(d); and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28,285,714 shares of common stock issuable to the January 2024 Noteholders pursuant to anti-adjustment provisions in the January 2024 Notes, but that may only be issued following receipt of shareholder approval pursuant to Nasdaq Listing Rule 5635(d).</w:t>
            </w:r>
          </w:p>
        </w:tc>
      </w:tr>
    </w:tbl>
    <w:p>
      <w:pPr>
        <w:pStyle w:val="TextBody"/>
        <w:bidi w:val="0"/>
        <w:spacing w:before="0" w:after="0"/>
        <w:ind w:left="0" w:right="0" w:hanging="0"/>
        <w:jc w:val="both"/>
        <w:rPr>
          <w:caps w:val="false"/>
          <w:smallCaps w:val="false"/>
          <w:bdr w:val="single" w:sz="12" w:space="6" w:color="000000"/>
        </w:rPr>
      </w:pPr>
      <w:r>
        <w:rPr>
          <w:caps w:val="false"/>
          <w:smallCaps w:val="false"/>
          <w:bdr w:val="single" w:sz="12" w:space="6"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6" w:color="000000"/>
        </w:rPr>
      </w:pPr>
      <w:r>
        <w:rPr>
          <w:rFonts w:ascii="Times New Roman;Times;Serif" w:hAnsi="Times New Roman;Times;Serif"/>
          <w:b w:val="false"/>
          <w:i w:val="false"/>
          <w:caps w:val="false"/>
          <w:smallCaps w:val="false"/>
          <w:sz w:val="20"/>
          <w:bdr w:val="single" w:sz="12" w:space="6" w:color="000000"/>
        </w:rPr>
        <w:t>Unless otherwise indicated, all information in this prospectus reflects or assumes no exercise, vesting or termination of options, RSUs or warrants outstanding as of May 20, 2024.</w:t>
      </w:r>
    </w:p>
    <w:p>
      <w:pPr>
        <w:pStyle w:val="TextBody"/>
        <w:bidi w:val="0"/>
        <w:spacing w:before="0" w:after="0"/>
        <w:ind w:left="0" w:right="0" w:hanging="0"/>
        <w:jc w:val="both"/>
        <w:rPr>
          <w:caps w:val="false"/>
          <w:smallCaps w:val="false"/>
          <w:bdr w:val="single" w:sz="12" w:space="6" w:color="000000"/>
        </w:rPr>
      </w:pPr>
      <w:r>
        <w:rPr>
          <w:caps w:val="false"/>
          <w:smallCaps w:val="false"/>
          <w:bdr w:val="single" w:sz="12" w:space="6" w:color="000000"/>
        </w:rPr>
        <w:t> </w:t>
      </w:r>
    </w:p>
    <w:p>
      <w:pPr>
        <w:pStyle w:val="TextBody"/>
        <w:bidi w:val="0"/>
        <w:spacing w:before="0" w:after="0"/>
        <w:ind w:left="0" w:right="0" w:hanging="0"/>
        <w:jc w:val="center"/>
        <w:rPr>
          <w:bdr w:val="single" w:sz="12" w:space="1" w:color="000000"/>
        </w:rPr>
      </w:pPr>
      <w:r>
        <w:rPr>
          <w:bdr w:val="single" w:sz="12" w:space="1" w:color="000000"/>
        </w:rPr>
        <w:t>S-5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7" w:name="s_005"/>
      <w:bookmarkEnd w:id="7"/>
      <w:r>
        <w:rPr>
          <w:rFonts w:ascii="Times New Roman;Times;Serif" w:hAnsi="Times New Roman;Times;Serif"/>
          <w:b/>
          <w:i w:val="false"/>
          <w:caps w:val="false"/>
          <w:smallCaps w:val="false"/>
          <w:sz w:val="20"/>
        </w:rPr>
        <w:t>RISK FACTORS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An investment in our common stock involves a high degree of risk. You should carefully consider and evaluate all of the information included and incorporated by reference in this prospectus, including the risk factors below, in the 2023 Form 10-K (which is incorporated by reference into this prospectus supplement), and other filings we make with the SEC, which are incorporated by reference into this prospectus supplement. It is possible that our business, financial condition, liquidity or results of operations could be materially adversely affected by any of these risks.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Financial Position and Liquidity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There is a significant likelihood that you will lose all of your investment if we are unable to raise an additional $3.0 million in funding by June 7, 2024.</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CSPA is intended to enable us to raise $3.0 million by June 7, 2024; however, we cannot offer any assurance that Triton will be successful in executing sufficient sales under the CSPA in order to achieve that goal. We will have limited recourse against Triton if it is unable to do so. In such circumstance, the Forbearance granted to us by our Lenders will terminate on June 14, 2024 and we will be required to cooperate with our Lenders in a potential sale of our business in connection with the realization of their collateral. In the event of such a sale, our holders of our common stock are unlikely to receive any recovery.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There is a significant likelihood that you will lose all of your investment if we are unable to raise an additional $32 million in funding by July 15, 2024 from an investor who is willing to purchase our senior secured loan and invest in our company.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Cooperation Agreement with our Lenders requires them to enter into good faith discussions regarding the transfer of their debt if we or our significant shareholders present them with a binding cash offer for $20 million to purchase $40 million of their indebtedness. We are also required to demonstrate that we have at least $12 million of operating capital pursuant to such offer. We will face significant challenges finding an investor to invest these funds and, even if our existing lenders negotiate transfer of the loan, we will still have $40 million of debt outstanding under this facility following its transfer.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sales of shares in this offering may become subject to limitations under Nasdaq Rule 5635 as a result of aggregation with prior offerings of securities in which case we will have no alternative other than to continue selling shares and address Nasdaq’s requirements by seeking shareholder approval after such sales.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 Rule 5635 places a limit on the number of shares that a company may issue at below the Minimum Price other than in a public offering. Such limit is 20% of a company’s outstanding voting power or outstanding common stock. Our transaction with Triton is intended to comply with this Nasdaq rule provided sales of shares pursuant to the CSPA are not aggregated with prior capital raising transactions. We have committed to seek shareholder approval for the issuance of the Backstop Shares at the Purchase Price and we intend to seek shareholder approval preemptively of all issuances pursuant to the CSPA. We cannot provide any assurance that Nasdaq will agree that this offering should be viewed separately from prior offerings and we cannot provide any assurance that we will receive shareholder approval. If not, then Nasdaq will take steps to delist our securities and we may be unable to address all of Nasdaq’s requests on a timely basis or at all to prevent that outcome.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need additional capital to sustain our operations, and to the extent additional financing is unavailable or is only available on unfavorable terms, or if certain investors exercise their veto rights and block us from raising additional capital, we will be forced to initiate insolvency proceedings.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unable to raise additional financing in the near term, we will become insolvent and investors will lose the entirety of their investment. Further, as described in our Current Report on Form 8-K filed with the SEC on November 16, 2023, pursuant to a contractual arrangement, KKG Enterprises LLC and CA, each affiliates of certain significant stockholders and directors of the Company, have veto rights over our ability to issue shares of our common stock or of our subsidiaries, or securities convertible into or exercisable for common stock, subject to certain limited exceptions, which could have a material adverse effect on our ability to raise additional financing if such veto rights are exercised.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S-6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this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The issuance and sale of our common stock under the CSPA will result in dilution to our stockholders and any future sales of our common stock may depress our stock price.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sale of shares of our common stock to Triton will have a dilutive impact on our existing shareholders. Triton may resell some or all of the shares we issue to it pursuant to draw-downs under the CSPA and such sales could cause the market price of our common stock to decline.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granted anti-dilution protection to certain of our investors, which will cause additional significant dilution to our stockholders and may have a material adverse impact on the market price of our common stock and make it more difficult for us to raise funds through future equity offerings.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immediate dilutive effects described in “The Offering”, we have granted anti-dilution protections to holders of our shares, warrants and convertible notes that will result in the issuance of additional shares if the purchase price per share in this Offering is below $0.14. Moreover, the perceived risk of dilution and the resulting downward pressure on our common stock price could encourage investors to engage in short sales of our common stock, which could further contribute to price declines in our common stock. The fact that certain of our stockholders and our warrantholders can sell substantial amounts of our common stock in the public market, whether or not sales have occurred or are occurring, as well as the existence of anti-dilution provisions granted in most of our recent equity financings, could make it more difficult for us to raise additional funds through the sale of equity or equity-related securities in the future at a time and price that we deem reasonable or appropriate, or at 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stock price and trading volume have and may in the future experience volatility, and at times shares of our common stock have been, and may continue to be, thinly traded, which may contribute to volatility in our stock price and less liquidity for investors.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trading volume of our common stock has varied greatly in the past and may continue to do so in the future. At times our trading volume may be characterized as thinly traded. As a result of this thin trading market or “float” for our common stock, our common stock has been, and may continue to be, less liquid than the common stock of companies with broader public ownership. If our common stock is thinly traded, the trading of a relatively small volume of our common stock may have a greater impact on the trading price of our common stock than would be the case if our float were larger. As a result, the trading prices of our common stock may be more volatile than the common stock of companies with broader public ownership, and an investor be unable to liquidate an investment in our common stock at attractive prices.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predict the prices at which our common stock will trade in the future. Variations in financial results, announcements of material events, changes in our dividend policy, technological innovations or new products by us or our competitors, our quarterly operating results, changes in general conditions in the economy or government spending on law enforcement and military, other developments affecting us or our competitors or general price and volume fluctuations in the market are among the many factors that could cause the market price of our common stock to fluctuate substantially.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broad discretion to determine how to use the funds raised in this Offering, and may use them in ways that may not enhance our operating results or the price of our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intend to use the net proceeds from this Offering for working capital and general corporate purposes. Accordingly, we will have broad discretion as to how we use the net proceeds that we receive from this Offering. We could spend the proceeds that we receive from this Offering in ways that our shareholders may not agree with or that do not yield a favorable return. You will not have the opportunity as part of your investment decision to assess whether the net proceeds are being used appropriately. Investors in this Offering will need to rely upon the judgment of our board of directors and management with respect to the use of proceeds. If we do not use the net proceeds that we receive in this Offering effectively, our business, financial condition, results of operations and prospects could be harmed, and the market price of our shares of common stock could decline.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S-7</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Sales of substantial amounts of our common stock in the public market, or the perception that these sales may occur, could cause the market price of our common stock to decline.</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substantial amounts of our common stock in the public market, or the perception that these sales may occur, could cause the market price of our common stock to decline. This could also impair our ability to raise additional capital through the sale of our equity securities. We may issue additional shares of common stock, which may dilute existing shareholders, including purchasers of the common stock offered hereby. We cannot predict the size of future issuances of our shares, or the effect, if any, that future sales and issuances of securities would have on the market price of our shares of common stock. See “Plan of Distribution.”</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currently listed on the Nasdaq Stock Market. If we are unable to maintain listing of our securities on the Nasdaq Stock Market or any stock exchange, our stock price could be adversely affected and the liquidity of our stock and our ability to obtain financing could be impaired and it may be more difficult for our shareholders to sell their securities.</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our common stock is currently listed on Nasdaq, in addition to the risks associated with the CSPA set forth above, we may not be able to continue to meet the exchange’s minimum listing requirements or those of any other national exchange. For example, on February 23, 2024, we received the notice from Nasdaq stating that the Company is not in compliance with the requirement to maintain a MVPHS of $15 million, as set forth in Nasdaq Listing Rule 5450(b)(2)(C) because the MVPHS of the Company was below $15 million for the 35 consecutive business days prior to the date of the Notice. The Notice was in addition to the previously disclosed letters received on February 6, 2024, notifying the Company that it was not in compliance with the requirement to maintain a minimum Market Value of Listed Securities of $50 million, as set forth in Nasdaq Listing Rule 5450(b)(2)(A), and on December 28, 2023, notifying the Company that it was not in compliance with the requirement to maintain a minimum bid price of $1.00 per share, as set forth in Nasdaq Listing Rule 5450(a)(1). The delisting of our common stock from Nasdaq may make it more difficult for us to raise capital on favorable terms in the future. Such a delisting would likely a result in a reduction in some or all of the following may occur, each of which could have a material adverse effect on our shareholders and may impair your ability to sell or purchase our common stock when you wish to do so:</w:t>
      </w:r>
    </w:p>
    <w:p>
      <w:pPr>
        <w:pStyle w:val="TextBody"/>
        <w:bidi w:val="0"/>
        <w:spacing w:before="0" w:after="0"/>
        <w:ind w:left="0" w:right="0" w:firstLine="360"/>
        <w:jc w:val="both"/>
        <w:rPr>
          <w:caps w:val="false"/>
          <w:smallCaps w:val="false"/>
        </w:rPr>
      </w:pPr>
      <w:r>
        <w:rPr>
          <w:caps w:val="false"/>
          <w:smallCaps w:val="false"/>
        </w:rPr>
        <w:t> </w:t>
      </w:r>
    </w:p>
    <w:tbl>
      <w:tblPr>
        <w:tblW w:w="3535" w:type="dxa"/>
        <w:jc w:val="left"/>
        <w:tblInd w:w="0" w:type="dxa"/>
        <w:tblLayout w:type="fixed"/>
        <w:tblCellMar>
          <w:top w:w="0" w:type="dxa"/>
          <w:left w:w="0" w:type="dxa"/>
          <w:bottom w:w="0" w:type="dxa"/>
          <w:right w:w="0" w:type="dxa"/>
        </w:tblCellMar>
      </w:tblPr>
      <w:tblGrid>
        <w:gridCol w:w="75"/>
        <w:gridCol w:w="170"/>
        <w:gridCol w:w="329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29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liquidity of our common stock;</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3290" w:type="dxa"/>
            <w:tcBorders/>
            <w:vAlign w:val="center"/>
          </w:tcPr>
          <w:p>
            <w:pPr>
              <w:pStyle w:val="TableContents"/>
              <w:bidi w:val="0"/>
              <w:spacing w:before="0" w:after="283"/>
              <w:jc w:val="both"/>
              <w:rPr/>
            </w:pPr>
            <w:r>
              <w:rPr/>
              <w:t> </w:t>
            </w:r>
          </w:p>
        </w:tc>
      </w:tr>
    </w:tbl>
    <w:tbl>
      <w:tblPr>
        <w:tblW w:w="3888" w:type="dxa"/>
        <w:jc w:val="left"/>
        <w:tblInd w:w="0" w:type="dxa"/>
        <w:tblLayout w:type="fixed"/>
        <w:tblCellMar>
          <w:top w:w="0" w:type="dxa"/>
          <w:left w:w="0" w:type="dxa"/>
          <w:bottom w:w="0" w:type="dxa"/>
          <w:right w:w="0" w:type="dxa"/>
        </w:tblCellMar>
      </w:tblPr>
      <w:tblGrid>
        <w:gridCol w:w="38"/>
        <w:gridCol w:w="170"/>
        <w:gridCol w:w="36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68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market price of our common stock;</w:t>
            </w:r>
          </w:p>
        </w:tc>
      </w:tr>
    </w:tbl>
    <w:p>
      <w:pPr>
        <w:pStyle w:val="TextBody"/>
        <w:bidi w:val="0"/>
        <w:spacing w:before="0" w:after="283"/>
        <w:jc w:val="left"/>
        <w:rPr/>
      </w:pPr>
      <w:r>
        <w:rPr/>
        <w:t> </w:t>
      </w:r>
    </w:p>
    <w:tbl>
      <w:tblPr>
        <w:tblW w:w="6663" w:type="dxa"/>
        <w:jc w:val="left"/>
        <w:tblInd w:w="0" w:type="dxa"/>
        <w:tblLayout w:type="fixed"/>
        <w:tblCellMar>
          <w:top w:w="0" w:type="dxa"/>
          <w:left w:w="0" w:type="dxa"/>
          <w:bottom w:w="0" w:type="dxa"/>
          <w:right w:w="0" w:type="dxa"/>
        </w:tblCellMar>
      </w:tblPr>
      <w:tblGrid>
        <w:gridCol w:w="38"/>
        <w:gridCol w:w="170"/>
        <w:gridCol w:w="64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45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our ability to obtain financing for the continuation of our operations;</w:t>
            </w:r>
          </w:p>
        </w:tc>
      </w:tr>
    </w:tbl>
    <w:p>
      <w:pPr>
        <w:pStyle w:val="TextBody"/>
        <w:bidi w:val="0"/>
        <w:spacing w:before="0" w:after="283"/>
        <w:jc w:val="left"/>
        <w:rPr/>
      </w:pPr>
      <w:r>
        <w:rPr/>
        <w:t> </w:t>
      </w:r>
    </w:p>
    <w:tbl>
      <w:tblPr>
        <w:tblW w:w="7210" w:type="dxa"/>
        <w:jc w:val="left"/>
        <w:tblInd w:w="0" w:type="dxa"/>
        <w:tblLayout w:type="fixed"/>
        <w:tblCellMar>
          <w:top w:w="0" w:type="dxa"/>
          <w:left w:w="0" w:type="dxa"/>
          <w:bottom w:w="0" w:type="dxa"/>
          <w:right w:w="0" w:type="dxa"/>
        </w:tblCellMar>
      </w:tblPr>
      <w:tblGrid>
        <w:gridCol w:w="75"/>
        <w:gridCol w:w="170"/>
        <w:gridCol w:w="6965"/>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96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number of investors that will consider investing in our common stock;</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965" w:type="dxa"/>
            <w:tcBorders/>
            <w:vAlign w:val="center"/>
          </w:tcPr>
          <w:p>
            <w:pPr>
              <w:pStyle w:val="TableContents"/>
              <w:bidi w:val="0"/>
              <w:spacing w:before="0" w:after="283"/>
              <w:jc w:val="both"/>
              <w:rPr/>
            </w:pPr>
            <w:r>
              <w:rPr/>
              <w:t> </w:t>
            </w:r>
          </w:p>
        </w:tc>
      </w:tr>
    </w:tbl>
    <w:tbl>
      <w:tblPr>
        <w:tblW w:w="5155" w:type="dxa"/>
        <w:jc w:val="left"/>
        <w:tblInd w:w="0" w:type="dxa"/>
        <w:tblLayout w:type="fixed"/>
        <w:tblCellMar>
          <w:top w:w="0" w:type="dxa"/>
          <w:left w:w="0" w:type="dxa"/>
          <w:bottom w:w="0" w:type="dxa"/>
          <w:right w:w="0" w:type="dxa"/>
        </w:tblCellMar>
      </w:tblPr>
      <w:tblGrid>
        <w:gridCol w:w="75"/>
        <w:gridCol w:w="170"/>
        <w:gridCol w:w="491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91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number of market makers in our common stock;</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4910" w:type="dxa"/>
            <w:tcBorders/>
            <w:vAlign w:val="center"/>
          </w:tcPr>
          <w:p>
            <w:pPr>
              <w:pStyle w:val="TableContents"/>
              <w:bidi w:val="0"/>
              <w:spacing w:before="0" w:after="283"/>
              <w:jc w:val="both"/>
              <w:rPr/>
            </w:pPr>
            <w:r>
              <w:rPr/>
              <w:t> </w:t>
            </w:r>
          </w:p>
        </w:tc>
      </w:tr>
    </w:tbl>
    <w:tbl>
      <w:tblPr>
        <w:tblW w:w="9565" w:type="dxa"/>
        <w:jc w:val="left"/>
        <w:tblInd w:w="0" w:type="dxa"/>
        <w:tblLayout w:type="fixed"/>
        <w:tblCellMar>
          <w:top w:w="0" w:type="dxa"/>
          <w:left w:w="0" w:type="dxa"/>
          <w:bottom w:w="0" w:type="dxa"/>
          <w:right w:w="0" w:type="dxa"/>
        </w:tblCellMar>
      </w:tblPr>
      <w:tblGrid>
        <w:gridCol w:w="75"/>
        <w:gridCol w:w="170"/>
        <w:gridCol w:w="932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32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availability of information concerning the trading prices and volume of our common stock; and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320" w:type="dxa"/>
            <w:tcBorders/>
            <w:vAlign w:val="center"/>
          </w:tcPr>
          <w:p>
            <w:pPr>
              <w:pStyle w:val="TableContents"/>
              <w:bidi w:val="0"/>
              <w:spacing w:before="0" w:after="283"/>
              <w:jc w:val="both"/>
              <w:rPr/>
            </w:pPr>
            <w:r>
              <w:rPr/>
              <w:t> </w:t>
            </w:r>
          </w:p>
        </w:tc>
      </w:tr>
    </w:tbl>
    <w:tbl>
      <w:tblPr>
        <w:tblW w:w="8343" w:type="dxa"/>
        <w:jc w:val="left"/>
        <w:tblInd w:w="0" w:type="dxa"/>
        <w:tblLayout w:type="fixed"/>
        <w:tblCellMar>
          <w:top w:w="0" w:type="dxa"/>
          <w:left w:w="0" w:type="dxa"/>
          <w:bottom w:w="0" w:type="dxa"/>
          <w:right w:w="0" w:type="dxa"/>
        </w:tblCellMar>
      </w:tblPr>
      <w:tblGrid>
        <w:gridCol w:w="38"/>
        <w:gridCol w:w="170"/>
        <w:gridCol w:w="81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13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number of broker-dealers willing to execute trades in shares of our common stock.</w:t>
            </w:r>
          </w:p>
        </w:tc>
      </w:tr>
    </w:tbl>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if we were to be delisted from the Nasdaq Stock Market and we are unable to obtain listing on another national securities exchange, our common stock would cease to be recognized as covered securities and we would be subject to regulation in each state in which we offer our securities.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bdr w:val="single" w:sz="12" w:space="1" w:color="000000"/>
        </w:rPr>
      </w:pPr>
      <w:r>
        <w:rPr>
          <w:bdr w:val="single" w:sz="12" w:space="1" w:color="000000"/>
        </w:rPr>
        <w:t>S-8</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s_006"/>
      <w:bookmarkEnd w:id="8"/>
      <w:r>
        <w:rPr>
          <w:rFonts w:ascii="Times New Roman;Times;Serif" w:hAnsi="Times New Roman;Times;Serif"/>
          <w:b/>
          <w:i w:val="false"/>
          <w:caps w:val="false"/>
          <w:smallCaps w:val="false"/>
          <w:sz w:val="20"/>
        </w:rPr>
        <w:t>USE OF PROCEEDS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use the net proceeds from this Offering for working capital purposes and other general corporate purposes.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S-9</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 w:name="s_007"/>
      <w:bookmarkEnd w:id="9"/>
      <w:r>
        <w:rPr>
          <w:rFonts w:ascii="Times New Roman;Times;Serif" w:hAnsi="Times New Roman;Times;Serif"/>
          <w:b/>
          <w:i w:val="false"/>
          <w:caps w:val="false"/>
          <w:smallCaps w:val="false"/>
          <w:sz w:val="20"/>
        </w:rPr>
        <w:t>MATERIAL U.S. FEDERAL TAX CONSIDERATIONS FOR NON-U.S. HOLDERS OF OUR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summary of the material U.S. federal income tax consequences applicable to Non-U.S. holders (as defined below) of the acquisition, ownership and disposition of our common stock purchased in accordance with this prospectus supplement, but does not purport to be a complete analysis of all potential tax consequences related thereto. This discussion applies only to our common stock that is held as a capital asset within the meaning of Section 1221 of the U.S. Internal Revenue Code of 1986, as amended (the “Code”). This discussion assumes that any distributions made (or deemed made) by us on our common stock and any consideration received (or deemed received) by a holder in consideration for the sale or other disposition of our common stock will be in U.S. dollars.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discussion does not address the U.S. federal income tax consequences to our founders, sponsors, officers or directors. This discussion is a summary only and does not describe all of the tax consequences that may be relevant to you in light of your particular circumstances, including but not limited to the alternative minimum tax, the Medicare tax on certain net investment income and the different consequences that may apply if you are subject to special rules that apply to certain types of investors, including but not limited to:</w:t>
      </w:r>
    </w:p>
    <w:p>
      <w:pPr>
        <w:pStyle w:val="TextBody"/>
        <w:bidi w:val="0"/>
        <w:spacing w:before="0" w:after="0"/>
        <w:ind w:left="1440" w:right="0" w:hanging="720"/>
        <w:jc w:val="both"/>
        <w:rPr>
          <w:caps w:val="false"/>
          <w:smallCaps w:val="false"/>
        </w:rPr>
      </w:pPr>
      <w:r>
        <w:rPr>
          <w:caps w:val="false"/>
          <w:smallCaps w:val="false"/>
        </w:rPr>
        <w:t> </w:t>
      </w:r>
    </w:p>
    <w:tbl>
      <w:tblPr>
        <w:tblW w:w="4878" w:type="dxa"/>
        <w:jc w:val="left"/>
        <w:tblInd w:w="0" w:type="dxa"/>
        <w:tblLayout w:type="fixed"/>
        <w:tblCellMar>
          <w:top w:w="0" w:type="dxa"/>
          <w:left w:w="0" w:type="dxa"/>
          <w:bottom w:w="0" w:type="dxa"/>
          <w:right w:w="0" w:type="dxa"/>
        </w:tblCellMar>
      </w:tblPr>
      <w:tblGrid>
        <w:gridCol w:w="38"/>
        <w:gridCol w:w="170"/>
        <w:gridCol w:w="46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6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banks, financial institutions or financial services entities;</w:t>
            </w:r>
          </w:p>
        </w:tc>
      </w:tr>
    </w:tbl>
    <w:p>
      <w:pPr>
        <w:pStyle w:val="TextBody"/>
        <w:bidi w:val="0"/>
        <w:spacing w:before="0" w:after="0"/>
        <w:ind w:left="1440" w:right="0" w:hanging="360"/>
        <w:jc w:val="both"/>
        <w:rPr>
          <w:caps w:val="false"/>
          <w:smallCaps w:val="false"/>
        </w:rPr>
      </w:pPr>
      <w:r>
        <w:rPr>
          <w:caps w:val="false"/>
          <w:smallCaps w:val="false"/>
        </w:rPr>
        <w:t> </w:t>
      </w:r>
    </w:p>
    <w:tbl>
      <w:tblPr>
        <w:tblW w:w="1458" w:type="dxa"/>
        <w:jc w:val="left"/>
        <w:tblInd w:w="0" w:type="dxa"/>
        <w:tblLayout w:type="fixed"/>
        <w:tblCellMar>
          <w:top w:w="0" w:type="dxa"/>
          <w:left w:w="0" w:type="dxa"/>
          <w:bottom w:w="0" w:type="dxa"/>
          <w:right w:w="0" w:type="dxa"/>
        </w:tblCellMar>
      </w:tblPr>
      <w:tblGrid>
        <w:gridCol w:w="38"/>
        <w:gridCol w:w="170"/>
        <w:gridCol w:w="12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2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broker-dealers;</w:t>
            </w:r>
          </w:p>
        </w:tc>
      </w:tr>
    </w:tbl>
    <w:p>
      <w:pPr>
        <w:pStyle w:val="TextBody"/>
        <w:bidi w:val="0"/>
        <w:spacing w:before="0" w:after="0"/>
        <w:ind w:left="1440" w:right="0" w:hanging="720"/>
        <w:jc w:val="both"/>
        <w:rPr>
          <w:caps w:val="false"/>
          <w:smallCaps w:val="false"/>
        </w:rPr>
      </w:pPr>
      <w:r>
        <w:rPr>
          <w:caps w:val="false"/>
          <w:smallCaps w:val="false"/>
        </w:rPr>
        <w:t> </w:t>
      </w:r>
    </w:p>
    <w:tbl>
      <w:tblPr>
        <w:tblW w:w="8703" w:type="dxa"/>
        <w:jc w:val="left"/>
        <w:tblInd w:w="0" w:type="dxa"/>
        <w:tblLayout w:type="fixed"/>
        <w:tblCellMar>
          <w:top w:w="0" w:type="dxa"/>
          <w:left w:w="0" w:type="dxa"/>
          <w:bottom w:w="0" w:type="dxa"/>
          <w:right w:w="0" w:type="dxa"/>
        </w:tblCellMar>
      </w:tblPr>
      <w:tblGrid>
        <w:gridCol w:w="38"/>
        <w:gridCol w:w="170"/>
        <w:gridCol w:w="84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4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traders in securities that elect to use a mark-to-market method of accounting for their securities holdings;</w:t>
            </w:r>
          </w:p>
        </w:tc>
      </w:tr>
    </w:tbl>
    <w:p>
      <w:pPr>
        <w:pStyle w:val="TextBody"/>
        <w:bidi w:val="0"/>
        <w:spacing w:before="0" w:after="0"/>
        <w:ind w:left="1440" w:right="0" w:hanging="720"/>
        <w:jc w:val="both"/>
        <w:rPr>
          <w:caps w:val="false"/>
          <w:smallCaps w:val="false"/>
        </w:rPr>
      </w:pPr>
      <w:r>
        <w:rPr>
          <w:caps w:val="false"/>
          <w:smallCaps w:val="false"/>
        </w:rPr>
        <w:t> </w:t>
      </w:r>
    </w:p>
    <w:tbl>
      <w:tblPr>
        <w:tblW w:w="4548" w:type="dxa"/>
        <w:jc w:val="left"/>
        <w:tblInd w:w="0" w:type="dxa"/>
        <w:tblLayout w:type="fixed"/>
        <w:tblCellMar>
          <w:top w:w="0" w:type="dxa"/>
          <w:left w:w="0" w:type="dxa"/>
          <w:bottom w:w="0" w:type="dxa"/>
          <w:right w:w="0" w:type="dxa"/>
        </w:tblCellMar>
      </w:tblPr>
      <w:tblGrid>
        <w:gridCol w:w="38"/>
        <w:gridCol w:w="170"/>
        <w:gridCol w:w="43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3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governments or agencies or instrumentalities thereof;</w:t>
            </w:r>
          </w:p>
        </w:tc>
      </w:tr>
    </w:tbl>
    <w:p>
      <w:pPr>
        <w:pStyle w:val="TextBody"/>
        <w:bidi w:val="0"/>
        <w:spacing w:before="0" w:after="0"/>
        <w:ind w:left="1440" w:right="0" w:hanging="720"/>
        <w:jc w:val="both"/>
        <w:rPr>
          <w:caps w:val="false"/>
          <w:smallCaps w:val="false"/>
        </w:rPr>
      </w:pPr>
      <w:r>
        <w:rPr>
          <w:caps w:val="false"/>
          <w:smallCaps w:val="false"/>
        </w:rPr>
        <w:t> </w:t>
      </w:r>
    </w:p>
    <w:tbl>
      <w:tblPr>
        <w:tblW w:w="2928" w:type="dxa"/>
        <w:jc w:val="left"/>
        <w:tblInd w:w="0" w:type="dxa"/>
        <w:tblLayout w:type="fixed"/>
        <w:tblCellMar>
          <w:top w:w="0" w:type="dxa"/>
          <w:left w:w="0" w:type="dxa"/>
          <w:bottom w:w="0" w:type="dxa"/>
          <w:right w:w="0" w:type="dxa"/>
        </w:tblCellMar>
      </w:tblPr>
      <w:tblGrid>
        <w:gridCol w:w="38"/>
        <w:gridCol w:w="170"/>
        <w:gridCol w:w="27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7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regulated investment companies;</w:t>
            </w:r>
          </w:p>
        </w:tc>
      </w:tr>
    </w:tbl>
    <w:p>
      <w:pPr>
        <w:pStyle w:val="TextBody"/>
        <w:bidi w:val="0"/>
        <w:spacing w:before="0" w:after="0"/>
        <w:ind w:left="1440" w:right="0" w:hanging="720"/>
        <w:jc w:val="both"/>
        <w:rPr>
          <w:caps w:val="false"/>
          <w:smallCaps w:val="false"/>
        </w:rPr>
      </w:pPr>
      <w:r>
        <w:rPr>
          <w:caps w:val="false"/>
          <w:smallCaps w:val="false"/>
        </w:rPr>
        <w:t> </w:t>
      </w:r>
    </w:p>
    <w:tbl>
      <w:tblPr>
        <w:tblW w:w="2538" w:type="dxa"/>
        <w:jc w:val="left"/>
        <w:tblInd w:w="0" w:type="dxa"/>
        <w:tblLayout w:type="fixed"/>
        <w:tblCellMar>
          <w:top w:w="0" w:type="dxa"/>
          <w:left w:w="0" w:type="dxa"/>
          <w:bottom w:w="0" w:type="dxa"/>
          <w:right w:w="0" w:type="dxa"/>
        </w:tblCellMar>
      </w:tblPr>
      <w:tblGrid>
        <w:gridCol w:w="38"/>
        <w:gridCol w:w="170"/>
        <w:gridCol w:w="23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3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real estate investment trusts;</w:t>
            </w:r>
          </w:p>
        </w:tc>
      </w:tr>
    </w:tbl>
    <w:p>
      <w:pPr>
        <w:pStyle w:val="TextBody"/>
        <w:bidi w:val="0"/>
        <w:spacing w:before="0" w:after="0"/>
        <w:ind w:left="1440" w:right="0" w:hanging="720"/>
        <w:jc w:val="both"/>
        <w:rPr>
          <w:caps w:val="false"/>
          <w:smallCaps w:val="false"/>
        </w:rPr>
      </w:pPr>
      <w:r>
        <w:rPr>
          <w:caps w:val="false"/>
          <w:smallCaps w:val="false"/>
        </w:rPr>
        <w:t> </w:t>
      </w:r>
    </w:p>
    <w:tbl>
      <w:tblPr>
        <w:tblW w:w="5208" w:type="dxa"/>
        <w:jc w:val="left"/>
        <w:tblInd w:w="0" w:type="dxa"/>
        <w:tblLayout w:type="fixed"/>
        <w:tblCellMar>
          <w:top w:w="0" w:type="dxa"/>
          <w:left w:w="0" w:type="dxa"/>
          <w:bottom w:w="0" w:type="dxa"/>
          <w:right w:w="0" w:type="dxa"/>
        </w:tblCellMar>
      </w:tblPr>
      <w:tblGrid>
        <w:gridCol w:w="38"/>
        <w:gridCol w:w="170"/>
        <w:gridCol w:w="50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0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expatriates or former long-term residents of the United States;</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except as specifically provided below, persons that actually or constructively own five percent or more (by vote or value) of our shares;</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persons that acquired our common stock pursuant to an exercise of employee share options, in connection with employee share incentive plans or otherwise as compensation;</w:t>
            </w:r>
          </w:p>
        </w:tc>
      </w:tr>
    </w:tbl>
    <w:p>
      <w:pPr>
        <w:pStyle w:val="TextBody"/>
        <w:bidi w:val="0"/>
        <w:spacing w:before="0" w:after="0"/>
        <w:ind w:left="1440" w:right="0" w:hanging="720"/>
        <w:jc w:val="both"/>
        <w:rPr>
          <w:caps w:val="false"/>
          <w:smallCaps w:val="false"/>
        </w:rPr>
      </w:pPr>
      <w:r>
        <w:rPr>
          <w:caps w:val="false"/>
          <w:smallCaps w:val="false"/>
        </w:rPr>
        <w:t> </w:t>
      </w:r>
    </w:p>
    <w:tbl>
      <w:tblPr>
        <w:tblW w:w="2703" w:type="dxa"/>
        <w:jc w:val="left"/>
        <w:tblInd w:w="0" w:type="dxa"/>
        <w:tblLayout w:type="fixed"/>
        <w:tblCellMar>
          <w:top w:w="0" w:type="dxa"/>
          <w:left w:w="0" w:type="dxa"/>
          <w:bottom w:w="0" w:type="dxa"/>
          <w:right w:w="0" w:type="dxa"/>
        </w:tblCellMar>
      </w:tblPr>
      <w:tblGrid>
        <w:gridCol w:w="38"/>
        <w:gridCol w:w="170"/>
        <w:gridCol w:w="24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4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tax-qualified retirement plans;</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w:t>
            </w:r>
            <w:r>
              <w:rPr>
                <w:rFonts w:ascii="Times New Roman;Times;Serif" w:hAnsi="Times New Roman;Times;Serif"/>
                <w:sz w:val="20"/>
              </w:rPr>
              <w:t>qualified foreign pension funds” as defined in Section 897(l)(2) of the Code and entities all of the interests of which are held by qualified foreign pension funds;</w:t>
            </w:r>
          </w:p>
        </w:tc>
      </w:tr>
    </w:tbl>
    <w:p>
      <w:pPr>
        <w:pStyle w:val="TextBody"/>
        <w:bidi w:val="0"/>
        <w:spacing w:before="0" w:after="0"/>
        <w:ind w:left="1440" w:right="0" w:hanging="720"/>
        <w:jc w:val="both"/>
        <w:rPr>
          <w:caps w:val="false"/>
          <w:smallCaps w:val="false"/>
        </w:rPr>
      </w:pPr>
      <w:r>
        <w:rPr>
          <w:caps w:val="false"/>
          <w:smallCaps w:val="false"/>
        </w:rPr>
        <w:t> </w:t>
      </w:r>
    </w:p>
    <w:tbl>
      <w:tblPr>
        <w:tblW w:w="1998" w:type="dxa"/>
        <w:jc w:val="left"/>
        <w:tblInd w:w="0" w:type="dxa"/>
        <w:tblLayout w:type="fixed"/>
        <w:tblCellMar>
          <w:top w:w="0" w:type="dxa"/>
          <w:left w:w="0" w:type="dxa"/>
          <w:bottom w:w="0" w:type="dxa"/>
          <w:right w:w="0" w:type="dxa"/>
        </w:tblCellMar>
      </w:tblPr>
      <w:tblGrid>
        <w:gridCol w:w="38"/>
        <w:gridCol w:w="170"/>
        <w:gridCol w:w="17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7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insurance companies;</w:t>
            </w:r>
          </w:p>
        </w:tc>
      </w:tr>
    </w:tbl>
    <w:p>
      <w:pPr>
        <w:pStyle w:val="TextBody"/>
        <w:bidi w:val="0"/>
        <w:spacing w:before="0" w:after="0"/>
        <w:ind w:left="1440" w:right="0" w:hanging="720"/>
        <w:jc w:val="both"/>
        <w:rPr>
          <w:caps w:val="false"/>
          <w:smallCaps w:val="false"/>
        </w:rPr>
      </w:pPr>
      <w:r>
        <w:rPr>
          <w:caps w:val="false"/>
          <w:smallCaps w:val="false"/>
        </w:rPr>
        <w:t> </w:t>
      </w:r>
    </w:p>
    <w:tbl>
      <w:tblPr>
        <w:tblW w:w="8538" w:type="dxa"/>
        <w:jc w:val="left"/>
        <w:tblInd w:w="0" w:type="dxa"/>
        <w:tblLayout w:type="fixed"/>
        <w:tblCellMar>
          <w:top w:w="0" w:type="dxa"/>
          <w:left w:w="0" w:type="dxa"/>
          <w:bottom w:w="0" w:type="dxa"/>
          <w:right w:w="0" w:type="dxa"/>
        </w:tblCellMar>
      </w:tblPr>
      <w:tblGrid>
        <w:gridCol w:w="38"/>
        <w:gridCol w:w="170"/>
        <w:gridCol w:w="83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3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dealers or traders subject to a mark-to-market method of accounting with respect to our common stock;</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persons holding our common stock as part of a “straddle,” constructive sale, hedge, wash sale, conversion or other integrated or similar transaction;</w:t>
            </w:r>
          </w:p>
        </w:tc>
      </w:tr>
    </w:tbl>
    <w:p>
      <w:pPr>
        <w:pStyle w:val="TextBody"/>
        <w:bidi w:val="0"/>
        <w:spacing w:before="0" w:after="0"/>
        <w:ind w:left="1440" w:right="0" w:hanging="720"/>
        <w:jc w:val="both"/>
        <w:rPr>
          <w:caps w:val="false"/>
          <w:smallCaps w:val="false"/>
        </w:rPr>
      </w:pPr>
      <w:r>
        <w:rPr>
          <w:caps w:val="false"/>
          <w:smallCaps w:val="false"/>
        </w:rPr>
        <w:t> </w:t>
      </w:r>
    </w:p>
    <w:tbl>
      <w:tblPr>
        <w:tblW w:w="7788" w:type="dxa"/>
        <w:jc w:val="left"/>
        <w:tblInd w:w="0" w:type="dxa"/>
        <w:tblLayout w:type="fixed"/>
        <w:tblCellMar>
          <w:top w:w="0" w:type="dxa"/>
          <w:left w:w="0" w:type="dxa"/>
          <w:bottom w:w="0" w:type="dxa"/>
          <w:right w:w="0" w:type="dxa"/>
        </w:tblCellMar>
      </w:tblPr>
      <w:tblGrid>
        <w:gridCol w:w="38"/>
        <w:gridCol w:w="170"/>
        <w:gridCol w:w="75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5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persons deemed to sell our common stock under the constructive sale provisions of the Code;</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144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S-10</w:t>
      </w:r>
    </w:p>
    <w:p>
      <w:pPr>
        <w:pStyle w:val="TextBody"/>
        <w:bidi w:val="0"/>
        <w:spacing w:before="0" w:after="0"/>
        <w:ind w:left="0" w:right="0" w:hanging="0"/>
        <w:jc w:val="left"/>
        <w:rPr/>
      </w:pPr>
      <w:r>
        <w:rPr/>
        <w:t> </w:t>
      </w:r>
    </w:p>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persons subject to special tax accounting rules as a result of any item of gross income with respect to our common stock being taken into account in an applicable financial statement;</w:t>
            </w:r>
          </w:p>
        </w:tc>
      </w:tr>
    </w:tbl>
    <w:p>
      <w:pPr>
        <w:pStyle w:val="TextBody"/>
        <w:bidi w:val="0"/>
        <w:spacing w:before="0" w:after="0"/>
        <w:ind w:left="1440" w:right="0" w:hanging="720"/>
        <w:jc w:val="both"/>
        <w:rPr>
          <w:caps w:val="false"/>
          <w:smallCaps w:val="false"/>
        </w:rPr>
      </w:pPr>
      <w:r>
        <w:rPr>
          <w:caps w:val="false"/>
          <w:smallCaps w:val="false"/>
        </w:rPr>
        <w:t> </w:t>
      </w:r>
    </w:p>
    <w:tbl>
      <w:tblPr>
        <w:tblW w:w="7098" w:type="dxa"/>
        <w:jc w:val="left"/>
        <w:tblInd w:w="0" w:type="dxa"/>
        <w:tblLayout w:type="fixed"/>
        <w:tblCellMar>
          <w:top w:w="0" w:type="dxa"/>
          <w:left w:w="0" w:type="dxa"/>
          <w:bottom w:w="0" w:type="dxa"/>
          <w:right w:w="0" w:type="dxa"/>
        </w:tblCellMar>
      </w:tblPr>
      <w:tblGrid>
        <w:gridCol w:w="38"/>
        <w:gridCol w:w="170"/>
        <w:gridCol w:w="68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8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Non-U.S. holders (as defined below) whose functional currency is not the U.S. dollar;</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partnerships (or entities or arrangements classified as partnerships or other pass-through entities for U.S. federal income tax purposes) and any beneficial owners of such partnerships;</w:t>
            </w:r>
          </w:p>
        </w:tc>
      </w:tr>
    </w:tbl>
    <w:p>
      <w:pPr>
        <w:pStyle w:val="TextBody"/>
        <w:bidi w:val="0"/>
        <w:spacing w:before="0" w:after="0"/>
        <w:ind w:left="1440" w:right="0" w:hanging="720"/>
        <w:jc w:val="both"/>
        <w:rPr>
          <w:caps w:val="false"/>
          <w:smallCaps w:val="false"/>
        </w:rPr>
      </w:pPr>
      <w:r>
        <w:rPr>
          <w:caps w:val="false"/>
          <w:smallCaps w:val="false"/>
        </w:rPr>
        <w:t> </w:t>
      </w:r>
    </w:p>
    <w:tbl>
      <w:tblPr>
        <w:tblW w:w="1863" w:type="dxa"/>
        <w:jc w:val="left"/>
        <w:tblInd w:w="0" w:type="dxa"/>
        <w:tblLayout w:type="fixed"/>
        <w:tblCellMar>
          <w:top w:w="0" w:type="dxa"/>
          <w:left w:w="0" w:type="dxa"/>
          <w:bottom w:w="0" w:type="dxa"/>
          <w:right w:w="0" w:type="dxa"/>
        </w:tblCellMar>
      </w:tblPr>
      <w:tblGrid>
        <w:gridCol w:w="38"/>
        <w:gridCol w:w="170"/>
        <w:gridCol w:w="16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6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tax-exempt entities;</w:t>
            </w:r>
          </w:p>
        </w:tc>
      </w:tr>
    </w:tbl>
    <w:p>
      <w:pPr>
        <w:pStyle w:val="TextBody"/>
        <w:bidi w:val="0"/>
        <w:spacing w:before="0" w:after="0"/>
        <w:ind w:left="1440" w:right="0" w:hanging="720"/>
        <w:jc w:val="both"/>
        <w:rPr>
          <w:caps w:val="false"/>
          <w:smallCaps w:val="false"/>
        </w:rPr>
      </w:pPr>
      <w:r>
        <w:rPr>
          <w:caps w:val="false"/>
          <w:smallCaps w:val="false"/>
        </w:rPr>
        <w:t> </w:t>
      </w:r>
    </w:p>
    <w:tbl>
      <w:tblPr>
        <w:tblW w:w="6033" w:type="dxa"/>
        <w:jc w:val="left"/>
        <w:tblInd w:w="0" w:type="dxa"/>
        <w:tblLayout w:type="fixed"/>
        <w:tblCellMar>
          <w:top w:w="0" w:type="dxa"/>
          <w:left w:w="0" w:type="dxa"/>
          <w:bottom w:w="0" w:type="dxa"/>
          <w:right w:w="0" w:type="dxa"/>
        </w:tblCellMar>
      </w:tblPr>
      <w:tblGrid>
        <w:gridCol w:w="38"/>
        <w:gridCol w:w="170"/>
        <w:gridCol w:w="58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8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corporations that accumulate earnings to avoid U.S. federal income tax;</w:t>
            </w:r>
          </w:p>
        </w:tc>
      </w:tr>
    </w:tbl>
    <w:p>
      <w:pPr>
        <w:pStyle w:val="TextBody"/>
        <w:bidi w:val="0"/>
        <w:spacing w:before="0" w:after="0"/>
        <w:ind w:left="1440" w:right="0" w:hanging="720"/>
        <w:jc w:val="both"/>
        <w:rPr>
          <w:caps w:val="false"/>
          <w:smallCaps w:val="false"/>
        </w:rPr>
      </w:pPr>
      <w:r>
        <w:rPr>
          <w:caps w:val="false"/>
          <w:smallCaps w:val="false"/>
        </w:rPr>
        <w:t> </w:t>
      </w:r>
    </w:p>
    <w:tbl>
      <w:tblPr>
        <w:tblW w:w="3183" w:type="dxa"/>
        <w:jc w:val="left"/>
        <w:tblInd w:w="0" w:type="dxa"/>
        <w:tblLayout w:type="fixed"/>
        <w:tblCellMar>
          <w:top w:w="0" w:type="dxa"/>
          <w:left w:w="0" w:type="dxa"/>
          <w:bottom w:w="0" w:type="dxa"/>
          <w:right w:w="0" w:type="dxa"/>
        </w:tblCellMar>
      </w:tblPr>
      <w:tblGrid>
        <w:gridCol w:w="38"/>
        <w:gridCol w:w="170"/>
        <w:gridCol w:w="29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9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controlled foreign corporations; and</w:t>
            </w:r>
          </w:p>
        </w:tc>
      </w:tr>
    </w:tbl>
    <w:p>
      <w:pPr>
        <w:pStyle w:val="TextBody"/>
        <w:bidi w:val="0"/>
        <w:spacing w:before="0" w:after="0"/>
        <w:ind w:left="1440" w:right="0" w:hanging="720"/>
        <w:jc w:val="both"/>
        <w:rPr>
          <w:caps w:val="false"/>
          <w:smallCaps w:val="false"/>
        </w:rPr>
      </w:pPr>
      <w:r>
        <w:rPr>
          <w:caps w:val="false"/>
          <w:smallCaps w:val="false"/>
        </w:rPr>
        <w:t> </w:t>
      </w:r>
    </w:p>
    <w:tbl>
      <w:tblPr>
        <w:tblW w:w="3378" w:type="dxa"/>
        <w:jc w:val="left"/>
        <w:tblInd w:w="0" w:type="dxa"/>
        <w:tblLayout w:type="fixed"/>
        <w:tblCellMar>
          <w:top w:w="0" w:type="dxa"/>
          <w:left w:w="0" w:type="dxa"/>
          <w:bottom w:w="0" w:type="dxa"/>
          <w:right w:w="0" w:type="dxa"/>
        </w:tblCellMar>
      </w:tblPr>
      <w:tblGrid>
        <w:gridCol w:w="38"/>
        <w:gridCol w:w="170"/>
        <w:gridCol w:w="31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1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passive foreign investment companies.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partnership (including an entity or arrangement treated as a partnership or other pass-thru entity for U.S. federal income tax purposes) holds our common stock, the tax treatment of a partner, member or other beneficial owner in such partnership will generally depend upon the status of the partner, member or other beneficial owner, the activities of the partnership and certain determinations made at the partner, member or other beneficial owner level. If you are a partner, member or other beneficial owner of a partnership holding our common stock, you are urged to consult your tax advisor regarding the tax consequences of the acquisition, ownership and disposition of our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discussion is based on the Code, and administrative pronouncements, judicial decisions and final, temporary and proposed Treasury regulations as of the date hereof, which are subject to change, possibly on a retroactive basis, and changes to any of which subsequent to the date of this prospectus may affect the tax consequences described herein. This discussion does not address any aspect of state, local or non-U.S. taxation, or any U.S. federal taxes other than income taxes (such as gift and estate taxes).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sought, and do not expect to seek, a ruling from the U.S. Internal Revenue Service (the “IRS”) as to any U.S. federal income tax consequence described herein. The IRS may disagree with the discussion herein, and its determination may be upheld by a court. Moreover, there can be no assurance that future legislation, regulations, administrative rulings or court decisions will not adversely affect the accuracy of the statements in this discussion. You are urged to consult your tax advisor with respect to the application of U.S. federal tax laws to your particular situation, as well as any tax consequences arising under the laws of any state, local or foreign jurisdiction.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THIS DISCUSSION IS ONLY A SUMMARY OF CERTAIN U.S. FEDERAL INCOME TAX CONSIDERATIONS ASSOCIATED WITH THE ACQUISITION, OWNERSHIP AND DISPOSITION OF OUR COMMON STOCK. EACH PROSPECTIVE INVESTOR IN OUR COMMON STOCK IS URGED TO CONSULT ITS OWN TAX ADVISOR WITH RESPECT TO THE PARTICULAR TAX CONSEQUENCES TO SUCH INVESTOR OF THE ACQUISITION, OWNERSHIP AND DISPOSITION OF OUR COMMON STOCK, INCLUDING THE APPLICABILITY AND EFFECT OF ANY U.S. FEDERAL NON-INCOME, STATE, LOCAL, AND NON-U.S. TAX LAWS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Definition of Non-U.S. Holder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used herein, the term “Non-U.S. holder” means a beneficial owner of our common stock (other than a partnership or entity or arrangement classified as a partnership for U.S. federal income tax purposes) that is, for U.S. federal income tax purposes, not a U.S.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“U.S. person” is any person that, for U.S. federal income tax purposes, is or is treated as any of the following:</w:t>
      </w:r>
    </w:p>
    <w:p>
      <w:pPr>
        <w:pStyle w:val="TextBody"/>
        <w:bidi w:val="0"/>
        <w:spacing w:before="0" w:after="0"/>
        <w:ind w:left="1440" w:right="0" w:hanging="720"/>
        <w:jc w:val="both"/>
        <w:rPr>
          <w:caps w:val="false"/>
          <w:smallCaps w:val="false"/>
        </w:rPr>
      </w:pPr>
      <w:r>
        <w:rPr>
          <w:caps w:val="false"/>
          <w:smallCaps w:val="false"/>
        </w:rPr>
        <w:t> </w:t>
      </w:r>
    </w:p>
    <w:tbl>
      <w:tblPr>
        <w:tblW w:w="4533" w:type="dxa"/>
        <w:jc w:val="left"/>
        <w:tblInd w:w="0" w:type="dxa"/>
        <w:tblLayout w:type="fixed"/>
        <w:tblCellMar>
          <w:top w:w="0" w:type="dxa"/>
          <w:left w:w="0" w:type="dxa"/>
          <w:bottom w:w="0" w:type="dxa"/>
          <w:right w:w="0" w:type="dxa"/>
        </w:tblCellMar>
      </w:tblPr>
      <w:tblGrid>
        <w:gridCol w:w="38"/>
        <w:gridCol w:w="170"/>
        <w:gridCol w:w="43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3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 individual citizen or resident of the United States;</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corporation, or other entity taxable as a corporation for U.S. federal income tax purposes, created or organized under the laws of the United States, any state thereof or the District of Columbia;</w:t>
            </w:r>
          </w:p>
        </w:tc>
      </w:tr>
    </w:tbl>
    <w:p>
      <w:pPr>
        <w:pStyle w:val="TextBody"/>
        <w:bidi w:val="0"/>
        <w:spacing w:before="0" w:after="0"/>
        <w:ind w:left="1440" w:right="0" w:hanging="720"/>
        <w:jc w:val="both"/>
        <w:rPr>
          <w:caps w:val="false"/>
          <w:smallCaps w:val="false"/>
        </w:rPr>
      </w:pPr>
      <w:r>
        <w:rPr>
          <w:caps w:val="false"/>
          <w:smallCaps w:val="false"/>
        </w:rPr>
        <w:t> </w:t>
      </w:r>
    </w:p>
    <w:tbl>
      <w:tblPr>
        <w:tblW w:w="7773" w:type="dxa"/>
        <w:jc w:val="left"/>
        <w:tblInd w:w="0" w:type="dxa"/>
        <w:tblLayout w:type="fixed"/>
        <w:tblCellMar>
          <w:top w:w="0" w:type="dxa"/>
          <w:left w:w="0" w:type="dxa"/>
          <w:bottom w:w="0" w:type="dxa"/>
          <w:right w:w="0" w:type="dxa"/>
        </w:tblCellMar>
      </w:tblPr>
      <w:tblGrid>
        <w:gridCol w:w="38"/>
        <w:gridCol w:w="170"/>
        <w:gridCol w:w="75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5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 estate, the income of which is subject to U.S. federal income tax regardless of its source; or</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trust if (a) a court within the United States is able to exercise primary supervision over the administration of the trust and one or more U.S. persons have the authority to control all substantial decisions of the trust or (b) it has in effect a valid election under applicable Treasury regulations to be treated as a U.S. person.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Taxation of Distributions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general, any distributions (including constructive distributions, but not including certain distributions of our stock or rights to acquire our stock) we make to a Non-U.S. holder of shares of our common stock, to the extent paid out of our current or accumulated earnings and profits (as determined under U.S. federal income tax principles), will constitute dividends for U.S. federal income tax purposes and, provided such dividends are not effectively connected with the Non-U.S. holder’s conduct of a trade or business within the United States, we will be required to withhold tax from the gross amount of the dividend at a rate of 30%, unless such Non-U.S. holder is eligible for a reduced rate of withholding tax under an applicable income tax treaty and provides proper certification of its eligibility for such reduced rate (usually on an IRS Form W-8BEN or W-8BEN-E). These certifications must be provided to the applicable withholding agent prior to the payment of dividends and must be updated periodically. A Non-U.S. holder that does not timely furnish the required documentation, but is eligible for a reduced rate of withholding tax under an income tax treaty may obtain a refund or credit of any excess amounts withheld by filing an appropriate claim for refund with the IRS. In the case of any constructive dividend, it is possible that this tax would be withheld from any amount owed to a Non-U.S. holder by us or the applicable withholding agent, including from other property subsequently paid or credited to such holder.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Dividends that are effectively connected with a Non-U.S. holder’s conduct of a trade or business within the United States and, if such Non-U.S. holder is entitled to claim treaty benefits (and the Non-U.S. holder complies with applicable certification and other requirements), that are attributable to a permanent establishment (or, for an individual, a fixed base) maintained by such Non-U.S. holder within the United States are not subject to the withholding tax described above but instead are subject to U.S. federal income tax on a net income basis at applicable graduated U.S. federal income tax rates. In order for its effectively connected dividends to be exempt from the withholding tax described above, a Non-U.S. holder will be required to provide a duly completed and properly executed IRS Form W-8ECI, certifying that the dividends are effectively connected with the Non-U.S. holder’s conduct of a trade or business within the United States. Dividends received by a Non-U.S. holder that is a corporation that are effectively connected with its conduct of a trade or business within the United States may be subject to an additional branch profits tax at a 30% rate or such lower rate as may be specified by an applicable income tax treaty.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S-12</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distribution in excess of current and accumulated earnings and profits will constitute a return of capital that will be treated first as reducing (but not below zero) the Non-U.S. holder’s adjusted tax basis in its shares of our common stock and, to the extent such distribution exceeds the Non-U.S. holder’s adjusted tax basis, as gain realized from the sale or other disposition of common stock, which will be treated as described under “</w:t>
      </w:r>
      <w:r>
        <w:rPr>
          <w:rFonts w:ascii="Times New Roman;Times;Serif" w:hAnsi="Times New Roman;Times;Serif"/>
          <w:b w:val="false"/>
          <w:i/>
          <w:caps w:val="false"/>
          <w:smallCaps w:val="false"/>
          <w:sz w:val="20"/>
        </w:rPr>
        <w:t>Gain on Sale, Taxable Exchange or Other Taxable Disposition of Common Stock</w:t>
      </w:r>
      <w:r>
        <w:rPr>
          <w:rFonts w:ascii="Times New Roman;Times;Serif" w:hAnsi="Times New Roman;Times;Serif"/>
          <w:b w:val="false"/>
          <w:i w:val="false"/>
          <w:caps w:val="false"/>
          <w:smallCaps w:val="false"/>
          <w:sz w:val="20"/>
        </w:rPr>
        <w:t>” below. In addition, if we determine that we are likely to be classified as a “United States real property holding corporation” (see “</w:t>
      </w:r>
      <w:r>
        <w:rPr>
          <w:rFonts w:ascii="Times New Roman;Times;Serif" w:hAnsi="Times New Roman;Times;Serif"/>
          <w:b w:val="false"/>
          <w:i/>
          <w:caps w:val="false"/>
          <w:smallCaps w:val="false"/>
          <w:sz w:val="20"/>
        </w:rPr>
        <w:t>Gain on Sale, Taxable Exchange or Other Taxable Disposition of Common Stock</w:t>
      </w:r>
      <w:r>
        <w:rPr>
          <w:rFonts w:ascii="Times New Roman;Times;Serif" w:hAnsi="Times New Roman;Times;Serif"/>
          <w:b w:val="false"/>
          <w:i w:val="false"/>
          <w:caps w:val="false"/>
          <w:smallCaps w:val="false"/>
          <w:sz w:val="20"/>
        </w:rPr>
        <w:t>” below), we generally will withhold 15% of any distribution that exceeds our current and accumulated earnings and profits.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Gain on Sale, Taxable Exchange or Other Taxable Disposition of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discussion below regarding backup withholding and FATCA, a Non-U.S. holder generally will not be subject to U.S. federal income or withholding tax in respect of gain recognized on a sale, taxable exchange or other taxable disposition of our common stock, unless:</w:t>
      </w:r>
    </w:p>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gain is effectively connected with the conduct by the Non-U.S. holder of a trade or business within the United States (and, under certain income tax treaties, is attributable to a United States permanent establishment or fixed base maintained by the Non-U.S. holder);</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Non-U.S. holder is an individual present in the United States for 183 days or more in the taxable year of disposition and certain other requirements are met; or</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are or have been a “United States real property holding corporation” (as defined below) for U.S. federal income tax purposes at any time during the shorter of the five-year period ending on the date of disposition or the Non-U.S. holder’s holding period for the applicable common stock, except, in the case where shares of our common stock are “regularly traded on an established securities market” (within the meaning of applicable Treasury Regulations, referred to herein as “regularly traded”), and the Non-U.S. holders has owned, directly or constructively, 5% or less of our common stock at all times within the shorter of the five-year period preceding such disposition of common stock or such Non-U.S. holder’s holding period for such common stock. It is unclear how the rules for determining the 5% threshold for this purpose would be applied with respect to our common stock, including how a Non-U.S. holder’s ownership of our warrants, if any, impacts the 5% threshold determination with respect to its common stock. We can provide no assurance as to our future status as a United States real property holding corporation or as to whether our common stock will be considered to be regularly traded. Non-U.S. holders should consult their own tax advisors regarding the application of the foregoing rules in light of their particular facts and circumstances.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an applicable treaty provides otherwise, gain described in the first bullet point above will be subject to tax at generally applicable U.S. federal income tax rates as if the Non-U.S. holder were a U.S. resident. Any gains described in the first bullet point above of a Non-U.S. holder that is treated as a corporation for U.S. federal income tax purposes may also be subject to an additional “branch profits tax” imposed at a 30% rate (or such lower rate as may be specified by an applicable income tax treaty) on a portion of its effectively connected earnings and profits for the taxable year that are attributable to such gain, as adjusted for certain items.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Gain described in the second bullet point above will be subject to U.S. federal income tax at a 30% rate (or such lower rate as may be specified by an applicable income tax treaty), but may be offset by U.S. source capital losses realized during the same taxable year (even though the individual is not considered a resident of the United States), provided the Non-U.S. holder has timely filed U.S. federal income tax returns with respect to such losses. Non-U.S. holders should consult any applicable income tax treaties that may provide for different rules.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S-13</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third bullet point above applies to a Non-U.S. holder, gain recognized by such holder on the sale, exchange or other disposition of our common stock will be subject to tax at generally applicable U.S. federal income tax rates as if the Non-U.S. holder were a U.S. resident. In addition, a buyer of our common stock from such holder may be required to withhold U.S. federal income tax at a rate of 15% of the amount realized upon such disposition. Any amounts withheld may be refunded or credited against a Non-U.S. holder’s U.S. federal income tax liability, provided that the required information is timely provided to the IRS.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would be classified as a United States real property holding corporation if the fair market value of our “United States real property interests” equals or exceeds 50% of the sum of the fair market value of our worldwide real property interests plus our other assets used or held for use in a trade or business, as determined for U.S. federal income tax purposes. We believe that we are not currently a United States real property holding corporation; however, there can be no assurance that we will not become a United States real property holding corporation in the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Reporting and Backup Withholding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Payments of distributions on our common stock will not be subject to backup withholding, provided the applicable withholding agent does not have actual knowledge or reason to know the holder is a U.S. person and the holder either certifies its non-U.S. status, such as by furnishing a valid IRS Form W-8BEN, W-8BEN-E, W-8ECI, or W-8EXP, or otherwise establishes an exemption. However, information returns are required to be filed with the IRS in connection with any distributions on our common stock paid to the Non-U.S. holder, regardless of whether any tax was actually withheld. In addition, proceeds of the sale or other taxable disposition of our common stock within the United States or conducted through certain U.S.-related brokers generally will not be subject to backup withholding or information reporting, if the applicable withholding agent receives the certification described above and does not have actual knowledge or reason to know that such holder is a U.S. person, or the holder otherwise establishes an exemption. Proceeds of a disposition of our common stock conducted through a non-U.S. office of a non-U.S. broker generally will not be subject to backup withholding or information reporting.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Copies of information returns that are filed with the IRS may also be made available under the provisions of an applicable treaty or agreement to the tax authorities of the country in which the Non-U.S. Holder resides or is established or organized.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Backup withholding is not an additional tax. Any amounts withheld under the backup withholding rules may be allowed as a refund or a credit against a Non-U.S. holder’s U.S. federal income tax liability, provided the required information is timely furnished to the IRS.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FATCA Withholding Taxes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Provisions commonly referred to as “FATCA” impose withholding of 30% on payments of dividends (including constructive dividends) on our common stock to “foreign financial institutions” (which is broadly defined for this purpose and in general includes investment vehicles) and certain other non-U.S. entities unless various U.S. information reporting and due diligence requirements (generally relating to ownership by United States persons of interests in or accounts with those entities) have been satisfied by, or an exemption applies to, the payee (typically certified as to by the delivery of a properly completed IRS Form W-8BEN-E). Foreign financial institutions located in jurisdictions that have an intergovernmental agreement with the United States governing FATCA may be subject to different rules. Under certain circumstances, a Non-U.S. holder might be eligible for refunds or credits of such withholding taxes, and a Non-U.S. holder might be required to file a U.S. federal income tax return to claim such refunds or credits.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Thirty percent withholding under FATCA was scheduled to apply to payments of gross proceeds from the sale or other disposition of property that produces U.S.-source interest or dividends beginning on January 1, 2019, but on December 13, 2018, the IRS released proposed regulations that, if finalized in their proposed form, would eliminate the obligation to withhold on gross proceeds. Such proposed regulations also delayed withholding on certain other payments received from other foreign financial institutions that are allocable, as provided for under final Treasury Regulations, to payments of U.S.-source dividends, and other fixed or determinable annual or periodic income. Although these proposed Treasury Regulations are not final, taxpayers generally may rely on them until final Treasury Regulations are issued. However, there can be no assurance that final Treasury Regulations will provide the same exceptions from FATCA withholding as the proposed Treasury Regulations. Non-U.S. holders should consult their tax advisors regarding the effects of FATCA on their investment in our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 w:name="s_008"/>
      <w:bookmarkEnd w:id="10"/>
      <w:r>
        <w:rPr>
          <w:rFonts w:ascii="Times New Roman;Times;Serif" w:hAnsi="Times New Roman;Times;Serif"/>
          <w:b/>
          <w:i w:val="false"/>
          <w:caps w:val="false"/>
          <w:smallCaps w:val="false"/>
          <w:sz w:val="20"/>
        </w:rPr>
        <w:t>PLAN OF DISTRIBUTION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CSPA, we have the right, but not the obligation, to sell to Triton up to $5,000,000 of our shares of common stock, par value $0.0001 per share, offered by this prospectus supplement and the accompanying prospectus at our request any time during the Commitment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sale we request pursuant to a Purchase Notice under the CSPA may be for a number of shares of our common stock that does not exceed 9.9% of our outstanding shares</w:t>
      </w:r>
      <w:r>
        <w:rPr>
          <w:rFonts w:ascii="Times New Roman;Times;Serif" w:hAnsi="Times New Roman;Times;Serif"/>
          <w:b w:val="false"/>
          <w:i w:val="false"/>
          <w:caps w:val="false"/>
          <w:smallCaps w:val="false"/>
          <w:sz w:val="20"/>
          <w:shd w:fill="FFFFFF" w:val="clear"/>
        </w:rPr>
        <w:t>, which 9.9% amount is currently 9,988,465 shares as of the date of the CSPA (the “Commitment Shares”). Triton has committed to purchase the Commitment Shares at the lowest of (i) the official closing price of our common stock on the Nasdaq Stock Market on the trading day immediately preceding our submission of a Purchase Notice to Triton, (ii) the average official closing price of our common stock on the Nasdaq Stock Market for the five consecutive trading days ending on the business day immediately preceding our submission of a Purchase Notice to Triton, and (iii) 75% of the lowest traded price of the common stock five days prior to the closing date. The price in (i) and (ii) is referred to as the “Minimum Price” and the price in (i), (ii) and (iii) is referred to as the “Purchase Price”.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completing the purchase of 18.9% of our outstanding shares, Triton has committed to purchase a number of additional shares such that the total proceeds to be received by us on or before June 7, 2024 pursuant to the CSPA will exceed $3,000,000, including those shares that are the subject of the Purchase Notices (such shares, the “Backstop Shares”). The Backstop Shares will be purchased at (x) the Purchase Price, if the Financial Viability Relief has been sought and granted to us and such relief permits the receipt of proceeds from the sale of common stock on or before June 7, 2024, or (y) the Minimum Price, if the Financial Viability Relief has not been sought or granted or cannot generate such proceeds on or before June 7, 2024. Triton’s obligation with respect to purchasing the Backstop Shares is conditioned on (i) us having timely delivered a first Purchase Notice for 9.9% of our outstanding shares within one business day of the execution of the CSPA, and (ii) us having timely delivered a second Purchase Notice for 9.9% of our outstanding shares to Triton within one business day after the closing related to such first Purchase Notice.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of common stock that we may from time to time issue to Triton under this prospectus supplement may be subsequently sold or distributed from time to time by Triton, as a selling stockholder, directly to one or more purchasers or through brokers, dealers, or underwriters who may act solely as agents at market prices prevailing at the time of sale, at prices related to the prevailing market prices, at negotiated prices, or at fixed prices, which may be changed. Any resale of the shares of our common stock offered by this prospectus supplement could be effected in one or more of the following methods:</w:t>
      </w:r>
    </w:p>
    <w:p>
      <w:pPr>
        <w:pStyle w:val="TextBody"/>
        <w:bidi w:val="0"/>
        <w:spacing w:before="0" w:after="0"/>
        <w:ind w:left="0" w:right="0" w:hanging="0"/>
        <w:jc w:val="both"/>
        <w:rPr>
          <w:caps w:val="false"/>
          <w:smallCaps w:val="false"/>
        </w:rPr>
      </w:pPr>
      <w:r>
        <w:rPr>
          <w:caps w:val="false"/>
          <w:smallCaps w:val="false"/>
        </w:rPr>
        <w:t> </w:t>
      </w:r>
    </w:p>
    <w:tbl>
      <w:tblPr>
        <w:tblW w:w="9168" w:type="dxa"/>
        <w:jc w:val="left"/>
        <w:tblInd w:w="0" w:type="dxa"/>
        <w:tblLayout w:type="fixed"/>
        <w:tblCellMar>
          <w:top w:w="0" w:type="dxa"/>
          <w:left w:w="0" w:type="dxa"/>
          <w:bottom w:w="0" w:type="dxa"/>
          <w:right w:w="0" w:type="dxa"/>
        </w:tblCellMar>
      </w:tblPr>
      <w:tblGrid>
        <w:gridCol w:w="38"/>
        <w:gridCol w:w="170"/>
        <w:gridCol w:w="89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96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ordinary brokerage transactions and transactions in which the broker-dealer solicits purchasers;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block trades in which the broker-dealer will attempt to sell the shares as agent but may position and resell a portion of the block as principal to facilitate the transaction;</w:t>
            </w:r>
          </w:p>
        </w:tc>
      </w:tr>
    </w:tbl>
    <w:p>
      <w:pPr>
        <w:pStyle w:val="TextBody"/>
        <w:bidi w:val="0"/>
        <w:spacing w:before="0" w:after="0"/>
        <w:ind w:left="0" w:right="0" w:hanging="0"/>
        <w:jc w:val="left"/>
        <w:rPr>
          <w:caps w:val="false"/>
          <w:smallCaps w:val="false"/>
        </w:rPr>
      </w:pPr>
      <w:r>
        <w:rPr>
          <w:caps w:val="false"/>
          <w:smallCaps w:val="false"/>
        </w:rPr>
        <w:t> </w:t>
      </w:r>
    </w:p>
    <w:tbl>
      <w:tblPr>
        <w:tblW w:w="8376" w:type="dxa"/>
        <w:jc w:val="left"/>
        <w:tblInd w:w="0" w:type="dxa"/>
        <w:tblLayout w:type="fixed"/>
        <w:tblCellMar>
          <w:top w:w="0" w:type="dxa"/>
          <w:left w:w="0" w:type="dxa"/>
          <w:bottom w:w="0" w:type="dxa"/>
          <w:right w:w="0" w:type="dxa"/>
        </w:tblCellMar>
      </w:tblPr>
      <w:tblGrid>
        <w:gridCol w:w="38"/>
        <w:gridCol w:w="23"/>
        <w:gridCol w:w="8315"/>
      </w:tblGrid>
      <w:tr>
        <w:trPr/>
        <w:tc>
          <w:tcPr>
            <w:tcW w:w="3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831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purchases by a broker-dealer as principal and resale by the broker-dealer for its account;</w:t>
            </w:r>
          </w:p>
        </w:tc>
      </w:tr>
    </w:tbl>
    <w:p>
      <w:pPr>
        <w:pStyle w:val="TextBody"/>
        <w:bidi w:val="0"/>
        <w:spacing w:before="0" w:after="0"/>
        <w:ind w:left="0" w:right="0" w:hanging="0"/>
        <w:jc w:val="left"/>
        <w:rPr>
          <w:caps w:val="false"/>
          <w:smallCaps w:val="false"/>
        </w:rPr>
      </w:pPr>
      <w:r>
        <w:rPr>
          <w:caps w:val="false"/>
          <w:smallCaps w:val="false"/>
        </w:rPr>
        <w:t> </w:t>
      </w:r>
    </w:p>
    <w:tbl>
      <w:tblPr>
        <w:tblW w:w="7893" w:type="dxa"/>
        <w:jc w:val="left"/>
        <w:tblInd w:w="0" w:type="dxa"/>
        <w:tblLayout w:type="fixed"/>
        <w:tblCellMar>
          <w:top w:w="0" w:type="dxa"/>
          <w:left w:w="0" w:type="dxa"/>
          <w:bottom w:w="0" w:type="dxa"/>
          <w:right w:w="0" w:type="dxa"/>
        </w:tblCellMar>
      </w:tblPr>
      <w:tblGrid>
        <w:gridCol w:w="38"/>
        <w:gridCol w:w="170"/>
        <w:gridCol w:w="76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68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an exchange distribution in accordance with the rules of the applicable exchange;</w:t>
            </w:r>
          </w:p>
        </w:tc>
      </w:tr>
    </w:tbl>
    <w:p>
      <w:pPr>
        <w:pStyle w:val="TextBody"/>
        <w:bidi w:val="0"/>
        <w:spacing w:before="0" w:after="0"/>
        <w:ind w:left="0" w:right="0" w:hanging="0"/>
        <w:jc w:val="left"/>
        <w:rPr>
          <w:caps w:val="false"/>
          <w:smallCaps w:val="false"/>
        </w:rPr>
      </w:pPr>
      <w:r>
        <w:rPr>
          <w:caps w:val="false"/>
          <w:smallCaps w:val="false"/>
        </w:rPr>
        <w:t> </w:t>
      </w:r>
    </w:p>
    <w:tbl>
      <w:tblPr>
        <w:tblW w:w="3333" w:type="dxa"/>
        <w:jc w:val="left"/>
        <w:tblInd w:w="0" w:type="dxa"/>
        <w:tblLayout w:type="fixed"/>
        <w:tblCellMar>
          <w:top w:w="0" w:type="dxa"/>
          <w:left w:w="0" w:type="dxa"/>
          <w:bottom w:w="0" w:type="dxa"/>
          <w:right w:w="0" w:type="dxa"/>
        </w:tblCellMar>
      </w:tblPr>
      <w:tblGrid>
        <w:gridCol w:w="38"/>
        <w:gridCol w:w="170"/>
        <w:gridCol w:w="31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12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privately negotiated transactions;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in transactions through broker-dealers that agree with the selling stockholder to sell a specified number of such securities at a stipulated price per security;</w:t>
            </w:r>
          </w:p>
        </w:tc>
      </w:tr>
    </w:tbl>
    <w:p>
      <w:pPr>
        <w:pStyle w:val="TextBody"/>
        <w:bidi w:val="0"/>
        <w:spacing w:before="0" w:after="0"/>
        <w:ind w:left="0" w:right="0" w:hanging="0"/>
        <w:jc w:val="left"/>
        <w:rPr>
          <w:caps w:val="false"/>
          <w:smallCaps w:val="false"/>
        </w:rPr>
      </w:pPr>
      <w:r>
        <w:rPr>
          <w:caps w:val="false"/>
          <w:smallCaps w:val="false"/>
        </w:rPr>
        <w:t> </w:t>
      </w:r>
    </w:p>
    <w:tbl>
      <w:tblPr>
        <w:tblW w:w="9288" w:type="dxa"/>
        <w:jc w:val="left"/>
        <w:tblInd w:w="0" w:type="dxa"/>
        <w:tblLayout w:type="fixed"/>
        <w:tblCellMar>
          <w:top w:w="0" w:type="dxa"/>
          <w:left w:w="0" w:type="dxa"/>
          <w:bottom w:w="0" w:type="dxa"/>
          <w:right w:w="0" w:type="dxa"/>
        </w:tblCellMar>
      </w:tblPr>
      <w:tblGrid>
        <w:gridCol w:w="38"/>
        <w:gridCol w:w="170"/>
        <w:gridCol w:w="90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08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through the writing or settlement of options, whether through an options exchange or otherwise;</w:t>
            </w:r>
          </w:p>
        </w:tc>
      </w:tr>
    </w:tbl>
    <w:p>
      <w:pPr>
        <w:pStyle w:val="TextBody"/>
        <w:bidi w:val="0"/>
        <w:spacing w:before="0" w:after="0"/>
        <w:ind w:left="0" w:right="0" w:hanging="0"/>
        <w:jc w:val="left"/>
        <w:rPr>
          <w:caps w:val="false"/>
          <w:smallCaps w:val="false"/>
        </w:rPr>
      </w:pPr>
      <w:r>
        <w:rPr>
          <w:caps w:val="false"/>
          <w:smallCaps w:val="false"/>
        </w:rPr>
        <w:t> </w:t>
      </w:r>
    </w:p>
    <w:tbl>
      <w:tblPr>
        <w:tblW w:w="4578" w:type="dxa"/>
        <w:jc w:val="left"/>
        <w:tblInd w:w="0" w:type="dxa"/>
        <w:tblLayout w:type="fixed"/>
        <w:tblCellMar>
          <w:top w:w="0" w:type="dxa"/>
          <w:left w:w="0" w:type="dxa"/>
          <w:bottom w:w="0" w:type="dxa"/>
          <w:right w:w="0" w:type="dxa"/>
        </w:tblCellMar>
      </w:tblPr>
      <w:tblGrid>
        <w:gridCol w:w="38"/>
        <w:gridCol w:w="170"/>
        <w:gridCol w:w="43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37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 combination of any such methods of sale; or</w:t>
            </w:r>
          </w:p>
        </w:tc>
      </w:tr>
    </w:tbl>
    <w:p>
      <w:pPr>
        <w:pStyle w:val="TextBody"/>
        <w:bidi w:val="0"/>
        <w:spacing w:before="0" w:after="0"/>
        <w:ind w:left="0" w:right="0" w:hanging="0"/>
        <w:jc w:val="left"/>
        <w:rPr>
          <w:caps w:val="false"/>
          <w:smallCaps w:val="false"/>
        </w:rPr>
      </w:pPr>
      <w:r>
        <w:rPr>
          <w:caps w:val="false"/>
          <w:smallCaps w:val="false"/>
        </w:rPr>
        <w:t> </w:t>
      </w:r>
    </w:p>
    <w:tbl>
      <w:tblPr>
        <w:tblW w:w="5433" w:type="dxa"/>
        <w:jc w:val="left"/>
        <w:tblInd w:w="0" w:type="dxa"/>
        <w:tblLayout w:type="fixed"/>
        <w:tblCellMar>
          <w:top w:w="0" w:type="dxa"/>
          <w:left w:w="0" w:type="dxa"/>
          <w:bottom w:w="0" w:type="dxa"/>
          <w:right w:w="0" w:type="dxa"/>
        </w:tblCellMar>
      </w:tblPr>
      <w:tblGrid>
        <w:gridCol w:w="38"/>
        <w:gridCol w:w="170"/>
        <w:gridCol w:w="52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22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any other method permitted pursuant to applicable law.</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S-15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Triton may also sell the shares of common stock under Rule 144 under the Securities Act, if available, rather than under this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comply with the securities laws of certain states, if applicable, the shares may be sold through registered or licensed brokers or dealers. In addition, in certain states, the shares may not be sold unless they have been registered or qualified for sale in the state or an exemption from the state’s registration or qualification requirement is available and complied 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Triton is deemed an “underwriter” within the meaning of Section 2(a)(11) of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Triton has informed us that it intends to use an unaffiliated broker-dealer to effectuate sales, if any, of the common stock that it may acquire from us pursuant to the CSPA. Such sales will be made at prices and at terms then prevailing or at prices related to the then current market price. Each such unaffiliated broker-dealer will be an underwriter within the meaning of Section 2(a)(11) of the Securities Act. Triton has informed us that each such broker-dealer will receive commissions from Triton that will not exceed customary brokerage commissions.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Brokers, dealers, underwriters, or agents participating in any distribution of the shares of our common stock offered by this prospectus supplement may receive compensation in the form of commissions, discounts, or concessions from the seller and/or purchasers of the common stock for whom the broker-dealers may act as agent. The compensation paid to a particular broker-dealer may be less than or in excess of customary commissions. Neither we nor Triton can presently estimate the amount of compensation that any agent will receive.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know of no existing arrangements between Triton or any other stockholder, broker, dealer, underwriter or agent relating to the sale or distribution of the shares of common stock offered by this prospectus supplement. At the time a particular offer of shares is made, a prospectus supplement, if required under the Securities Act, will be distributed that will set forth the names of any agents, underwriters or dealers and any compensation from the selling stockholder, and any other required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pay our expenses incident to this offering, which we estimate to be approximately $200,000. We have agreed to indemnify Triton and certain other persons against certain liabilities in connection with the offering of shares of our common stock offered hereby, and if such indemnity is unavailable, to contribute amounts required to be paid in respect of such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Triton has covenanted that neither Triton nor any affiliate of Triton acting on its behalf or pursuant to any understanding with it, will execute any short sales of our common stock during the term of the CSPA.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advised Triton that it is required to comply with Regulation M promulgated under the Securities Exchange Act of 1934, as amended (the “Exchange Act”). With certain exceptions, Regulation M precludes a selling stockholder, any affiliated purchasers, and any broker-dealer or other person who participates in a distribution from bidding for or purchasing, or attempting to induce any person to bid for or purchase any security which is the subject of the distribution until the entire distribution is complete. Regulation M also prohibits any bids or purchases made in order to stabilize the price of a security in connection with the distribution of that security. All of the foregoing may affect the marketability of the securities offered by this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summary of the material provisions of the CSPA does not purport to be a complete statement of its terms and conditions. A copy of the CSPA is filed as an exhibit to a current report on Form 8-K filed with the SEC under the Exchange Act, and incorporated by reference in this prospectus supplement. See “Incorporation of Certain Documents by Reference” and “Where You Can Find More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action has been or will be taken in any jurisdiction (except in the United States) that would permit a public offering of the securities offered by this prospectus supplement and accompanying prospectus, or the possession, circulation, or distribution of this prospectus supplement and accompanying prospectus or any other material relating to us or the securities offered hereby in any jurisdiction where action for that purpose is required. Accordingly, the securities offered hereby may not be offered or sold, directly or indirectly, and neither of this prospectus supplement and accompanying prospectus nor any other offering material or advertisements in connection with the securities offered hereby may be distributed or published, in or from any country or jurisdiction except in compliance with any applicable rules and regulations of any such country or jurisdiction. Triton may arrange to sell securities offered by this prospectus supplement and accompanying prospectus in certain jurisdictions outside the United States, either directly or through affiliates, where they are permitted to do so.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1" w:name="s_009"/>
      <w:bookmarkEnd w:id="11"/>
      <w:r>
        <w:rPr>
          <w:rFonts w:ascii="Times New Roman;Times;Serif" w:hAnsi="Times New Roman;Times;Serif"/>
          <w:b/>
          <w:i w:val="false"/>
          <w:caps w:val="false"/>
          <w:smallCaps w:val="false"/>
          <w:sz w:val="20"/>
        </w:rPr>
        <w:t>LEGAL MATTERS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legal matters in connection with this Offering will be passed upon for us by Paul Hastings LLP, New York, New York.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2" w:name="s_010"/>
      <w:bookmarkEnd w:id="12"/>
      <w:r>
        <w:rPr>
          <w:rFonts w:ascii="Times New Roman;Times;Serif" w:hAnsi="Times New Roman;Times;Serif"/>
          <w:b/>
          <w:i w:val="false"/>
          <w:caps w:val="false"/>
          <w:smallCaps w:val="false"/>
          <w:sz w:val="20"/>
        </w:rPr>
        <w:t>EXPERTS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incorporated in this prospectus by reference from Presto Automation Inc.’s Annual Report on Form 10-K for the year ended June 30, 2023 have been audited by Moss Adams LLP, an independent registered public accounting firm, as stated in its report, which is incorporated herein by reference. Such consolidated financial statements have been so incorporated in reliance upon the report of such firm (which report expresses an unqualified opinion and includes explanatory paragraphs relating to a going concern uncertainty and the adoption of a new accounting standard) given upon their authority as experts in accounting and auditing.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3" w:name="s_011"/>
      <w:bookmarkEnd w:id="13"/>
      <w:r>
        <w:rPr>
          <w:rFonts w:ascii="Times New Roman;Times;Serif" w:hAnsi="Times New Roman;Times;Serif"/>
          <w:b/>
          <w:i w:val="false"/>
          <w:caps w:val="false"/>
          <w:smallCaps w:val="false"/>
          <w:sz w:val="20"/>
        </w:rPr>
        <w:t>WHERE YOU CAN FIND MORE INFORMATION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file annual, quarterly and current reports, proxy statements and other information with the SEC. The SEC maintains an Internet website at </w:t>
      </w:r>
      <w:r>
        <w:rPr>
          <w:rFonts w:ascii="Times New Roman;Times;Serif" w:hAnsi="Times New Roman;Times;Serif"/>
          <w:b w:val="false"/>
          <w:i/>
          <w:caps w:val="false"/>
          <w:smallCaps w:val="false"/>
          <w:sz w:val="20"/>
        </w:rPr>
        <w:t>http://www.sec.gov</w:t>
      </w:r>
      <w:r>
        <w:rPr>
          <w:rFonts w:ascii="Times New Roman;Times;Serif" w:hAnsi="Times New Roman;Times;Serif"/>
          <w:b w:val="false"/>
          <w:i w:val="false"/>
          <w:caps w:val="false"/>
          <w:smallCaps w:val="false"/>
          <w:sz w:val="20"/>
        </w:rPr>
        <w:t xml:space="preserve"> that contains reports, proxy and information statements, and other information regarding issuers that file electronically with the SEC, including Romeo Power, Inc. You may also access our reports and proxy statements free of charge at our Internet website, </w:t>
      </w:r>
      <w:r>
        <w:rPr>
          <w:rFonts w:ascii="Times New Roman;Times;Serif" w:hAnsi="Times New Roman;Times;Serif"/>
          <w:b w:val="false"/>
          <w:i/>
          <w:caps w:val="false"/>
          <w:smallCaps w:val="false"/>
          <w:sz w:val="20"/>
        </w:rPr>
        <w:t>http://www.romeopower.com</w:t>
      </w:r>
      <w:r>
        <w:rPr>
          <w:rFonts w:ascii="Times New Roman;Times;Serif" w:hAnsi="Times New Roman;Times;Serif"/>
          <w:b w:val="false"/>
          <w:i w:val="false"/>
          <w:caps w:val="false"/>
          <w:smallCaps w:val="false"/>
          <w:sz w:val="20"/>
        </w:rPr>
        <w:t>. The information contained in, or that can be accessed through, our website is not part of this prospectus supplement.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and the accompanying prospectus are part of a registration statement on Form S-3 that we filed with the SEC. This prospectus supplement and the accompanying prospectus do not contain all of the information set forth in the registration statement and exhibits and schedules to the registration statement. For further information with respect to the Company and its securities, reference is made to the registration statement, including the exhibits and schedules to the registration statement. Statements contained in this prospectus supplement and the accompanying prospectus as to the contents of any contract or other document referred to in this prospectus supplement and the accompanying prospectus are not necessarily complete and, where that contract is an exhibit to the registration statement, each statement is qualified in all respects by reference to the exhibit to which the reference relates.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S-17</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4" w:name="s_012"/>
      <w:bookmarkEnd w:id="14"/>
      <w:r>
        <w:rPr>
          <w:rFonts w:ascii="Times New Roman;Times;Serif" w:hAnsi="Times New Roman;Times;Serif"/>
          <w:b/>
          <w:i w:val="false"/>
          <w:caps w:val="false"/>
          <w:smallCaps w:val="false"/>
          <w:sz w:val="20"/>
        </w:rPr>
        <w:t>INCORPORATION OF CERTAIN DOCUMENTS BY REFERENCE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allows us to “incorporate by reference” in this prospectus supplement the information in other documents that we file with the SEC, which means that we can disclose important information to you by referring you to those documents. The information incorporated by reference is considered to be a part of this prospectus supplement. Information in documents that we file later with the SEC will automatically update and supersede information contained in documents filed earlier with the SEC or contained in this prospectus supplement. Any information so updated or superseded will not constitute a part of this prospectus supplement, except as so updated or superseded. We incorporate by reference into this prospectus supplement the documents listed below, which we have filed with the SEC, and any future filings that we may make with the SEC under Sections 13(a), 13(c), 14 or 15(d) of the Exchange Act (other than documents and information furnished and not filed in accordance with SEC rules, unless expressly stated otherwise therein), prior to the termination of the Offering under this prospectus supplement:</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rFonts w:ascii="Times New Roman;Times;Serif" w:hAnsi="Times New Roman;Times;Serif"/>
              </w:rPr>
              <w:t xml:space="preserve">our Annual Report on </w:t>
            </w:r>
            <w:hyperlink r:id="rId4">
              <w:r>
                <w:rPr>
                  <w:rStyle w:val="InternetLink"/>
                  <w:rFonts w:ascii="Times New Roman;Times;Serif" w:hAnsi="Times New Roman;Times;Serif"/>
                </w:rPr>
                <w:t>Form 10-K</w:t>
              </w:r>
            </w:hyperlink>
            <w:r>
              <w:rPr>
                <w:rFonts w:ascii="Times New Roman;Times;Serif" w:hAnsi="Times New Roman;Times;Serif"/>
              </w:rPr>
              <w:t xml:space="preserve"> for the year ended June 30, 2023, filed with the SEC on October 11, 2023, as amended by amendment no. 1 to our Annual Report for the year ended June 30, 2023 on </w:t>
            </w:r>
            <w:hyperlink r:id="rId5">
              <w:r>
                <w:rPr>
                  <w:rStyle w:val="InternetLink"/>
                  <w:rFonts w:ascii="Times New Roman;Times;Serif" w:hAnsi="Times New Roman;Times;Serif"/>
                </w:rPr>
                <w:t>Form 10-K/A</w:t>
              </w:r>
            </w:hyperlink>
            <w:r>
              <w:rPr>
                <w:rFonts w:ascii="Times New Roman;Times;Serif" w:hAnsi="Times New Roman;Times;Serif"/>
              </w:rPr>
              <w:t>, filed with the SEC on October 12, 2023;</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rFonts w:ascii="Times New Roman;Times;Serif" w:hAnsi="Times New Roman;Times;Serif"/>
              </w:rPr>
              <w:t xml:space="preserve">our Quarterly Report on </w:t>
            </w:r>
            <w:hyperlink r:id="rId6">
              <w:r>
                <w:rPr>
                  <w:rStyle w:val="InternetLink"/>
                  <w:rFonts w:ascii="Times New Roman;Times;Serif" w:hAnsi="Times New Roman;Times;Serif"/>
                </w:rPr>
                <w:t>Form 10-Q</w:t>
              </w:r>
            </w:hyperlink>
            <w:r>
              <w:rPr>
                <w:rFonts w:ascii="Times New Roman;Times;Serif" w:hAnsi="Times New Roman;Times;Serif"/>
              </w:rPr>
              <w:t xml:space="preserve"> for the quarter ended September 30, 2023, filed with the SEC on November 20, 2023, our Quarterly Report on </w:t>
            </w:r>
            <w:hyperlink r:id="rId7">
              <w:r>
                <w:rPr>
                  <w:rStyle w:val="InternetLink"/>
                  <w:rFonts w:ascii="Times New Roman;Times;Serif" w:hAnsi="Times New Roman;Times;Serif"/>
                </w:rPr>
                <w:t>Form 10-Q</w:t>
              </w:r>
            </w:hyperlink>
            <w:r>
              <w:rPr>
                <w:rFonts w:ascii="Times New Roman;Times;Serif" w:hAnsi="Times New Roman;Times;Serif"/>
              </w:rPr>
              <w:t xml:space="preserve"> for the quarter ended December 31, 2023, submitted to the SEC on February 20, 2024 and deemed filed with the SEC on February 21, 2024 and our Quarterly Report on </w:t>
            </w:r>
            <w:hyperlink r:id="rId8">
              <w:r>
                <w:rPr>
                  <w:rStyle w:val="InternetLink"/>
                  <w:rFonts w:ascii="Times New Roman;Times;Serif" w:hAnsi="Times New Roman;Times;Serif"/>
                </w:rPr>
                <w:t>Form 10-Q</w:t>
              </w:r>
            </w:hyperlink>
            <w:r>
              <w:rPr>
                <w:rFonts w:ascii="Times New Roman;Times;Serif" w:hAnsi="Times New Roman;Times;Serif"/>
              </w:rPr>
              <w:t xml:space="preserve"> for the quarter ended March 31, 2024, submitted to the SEC on May 20, 2024 and deemed filed with the SEC on May 21, 2024;</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rFonts w:ascii="Times New Roman;Times;Serif" w:hAnsi="Times New Roman;Times;Serif"/>
              </w:rPr>
              <w:t xml:space="preserve">our Current Reports on Form 8-K, filed with the SEC on </w:t>
            </w:r>
            <w:hyperlink r:id="rId9">
              <w:r>
                <w:rPr>
                  <w:rStyle w:val="InternetLink"/>
                  <w:rFonts w:ascii="Times New Roman;Times;Serif" w:hAnsi="Times New Roman;Times;Serif"/>
                </w:rPr>
                <w:t>August 2, 2023</w:t>
              </w:r>
            </w:hyperlink>
            <w:r>
              <w:rPr>
                <w:rFonts w:ascii="Times New Roman;Times;Serif" w:hAnsi="Times New Roman;Times;Serif"/>
              </w:rPr>
              <w:t xml:space="preserve">, </w:t>
            </w:r>
            <w:hyperlink r:id="rId10">
              <w:r>
                <w:rPr>
                  <w:rStyle w:val="InternetLink"/>
                  <w:rFonts w:ascii="Times New Roman;Times;Serif" w:hAnsi="Times New Roman;Times;Serif"/>
                </w:rPr>
                <w:t>August 31, 2023</w:t>
              </w:r>
            </w:hyperlink>
            <w:r>
              <w:rPr>
                <w:rFonts w:ascii="Times New Roman;Times;Serif" w:hAnsi="Times New Roman;Times;Serif"/>
              </w:rPr>
              <w:t xml:space="preserve">, </w:t>
            </w:r>
            <w:hyperlink r:id="rId11">
              <w:r>
                <w:rPr>
                  <w:rStyle w:val="InternetLink"/>
                  <w:rFonts w:ascii="Times New Roman;Times;Serif" w:hAnsi="Times New Roman;Times;Serif"/>
                </w:rPr>
                <w:t>October 11, 2023</w:t>
              </w:r>
            </w:hyperlink>
            <w:r>
              <w:rPr>
                <w:rFonts w:ascii="Times New Roman;Times;Serif" w:hAnsi="Times New Roman;Times;Serif"/>
              </w:rPr>
              <w:t xml:space="preserve"> (excluding Item 2.02 and the exhibits furnished under Item 9.01 therein), </w:t>
            </w:r>
            <w:hyperlink r:id="rId12">
              <w:r>
                <w:rPr>
                  <w:rStyle w:val="InternetLink"/>
                  <w:rFonts w:ascii="Times New Roman;Times;Serif" w:hAnsi="Times New Roman;Times;Serif"/>
                </w:rPr>
                <w:t>October 20, 2023</w:t>
              </w:r>
            </w:hyperlink>
            <w:r>
              <w:rPr>
                <w:rFonts w:ascii="Times New Roman;Times;Serif" w:hAnsi="Times New Roman;Times;Serif"/>
              </w:rPr>
              <w:t xml:space="preserve">, </w:t>
            </w:r>
            <w:hyperlink r:id="rId13">
              <w:r>
                <w:rPr>
                  <w:rStyle w:val="InternetLink"/>
                  <w:rFonts w:ascii="Times New Roman;Times;Serif" w:hAnsi="Times New Roman;Times;Serif"/>
                </w:rPr>
                <w:t>November 21, 2023</w:t>
              </w:r>
            </w:hyperlink>
            <w:r>
              <w:rPr>
                <w:rFonts w:ascii="Times New Roman;Times;Serif" w:hAnsi="Times New Roman;Times;Serif"/>
              </w:rPr>
              <w:t xml:space="preserve">, </w:t>
            </w:r>
            <w:hyperlink r:id="rId14">
              <w:r>
                <w:rPr>
                  <w:rStyle w:val="InternetLink"/>
                  <w:rFonts w:ascii="Times New Roman;Times;Serif" w:hAnsi="Times New Roman;Times;Serif"/>
                </w:rPr>
                <w:t>December 5, 2023</w:t>
              </w:r>
            </w:hyperlink>
            <w:r>
              <w:rPr>
                <w:rFonts w:ascii="Times New Roman;Times;Serif" w:hAnsi="Times New Roman;Times;Serif"/>
              </w:rPr>
              <w:t xml:space="preserve">, </w:t>
            </w:r>
            <w:hyperlink r:id="rId15">
              <w:r>
                <w:rPr>
                  <w:rStyle w:val="InternetLink"/>
                  <w:rFonts w:ascii="Times New Roman;Times;Serif" w:hAnsi="Times New Roman;Times;Serif"/>
                </w:rPr>
                <w:t>December 12, 2023</w:t>
              </w:r>
            </w:hyperlink>
            <w:r>
              <w:rPr>
                <w:rFonts w:ascii="Times New Roman;Times;Serif" w:hAnsi="Times New Roman;Times;Serif"/>
              </w:rPr>
              <w:t xml:space="preserve">, </w:t>
            </w:r>
            <w:hyperlink r:id="rId16">
              <w:r>
                <w:rPr>
                  <w:rStyle w:val="InternetLink"/>
                  <w:rFonts w:ascii="Times New Roman;Times;Serif" w:hAnsi="Times New Roman;Times;Serif"/>
                </w:rPr>
                <w:t>December 14, 2023</w:t>
              </w:r>
            </w:hyperlink>
            <w:r>
              <w:rPr>
                <w:rFonts w:ascii="Times New Roman;Times;Serif" w:hAnsi="Times New Roman;Times;Serif"/>
              </w:rPr>
              <w:t xml:space="preserve">, (excluding Item 7.01 and the exhibits furnished under Item 9.01 therein), </w:t>
            </w:r>
            <w:hyperlink r:id="rId17">
              <w:r>
                <w:rPr>
                  <w:rStyle w:val="InternetLink"/>
                  <w:rFonts w:ascii="Times New Roman;Times;Serif" w:hAnsi="Times New Roman;Times;Serif"/>
                </w:rPr>
                <w:t>December 22, 2023</w:t>
              </w:r>
            </w:hyperlink>
            <w:r>
              <w:rPr>
                <w:rFonts w:ascii="Times New Roman;Times;Serif" w:hAnsi="Times New Roman;Times;Serif"/>
              </w:rPr>
              <w:t xml:space="preserve">, </w:t>
            </w:r>
            <w:hyperlink r:id="rId18">
              <w:r>
                <w:rPr>
                  <w:rStyle w:val="InternetLink"/>
                  <w:rFonts w:ascii="Times New Roman;Times;Serif" w:hAnsi="Times New Roman;Times;Serif"/>
                </w:rPr>
                <w:t>January 4, 2024</w:t>
              </w:r>
            </w:hyperlink>
            <w:r>
              <w:rPr>
                <w:rFonts w:ascii="Times New Roman;Times;Serif" w:hAnsi="Times New Roman;Times;Serif"/>
              </w:rPr>
              <w:t xml:space="preserve">, </w:t>
            </w:r>
            <w:hyperlink r:id="rId19">
              <w:r>
                <w:rPr>
                  <w:rStyle w:val="InternetLink"/>
                  <w:rFonts w:ascii="Times New Roman;Times;Serif" w:hAnsi="Times New Roman;Times;Serif"/>
                </w:rPr>
                <w:t>January 22, 2024</w:t>
              </w:r>
            </w:hyperlink>
            <w:r>
              <w:rPr>
                <w:rFonts w:ascii="Times New Roman;Times;Serif" w:hAnsi="Times New Roman;Times;Serif"/>
              </w:rPr>
              <w:t xml:space="preserve">, </w:t>
            </w:r>
            <w:hyperlink r:id="rId20">
              <w:r>
                <w:rPr>
                  <w:rStyle w:val="InternetLink"/>
                  <w:rFonts w:ascii="Times New Roman;Times;Serif" w:hAnsi="Times New Roman;Times;Serif"/>
                </w:rPr>
                <w:t>February 1, 2024</w:t>
              </w:r>
            </w:hyperlink>
            <w:r>
              <w:rPr>
                <w:rFonts w:ascii="Times New Roman;Times;Serif" w:hAnsi="Times New Roman;Times;Serif"/>
              </w:rPr>
              <w:t xml:space="preserve">, </w:t>
            </w:r>
            <w:hyperlink r:id="rId21">
              <w:r>
                <w:rPr>
                  <w:rStyle w:val="InternetLink"/>
                  <w:rFonts w:ascii="Times New Roman;Times;Serif" w:hAnsi="Times New Roman;Times;Serif"/>
                </w:rPr>
                <w:t>February 2, 2024</w:t>
              </w:r>
            </w:hyperlink>
            <w:r>
              <w:rPr>
                <w:rFonts w:ascii="Times New Roman;Times;Serif" w:hAnsi="Times New Roman;Times;Serif"/>
              </w:rPr>
              <w:t xml:space="preserve"> (and the subsequent Form 8-K/A filed on </w:t>
            </w:r>
            <w:hyperlink r:id="rId22">
              <w:r>
                <w:rPr>
                  <w:rStyle w:val="InternetLink"/>
                  <w:rFonts w:ascii="Times New Roman;Times;Serif" w:hAnsi="Times New Roman;Times;Serif"/>
                </w:rPr>
                <w:t>February 20, 2024</w:t>
              </w:r>
            </w:hyperlink>
            <w:r>
              <w:rPr>
                <w:rFonts w:ascii="Times New Roman;Times;Serif" w:hAnsi="Times New Roman;Times;Serif"/>
              </w:rPr>
              <w:t xml:space="preserve">), </w:t>
            </w:r>
            <w:hyperlink r:id="rId23">
              <w:r>
                <w:rPr>
                  <w:rStyle w:val="InternetLink"/>
                  <w:rFonts w:ascii="Times New Roman;Times;Serif" w:hAnsi="Times New Roman;Times;Serif"/>
                </w:rPr>
                <w:t>February 8, 2024</w:t>
              </w:r>
            </w:hyperlink>
            <w:r>
              <w:rPr>
                <w:rFonts w:ascii="Times New Roman;Times;Serif" w:hAnsi="Times New Roman;Times;Serif"/>
              </w:rPr>
              <w:t xml:space="preserve">, </w:t>
            </w:r>
            <w:hyperlink r:id="rId24">
              <w:r>
                <w:rPr>
                  <w:rStyle w:val="InternetLink"/>
                  <w:rFonts w:ascii="Times New Roman;Times;Serif" w:hAnsi="Times New Roman;Times;Serif"/>
                </w:rPr>
                <w:t>February 29, 2024</w:t>
              </w:r>
            </w:hyperlink>
            <w:r>
              <w:rPr>
                <w:rFonts w:ascii="Times New Roman;Times;Serif" w:hAnsi="Times New Roman;Times;Serif"/>
              </w:rPr>
              <w:t xml:space="preserve">, </w:t>
            </w:r>
            <w:hyperlink r:id="rId25">
              <w:r>
                <w:rPr>
                  <w:rStyle w:val="InternetLink"/>
                  <w:rFonts w:ascii="Times New Roman;Times;Serif" w:hAnsi="Times New Roman;Times;Serif"/>
                </w:rPr>
                <w:t>March 4, 2024</w:t>
              </w:r>
            </w:hyperlink>
            <w:r>
              <w:rPr>
                <w:rFonts w:ascii="Times New Roman;Times;Serif" w:hAnsi="Times New Roman;Times;Serif"/>
              </w:rPr>
              <w:t xml:space="preserve">, </w:t>
            </w:r>
            <w:hyperlink r:id="rId26">
              <w:r>
                <w:rPr>
                  <w:rStyle w:val="InternetLink"/>
                  <w:rFonts w:ascii="Times New Roman;Times;Serif" w:hAnsi="Times New Roman;Times;Serif"/>
                </w:rPr>
                <w:t>March 11, 2024</w:t>
              </w:r>
            </w:hyperlink>
            <w:r>
              <w:rPr>
                <w:rFonts w:ascii="Times New Roman;Times;Serif" w:hAnsi="Times New Roman;Times;Serif"/>
              </w:rPr>
              <w:t xml:space="preserve">, </w:t>
            </w:r>
            <w:hyperlink r:id="rId27">
              <w:r>
                <w:rPr>
                  <w:rStyle w:val="InternetLink"/>
                  <w:rFonts w:ascii="Times New Roman;Times;Serif" w:hAnsi="Times New Roman;Times;Serif"/>
                </w:rPr>
                <w:t>March 18, 2024</w:t>
              </w:r>
            </w:hyperlink>
            <w:r>
              <w:rPr>
                <w:rFonts w:ascii="Times New Roman;Times;Serif" w:hAnsi="Times New Roman;Times;Serif"/>
              </w:rPr>
              <w:t xml:space="preserve">, </w:t>
            </w:r>
            <w:hyperlink r:id="rId28">
              <w:r>
                <w:rPr>
                  <w:rStyle w:val="InternetLink"/>
                  <w:rFonts w:ascii="Times New Roman;Times;Serif" w:hAnsi="Times New Roman;Times;Serif"/>
                </w:rPr>
                <w:t>March 21, 2024</w:t>
              </w:r>
            </w:hyperlink>
            <w:r>
              <w:rPr>
                <w:rFonts w:ascii="Times New Roman;Times;Serif" w:hAnsi="Times New Roman;Times;Serif"/>
              </w:rPr>
              <w:t xml:space="preserve">; </w:t>
            </w:r>
            <w:hyperlink r:id="rId29">
              <w:r>
                <w:rPr>
                  <w:rStyle w:val="InternetLink"/>
                  <w:rFonts w:ascii="Times New Roman;Times;Serif" w:hAnsi="Times New Roman;Times;Serif"/>
                </w:rPr>
                <w:t>May 16, 2024</w:t>
              </w:r>
            </w:hyperlink>
            <w:r>
              <w:rPr>
                <w:rFonts w:ascii="Times New Roman;Times;Serif" w:hAnsi="Times New Roman;Times;Serif"/>
              </w:rPr>
              <w:t xml:space="preserve"> and </w:t>
            </w:r>
            <w:hyperlink r:id="rId30">
              <w:r>
                <w:rPr>
                  <w:rStyle w:val="InternetLink"/>
                  <w:rFonts w:ascii="Times New Roman;Times;Serif" w:hAnsi="Times New Roman;Times;Serif"/>
                </w:rPr>
                <w:t>May 22, 2024</w:t>
              </w:r>
            </w:hyperlink>
            <w:r>
              <w:rPr>
                <w:rFonts w:ascii="Times New Roman;Times;Serif" w:hAnsi="Times New Roman;Times;Serif"/>
              </w:rPr>
              <w:t>; and</w:t>
            </w:r>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rFonts w:ascii="Times New Roman;Times;Serif" w:hAnsi="Times New Roman;Times;Serif"/>
              </w:rPr>
              <w:t xml:space="preserve">the description of our capital stock contained in our registration statement on </w:t>
            </w:r>
            <w:hyperlink r:id="rId31">
              <w:r>
                <w:rPr>
                  <w:rStyle w:val="InternetLink"/>
                  <w:rFonts w:ascii="Times New Roman;Times;Serif" w:hAnsi="Times New Roman;Times;Serif"/>
                </w:rPr>
                <w:t>Form 8-A</w:t>
              </w:r>
            </w:hyperlink>
            <w:r>
              <w:rPr>
                <w:rFonts w:ascii="Times New Roman;Times;Serif" w:hAnsi="Times New Roman;Times;Serif"/>
              </w:rPr>
              <w:t xml:space="preserve"> (File No. 001-39830) filed on December 23, 2020, and any amendments or reports filed for the purposes of updating this description (including </w:t>
            </w:r>
            <w:hyperlink r:id="rId32">
              <w:r>
                <w:rPr>
                  <w:rStyle w:val="InternetLink"/>
                  <w:rFonts w:ascii="Times New Roman;Times;Serif" w:hAnsi="Times New Roman;Times;Serif"/>
                </w:rPr>
                <w:t>Exhibit 4.1</w:t>
              </w:r>
            </w:hyperlink>
            <w:r>
              <w:rPr>
                <w:rFonts w:ascii="Times New Roman;Times;Serif" w:hAnsi="Times New Roman;Times;Serif"/>
              </w:rPr>
              <w:t xml:space="preserve"> to the Annual Report on </w:t>
            </w:r>
            <w:hyperlink r:id="rId33">
              <w:r>
                <w:rPr>
                  <w:rStyle w:val="InternetLink"/>
                  <w:rFonts w:ascii="Times New Roman;Times;Serif" w:hAnsi="Times New Roman;Times;Serif"/>
                </w:rPr>
                <w:t>Form 10-K</w:t>
              </w:r>
            </w:hyperlink>
            <w:r>
              <w:rPr>
                <w:rFonts w:ascii="Times New Roman;Times;Serif" w:hAnsi="Times New Roman;Times;Serif"/>
              </w:rPr>
              <w:t xml:space="preserve"> for the year ended June 30, 2023).</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information in any of the foregoing documents will automatically be deemed to be modified or superseded to the extent that information in this prospectus supplement or in a later filed document that is incorporated or deemed to be incorporated herein by reference modifies or replaces such information.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provide, without charge, upon written or oral request, a copy of any or all of the documents that are incorporated by reference in this prospectus supplement, excluding any exhibits to those documents unless such exhibits are specifically incorporated by reference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direct requests for documents to:</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Presto Automation Inc.</w:t>
        <w:br/>
        <w:t>985 Industrial Road</w:t>
        <w:br/>
        <w:t>San Carlos, CA 94070</w:t>
        <w:br/>
        <w:t>Telephone: (650) 817-9012</w:t>
        <w:br/>
        <w:t>Attention: Corporate Secretary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S-18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Presto Automation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Primary Offering of</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$75,000,000 of</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Preferred Stock</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Debt Securities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Rights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Units</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16,823,660 Shares of Common Stock Issuable Upon Exercise of Outstanding Warrants</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Secondary Offering of</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52,709,824 Shares of Common Stock</w:t>
        <w:br/>
        <w:t>7,625,000 Warrants to Purchase Shares of Common Stock Offered by the Selling Securityholders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relates to (a) the offer and sale by Presto Automation Inc., a Delaware corporation (the “Company,” “we,” “us” or “Presto”) of up to $75,000,000 in the aggregate of the Company’s common stock, par value $0.0001 per share (the “Common Stock”), preferred stock, debt securities, new warrants, rights or units, (b) the issuance by us of up to 16,250,000 shares of Common Stock, that may be issued upon exercise of warrants to purchase Common Stock at an exercise price of $8.21 per share with respect to the public warrants and $11.50 per share of Common Stock with respect to the Financing Warrants and the Private Placement Warrants (each as defined below), (c) the issuance by us of up to 573,660 shares of Common Stock, that may be issued upon exercise of warrants to purchase Common Stock at an exercise price of $0.37 per share with respect to the 2017 Trinity Warrants and $5.85 per share of Common Stock with respect to the 2016 Trinity Warrants (each as defined below), and (d) an aggregate of 52,709,824 shares of Common Stock by certain of the selling securityholders named in this prospectus (each a “Selling Securityholder” and, collectively, the “Selling Securityholders”). The securities registered for resale covered by this prospectus consist of the following:</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4"/>
        <w:gridCol w:w="9993"/>
      </w:tblGrid>
      <w:tr>
        <w:trPr/>
        <w:tc>
          <w:tcPr>
            <w:tcW w:w="38"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w:t>
            </w:r>
          </w:p>
        </w:tc>
        <w:tc>
          <w:tcPr>
            <w:tcW w:w="999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4,312,500 shares of Common Stock held by the Sponsors, their respective permitted transferees and the independent directors of our predecessor Ventoux CCM Acquisition Corp. (“VTAQ”) (such shares, the “Founder Shares”) purchased prior to VTAQ’s initial public offering of Common Stock on December 30, 2020 (the “IPO”), at a price of $0.005 per share;</w:t>
            </w:r>
          </w:p>
        </w:tc>
      </w:tr>
    </w:tbl>
    <w:p>
      <w:pPr>
        <w:pStyle w:val="TextBody"/>
        <w:bidi w:val="0"/>
        <w:spacing w:before="0" w:after="0"/>
        <w:ind w:left="864"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0"/>
        <w:gridCol w:w="9947"/>
      </w:tblGrid>
      <w:tr>
        <w:trPr/>
        <w:tc>
          <w:tcPr>
            <w:tcW w:w="3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(ii)</w:t>
            </w:r>
          </w:p>
        </w:tc>
        <w:tc>
          <w:tcPr>
            <w:tcW w:w="994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7,143,687 shares of Common Stock issued to certain institutional and accredited investors in connection with the consummation of the Business Combination (as defined herein) (the “Business Combination PIPE Shares”), which, together with the transfer of Founder Shares to certain investors by the Sponsors, resulted in (i) an investment made by an affiliate of Cleveland Avenue, LLC (“Cleveland Avenue”) at an effective price per share of $7.14, taking into account (a) the subscription of 6,593,687 shares of Common Stock for an aggregate purchase price of $50.0 million and (b) the transfer of 406,313 Founder Shares by the Sponsors to Cleveland Avenue for nominal consideration, (ii) investments by five subscribers at an effective price per share of $8.00 per share, consisting of (a) a subscription for an aggregate 698,750 shares of Common Stock for an aggregate purchase price of $6.25 million, and (b) the transfer of an aggregate 82,500 Founder Shares from the Sponsors for nominal consideration and (iii) investments by a remaining eight subscribers for an aggregate of 375,000 shares of Common Stock for an aggregate purchase price of $3.75 million, or $10.00 per share;</w:t>
            </w:r>
          </w:p>
        </w:tc>
      </w:tr>
    </w:tbl>
    <w:p>
      <w:pPr>
        <w:pStyle w:val="TextBody"/>
        <w:bidi w:val="0"/>
        <w:spacing w:before="0" w:after="0"/>
        <w:ind w:left="864"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03"/>
        <w:gridCol w:w="9864"/>
      </w:tblGrid>
      <w:tr>
        <w:trPr/>
        <w:tc>
          <w:tcPr>
            <w:tcW w:w="38"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(iii)</w:t>
            </w:r>
          </w:p>
        </w:tc>
        <w:tc>
          <w:tcPr>
            <w:tcW w:w="9864"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640,000 shares of Common Stock issued as partial consideration to various advisors of the Company and VTAQ for services rendered in connection with the Business Combination and the PIPE Investment (as defined herein), valued at $10.00 per share;</w:t>
            </w:r>
          </w:p>
        </w:tc>
      </w:tr>
    </w:tbl>
    <w:p>
      <w:pPr>
        <w:pStyle w:val="TextBody"/>
        <w:bidi w:val="0"/>
        <w:spacing w:before="0" w:after="0"/>
        <w:ind w:left="864" w:right="0" w:hanging="360"/>
        <w:jc w:val="both"/>
        <w:rPr>
          <w:caps w:val="false"/>
          <w:smallCaps w:val="false"/>
        </w:rPr>
      </w:pPr>
      <w:r>
        <w:rPr>
          <w:caps w:val="false"/>
          <w:smallCaps w:val="false"/>
        </w:rPr>
        <w:t> </w:t>
      </w:r>
    </w:p>
    <w:p>
      <w:pPr>
        <w:pStyle w:val="TextBody"/>
        <w:bidi w:val="0"/>
        <w:spacing w:before="0" w:after="0"/>
        <w:ind w:left="864" w:right="0" w:hanging="36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pPr>
      <w:r>
        <w:rPr/>
        <w:t> </w:t>
      </w:r>
    </w:p>
    <w:p>
      <w:pPr>
        <w:pStyle w:val="TextBody"/>
        <w:bidi w:val="0"/>
        <w:spacing w:before="0" w:after="0"/>
        <w:ind w:left="864"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01"/>
        <w:gridCol w:w="9866"/>
      </w:tblGrid>
      <w:tr>
        <w:trPr/>
        <w:tc>
          <w:tcPr>
            <w:tcW w:w="3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(iv)</w:t>
            </w:r>
          </w:p>
        </w:tc>
        <w:tc>
          <w:tcPr>
            <w:tcW w:w="9866"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20,995,097 shares of Common Stock issued or issuable to affiliates of the Company, at an exchange ratio as provided in the Merger Agreement, for shares or restricted stock units of Legacy Presto (as defined herein), resulting in an effective purchase price of $10.00 per share;</w:t>
            </w:r>
          </w:p>
        </w:tc>
      </w:tr>
    </w:tbl>
    <w:p>
      <w:pPr>
        <w:pStyle w:val="TextBody"/>
        <w:bidi w:val="0"/>
        <w:spacing w:before="0" w:after="0"/>
        <w:ind w:left="864"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3"/>
        <w:gridCol w:w="9934"/>
      </w:tblGrid>
      <w:tr>
        <w:trPr/>
        <w:tc>
          <w:tcPr>
            <w:tcW w:w="38"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(v)</w:t>
            </w:r>
          </w:p>
        </w:tc>
        <w:tc>
          <w:tcPr>
            <w:tcW w:w="9934"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7,433,040 shares of Common Stock (that may be issued from time to time upon achievement of certain stock price thresholds) to affiliates of the Company in connection with the earnout provisions set forth in the Merger Agreement (as defined herein) at an exchange ratio as provided in the Merger Agreement for shares of Legacy Presto, resulting in an effective purchase price of $10.00 per share;</w:t>
            </w:r>
          </w:p>
        </w:tc>
      </w:tr>
    </w:tbl>
    <w:p>
      <w:pPr>
        <w:pStyle w:val="TextBody"/>
        <w:bidi w:val="0"/>
        <w:spacing w:before="0" w:after="0"/>
        <w:ind w:left="864"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88"/>
        <w:gridCol w:w="9879"/>
      </w:tblGrid>
      <w:tr>
        <w:trPr/>
        <w:tc>
          <w:tcPr>
            <w:tcW w:w="3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(vi)</w:t>
            </w:r>
          </w:p>
        </w:tc>
        <w:tc>
          <w:tcPr>
            <w:tcW w:w="9879"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6,125,000 warrants each exercisable for one share of Common Stock at an exercise price of $11.50 per share, purchased by the Sponsors and their permitted transferees, at a price of $1.00 per warrants in a private placement simultaneously with the consummation of VTAQ’s IPO (the “Private Placement Warrants”); and 1,500,000 warrants each exercisable for one share of Common Stock at an exercise price of $11.50 per share, issued to lenders party to the Credit Agreement (as defined herein) (the “Financing Warrants”);</w:t>
            </w:r>
          </w:p>
        </w:tc>
      </w:tr>
    </w:tbl>
    <w:p>
      <w:pPr>
        <w:pStyle w:val="TextBody"/>
        <w:bidi w:val="0"/>
        <w:spacing w:before="0" w:after="0"/>
        <w:ind w:left="864"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54"/>
        <w:gridCol w:w="9813"/>
      </w:tblGrid>
      <w:tr>
        <w:trPr/>
        <w:tc>
          <w:tcPr>
            <w:tcW w:w="38"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(vii)</w:t>
            </w:r>
          </w:p>
        </w:tc>
        <w:tc>
          <w:tcPr>
            <w:tcW w:w="981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4,760,500 shares of Common Stock (the “June 2023 PIPE Shares”) that were issued at a purchase price of $2.00 per share in a private placement (the “June 2023 Private Placement”) pursuant to that certain securities purchase agreement, dated as of May 22, 2023, by and among us and certain accredited investors named therein (the “June Purchase Agreement”);</w:t>
            </w:r>
          </w:p>
        </w:tc>
      </w:tr>
    </w:tbl>
    <w:p>
      <w:pPr>
        <w:pStyle w:val="TextBody"/>
        <w:bidi w:val="0"/>
        <w:spacing w:before="0" w:after="0"/>
        <w:ind w:left="864"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16"/>
        <w:gridCol w:w="9751"/>
      </w:tblGrid>
      <w:tr>
        <w:trPr/>
        <w:tc>
          <w:tcPr>
            <w:tcW w:w="38"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(viii)</w:t>
            </w:r>
          </w:p>
        </w:tc>
        <w:tc>
          <w:tcPr>
            <w:tcW w:w="9751"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1,500,000 shares of Common Stock (the “October 2023 PIPE Shares”) that were issued at a purchase price of $2.00 per share in a private placement (the “October 2023 Private Placement”) pursuant to that certain securities purchase agreement, dated October 10, 2023 by and between us and Presto CA LLC, an accredited investor;</w:t>
            </w:r>
          </w:p>
        </w:tc>
      </w:tr>
    </w:tbl>
    <w:p>
      <w:pPr>
        <w:pStyle w:val="TextBody"/>
        <w:bidi w:val="0"/>
        <w:spacing w:before="0" w:after="0"/>
        <w:ind w:left="864"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83"/>
        <w:gridCol w:w="9884"/>
      </w:tblGrid>
      <w:tr>
        <w:trPr/>
        <w:tc>
          <w:tcPr>
            <w:tcW w:w="38"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(ix)</w:t>
            </w:r>
          </w:p>
        </w:tc>
        <w:tc>
          <w:tcPr>
            <w:tcW w:w="9884"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5,925,000 shares of Common Stock issuable upon the exercise of warrants to purchase shares of our Common Stock, at an exercise price of $0.01 per share, subject to adjustment held by Metropolitan Partners Group Administration, LLC (“Metropolitan”), the administrative, payment and collateral agent for Metropolitan Levered Partners Fund VII, LP, Metropolitan Partners Fund VII, LP, Metropolitan Offshore Partners Fund VII, LP, and CEOF Holdings LP (the “Metropolitan Entities”), pursuant to that certain Credit Agreement entered into initially on September 21, 2022, as subsequently amended (the “Credit Agreement”), such warrants being issued in consideration for the conversation of interest into principal and in respect of amendments to the Credit Agreement;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8"/>
        <w:gridCol w:w="9932"/>
      </w:tblGrid>
      <w:tr>
        <w:trPr/>
        <w:tc>
          <w:tcPr>
            <w:tcW w:w="75"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(x)</w:t>
            </w:r>
          </w:p>
        </w:tc>
        <w:tc>
          <w:tcPr>
            <w:tcW w:w="993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402,668 shares of Common Stock issuable upon the exercise of warrants to purchase shares of our Common Stock, at an exercise price of $0.37 per share (the “2017 Trinity Warrants”), held by Trinity Capital Fund II, L.P., LLC (“Trinity”) and 170,992 shares of Common Stock issuable upon the exercise of warrants to purchase shares of our Common Stock, at an exercise price of $5.85 per share, held by Trinity (the “2016 Trinity Warrants”, and, collectively with the 2017 Trinity Warrants, the “Trinity Warrants”).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previously filed (i) a registration statement Form S-1 (File No. 333-267979) registering the issuance by us of up to 16,250,000 shares of Common Stock and the offer and sale, from time to time, by the Selling Securityholders of up to 48,149,324 shares of Common Stock and 7,625,000 outstanding Private Placement Warrants, which was declared effective by the SEC on January 9, 2023 (the “First Form S-1”), (ii) a registration statement Form S-1 (File No. 333-271551) registering up to 400,000 shares of Common Stock underlying the May 2023 Resale Warrants, which was declared effective by the SEC on May 12, 2023 (the “Second Form S-1”), and (iii) a registration statement Form S-1 (File No. 333-272913) registering up to 4,760,500 June 2023 PIPE Shares, 500,000 shares of Common Stock underlying the June 2023 Conversion Warrants, and 2,000,000 shares of Common Stock underlying the Second Amendment Warrants (the “Third Form S-1”, and, collectively with the First Form S-1 and Second Form S-1, the “Form S-1s”). We are filing this registration statement on Form S-3 to replace the Form S-1s with respect to the issuance by us of all shares of Common Stock underlying outstanding public warrants and Private Placement Warrants and the offer and sale by the Selling Securityholders of all outstanding securities still held by them, as well as to register (a) up to $75,000,000 in the aggregate of Common Stock, preferred stock, debt securities, new warrants, rights or units, (b) the October 2023 PIPE Shares, (c) 25,000 shares of Common Stock issuable upon the exercise of warrants, with an exercise price of $0.01 per share, that were issued pursuant to that certain third amendment to credit agreement, dated as of October 10, 2023, by and among us, E La Carte, LLC, Metropolitan and the Metropolitan Entities, (d) 3,000,000 shares of Common Stock issuable upon the exercise of warrants, with an exercise price of $0.01 per share that were issued pursuant to that certain third amended and restated fee letter, dated as of October 10, 2023, by and among us, E La Carte, LLC and Metropolitan and (e) the 573,660 shares of Common Stock issuable upon the exercise of the Trinity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provides you with a general description of such securities and the general manner in which we and the Selling Securityholders may offer or sell the securities. More specific terms of any securities that we and the Selling Securityholders may offer or sell may be provided in a prospectus supplement that describes, among other things, the specific amounts and prices of the securities being offered and the terms of the offering. The prospectus supplement may also add, update or change information contained in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not receive any proceeds from the sale by the Selling Securityholders of shares of Common Stock or warrants pursuant to this prospectus or of the issuance by us of shares of Common Stock issuable upon exercise of outstanding warrants pursuant to this prospectus, except with respect to amounts received by us upon exercise of the warrants to the extent such warrants are exercised for cash. However, we will pay the expenses, other than underwriting discounts and commissions, associated with the sale of securities by the Selling Securityholders pursuant to this prospectus.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registration of the securities covered by this prospectus does not mean that either we or the Selling Securityholders will issue, offer or sell, as applicable, any of the securities. We or the Selling Securityholders may offer and sell the securities covered by this prospectus in a number of different ways and at varying prices. We provide more information about how we and/or the Selling Securityholders may sell the securities in the section entitled “Plan of Distribution.” You should read this prospectus and any prospectus supplement or amendment carefully before you invest in our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shares of Common Stock are listed on the Nasdaq Stock Market under the symbol “PRST.” On October 18, 2023, the closing sale price of shares of our Common Stock was $1.48. Our warrants are listed on the Nasdaq Stock Market under the symbol “PRSTW.” On October 18, 2023, the closing sale price of our warrants was $0.04.</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prospectus, all our warrants, except for the 2017 Trinity Warrants and the penny warrants (as defined below), are “out-of-the money,” which means that the trading price of the shares of our Common Stock underlying our warrants is below the respective $5.85, $8.21 and $11.50 exercise prices (subject to adjustment as described herein) of the warrants. For so long as the warrants remain “out-of-the money,” we do not expect warrantholders to exercise their warrants and, therefore, we do not expect to receive cash proceeds from any such exercise. We expect to receive only nominal proceeds from the exercise of the 2017 Trinity Warrants and the penny warrants.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sale of all of the securities registered for resale hereunder (and the shares of Common Stock issuable upon exercise of our warrants), or the perception that such sales may occur, may cause the market prices of our securities to decline significantly. See “</w:t>
      </w:r>
      <w:r>
        <w:rPr>
          <w:rFonts w:ascii="Times New Roman;Times;Serif" w:hAnsi="Times New Roman;Times;Serif"/>
          <w:b w:val="false"/>
          <w:i/>
          <w:caps w:val="false"/>
          <w:smallCaps w:val="false"/>
          <w:sz w:val="20"/>
        </w:rPr>
        <w:t>Risk Factors—Risks Relating to Our Common Stock and Warrants</w:t>
      </w:r>
      <w:r>
        <w:rPr>
          <w:rFonts w:ascii="Times New Roman;Times;Serif" w:hAnsi="Times New Roman;Times;Serif"/>
          <w:b w:val="false"/>
          <w:i w:val="false"/>
          <w:caps w:val="false"/>
          <w:smallCaps w:val="false"/>
          <w:sz w:val="20"/>
        </w:rPr>
        <w:t>” in our Annual Report on Form 10-K for the fiscal year ended June 30, 2023 for more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Investing in our securities involves risks that are described in the “Risk Factors” section beginning on page 2 of this prospectus and similar sections contained in the documents incorporated by reference into this prospectus.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Securities and Exchange Commission nor any state securities commission has approved or disapproved of these securities or determined if this prospectus is truthful or complete. Any representation to the contrary is a criminal offense.</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date of this prospectus is          , 2023.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7225" w:type="dxa"/>
        <w:jc w:val="left"/>
        <w:tblInd w:w="0" w:type="dxa"/>
        <w:tblLayout w:type="fixed"/>
        <w:tblCellMar>
          <w:top w:w="0" w:type="dxa"/>
          <w:left w:w="0" w:type="dxa"/>
          <w:bottom w:w="0" w:type="dxa"/>
          <w:right w:w="0" w:type="dxa"/>
        </w:tblCellMar>
      </w:tblPr>
      <w:tblGrid>
        <w:gridCol w:w="6890"/>
        <w:gridCol w:w="60"/>
        <w:gridCol w:w="275"/>
      </w:tblGrid>
      <w:tr>
        <w:trPr/>
        <w:tc>
          <w:tcPr>
            <w:tcW w:w="6890" w:type="dxa"/>
            <w:tcBorders/>
            <w:shd w:fill="CCEEFF" w:val="clear"/>
            <w:vAlign w:val="center"/>
          </w:tcPr>
          <w:p>
            <w:pPr>
              <w:pStyle w:val="TableContents"/>
              <w:bidi w:val="0"/>
              <w:spacing w:before="0" w:after="283"/>
              <w:jc w:val="left"/>
              <w:rPr/>
            </w:pPr>
            <w:hyperlink w:anchor="a_001">
              <w:r>
                <w:rPr>
                  <w:rStyle w:val="InternetLink"/>
                  <w:rFonts w:ascii="Times New Roman;Times;Serif" w:hAnsi="Times New Roman;Times;Serif"/>
                  <w:sz w:val="20"/>
                </w:rPr>
                <w:t>ABOUT THIS PROSPECTUS</w:t>
              </w:r>
            </w:hyperlink>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ii</w:t>
            </w:r>
          </w:p>
        </w:tc>
      </w:tr>
      <w:tr>
        <w:trPr/>
        <w:tc>
          <w:tcPr>
            <w:tcW w:w="68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pPr>
            <w:r>
              <w:rPr/>
              <w:t> </w:t>
            </w:r>
          </w:p>
        </w:tc>
      </w:tr>
      <w:tr>
        <w:trPr/>
        <w:tc>
          <w:tcPr>
            <w:tcW w:w="6890" w:type="dxa"/>
            <w:tcBorders/>
            <w:shd w:fill="CCEEFF" w:val="clear"/>
            <w:vAlign w:val="center"/>
          </w:tcPr>
          <w:p>
            <w:pPr>
              <w:pStyle w:val="TableContents"/>
              <w:bidi w:val="0"/>
              <w:spacing w:before="0" w:after="283"/>
              <w:jc w:val="left"/>
              <w:rPr/>
            </w:pPr>
            <w:hyperlink w:anchor="a_002">
              <w:r>
                <w:rPr>
                  <w:rStyle w:val="InternetLink"/>
                  <w:rFonts w:ascii="Times New Roman;Times;Serif" w:hAnsi="Times New Roman;Times;Serif"/>
                  <w:sz w:val="20"/>
                </w:rPr>
                <w:t>TRADEMARKS</w:t>
              </w:r>
            </w:hyperlink>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iii</w:t>
            </w:r>
          </w:p>
        </w:tc>
      </w:tr>
      <w:tr>
        <w:trPr/>
        <w:tc>
          <w:tcPr>
            <w:tcW w:w="68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pPr>
            <w:r>
              <w:rPr/>
              <w:t> </w:t>
            </w:r>
          </w:p>
        </w:tc>
      </w:tr>
      <w:tr>
        <w:trPr/>
        <w:tc>
          <w:tcPr>
            <w:tcW w:w="6890" w:type="dxa"/>
            <w:tcBorders/>
            <w:shd w:fill="CCEEFF" w:val="clear"/>
            <w:vAlign w:val="center"/>
          </w:tcPr>
          <w:p>
            <w:pPr>
              <w:pStyle w:val="TableContents"/>
              <w:bidi w:val="0"/>
              <w:spacing w:before="0" w:after="283"/>
              <w:jc w:val="left"/>
              <w:rPr/>
            </w:pPr>
            <w:hyperlink w:anchor="a_003">
              <w:r>
                <w:rPr>
                  <w:rStyle w:val="InternetLink"/>
                  <w:rFonts w:ascii="Times New Roman;Times;Serif" w:hAnsi="Times New Roman;Times;Serif"/>
                  <w:sz w:val="20"/>
                </w:rPr>
                <w:t>CAUTIONARY STATEMENT REGARDING FORWARD-LOOKING STATEMENTS</w:t>
              </w:r>
            </w:hyperlink>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iii</w:t>
            </w:r>
          </w:p>
        </w:tc>
      </w:tr>
      <w:tr>
        <w:trPr/>
        <w:tc>
          <w:tcPr>
            <w:tcW w:w="68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pPr>
            <w:r>
              <w:rPr/>
              <w:t> </w:t>
            </w:r>
          </w:p>
        </w:tc>
      </w:tr>
      <w:tr>
        <w:trPr/>
        <w:tc>
          <w:tcPr>
            <w:tcW w:w="6890" w:type="dxa"/>
            <w:tcBorders/>
            <w:shd w:fill="CCEEFF" w:val="clear"/>
            <w:vAlign w:val="center"/>
          </w:tcPr>
          <w:p>
            <w:pPr>
              <w:pStyle w:val="TableContents"/>
              <w:bidi w:val="0"/>
              <w:spacing w:before="0" w:after="283"/>
              <w:jc w:val="left"/>
              <w:rPr/>
            </w:pPr>
            <w:hyperlink w:anchor="a_004">
              <w:r>
                <w:rPr>
                  <w:rStyle w:val="InternetLink"/>
                  <w:rFonts w:ascii="Times New Roman;Times;Serif" w:hAnsi="Times New Roman;Times;Serif"/>
                  <w:sz w:val="20"/>
                </w:rPr>
                <w:t>SUMMARY OF PROSPECTUS</w:t>
              </w:r>
            </w:hyperlink>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w:t>
            </w:r>
          </w:p>
        </w:tc>
      </w:tr>
      <w:tr>
        <w:trPr/>
        <w:tc>
          <w:tcPr>
            <w:tcW w:w="68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pPr>
            <w:r>
              <w:rPr/>
              <w:t> </w:t>
            </w:r>
          </w:p>
        </w:tc>
      </w:tr>
      <w:tr>
        <w:trPr/>
        <w:tc>
          <w:tcPr>
            <w:tcW w:w="6890" w:type="dxa"/>
            <w:tcBorders/>
            <w:shd w:fill="CCEEFF" w:val="clear"/>
            <w:vAlign w:val="center"/>
          </w:tcPr>
          <w:p>
            <w:pPr>
              <w:pStyle w:val="TableContents"/>
              <w:bidi w:val="0"/>
              <w:spacing w:before="0" w:after="283"/>
              <w:jc w:val="left"/>
              <w:rPr/>
            </w:pPr>
            <w:hyperlink w:anchor="a_005">
              <w:r>
                <w:rPr>
                  <w:rStyle w:val="InternetLink"/>
                  <w:rFonts w:ascii="Times New Roman;Times;Serif" w:hAnsi="Times New Roman;Times;Serif"/>
                  <w:sz w:val="20"/>
                </w:rPr>
                <w:t>RISK FACTORS</w:t>
              </w:r>
            </w:hyperlink>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w:t>
            </w:r>
          </w:p>
        </w:tc>
      </w:tr>
      <w:tr>
        <w:trPr/>
        <w:tc>
          <w:tcPr>
            <w:tcW w:w="68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pPr>
            <w:r>
              <w:rPr/>
              <w:t> </w:t>
            </w:r>
          </w:p>
        </w:tc>
      </w:tr>
      <w:tr>
        <w:trPr/>
        <w:tc>
          <w:tcPr>
            <w:tcW w:w="6890" w:type="dxa"/>
            <w:tcBorders/>
            <w:shd w:fill="CCEEFF" w:val="clear"/>
            <w:vAlign w:val="center"/>
          </w:tcPr>
          <w:p>
            <w:pPr>
              <w:pStyle w:val="TableContents"/>
              <w:bidi w:val="0"/>
              <w:spacing w:before="0" w:after="283"/>
              <w:jc w:val="left"/>
              <w:rPr/>
            </w:pPr>
            <w:hyperlink w:anchor="a_006">
              <w:r>
                <w:rPr>
                  <w:rStyle w:val="InternetLink"/>
                  <w:rFonts w:ascii="Times New Roman;Times;Serif" w:hAnsi="Times New Roman;Times;Serif"/>
                  <w:sz w:val="20"/>
                </w:rPr>
                <w:t>USE OF PROCEEDS</w:t>
              </w:r>
            </w:hyperlink>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3</w:t>
            </w:r>
          </w:p>
        </w:tc>
      </w:tr>
      <w:tr>
        <w:trPr/>
        <w:tc>
          <w:tcPr>
            <w:tcW w:w="68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pPr>
            <w:r>
              <w:rPr/>
              <w:t> </w:t>
            </w:r>
          </w:p>
        </w:tc>
      </w:tr>
      <w:tr>
        <w:trPr/>
        <w:tc>
          <w:tcPr>
            <w:tcW w:w="6890" w:type="dxa"/>
            <w:tcBorders/>
            <w:shd w:fill="CCEEFF" w:val="clear"/>
            <w:vAlign w:val="center"/>
          </w:tcPr>
          <w:p>
            <w:pPr>
              <w:pStyle w:val="TableContents"/>
              <w:bidi w:val="0"/>
              <w:spacing w:before="0" w:after="283"/>
              <w:jc w:val="left"/>
              <w:rPr/>
            </w:pPr>
            <w:hyperlink w:anchor="a_007">
              <w:r>
                <w:rPr>
                  <w:rStyle w:val="InternetLink"/>
                  <w:rFonts w:ascii="Times New Roman;Times;Serif" w:hAnsi="Times New Roman;Times;Serif"/>
                  <w:sz w:val="20"/>
                </w:rPr>
                <w:t>DESCRIPTION OF COMMON STOCK AND PREFERRED STOCK</w:t>
              </w:r>
            </w:hyperlink>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4</w:t>
            </w:r>
          </w:p>
        </w:tc>
      </w:tr>
      <w:tr>
        <w:trPr/>
        <w:tc>
          <w:tcPr>
            <w:tcW w:w="68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pPr>
            <w:r>
              <w:rPr/>
              <w:t> </w:t>
            </w:r>
          </w:p>
        </w:tc>
      </w:tr>
      <w:tr>
        <w:trPr/>
        <w:tc>
          <w:tcPr>
            <w:tcW w:w="6890" w:type="dxa"/>
            <w:tcBorders/>
            <w:shd w:fill="CCEEFF" w:val="clear"/>
            <w:vAlign w:val="center"/>
          </w:tcPr>
          <w:p>
            <w:pPr>
              <w:pStyle w:val="TableContents"/>
              <w:bidi w:val="0"/>
              <w:spacing w:before="0" w:after="283"/>
              <w:jc w:val="left"/>
              <w:rPr/>
            </w:pPr>
            <w:hyperlink w:anchor="a_008">
              <w:r>
                <w:rPr>
                  <w:rStyle w:val="InternetLink"/>
                  <w:rFonts w:ascii="Times New Roman;Times;Serif" w:hAnsi="Times New Roman;Times;Serif"/>
                  <w:sz w:val="20"/>
                </w:rPr>
                <w:t>DESCRIPTION OF DEBT SECURITIES</w:t>
              </w:r>
            </w:hyperlink>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5</w:t>
            </w:r>
          </w:p>
        </w:tc>
      </w:tr>
      <w:tr>
        <w:trPr/>
        <w:tc>
          <w:tcPr>
            <w:tcW w:w="68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pPr>
            <w:r>
              <w:rPr/>
              <w:t> </w:t>
            </w:r>
          </w:p>
        </w:tc>
      </w:tr>
      <w:tr>
        <w:trPr/>
        <w:tc>
          <w:tcPr>
            <w:tcW w:w="6890" w:type="dxa"/>
            <w:tcBorders/>
            <w:shd w:fill="CCEEFF" w:val="clear"/>
            <w:vAlign w:val="center"/>
          </w:tcPr>
          <w:p>
            <w:pPr>
              <w:pStyle w:val="TableContents"/>
              <w:bidi w:val="0"/>
              <w:spacing w:before="0" w:after="283"/>
              <w:jc w:val="left"/>
              <w:rPr/>
            </w:pPr>
            <w:hyperlink w:anchor="a_009">
              <w:r>
                <w:rPr>
                  <w:rStyle w:val="InternetLink"/>
                  <w:rFonts w:ascii="Times New Roman;Times;Serif" w:hAnsi="Times New Roman;Times;Serif"/>
                  <w:sz w:val="20"/>
                </w:rPr>
                <w:t>DESCRIPTION OF WARRANTS</w:t>
              </w:r>
            </w:hyperlink>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12</w:t>
            </w:r>
          </w:p>
        </w:tc>
      </w:tr>
      <w:tr>
        <w:trPr/>
        <w:tc>
          <w:tcPr>
            <w:tcW w:w="68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pPr>
            <w:r>
              <w:rPr/>
              <w:t> </w:t>
            </w:r>
          </w:p>
        </w:tc>
      </w:tr>
      <w:tr>
        <w:trPr/>
        <w:tc>
          <w:tcPr>
            <w:tcW w:w="6890" w:type="dxa"/>
            <w:tcBorders/>
            <w:shd w:fill="CCEEFF" w:val="clear"/>
            <w:vAlign w:val="center"/>
          </w:tcPr>
          <w:p>
            <w:pPr>
              <w:pStyle w:val="TableContents"/>
              <w:bidi w:val="0"/>
              <w:spacing w:before="0" w:after="283"/>
              <w:jc w:val="left"/>
              <w:rPr/>
            </w:pPr>
            <w:hyperlink w:anchor="a_010">
              <w:r>
                <w:rPr>
                  <w:rStyle w:val="InternetLink"/>
                  <w:rFonts w:ascii="Times New Roman;Times;Serif" w:hAnsi="Times New Roman;Times;Serif"/>
                  <w:sz w:val="20"/>
                </w:rPr>
                <w:t>DESCRIPTION OF RIGHTS</w:t>
              </w:r>
            </w:hyperlink>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13</w:t>
            </w:r>
          </w:p>
        </w:tc>
      </w:tr>
      <w:tr>
        <w:trPr/>
        <w:tc>
          <w:tcPr>
            <w:tcW w:w="68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pPr>
            <w:r>
              <w:rPr/>
              <w:t> </w:t>
            </w:r>
          </w:p>
        </w:tc>
      </w:tr>
      <w:tr>
        <w:trPr/>
        <w:tc>
          <w:tcPr>
            <w:tcW w:w="6890" w:type="dxa"/>
            <w:tcBorders/>
            <w:shd w:fill="CCEEFF" w:val="clear"/>
            <w:vAlign w:val="center"/>
          </w:tcPr>
          <w:p>
            <w:pPr>
              <w:pStyle w:val="TableContents"/>
              <w:bidi w:val="0"/>
              <w:spacing w:before="0" w:after="283"/>
              <w:jc w:val="left"/>
              <w:rPr/>
            </w:pPr>
            <w:hyperlink w:anchor="a_011">
              <w:r>
                <w:rPr>
                  <w:rStyle w:val="InternetLink"/>
                  <w:rFonts w:ascii="Times New Roman;Times;Serif" w:hAnsi="Times New Roman;Times;Serif"/>
                  <w:sz w:val="20"/>
                </w:rPr>
                <w:t>DESCRIPTION OF UNITS</w:t>
              </w:r>
            </w:hyperlink>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14</w:t>
            </w:r>
          </w:p>
        </w:tc>
      </w:tr>
      <w:tr>
        <w:trPr/>
        <w:tc>
          <w:tcPr>
            <w:tcW w:w="68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pPr>
            <w:r>
              <w:rPr/>
              <w:t> </w:t>
            </w:r>
          </w:p>
        </w:tc>
      </w:tr>
      <w:tr>
        <w:trPr/>
        <w:tc>
          <w:tcPr>
            <w:tcW w:w="6890" w:type="dxa"/>
            <w:tcBorders/>
            <w:shd w:fill="CCEEFF" w:val="clear"/>
            <w:vAlign w:val="center"/>
          </w:tcPr>
          <w:p>
            <w:pPr>
              <w:pStyle w:val="TableContents"/>
              <w:bidi w:val="0"/>
              <w:spacing w:before="0" w:after="283"/>
              <w:jc w:val="left"/>
              <w:rPr/>
            </w:pPr>
            <w:hyperlink w:anchor="a_012">
              <w:r>
                <w:rPr>
                  <w:rStyle w:val="InternetLink"/>
                  <w:rFonts w:ascii="Times New Roman;Times;Serif" w:hAnsi="Times New Roman;Times;Serif"/>
                  <w:sz w:val="20"/>
                </w:rPr>
                <w:t>GLOBAL SECURITIES</w:t>
              </w:r>
            </w:hyperlink>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15</w:t>
            </w:r>
          </w:p>
        </w:tc>
      </w:tr>
      <w:tr>
        <w:trPr/>
        <w:tc>
          <w:tcPr>
            <w:tcW w:w="68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pPr>
            <w:r>
              <w:rPr/>
              <w:t> </w:t>
            </w:r>
          </w:p>
        </w:tc>
      </w:tr>
      <w:tr>
        <w:trPr/>
        <w:tc>
          <w:tcPr>
            <w:tcW w:w="6890" w:type="dxa"/>
            <w:tcBorders/>
            <w:shd w:fill="CCEEFF" w:val="clear"/>
            <w:vAlign w:val="center"/>
          </w:tcPr>
          <w:p>
            <w:pPr>
              <w:pStyle w:val="TableContents"/>
              <w:bidi w:val="0"/>
              <w:spacing w:before="0" w:after="283"/>
              <w:jc w:val="left"/>
              <w:rPr/>
            </w:pPr>
            <w:hyperlink w:anchor="a_013">
              <w:r>
                <w:rPr>
                  <w:rStyle w:val="InternetLink"/>
                  <w:rFonts w:ascii="Times New Roman;Times;Serif" w:hAnsi="Times New Roman;Times;Serif"/>
                  <w:sz w:val="20"/>
                </w:rPr>
                <w:t>SELLING SECURITYHOLDERS</w:t>
              </w:r>
            </w:hyperlink>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17</w:t>
            </w:r>
          </w:p>
        </w:tc>
      </w:tr>
      <w:tr>
        <w:trPr/>
        <w:tc>
          <w:tcPr>
            <w:tcW w:w="68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pPr>
            <w:r>
              <w:rPr/>
              <w:t> </w:t>
            </w:r>
          </w:p>
        </w:tc>
      </w:tr>
      <w:tr>
        <w:trPr/>
        <w:tc>
          <w:tcPr>
            <w:tcW w:w="6890" w:type="dxa"/>
            <w:tcBorders/>
            <w:shd w:fill="CCEEFF" w:val="clear"/>
            <w:vAlign w:val="center"/>
          </w:tcPr>
          <w:p>
            <w:pPr>
              <w:pStyle w:val="TableContents"/>
              <w:bidi w:val="0"/>
              <w:spacing w:before="0" w:after="283"/>
              <w:jc w:val="left"/>
              <w:rPr/>
            </w:pPr>
            <w:hyperlink w:anchor="a_014">
              <w:r>
                <w:rPr>
                  <w:rStyle w:val="InternetLink"/>
                  <w:rFonts w:ascii="Times New Roman;Times;Serif" w:hAnsi="Times New Roman;Times;Serif"/>
                  <w:sz w:val="20"/>
                </w:rPr>
                <w:t>PLAN OF DISTRIBUTION</w:t>
              </w:r>
            </w:hyperlink>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24</w:t>
            </w:r>
          </w:p>
        </w:tc>
      </w:tr>
      <w:tr>
        <w:trPr/>
        <w:tc>
          <w:tcPr>
            <w:tcW w:w="68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pPr>
            <w:r>
              <w:rPr/>
              <w:t> </w:t>
            </w:r>
          </w:p>
        </w:tc>
      </w:tr>
      <w:tr>
        <w:trPr/>
        <w:tc>
          <w:tcPr>
            <w:tcW w:w="6890" w:type="dxa"/>
            <w:tcBorders/>
            <w:shd w:fill="CCEEFF" w:val="clear"/>
            <w:vAlign w:val="center"/>
          </w:tcPr>
          <w:p>
            <w:pPr>
              <w:pStyle w:val="TableContents"/>
              <w:bidi w:val="0"/>
              <w:spacing w:before="0" w:after="283"/>
              <w:jc w:val="left"/>
              <w:rPr/>
            </w:pPr>
            <w:hyperlink w:anchor="a_015">
              <w:r>
                <w:rPr>
                  <w:rStyle w:val="InternetLink"/>
                  <w:rFonts w:ascii="Times New Roman;Times;Serif" w:hAnsi="Times New Roman;Times;Serif"/>
                  <w:sz w:val="20"/>
                </w:rPr>
                <w:t>LEGAL MATTERS</w:t>
              </w:r>
            </w:hyperlink>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26</w:t>
            </w:r>
          </w:p>
        </w:tc>
      </w:tr>
      <w:tr>
        <w:trPr/>
        <w:tc>
          <w:tcPr>
            <w:tcW w:w="68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pPr>
            <w:r>
              <w:rPr/>
              <w:t> </w:t>
            </w:r>
          </w:p>
        </w:tc>
      </w:tr>
      <w:tr>
        <w:trPr/>
        <w:tc>
          <w:tcPr>
            <w:tcW w:w="6890" w:type="dxa"/>
            <w:tcBorders/>
            <w:shd w:fill="CCEEFF" w:val="clear"/>
            <w:vAlign w:val="center"/>
          </w:tcPr>
          <w:p>
            <w:pPr>
              <w:pStyle w:val="TableContents"/>
              <w:bidi w:val="0"/>
              <w:spacing w:before="0" w:after="283"/>
              <w:jc w:val="left"/>
              <w:rPr/>
            </w:pPr>
            <w:hyperlink w:anchor="a_016">
              <w:r>
                <w:rPr>
                  <w:rStyle w:val="InternetLink"/>
                  <w:rFonts w:ascii="Times New Roman;Times;Serif" w:hAnsi="Times New Roman;Times;Serif"/>
                  <w:sz w:val="20"/>
                </w:rPr>
                <w:t>EXPERTS</w:t>
              </w:r>
            </w:hyperlink>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26</w:t>
            </w:r>
          </w:p>
        </w:tc>
      </w:tr>
      <w:tr>
        <w:trPr/>
        <w:tc>
          <w:tcPr>
            <w:tcW w:w="68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pPr>
            <w:r>
              <w:rPr/>
              <w:t> </w:t>
            </w:r>
          </w:p>
        </w:tc>
      </w:tr>
      <w:tr>
        <w:trPr/>
        <w:tc>
          <w:tcPr>
            <w:tcW w:w="6890" w:type="dxa"/>
            <w:tcBorders/>
            <w:shd w:fill="CCEEFF" w:val="clear"/>
            <w:vAlign w:val="center"/>
          </w:tcPr>
          <w:p>
            <w:pPr>
              <w:pStyle w:val="TableContents"/>
              <w:bidi w:val="0"/>
              <w:spacing w:before="0" w:after="283"/>
              <w:jc w:val="left"/>
              <w:rPr/>
            </w:pPr>
            <w:hyperlink w:anchor="a_017">
              <w:r>
                <w:rPr>
                  <w:rStyle w:val="InternetLink"/>
                  <w:rFonts w:ascii="Times New Roman;Times;Serif" w:hAnsi="Times New Roman;Times;Serif"/>
                  <w:sz w:val="20"/>
                </w:rPr>
                <w:t>WHERE YOU CAN FIND MORE INFORMATION</w:t>
              </w:r>
            </w:hyperlink>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27</w:t>
            </w:r>
          </w:p>
        </w:tc>
      </w:tr>
      <w:tr>
        <w:trPr/>
        <w:tc>
          <w:tcPr>
            <w:tcW w:w="68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pPr>
            <w:r>
              <w:rPr/>
              <w:t> </w:t>
            </w:r>
          </w:p>
        </w:tc>
      </w:tr>
      <w:tr>
        <w:trPr/>
        <w:tc>
          <w:tcPr>
            <w:tcW w:w="6890" w:type="dxa"/>
            <w:tcBorders/>
            <w:shd w:fill="CCEEFF" w:val="clear"/>
            <w:vAlign w:val="center"/>
          </w:tcPr>
          <w:p>
            <w:pPr>
              <w:pStyle w:val="TableContents"/>
              <w:bidi w:val="0"/>
              <w:spacing w:before="0" w:after="283"/>
              <w:jc w:val="left"/>
              <w:rPr/>
            </w:pPr>
            <w:hyperlink w:anchor="a_018">
              <w:r>
                <w:rPr>
                  <w:rStyle w:val="InternetLink"/>
                  <w:rFonts w:ascii="Times New Roman;Times;Serif" w:hAnsi="Times New Roman;Times;Serif"/>
                  <w:sz w:val="20"/>
                </w:rPr>
                <w:t>INDEMNIFICATION FOR SECURITIES ACT LIABILITIES</w:t>
              </w:r>
            </w:hyperlink>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27</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rely only on the information contained in this prospectus. No one has been authorized to provide you with information that is different from that contained in this prospectus. This prospectus is dated as of the date set forth on the cover hereof. You should not assume that the information contained in this prospectus is accurate as of any date other than that date.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5" w:name="a_001"/>
      <w:bookmarkEnd w:id="15"/>
      <w:r>
        <w:rPr>
          <w:rFonts w:ascii="Times New Roman;Times;Serif" w:hAnsi="Times New Roman;Times;Serif"/>
          <w:b/>
          <w:i w:val="false"/>
          <w:caps w:val="false"/>
          <w:smallCaps w:val="false"/>
          <w:sz w:val="20"/>
        </w:rPr>
        <w:t>ABOUT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is part of a registration statement on Form S-3 that we filed with the Securities and Exchange Commission (the “SEC”) using a “shelf” registration process. Under this shelf registration process, we and the selling securityholders named in this prospectus (the “Selling Securityholders”) may, from time to time, issue, offer and sell, as applicable, any combination of the securities described in this prospectus in one or more offerings. We may use the shelf registration statement to offer and sell up to $75,000,000 shares of common stock, par value $0.0001 per share (“Common Stock”), preferred stock, debt securities, new warrants, rights or units and to issue up to 16,823,660 shares of Common Stock upon exercise of the Trinity Warrants, Public Warrants, Financing Warrants, and the Private Placement Warrants. The Selling Securityholders may use the shelf registration statement to sell up to an aggregate of up to 52,709,824 shares of Common Stock and 7,625,000 Private Placement Warrants and Financing Warrants. More specific terms of any securities that we or the Selling Securityholders offer and sell may be provided in a prospectus supplement that describes, among other things, the specific amounts and prices of the securities being offered and the terms of the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prospectus supplement may also add, update or change information included in this prospectus. Any statement contained in this prospectus will be deemed to be modified or superseded for purposes of this prospectus to the extent that a statement contained in such prospectus supplement modifies or supersedes such statement. Any statement so modified will be deemed to constitute a part of this prospectus only as so modified, and any statement so superseded will be deemed not to constitute a part of this prospectus. You should rely only on the information contained in this prospectus, any applicable prospectus supplement or any related free writing prospectus. See “Where You Can Find More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we nor the Selling Securityholders have authorized anyone to provide any information or to make any representations other than those contained in this prospectus, any accompanying prospectus supplement or any free writing prospectus we have prepared. We and the Selling Securityholders take no responsibility for, and can provide no assurance as to the reliability of, any other information that others may give you. This prospectus is an offer to sell only the securities offered hereby and only under circumstances and in jurisdictions where it is lawful to do so. No dealer, salesperson or other person is authorized to give any information or to represent anything not contained in this prospectus, any applicable prospectus supplement or any related free writing prospectus. This prospectus is not an offer to sell securities, and it is not soliciting an offer to buy securities, in any jurisdiction where the offer or sale is not permitted. You should assume that the information appearing in this prospectus or any prospectus supplement is accurate only as of the date on the front of those documents only, regardless of the time of delivery of this prospectus or any applicable prospectus supplement, or any sale of a security. Our business, financial condition, results of operations and prospects may have changed since those dates.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Before making an investment decision, you should read, in addition to this prospectus and the registration statement, any documents that we incorporate by reference in this prospectus, as referred to under “Where You Can Find More Information,” and you may obtain copies of those documents as described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context indicates otherwise, references to the “Company,” “PRST,” “we,” “us” and “our” refer to Presto Automation Inc., a Delaware corporation, and its consolidated subsidiaries following the Business Combination. References to “Ventoux” refer to Ventoux CCM Acquisition Corp. prior to the Business Combination and references to “Legacy Presto” refer to E La Carte, Inc. prior to the Business Combination.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6" w:name="a_002"/>
      <w:bookmarkEnd w:id="16"/>
      <w:r>
        <w:rPr>
          <w:rFonts w:ascii="Times New Roman;Times;Serif" w:hAnsi="Times New Roman;Times;Serif"/>
          <w:b/>
          <w:i w:val="false"/>
          <w:caps w:val="false"/>
          <w:smallCaps w:val="false"/>
          <w:sz w:val="20"/>
        </w:rPr>
        <w:t>TRADEMARKS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document contains references to trademarks and service marks belonging to other entities. Solely for convenience, trademarks and trade names referred to in this prospectus may appear without the ® or TM symbols, but such references are not intended to indicate, in any way, that the applicable licensor will not assert, to the fullest extent under applicable law, its rights to these trademarks and trade names. We do not intend our use or display of other companies’ trade names, trademarks or service marks to imply a relationship with, or endorsement or sponsorship of it by, any other companies.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7" w:name="a_003"/>
      <w:bookmarkEnd w:id="17"/>
      <w:r>
        <w:rPr>
          <w:rFonts w:ascii="Times New Roman;Times;Serif" w:hAnsi="Times New Roman;Times;Serif"/>
          <w:b/>
          <w:i w:val="false"/>
          <w:caps w:val="false"/>
          <w:smallCaps w:val="false"/>
          <w:sz w:val="20"/>
        </w:rPr>
        <w:t>CAUTIONARY STATEMENT REGARDING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including the documents incorporated herein by reference, contains forward-looking statements. These forward-looking statements include, without limitation, statements relating to expectations for future financial performance, business strategies or expectations for our business. These statements are based on the beliefs and assumptions of the management of the Company. Although the Company believes that its plans, intentions and expectations reflected in or suggested by these forward-looking statements are reasonable, it cannot assure you that it will achieve or realize these plans, intentions or expectations. These statements constitute projections, forecasts and forward-looking statements, and are not guarantees of performance. Such statements can be identified by the fact that they do not relate strictly to historical or current facts. When used in this prospectus and/or the documents incorporated herein by reference, words such as “anticipate”, “believe”, “can”, “continue”, “could”, “estimate”, “expect”, “forecast”, “intend”, “may”, “might”, “plan”, “possible”, “potential”, “predict”, “project”, “seek”, “should”, “strive”, “target”, “will”, “would” and similar expressions may identify forward-looking statements, but the absence of these words does not mean that a statement is not forward-looking.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not place undue reliance on these forward-looking statements. Should one or more of a number of known and unknown risks and uncertainties materialize, or should any of our assumptions prove incorrect, our actual results or performance may be materially different from those expressed or implied by these forward-looking statements. Some factors that could cause actual results to differ include, but are not limited to, those described in our filings made with the SEC from time to time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forward-looking statements speak only as of the date of such statements. Forward-looking statements should not be relied upon as representing our views as of any subsequent date, and we do not undertake any obligation to update forward-looking statements to reflect events or circumstances after the date they were made, whether as a result of new information, future events or otherwise, except as may be required under applicable securities laws.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iii</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center"/>
        <w:rPr>
          <w:rFonts w:ascii="Times New Roman;Times;Serif" w:hAnsi="Times New Roman;Times;Serif"/>
          <w:b/>
          <w:i w:val="false"/>
          <w:caps w:val="false"/>
          <w:smallCaps w:val="false"/>
          <w:sz w:val="20"/>
          <w:bdr w:val="single" w:sz="12" w:space="5" w:color="000000"/>
        </w:rPr>
      </w:pPr>
      <w:bookmarkStart w:id="18" w:name="a_004"/>
      <w:bookmarkEnd w:id="18"/>
      <w:r>
        <w:rPr>
          <w:rFonts w:ascii="Times New Roman;Times;Serif" w:hAnsi="Times New Roman;Times;Serif"/>
          <w:b/>
          <w:i w:val="false"/>
          <w:caps w:val="false"/>
          <w:smallCaps w:val="false"/>
          <w:sz w:val="20"/>
          <w:bdr w:val="single" w:sz="12" w:space="5" w:color="000000"/>
        </w:rPr>
        <w:t>SUMMARY OF THE PROSPECTUS</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This summary highlights selected information contained in the documents we incorporate by reference and may not contain all of the information that is important to you in making an investment decision. Before investing in our securities, you should carefully read this entire prospectus, including the documents incorporated herein by reference, especially the risk factors, management’s discussion and analysis of financial condition and results of operations, and consolidated financial statements and the related notes. See the section titled “Where You Can Find More Information.”</w:t>
      </w:r>
    </w:p>
    <w:p>
      <w:pPr>
        <w:pStyle w:val="TextBody"/>
        <w:bidi w:val="0"/>
        <w:spacing w:before="0" w:after="0"/>
        <w:ind w:left="0" w:right="0" w:hanging="0"/>
        <w:jc w:val="center"/>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center"/>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Overview</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We provide enterprise grade AI and automation solutions to the restaurant enterprise technology industry. Our solutions are designed to decrease labor costs, improve staff productivity, increase revenue and enhance the guest experience. We offer our AI solution, Presto Voice, to quick service restaurants (QSR) and our pay-at-table tablet solution, Presto Touch, to casual dining chains. Some of the most recognized restaurant names in the United States are among our customers, including Carl’s Jr., Hardee’s, Del Taco and Checkers for Presto Voice and Applebee’s, Chili’s and Red Lobster for Presto Touch.</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Following our founding in 2008, we initially focused exclusively on Presto Touch. As of June 30, 2023, we had shipped over 277,000 Presto Touch tablets to three of the largest casual dining chains in the United States. While Presto Touch has accounted for substantially all of our historical revenues, we believe that Presto Voice will contribute an increasing portion of our revenues in the future. Presto Voice, addresses the pressing needs of restaurant operators by improving order accuracy, reducing labor costs and increasing revenue through menu upselling, while also providing guests with an improved drive-thru experience.</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The restaurant technology market, while still nascent, continues to rapidly develop and evolve in response to the challenges faced by restaurant operators and the productivity enhancements available to them through the use of technological advances. While growing and robust, the restaurant industry today faces increasing labor and other costs. At the same time, a higher percentage of guests are ordering food and drink via the drive-thru. In an era of high inflation, restaurant operators need to simultaneously lower their costs and generate higher revenues to leverage their cost structures. We believe our solutions help restaurant operators address these concerns with compelling end-to-end solutions that seamlessly integrate into a restaurant’s existing technology stacks.</w:t>
      </w:r>
    </w:p>
    <w:p>
      <w:pPr>
        <w:pStyle w:val="TextBody"/>
        <w:bidi w:val="0"/>
        <w:spacing w:before="0" w:after="0"/>
        <w:ind w:left="0" w:right="0" w:hanging="0"/>
        <w:jc w:val="center"/>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center"/>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Corporate Information</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Our principal executive office is located at 985 Industrial Road, San Carlos, CA 94070. Our telephone number is (650) 817-9012. Our website address is www.presto.com. Information contained on our website is not a part of this prospectus, and the inclusion of our website address in this prospectus is an inactive textual reference only. </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9" w:name="a_005"/>
      <w:bookmarkEnd w:id="19"/>
      <w:r>
        <w:rPr>
          <w:rFonts w:ascii="Times New Roman;Times;Serif" w:hAnsi="Times New Roman;Times;Serif"/>
          <w:b/>
          <w:i w:val="false"/>
          <w:caps w:val="false"/>
          <w:smallCaps w:val="false"/>
          <w:sz w:val="20"/>
        </w:rPr>
        <w:t>RISK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investment in any securities offered pursuant to this prospectus and the applicable prospectus supplement involves risks. Before deciding whether to invest in our securities, you should carefully consider the risk factors incorporated by reference to our most recent Annual Report on Form 10-K, as amended by amendment no. 1 to our Annual Report on Form 10-K/A and any subsequent Current Reports on Form 8-K, and all other information contained or incorporated by reference into this prospectus, as updated by our subsequent filings under the Exchange Act, and the risk factors and other information contained in any applicable prospectus supplement. For more information, see “Where You Can Find More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0" w:name="a_006"/>
      <w:bookmarkEnd w:id="20"/>
      <w:r>
        <w:rPr>
          <w:rFonts w:ascii="Times New Roman;Times;Serif" w:hAnsi="Times New Roman;Times;Serif"/>
          <w:b/>
          <w:i w:val="false"/>
          <w:caps w:val="false"/>
          <w:smallCaps w:val="false"/>
          <w:sz w:val="20"/>
        </w:rPr>
        <w:t>USE OF PROCEEDS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may be described in an applicable prospectus supplement, we intend to use the net proceeds from the sale of the securities offered by us hereunder for general corporate purposes. We may also use such proceeds for temporary investments until we need them for general corporate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the shares of Common Stock and Warrants offered by the Selling Securityholders will be sold by them for their respective accounts. We will not receive any of the proceeds from these sales. We will receive up to an aggregate of approximately $158.6 million from the exercise of all Warrants assuming the exercise in full of all such Warrants for cash. As of the date of this prospectus, all our warrants, except for the 2017 Trinity Warrants and penny warrants, are “out-of-the money,” which means that the trading price of the shares of our Common Stock underlying our Warrants is below the respective $5.85, $8.21 and $11.50 exercise prices (subject to adjustment as described herein) of the warrants. For so long as the Warrants remain “out-of-the money,” we do not expect warrantholders to exercise their warrants and, therefore, we do not expect to receive cash proceeds from any such exercise. We expect to receive only nominal proceeds from the exercise of the 2017 Trinity Warrants and penny warrants. Unless we inform you otherwise in a prospectus supplement or free writing prospectus, we intend to use the net proceeds from the exercise of such Warrants for general corporate purposes which may include acquisitions or other strategic investments or repayment of outstanding indebtedness.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Securityholders will pay any underwriting fees, discounts, selling commissions, stock transfer taxes and certain legal expenses incurred by such Selling Securityholders in disposing of their shares of securities, and we will bear all other costs, fees and expenses incurred in effecting the registration of such securities covered by this prospectus, including, without limitation, all registration and filing fees, Nasdaq listing fees and fees and expenses of our counsel and our independent registered public accountants.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1" w:name="a_007"/>
      <w:bookmarkEnd w:id="21"/>
      <w:r>
        <w:rPr>
          <w:rFonts w:ascii="Times New Roman;Times;Serif" w:hAnsi="Times New Roman;Times;Serif"/>
          <w:b/>
          <w:i w:val="false"/>
          <w:caps w:val="false"/>
          <w:smallCaps w:val="false"/>
          <w:sz w:val="20"/>
        </w:rPr>
        <w:t>DESCRIPTION OF COMMON STOCK AND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description of our Common Stock and preferred stock is set forth in our registration statement on Form 8-A as originally filed with the SEC on December 23, 2020 and any amendment or report filed for the purpose of updating this information (including Exhibit 4.1 to our Annual Report on Form 10-K for the fiscal year ended June 30, 2023), which description is incorporated by reference herein.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2" w:name="a_008"/>
      <w:bookmarkEnd w:id="22"/>
      <w:r>
        <w:rPr>
          <w:rFonts w:ascii="Times New Roman;Times;Serif" w:hAnsi="Times New Roman;Times;Serif"/>
          <w:b/>
          <w:i w:val="false"/>
          <w:caps w:val="false"/>
          <w:smallCaps w:val="false"/>
          <w:sz w:val="20"/>
        </w:rPr>
        <w:t>DESCRIPTION OF DEBT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description, together with the additional information we include in any applicable prospectus supplement or free writing prospectus, summarizes certain general terms and provisions of the debt securities that we may offer under this prospectus. When we offer to sell a particular series of debt securities, we will describe the specific terms of the series in a supplement to this prospectus. We will also indicate in the supplement to what extent the general terms and provisions described in this prospectus apply to a particular series of debt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debt securities either separately, or together with, or upon the conversion or exercise of or in exchange for, other securities described in this prospectus. Unless otherwise specified in a supplement to this prospectus, the debt securities will be our direct, unsecured obligations and may be issued in one or more series.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debt securities will be issued under an indenture between us and a trustee named in a prospectus supplement. We have summarized select portions of the indenture below. The summary is not complete. The form of the indenture has been filed as an exhibit to the registration statement and you should read the indenture for provisions that may be important to you. In the summary below, we have included references to the section numbers of the indenture so that you can easily locate these provisions. Capitalized terms used in the summary and not defined herein have the meanings specified in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each series of debt securities will be established by or pursuant to a resolution of our board of directors and set forth or determined in the manner provided in a resolution of our board of directors, in an officer’s certificate or by a supplemental indenture. The particular terms of each series of debt securities will be described in a prospectus supplement relating to such series (including any pricing supplement or term sheet).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 issue an unlimited amount of debt securities under the indenture that may be in one or more series with the same or various maturities, at par, at a premium, or at a discount. We will set forth in a prospectus supplement (including any pricing supplement or term sheet) relating to any series of debt securities being offered, the aggregate principal amount and the following terms of the debt securities, if applicable:</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1"/>
        <w:gridCol w:w="188"/>
        <w:gridCol w:w="9976"/>
      </w:tblGrid>
      <w:tr>
        <w:trPr/>
        <w:tc>
          <w:tcPr>
            <w:tcW w:w="41"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pPr>
            <w:r>
              <w:rPr/>
              <w:t>●</w:t>
            </w:r>
          </w:p>
        </w:tc>
        <w:tc>
          <w:tcPr>
            <w:tcW w:w="9976"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title and ranking of the debt securities (including the terms of any subordination provisions);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price or prices (expressed as a percentage of the principal amount) at which we will sell the debt securities;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0"/>
        <w:gridCol w:w="271"/>
        <w:gridCol w:w="9874"/>
      </w:tblGrid>
      <w:tr>
        <w:trPr/>
        <w:tc>
          <w:tcPr>
            <w:tcW w:w="6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pPr>
            <w:r>
              <w:rPr/>
              <w:t>●</w:t>
            </w:r>
          </w:p>
        </w:tc>
        <w:tc>
          <w:tcPr>
            <w:tcW w:w="9874"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any limit on the aggregate principal amount of the debt securities;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0"/>
        <w:gridCol w:w="224"/>
        <w:gridCol w:w="9931"/>
      </w:tblGrid>
      <w:tr>
        <w:trPr/>
        <w:tc>
          <w:tcPr>
            <w:tcW w:w="50"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pPr>
            <w:r>
              <w:rPr/>
              <w:t>●</w:t>
            </w:r>
          </w:p>
        </w:tc>
        <w:tc>
          <w:tcPr>
            <w:tcW w:w="9931"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date or dates on which the principal of the securities of the series is payable;</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rate or rates (which may be fixed or variable) per annum or the method used to determine the rate or rates (including any commodity, commodity index, stock exchange index or financial index) at which the debt securities will bear interest, the date or dates from which interest will accrue, the date or dates on which interest will commence and be payable and any regular record date for the interest payable on any interest payment date;</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place or places where principal of, and interest, if any, on the debt securities will be payable (and the method of such payment), where the securities of such series may be surrendered for registration of transfer or exchange and where notices and demands to us in respect of the debt securities may be delivered;</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period or periods within which, the price or prices at which and the terms and conditions upon which we may redeem the debt securities;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any obligation we have to redeem or purchase the debt securities pursuant to any sinking fund or analogous provisions or at the option of a holder of debt securities and the period or periods within which, the price or prices at which and in the terms and conditions upon which securities of the series shall be redeemed or purchased, in whole or in part, pursuant to such obligation;</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72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dates on which and the price or prices at which we will repurchase debt securities at the option of the holders of debt securities and other detailed terms and provisions of these repurchase obligations;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denominations in which the debt securities will be issued, if other than denominations of $1,000 and any integral multiple thereof;</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whether the debt securities will be issued in the form of certificated debt securities or global debt securities;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portion of principal amount of the debt securities payable upon declaration of acceleration of the maturity date, if other than the principal amount;</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currency of denomination of the debt securities, which may be U.S. Dollars or any foreign currency, and if such currency of denomination is a composite currency, the agency or organization, if any, responsible for overseeing such composite currency;</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designation of the currency, currencies or currency units in which payment of principal of, premium and interest on the debt securities will be made;</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if payments of principal of, premium or interest on the debt securities will be made in one or more currencies or currency units other than that or those in which the debt securities are denominated, the manner in which the exchange rate with respect to these payments will be determined;</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manner in which the amounts of payment of principal of, premium, if any, or interest on the debt securities will be determined, if these amounts may be determined by reference to an index based on a currency or currencies or by reference to a commodity, commodity index, stock exchange index or financial index;</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6"/>
        <w:gridCol w:w="253"/>
        <w:gridCol w:w="9896"/>
      </w:tblGrid>
      <w:tr>
        <w:trPr/>
        <w:tc>
          <w:tcPr>
            <w:tcW w:w="5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pPr>
            <w:r>
              <w:rPr/>
              <w:t>●</w:t>
            </w:r>
          </w:p>
        </w:tc>
        <w:tc>
          <w:tcPr>
            <w:tcW w:w="9896"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any provisions relating to any security provided for the debt securities;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any addition to, deletion of or change in the Events of Default described in this prospectus or in the indenture with respect to the debt securities and any change in the acceleration provisions described in this prospectus or in the indenture with respect to the debt securities;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any addition to, deletion of or change in the covenants described in this prospectus or in the indenture with respect to the debt securities;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any depositaries, interest rate calculation agents, exchange rate calculation agents or other agents with respect to the debt securities;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provisions, if any, relating to conversion or exchange of any debt securities of such series, including if applicable, the conversion or exchange price and period, provisions as to whether conversion or exchange will be mandatory, the events requiring an adjustment of the conversion or exchange price and provisions affecting conversion or exchange;</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any other terms of the debt securities, which may supplement, modify or delete any provision of the indenture as it applies to that series, including any terms that may be required under applicable law or regulations or advisable in connection with the marketing of the securities; and</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whether any of our direct or indirect subsidiaries will guarantee the debt securities of that series including the terms of subordination, if any, of such guarantees.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debt securities that provide for an amount less than their stated principal amount to be due and payable upon declaration of acceleration of their maturity pursuant to the terms of the indenture. We will provide you with information on the federal income tax considerations and other special considerations applicable to any of these debt securities in the applicable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denominate the purchase price of any of the debt securities in a foreign currency or currencies or a foreign currency unit or units or if the principal of and any premium and interest on any series of debt securities is payable in a foreign currency or currencies or a foreign currency unit or units, we will provide you with information on the restrictions, elections, general tax considerations, specific terms and other information with respect to that issue of debt securities and such foreign currency or currencies or foreign currency unit or units in the applicable prospectus supplement.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Transfer and Exchange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debt security will be represented by either one or more global securities registered in the name of The Depository Trust Company (the “Depositary”), or a nominee of the Depositary (we will refer to any debt security represented by a global debt security as a “book-entry debt security”), or a certificate issued in definitive registered form (we will refer to any debt security represented by a certificated security as a “certificated debt security”) as set forth in the applicable prospectus supplement. Except as set forth under the heading “Global Debt Securities and Book-Entry System” below, book-entry debt securities will not be issuable in certificated form.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Global Debt Securities and Book-Entry System. Each global debt security representing book-entry debt securities will be deposited with, or on behalf of, the Depositary, and registered in the name of the Depositary or a nominee of the Depositary. Unless and until it is exchanged for individual certificates evidencing securities under the limited circumstances described in the indenture, a global debt security may not be transferred except as a whole by the depositary to its nominee or by the nominee to the depositary, or by the depositary or its nominee to a successor depositary or to a nominee of the successor depositary.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Depositary holds securities that its participants deposit with Depositary. Depositary also facilitates the settlement among its participants of securities transactions, such as transfers and pledges, in deposited securities through electronic computerized book-entry changes in participants’ accounts, thereby eliminating the need for physical movement of securities certificates. “Direct participants” in Depositary include securities brokers and dealers, including underwriters, banks, trust companies, clearing corporations and other organizations. Access to the Depositary system is also available to others (which we sometimes refer to as indirect participants) that clear through or maintain a custodial relationship with a direct participant, either directly or indirectly. The rules applicable to Depositary and its participants are on file with the SEC.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 long as the debt securities are in book-entry form, you will receive payments and may transfer debt securities only through the facilities of the Depositary and its direct and indirect participants. We will maintain an office or agency in the location specified in the prospectus supplement for the applicable securities, where notices and demands in respect of the securities and the indenture may be delivered to us and where certificated debt securities may be surrendered for payment, registration of transfer or exchange. We will make payments on book-entry debt securities to the Depositary or its nominee, as the registered owner of such securities, by wire transfer of immediately available funds.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Certificated Debt Securities</w:t>
      </w:r>
      <w:r>
        <w:rPr>
          <w:rFonts w:ascii="Times New Roman;Times;Serif" w:hAnsi="Times New Roman;Times;Serif"/>
          <w:b w:val="false"/>
          <w:i w:val="false"/>
          <w:caps w:val="false"/>
          <w:smallCaps w:val="false"/>
          <w:sz w:val="20"/>
        </w:rPr>
        <w:t>. You may transfer or exchange certificated debt securities at any office we maintain for this purpose in accordance with the terms of the indenture. No service charge will be made for any transfer or exchange of certificated debt securities, but we may require payment of a sum sufficient to cover any tax or other governmental charge payable in connection with a transfer or exchange.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may effect the transfer of certificated debt securities and the right to receive the principal of, premium and interest on certificated debt securities only by surrendering the certificate representing those certificated debt securities and either reissuance by us or the trustee of the certificate to the new holder or the issuance by us or the trustee of a new certificate to the new holder.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debt securities are issued in definitive certificated form under the limited circumstances described in the indenture, we will have the option of making payments by check mailed to the addresses of the persons entitled to payment or by wire transfer to bank accounts in the United States designated in writing to the applicable trustee or other designated party at least 15 days before the applicable payment date by the persons entitled to payment, unless a shorter period is satisfactory to the applicable trustee or other designated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Covenants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set forth in the applicable prospectus supplement any restrictive covenants applicable to any issue of debt securities, including the payment of principal, premium, if any, and interest on such debt securities. The indenture will not limit us from incurring or issuing other unsecured or secured debt and, unless otherwise indicated in the applicable prospectus supplement, the indenture will not contain any financial covenants.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Protection in the Event of a Change of Control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we state otherwise in the applicable prospectus supplement, the debt securities will not contain any provisions which may afford holders of the debt securities protection in the event we have a change in control or in the event of a highly leveraged transaction (whether or not such transaction results in a change in control) which could adversely affect holders of debt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Conversion or Exchange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set forth in the applicable prospectus supplement or free writing prospectus the terms on which a series of debt securities may be convertible into or exchangeable for our common stock, our preferred stock or other securities (including securities of a third-party). We will include provisions as to whether conversion or exchange is mandatory, at the option of the holder or at our option. We may include provisions pursuant to which the number of shares of our common stock, our preferred stock or other securities (including securities of a third-party) that the holders of the series of debt securities receive would be subject to adjustment.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Consolidation, Merger and Sale of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not consolidate with or merge with or into, or convey, transfer or lease all or substantially all of our properties and assets to any person (a “successor person”) unless:</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we are the surviving corporation or the successor person (if other than Presto) is a corporation, organized and validly existing under the laws of any U.S. domestic jurisdiction and expressly assumes our obligations on the debt securities and under the indenture; and</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immediately after giving effect to the transaction, no Default (as defined below) or Event of Default shall have occurred and be continuing.</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above, any of our subsidiaries may consolidate with, merge into or transfer all or part of its properties to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Events of Default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Event of Default” means with respect to any series of debt securities, any of the following:</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default in the payment of any interest upon any debt security of that series when it becomes due and payable, and continuance of such default for a period of 30 days (unless the entire amount of the payment is deposited by us with the trustee or with a paying agent prior to the expiration of the 30-day period);</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1"/>
        <w:gridCol w:w="228"/>
        <w:gridCol w:w="9926"/>
      </w:tblGrid>
      <w:tr>
        <w:trPr/>
        <w:tc>
          <w:tcPr>
            <w:tcW w:w="51"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pPr>
            <w:r>
              <w:rPr/>
              <w:t>●</w:t>
            </w:r>
          </w:p>
        </w:tc>
        <w:tc>
          <w:tcPr>
            <w:tcW w:w="9926"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default in the payment of principal of any security of that series at its maturity;</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default in the performance or breach of any other covenant or warranty by us in the indenture (other than a covenant or warranty that has been included in the indenture solely for the benefit of a series of debt securities other than that series), which default continues uncured for a period of 60 days after we receive written notice from the trustee or Presto and the trustee receives written notice from the holders of not less than 25% in principal amount of the outstanding debt securities of that series as provided in the indenture;</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2"/>
        <w:gridCol w:w="192"/>
        <w:gridCol w:w="9971"/>
      </w:tblGrid>
      <w:tr>
        <w:trPr/>
        <w:tc>
          <w:tcPr>
            <w:tcW w:w="4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pPr>
            <w:r>
              <w:rPr/>
              <w:t>●</w:t>
            </w:r>
          </w:p>
        </w:tc>
        <w:tc>
          <w:tcPr>
            <w:tcW w:w="9971"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certain voluntary or involuntary events of bankruptcy, insolvency or reorganization of Presto;</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any other Event of Default provided with respect to debt securities of that series that is described in the applicable prospectus supplement.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Default</w:t>
      </w:r>
      <w:r>
        <w:rPr>
          <w:rFonts w:ascii="Times New Roman;Times;Serif" w:hAnsi="Times New Roman;Times;Serif"/>
          <w:b w:val="false"/>
          <w:i w:val="false"/>
          <w:caps w:val="false"/>
          <w:smallCaps w:val="false"/>
          <w:sz w:val="20"/>
        </w:rPr>
        <w:t>” means any event which is, or after notice or passage of time or both would be, an Event of Default.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Event of Default with respect to a particular series of debt securities (except as to certain events of bankruptcy, insolvency or reorganization) necessarily constitutes an Event of Default with respect to any other series of debt securities. The occurrence of certain Events of Default or an acceleration under the indenture may constitute an event of default under certain indebtedness of ours or our subsidiaries outstanding from time to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provide the trustee written notice of any Default or Event of Default within 30 days of becoming aware of the occurrence of such Default or Event of Default, which notice will describe in reasonable detail the status of such Default or Event of Default and what action we are taking or propose to take in respect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Event of Default with respect to debt securities of any series at the time outstanding occurs and is continuing, then the trustee or the holders of not less than 25% in principal amount of the outstanding debt securities of that series may, by a notice in writing to us (and to the trustee if given by the holders), declare to be due and payable immediately the principal of (or, if the debt securities of that series are discount securities, that portion of the principal amount as may be specified in the terms of that series) and accrued and unpaid interest, if any, on all debt securities of that series. In the case of an Event of Default resulting from certain events of bankruptcy, insolvency or reorganization, the principal (or such specified amount) of and accrued and unpaid interest, if any, on all outstanding debt securities will become and be immediately due and payable without any declaration or other act on the part of the trustee or any holder of outstanding debt securities. At any time after a declaration of acceleration with respect to debt securities of any series has been made, but before a judgment or decree for payment of the money due has been obtained by the trustee, the holders of a majority in principal amount of the outstanding debt securities of that series may rescind and annul the acceleration if all Events of Default, other than the non-payment of accelerated principal and interest, if any, with respect to debt securities of that series, have been cured or waived as provided in the indenture. We refer you to the prospectus supplement relating to any series of debt securities that are discount securities for the particular provisions relating to acceleration of a portion of the principal amount of such discount securities upon the occurrence of an Event of Default.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will provide that the trustee may refuse to perform any duty or exercise any of its rights or powers under the indenture unless the trustee receives indemnity satisfactory to it against any cost, liability or expense which might be incurred by it in performing such duty or exercising such right or power. Subject to certain rights of the trustee,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holder of any debt security of any series will have any right to institute any proceeding, judicial or otherwise, with respect to the indenture or for the appointment of a receiver or trustee, or for any remedy under the indenture, unless:</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that holder has previously given to the trustee written notice of a continuing Event of Default with respect to debt securities of that series; and</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holders of not less than 25% in principal amount of the outstanding debt securities of that series have made written request, and offered indemnity or security satisfactory to the trustee, to the trustee to institute the proceeding as trustee, and the trustee has not received from the holders of not less than a majority in principal amount of the outstanding debt securities of that series a direction inconsistent with that request and has failed to institute the proceeding within 60 days.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 other provision in the indenture, the holder of any debt security will have an absolute and unconditional right to receive payment of the principal of, premium and any interest on that debt security on or after the due dates expressed in that debt security and to institute suit for the enforcement of payment.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will require us, within 120 days after the end of our fiscal year, to furnish to the trustee a statement as to compliance with the indenture. If a Default or Event of Default occurs and is continuing with respect to the securities of any series and if it is known to a responsible officer of the trustee, the trustee shall mail to each holder of the securities of that series notice of a Default or Event of Default within 90 days after it occurs or, if later, after a responsible officer of the trustee has knowledge of such Default or Event of Default. The indenture will provide that the trustee may withhold notice to the holders of debt securities of any series of any Default or Event of Default (except in payment on any debt securities of that series) with respect to debt securities of that series if the trustee determines in good faith that withholding notice is in the interest of the holders of those debt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Modification and Waiver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and the trustee may modify, amend or supplement the indenture or the debt securities of any series without the consent of any holder of any debt security:</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3"/>
        <w:gridCol w:w="374"/>
        <w:gridCol w:w="9748"/>
      </w:tblGrid>
      <w:tr>
        <w:trPr/>
        <w:tc>
          <w:tcPr>
            <w:tcW w:w="83"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pPr>
            <w:r>
              <w:rPr/>
              <w:t>●</w:t>
            </w:r>
          </w:p>
        </w:tc>
        <w:tc>
          <w:tcPr>
            <w:tcW w:w="974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to cure any ambiguity, defect or inconsistency;</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to comply with covenants in the indenture described above under the heading “Consolidation, Merger and Sale of Assets”;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5"/>
        <w:gridCol w:w="204"/>
        <w:gridCol w:w="9956"/>
      </w:tblGrid>
      <w:tr>
        <w:trPr/>
        <w:tc>
          <w:tcPr>
            <w:tcW w:w="45"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pPr>
            <w:r>
              <w:rPr/>
              <w:t>●</w:t>
            </w:r>
          </w:p>
        </w:tc>
        <w:tc>
          <w:tcPr>
            <w:tcW w:w="9956"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to provide for uncertificated securities in addition to or in place of certificated securities;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0"/>
        <w:gridCol w:w="181"/>
        <w:gridCol w:w="9984"/>
      </w:tblGrid>
      <w:tr>
        <w:trPr/>
        <w:tc>
          <w:tcPr>
            <w:tcW w:w="4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pPr>
            <w:r>
              <w:rPr/>
              <w:t>●</w:t>
            </w:r>
          </w:p>
        </w:tc>
        <w:tc>
          <w:tcPr>
            <w:tcW w:w="9984"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to add guarantees with respect to debt securities of any series or secure debt securities of any series;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5"/>
        <w:gridCol w:w="292"/>
        <w:gridCol w:w="9848"/>
      </w:tblGrid>
      <w:tr>
        <w:trPr/>
        <w:tc>
          <w:tcPr>
            <w:tcW w:w="65"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pPr>
            <w:r>
              <w:rPr/>
              <w:t>●</w:t>
            </w:r>
          </w:p>
        </w:tc>
        <w:tc>
          <w:tcPr>
            <w:tcW w:w="984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to surrender any of our rights or powers under the indenture;</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72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1"/>
        <w:gridCol w:w="184"/>
        <w:gridCol w:w="9980"/>
      </w:tblGrid>
      <w:tr>
        <w:trPr/>
        <w:tc>
          <w:tcPr>
            <w:tcW w:w="41"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pPr>
            <w:r>
              <w:rPr/>
              <w:t>●</w:t>
            </w:r>
          </w:p>
        </w:tc>
        <w:tc>
          <w:tcPr>
            <w:tcW w:w="998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to add covenants or events of default for the benefit of the holders of debt securities of any series;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6"/>
        <w:gridCol w:w="254"/>
        <w:gridCol w:w="9895"/>
      </w:tblGrid>
      <w:tr>
        <w:trPr/>
        <w:tc>
          <w:tcPr>
            <w:tcW w:w="5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pPr>
            <w:r>
              <w:rPr/>
              <w:t>●</w:t>
            </w:r>
          </w:p>
        </w:tc>
        <w:tc>
          <w:tcPr>
            <w:tcW w:w="989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to comply with the applicable procedures of the applicable depositary;</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3"/>
        <w:gridCol w:w="195"/>
        <w:gridCol w:w="9967"/>
      </w:tblGrid>
      <w:tr>
        <w:trPr/>
        <w:tc>
          <w:tcPr>
            <w:tcW w:w="4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pPr>
            <w:r>
              <w:rPr/>
              <w:t>●</w:t>
            </w:r>
          </w:p>
        </w:tc>
        <w:tc>
          <w:tcPr>
            <w:tcW w:w="996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to make any change that does not adversely affect the rights of any holder of debt securities;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to provide for the issuance of and establish the form and terms and conditions of debt securities of any series as permitted by the indenture;</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to effect the appointment of a successor trustee with respect to the debt securities of any series and to add to or change any of the provisions of the indenture to provide for or facilitate administration by more than one trustee; or</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to comply with requirements of the SEC in order to effect or maintain the qualification of the indenture under the Trust Indenture Act of 1939, as amended.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also modify and amend the indenture with the consent of the holders of a majority in principal amount of the outstanding debt securities of each series affected by the modifications or amendments (with the securities of each series voting as a class). We may not make any modification or amendment without the consent of the holders of each affected debt security then outstanding if that amendment will:</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reduce the amount of debt securities whose holders must consent to an amendment, supplement or waiver;</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reduce the rate of or extend the time for payment of interest (including default interest) on any debt security;</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reduce the principal of or premium on or change the fixed maturity of any debt security or reduce the amount of, or postpone the date fixed for, the payment of any sinking fund or analogous obligation with respect to any series of debt securities;</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45"/>
        <w:gridCol w:w="202"/>
        <w:gridCol w:w="9958"/>
      </w:tblGrid>
      <w:tr>
        <w:trPr/>
        <w:tc>
          <w:tcPr>
            <w:tcW w:w="45"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pPr>
            <w:r>
              <w:rPr/>
              <w:t>●</w:t>
            </w:r>
          </w:p>
        </w:tc>
        <w:tc>
          <w:tcPr>
            <w:tcW w:w="99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reduce the principal amount of discount securities payable upon acceleration of maturity;</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waive a default in the payment of the principal of, premium or interest on any debt security (except a rescission of acceleration of the debt securities of any series by the holders of a majority in aggregate principal amount of the then outstanding debt securities of that series and a waiver of the payment default that resulted from such acceleration);</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make the principal of or premium or interest on any debt security payable in currency other than that stated in the debt security;</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make any change to certain provisions of the indenture relating to, among other things, the right of holders of debt securities to receive payment of the principal of, premium and interest on those debt securities and to institute suit for the enforcement of any such payment and to waivers or amendments; or</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63"/>
        <w:gridCol w:w="282"/>
        <w:gridCol w:w="9860"/>
      </w:tblGrid>
      <w:tr>
        <w:trPr/>
        <w:tc>
          <w:tcPr>
            <w:tcW w:w="63"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pPr>
            <w:r>
              <w:rPr/>
              <w:t>●</w:t>
            </w:r>
          </w:p>
        </w:tc>
        <w:tc>
          <w:tcPr>
            <w:tcW w:w="986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waive a redemption payment with respect to any debt security.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for certain specified provisions, the holders of a majority in principal amount of the outstanding debt securities of any series may on behalf of the holders of all debt securities of that series waive our compliance with provisions of the indenture. The holders of a majority in principal amount of the outstanding debt securities of any series may on behalf of the holders of all the debt securities of such series waive any past default under the indenture with respect to that series and its consequences, except a default in the payment of the principal of, premium or any interest on any debt security of that series; provided, however, that the holders of a majority in principal amount of the outstanding debt securities of any series may rescind an acceleration and its consequences, including any related payment default that resulted from the acceleration.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Defeasance of Debt Securities and Certain Covenants in Certain Circumstances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Legal Defeasance</w:t>
      </w:r>
      <w:r>
        <w:rPr>
          <w:rFonts w:ascii="Times New Roman;Times;Serif" w:hAnsi="Times New Roman;Times;Serif"/>
          <w:b w:val="false"/>
          <w:i w:val="false"/>
          <w:caps w:val="false"/>
          <w:smallCaps w:val="false"/>
          <w:sz w:val="20"/>
        </w:rPr>
        <w:t>. The indenture will provide that, unless otherwise provided by the terms of the applicable series of debt securities, we may be discharged from any and all obligations in respect of the debt securities of any series (subject to certain exceptions) upon the irrevocable deposit with the trustee, in trust, of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or U.S. government obligations in an amount sufficient in the opinion of a nationally recognized firm of independent public accountants or investment bank to pay and discharge each installment of principal of, premium and interest on and any mandatory sinking fund payments in respect of the debt securities of that series on the stated maturity of those payments in accordance with the terms of the indenture and those debt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discharge may occur only if, among other things, we have delivered to the trustee an opinion of counsel stating that we have received from, or there has been published by, the United States Internal Revenue Service a ruling or, since the date of execution of the indenture, there has been a change in the applicable United States federal income tax law, in either case to the effect that, and based thereon such opinion shall confirm that, the holders of the debt securities of that series will not recognize income, gain or loss for United States federal income tax purposes as a result of the deposit, defeasance and discharge and will be subject to United States federal income tax on the same amounts and in the same manner and at the same times as would have been the case if the deposit, defeasance and discharge had not occurred.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Defeasance of Certain Covenants</w:t>
      </w:r>
      <w:r>
        <w:rPr>
          <w:rFonts w:ascii="Times New Roman;Times;Serif" w:hAnsi="Times New Roman;Times;Serif"/>
          <w:b w:val="false"/>
          <w:i w:val="false"/>
          <w:caps w:val="false"/>
          <w:smallCaps w:val="false"/>
          <w:sz w:val="20"/>
        </w:rPr>
        <w:t>. The indenture will provide that, unless otherwise provided by the terms of the applicable series of debt securities, upon compliance with certain conditions:</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we may omit to comply with the covenant described under the heading “Consolidation, Merger and Sale of Assets” and certain other covenants set forth in the indenture, as well as any additional covenants which may be set forth in the applicable prospectus supplement; and</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any omission to comply with those covenants will not constitute a Default or an Event of Default with respect to the debt securities of that series (“covenant defeasance”).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conditions include:</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depositing with the trustee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in an amount sufficient in the opinion of a nationally recognized firm of independent public accountants or investment bank to pay and discharge each installment of principal of, premium and interest on and any mandatory sinking fund payments in respect of the debt securities of that series on the stated maturity of those payments in accordance with the terms of the indenture and those debt securities; and</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delivering to the trustee an opinion of counsel to the effect that the holders of the debt securities of that series will not recognize income, gain or loss for United States federal income tax purposes as a result of such covenant defeasance and will be subject to United States federal income tax on the same amounts and in the same manner and at the same times as would have been the case if such covenant defeasance had not occurred.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covenant defeasance occurs, certain events (not including non-payment, bankruptcy, receivership, rehabilitation and insolvency events) described under “Events of Default” will no longer constitute an Event of Default with respect to the applicable series of debt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Personal Liability of Directors, Officers, Employees or Securityholders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of our past, present or future directors, officers, employees or securityholders, as such, will have any liability for any of our obligations under the debt securities or the indenture or for any claim based on, or in respect or by reason of, such obligations or their creation. By accepting a debt security, each holder waives and releases all such liability. This waiver and release is part of the consideration for the issue of the debt securities. However, this waiver and release may not be effective to waive liabilities under U.S. federal securities laws, and it is the view of the SEC that such a waiver is against public policy.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Governing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and the debt securities, including any claim or controversy arising out of or relating to the indenture or the securities, will be governed by the laws of the State of New York.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will provide that we, the trustee and the holders of the debt securities (by their acceptance of the debt securities) irrevocably waive, to the fullest extent permitted by applicable law, any and all right to trial by jury in any legal proceeding arising out of or relating to the indenture, the debt securities or the transactions contemplated thereby.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will provide that any legal suit, action or proceeding arising out of or based upon the indenture or the transactions contemplated thereby may be instituted in the federal courts of the United States of America located in the City of New York or the courts of the State of New York in each case located in the City of New York, and we, the trustee and the holder of the debt securities (by their acceptance of the debt securities) irrevocably submit to the non-exclusive jurisdiction of such courts in any such suit, action or proceeding. The indenture will further provide that service of any process, summons, notice or document by mail (to the extent allowed under any applicable statute or rule of court) to such party’s address set forth in the indenture will be effective service of process for any suit, action or other proceeding brought in any such court. The indenture will further provide that we, the trustee and the holders of the debt securities (by their acceptance of the debt securities) irrevocably and unconditionally waive any objection to the laying of venue of any suit, action or other proceeding in the courts specified above and irrevocably and unconditionally waive and agree not to plead or claim any such suit, action or other proceeding has been brought in an inconvenient forum.</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3" w:name="a_009"/>
      <w:bookmarkEnd w:id="23"/>
      <w:r>
        <w:rPr>
          <w:rFonts w:ascii="Times New Roman;Times;Serif" w:hAnsi="Times New Roman;Times;Serif"/>
          <w:b/>
          <w:i w:val="false"/>
          <w:caps w:val="false"/>
          <w:smallCaps w:val="false"/>
          <w:sz w:val="20"/>
        </w:rPr>
        <w:t>DESCRIPTION OF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elect to offer new warrants from time to time in one or more series. The following description summarizes the general terms and provisions of the new warrants we may offer pursuant to this prospectus that are common to all series. For the avoidance of doubt, this section relates only to new warrants that we may issue and not any of our outstanding warrants, such as the Public Warrants or Private Placement Warrants, and we refer to such new warrants in this prospectus for the sake of simplicity as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specific terms relating to any series of our warrants that we offer will be described in a prospectus supplement, which you should read. Because the terms of specific series of warrants offered may differ from the general information that we have provided below, you should rely on information in the applicable prospectus supplement that contradicts any information below. The summary below is not complete and is subject to, and qualified in its entirety by reference to, the terms and provisions of the applicable warrant agreement relating to each series of warrants, which will be in the form filed as an exhibit to or incorporated by reference in the registration statement of which this prospectus is a part at or prior to the time of the issuance of such series of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warrants to purchase common stock, preferred stock, debt securities or any combination thereof (including in the form of units), which we refer to in this prospectus, collectively, as the “underlying warrant securities.” The warrants may be issued independently or together with any series of underlying warrant securities and may be attached or separate from the underlying warrant securities. Each series of warrants will be issued pursuant to a separate form of warrant and may be issued pursuant to a separate warrant agreement to be entered into between us and a warrant agent. Any warrant agent will act solely as our agent in connection with the warrants of such series and will not assume any obligation or relationship of agency for or with holders or beneficial owners of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applicable prospectus supplement will describe the terms of any series of warrants in respect of which this prospectus is being delivered, including the following:</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7"/>
        <w:gridCol w:w="704"/>
        <w:gridCol w:w="9344"/>
      </w:tblGrid>
      <w:tr>
        <w:trPr/>
        <w:tc>
          <w:tcPr>
            <w:tcW w:w="157"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pPr>
            <w:r>
              <w:rPr/>
              <w:t>●</w:t>
            </w:r>
          </w:p>
        </w:tc>
        <w:tc>
          <w:tcPr>
            <w:tcW w:w="9344"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title of the warrants;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1"/>
        <w:gridCol w:w="500"/>
        <w:gridCol w:w="9594"/>
      </w:tblGrid>
      <w:tr>
        <w:trPr/>
        <w:tc>
          <w:tcPr>
            <w:tcW w:w="111"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pPr>
            <w:r>
              <w:rPr/>
              <w:t>●</w:t>
            </w:r>
          </w:p>
        </w:tc>
        <w:tc>
          <w:tcPr>
            <w:tcW w:w="9594"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aggregate number of warrants;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1"/>
        <w:gridCol w:w="320"/>
        <w:gridCol w:w="9814"/>
      </w:tblGrid>
      <w:tr>
        <w:trPr/>
        <w:tc>
          <w:tcPr>
            <w:tcW w:w="71"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w:t>
            </w:r>
          </w:p>
        </w:tc>
        <w:tc>
          <w:tcPr>
            <w:tcW w:w="9814"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price or prices at which the warrants will be issued;</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1"/>
        <w:gridCol w:w="231"/>
        <w:gridCol w:w="9923"/>
      </w:tblGrid>
      <w:tr>
        <w:trPr/>
        <w:tc>
          <w:tcPr>
            <w:tcW w:w="5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pPr>
            <w:r>
              <w:rPr/>
              <w:t>●</w:t>
            </w:r>
          </w:p>
        </w:tc>
        <w:tc>
          <w:tcPr>
            <w:tcW w:w="992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currency or currencies in which the price of the warrants may be payable;</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designation and terms of the underlying warrant securities purchasable upon exercise of the warrants and the number of such underlying warrant securities issuable upon exercise of the warrants;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price at which and the currency or currencies, including composite currencies, in which the underlying warrant securities purchasable upon exercise of the warrants may be purchased;</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date on which the right to exercise the warrants will commence and the date on which that right will expire (subject to any extension);</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7"/>
        <w:gridCol w:w="256"/>
        <w:gridCol w:w="9892"/>
      </w:tblGrid>
      <w:tr>
        <w:trPr/>
        <w:tc>
          <w:tcPr>
            <w:tcW w:w="5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pPr>
            <w:r>
              <w:rPr/>
              <w:t>●</w:t>
            </w:r>
          </w:p>
        </w:tc>
        <w:tc>
          <w:tcPr>
            <w:tcW w:w="989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whether the warrants will be issued in registered form or bearer form;</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if applicable, the minimum or maximum amount of the warrants which may be exercised at any one time;</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if applicable, the designation and terms of the underlying warrant securities with which the warrants are issued and the number of the warrants issued with each underlying warrant security;</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if applicable, the date on and after which the warrants and the related underlying warrant securities will be separately transferable;</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8"/>
        <w:gridCol w:w="304"/>
        <w:gridCol w:w="9833"/>
      </w:tblGrid>
      <w:tr>
        <w:trPr/>
        <w:tc>
          <w:tcPr>
            <w:tcW w:w="68"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pPr>
            <w:r>
              <w:rPr/>
              <w:t>●</w:t>
            </w:r>
          </w:p>
        </w:tc>
        <w:tc>
          <w:tcPr>
            <w:tcW w:w="983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information with respect to book-entry procedures, if any;</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if applicable, a discussion of the material United States federal income tax considerations applicable to the issuance or exercise of the warrants; and</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any other terms of the warrants, including terms, procedures and limitations relating to the exchange and exercise of the warrants.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Amendments and Supplements to Warrant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 agreement for a series of warrants, if applicable, may be amended or supplemented without the consent of the holders of the warrants issued thereunder to effect changes that are not inconsistent with the provisions of the warrants and that do not adversely affect the interests of the holders of the warrants.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4" w:name="a_010"/>
      <w:bookmarkEnd w:id="24"/>
      <w:r>
        <w:rPr>
          <w:rFonts w:ascii="Times New Roman;Times;Serif" w:hAnsi="Times New Roman;Times;Serif"/>
          <w:b/>
          <w:i w:val="false"/>
          <w:caps w:val="false"/>
          <w:smallCaps w:val="false"/>
          <w:sz w:val="20"/>
        </w:rPr>
        <w:t>DESCRIPTION OF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section describes the general terms of the rights that we may offer and sell by this prospectus. This prospectus and any accompanying prospectus supplement will contain the material terms and conditions for each right. The accompanying prospectus supplement may add, update or change the terms and conditions of the rights as described in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particular terms of each issue of rights, the rights agreement relating to the rights and the rights certificates representing rights will be described in the applicable prospectus supplement, including, as applicable:</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77"/>
        <w:gridCol w:w="797"/>
        <w:gridCol w:w="9231"/>
      </w:tblGrid>
      <w:tr>
        <w:trPr/>
        <w:tc>
          <w:tcPr>
            <w:tcW w:w="177"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pPr>
            <w:r>
              <w:rPr/>
              <w:t>●</w:t>
            </w:r>
          </w:p>
        </w:tc>
        <w:tc>
          <w:tcPr>
            <w:tcW w:w="9231"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title of the rights;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2"/>
        <w:gridCol w:w="234"/>
        <w:gridCol w:w="9919"/>
      </w:tblGrid>
      <w:tr>
        <w:trPr/>
        <w:tc>
          <w:tcPr>
            <w:tcW w:w="5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pPr>
            <w:r>
              <w:rPr/>
              <w:t>●</w:t>
            </w:r>
          </w:p>
        </w:tc>
        <w:tc>
          <w:tcPr>
            <w:tcW w:w="9919"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date of determining the security holders entitled to the rights distribution;</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title, aggregate number of shares of common stock or preferred stock purchasable upon exercise of the rights;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00"/>
        <w:gridCol w:w="895"/>
        <w:gridCol w:w="9110"/>
      </w:tblGrid>
      <w:tr>
        <w:trPr/>
        <w:tc>
          <w:tcPr>
            <w:tcW w:w="200"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pPr>
            <w:r>
              <w:rPr/>
              <w:t>●</w:t>
            </w:r>
          </w:p>
        </w:tc>
        <w:tc>
          <w:tcPr>
            <w:tcW w:w="911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exercise price;</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1"/>
        <w:gridCol w:w="453"/>
        <w:gridCol w:w="9651"/>
      </w:tblGrid>
      <w:tr>
        <w:trPr/>
        <w:tc>
          <w:tcPr>
            <w:tcW w:w="101"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pPr>
            <w:r>
              <w:rPr/>
              <w:t>●</w:t>
            </w:r>
          </w:p>
        </w:tc>
        <w:tc>
          <w:tcPr>
            <w:tcW w:w="9651"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aggregate number of rights issued;</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2"/>
        <w:gridCol w:w="235"/>
        <w:gridCol w:w="9918"/>
      </w:tblGrid>
      <w:tr>
        <w:trPr/>
        <w:tc>
          <w:tcPr>
            <w:tcW w:w="52"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pPr>
            <w:r>
              <w:rPr/>
              <w:t>●</w:t>
            </w:r>
          </w:p>
        </w:tc>
        <w:tc>
          <w:tcPr>
            <w:tcW w:w="991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date, if any, on and after which the rights will be separately transferable;</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date on which the right to exercise the rights will commence and the date on which the right will expire; and</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any other terms of the rights, including terms, procedures and limitations relating to the distribution, exchange and exercise of the rights.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right will entitle the holder of rights to purchase for cash the principal amount of shares of common stock or preferred stock at the exercise price provided in the applicable prospectus supplement. Rights may be exercised at any time up to the close of business on the expiration date for the rights provided in the applicable prospectus supplement. After the close of business on the expiration date, all unexercised rights will be void.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may exercise rights as described in the applicable prospectus supplement. Upon receipt of payment and the rights certificate properly completed and duly executed at the corporate trust office of the rights agent or any other office indicated in the prospectus supplement, we will, as soon as practicable, forward the shares of common stock or preferred stock purchasable upon exercise of the rights. If less than all of the rights issued in any rights offering are exercised, we may offer any unsubscribed securities directly to persons other than securityholders, to or through agents, underwriters or dealers or through a combination of such methods, including pursuant to standby underwriting arrangements, as described in the applicable prospectus supplement.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5" w:name="a_011"/>
      <w:bookmarkEnd w:id="25"/>
      <w:r>
        <w:rPr>
          <w:rFonts w:ascii="Times New Roman;Times;Serif" w:hAnsi="Times New Roman;Times;Serif"/>
          <w:b/>
          <w:i w:val="false"/>
          <w:caps w:val="false"/>
          <w:smallCaps w:val="false"/>
          <w:sz w:val="20"/>
        </w:rPr>
        <w:t>DESCRIPTION OF UNITS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description, together with the additional information we include in any applicable prospectus supplements, summarizes the material terms and provisions of the units that we may offer under this prospectus. Units may be offered independently or together with common stock, preferred stock, debt securities, and warrants offered by any prospectus supplement, and may be attached to or separate from those securities. While the terms we have summarized below will generally apply to any future units that we may offer under this prospectus, we will describe the particular terms of any series of units that we may offer in more detail in the applicable prospectus supplement. The terms of any units offered under a prospectus supplement may differ from the terms described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incorporate by reference into the registration statement, of which this prospectus is a part, the form of unit agreement, including a form of unit certificate, if any, that describes the terms of the series of units we are offering before the issuance of the related series of units. The following summaries of material provisions of the units and the unit agreements are subject to, and qualified in their entirety by reference to, all the provisions of the unit agreement applicable to a particular series of units. We urge you to read the applicable prospectus supplements related to the units that we sell under this prospectus, as well as the complete unit agreements that contain the terms of the units.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units consisting of common stock, preferred stock, debt securities, and/or warrants in any combination. Each unit will be issued so that the holder of the unit is also the holder of each security included in the unit. Thus,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describe in the applicable prospectus supplement the terms of the series of units, including the following:</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designation and terms of the units and of the securities comprising the units, including whether and under what circumstances those securities may be held or transferred separately;</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3"/>
        <w:gridCol w:w="197"/>
        <w:gridCol w:w="9965"/>
      </w:tblGrid>
      <w:tr>
        <w:trPr/>
        <w:tc>
          <w:tcPr>
            <w:tcW w:w="43"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pPr>
            <w:r>
              <w:rPr/>
              <w:t>●</w:t>
            </w:r>
          </w:p>
        </w:tc>
        <w:tc>
          <w:tcPr>
            <w:tcW w:w="996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any provisions of the governing unit agreement that differ from those described below; and</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any provisions for the issuance, payment, settlement, transfer, or exchange of the units or of the securities comprising the units.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provisions described in this section, as well as those described in the sections entitled “Description of Common Stock and Preferred Stock,” “Description of Debt Securities,” and “Description of Warrants,” will apply to each unit and to any common stock, preferred stock, debt security, or warrant included in each unit,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Issuance in Series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units in such amounts and in such numerous distinct series as we determine.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Enforceability of Rights by Holders of Units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unit agent will act solely as our agent under the applicable unit agreement and will not assume any obligation or relationship of agency or trust with any holder of any unit. A single bank or trust company may act as unit agent for more than one series of units. A unit agent will have no duty or responsibility in case of any default by us under the applicable unit agreement or unit, including any duty or responsibility to initiate any proceedings at law or otherwise, or to make any demand upon us. Any holder of a unit may, without the consent of the related unit agent or the holder of any other unit, enforce by appropriate legal action its rights as holder under any security included in the unit.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the unit agent, and any of their agents may treat the registered holder of any unit certificate as an absolute owner of the units evidenced by that certificate for any purposes and as the person entitled to exercise the rights attaching to the units so requested, despite any notice to the contrary.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6" w:name="a_012"/>
      <w:bookmarkEnd w:id="26"/>
      <w:r>
        <w:rPr>
          <w:rFonts w:ascii="Times New Roman;Times;Serif" w:hAnsi="Times New Roman;Times;Serif"/>
          <w:b/>
          <w:i w:val="false"/>
          <w:caps w:val="false"/>
          <w:smallCaps w:val="false"/>
          <w:sz w:val="20"/>
        </w:rPr>
        <w:t>GLOBAL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Book-Entry, Delivery and Form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we indicate differently in a prospectus supplement, the securities initially will be issued in book-entry form and represented by one or more global securities. The global securities will be deposited with, or on behalf of, The Depository Trust Company, New York, New York, as depositary, or DTC, and registered in the name of Cede &amp; Co., the nominee of DTC. Unless and until it is exchanged for individual certificates evidencing securities under the limited circumstances described below, a global security may not be transferred except as a whole by the depositary to its nominee or by the nominee to the depositary, or by the depositary or its nominee to a successor depositary or to a nominee of the successor depositary.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DTC has advised us that it is:</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0"/>
        <w:gridCol w:w="225"/>
        <w:gridCol w:w="9930"/>
      </w:tblGrid>
      <w:tr>
        <w:trPr/>
        <w:tc>
          <w:tcPr>
            <w:tcW w:w="5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pPr>
            <w:r>
              <w:rPr/>
              <w:t>●</w:t>
            </w:r>
          </w:p>
        </w:tc>
        <w:tc>
          <w:tcPr>
            <w:tcW w:w="993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 limited-purpose trust company organized under the New York Banking Law;</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0"/>
        <w:gridCol w:w="229"/>
        <w:gridCol w:w="9926"/>
      </w:tblGrid>
      <w:tr>
        <w:trPr/>
        <w:tc>
          <w:tcPr>
            <w:tcW w:w="50"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pPr>
            <w:r>
              <w:rPr/>
              <w:t>●</w:t>
            </w:r>
          </w:p>
        </w:tc>
        <w:tc>
          <w:tcPr>
            <w:tcW w:w="9926"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 “banking organization” within the meaning of the New York Banking Law;</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2"/>
        <w:gridCol w:w="416"/>
        <w:gridCol w:w="9697"/>
      </w:tblGrid>
      <w:tr>
        <w:trPr/>
        <w:tc>
          <w:tcPr>
            <w:tcW w:w="92"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pPr>
            <w:r>
              <w:rPr/>
              <w:t>●</w:t>
            </w:r>
          </w:p>
        </w:tc>
        <w:tc>
          <w:tcPr>
            <w:tcW w:w="96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 member of the Federal Reserve System;</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2"/>
        <w:gridCol w:w="189"/>
        <w:gridCol w:w="9974"/>
      </w:tblGrid>
      <w:tr>
        <w:trPr/>
        <w:tc>
          <w:tcPr>
            <w:tcW w:w="42"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pPr>
            <w:r>
              <w:rPr/>
              <w:t>●</w:t>
            </w:r>
          </w:p>
        </w:tc>
        <w:tc>
          <w:tcPr>
            <w:tcW w:w="9974"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 “clearing corporation” within the meaning of the New York Uniform Commercial Code; and</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 “clearing agency” registered pursuant to the provisions of Section 17A of the Securities Exchange Act of 1934, as amended, or Exchange Act.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DTC holds securities that its participants deposit with DTC. DTC also facilitates the settlement among its participants of securities transactions, such as transfers and pledges, in deposited securities through electronic computerized book-entry changes in participants’ accounts, thereby eliminating the need for physical movement of securities certificates. “Direct participants” in DTC include securities brokers and dealers, including underwriters, banks, trust companies, clearing corporations and other organizations. DTC is a wholly-owned subsidiary of The Depository Trust &amp; Clearing Corporation, or DTCC. DTCC is the holding company for DTC, National Securities Clearing Corporation and Fixed Income Clearing Corporation, all of which are registered clearing agencies. DTCC is owned by the users of its regulated subsidiaries. Access to the DTC system is also available to others, which we sometimes refer to as indirect participants, that clear through or maintain a custodial relationship with a direct participant, either directly or indirectly. The rules applicable to DTC and its participants are on file with the SEC.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Purchases of securities under the DTC system must be made by or through direct participants, which will receive a credit for the securities on DTC’s records. The ownership interest of the actual purchaser of a security, which we sometimes refer to as a beneficial owner, is in turn recorded on the direct and indirect participants’ records. Beneficial owners of securities will not receive written confirmation from DTC of their purchases. However, beneficial owners are expected to receive written confirmations providing details of their transactions, as well as periodic statements of their holdings, from the direct or indirect participants through which they purchased securities. Transfers of ownership interests in global securities are to be accomplished by entries made on the books of participants acting on behalf of beneficial owners. Beneficial owners will not receive certificates representing their ownership interests in the global securities, except under the limited circumstances described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facilitate subsequent transfers, all global securities deposited by direct participants with DTC will be registered in the name of DTC’s partnership nominee, Cede &amp; Co., or such other name as may be requested by an authorized representative of DTC. The deposit of securities with DTC and their registration in the name of Cede &amp; Co. or such other nominee will not change the beneficial ownership of the securities. DTC has no knowledge of the actual beneficial owners of the securities. DTC’s records reflect only the identity of the direct participants to whose accounts the securities are credited, which may or may not be the beneficial owners. The participants are responsible for keeping account of their holdings on behalf of their 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 long as the securities are in book-entry form, you will receive payments and may transfer securities only through the facilities of the depositary and its direct and indirect participants. We will maintain an office or agency in the location specified in the prospectus supplement for the applicable securities, where notices and demands in respect of the securities and the indenture may be delivered to us and where certificated securities may be surrendered for payment, registration of transfer or exchange.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Conveyance of notices and other communications by DTC to direct participants, by direct participants to indirect participants and by direct participants and indirect participants to beneficial owners will be governed by arrangements among them, subject to any legal requirements in effect from time to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Redemption notices will be sent to DTC. If less than all of the securities of a particular series are being redeemed, DTC’s practice is to determine by lot the amount of the interest of each direct participant in the securities of such series to be redeemed.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DTC nor Cede &amp; Co. (or such other DTC nominee) will consent or vote with respect to the securities. Under its usual procedures, DTC will mail an omnibus proxy to us as soon as possible after the record date. The omnibus proxy assigns the consenting or voting rights of Cede &amp; Co. to those direct participants to whose accounts the securities of such series are credited on the record date, identified in a listing attached to the omnibus proxy.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 long as securities are in book-entry form, we will make payments on those securities to the depositary or its nominee, as the registered owner of such securities, by wire transfer of immediately available funds. If securities are issued in definitive certificated form under the limited circumstances described below, we will have the option of making payments by check mailed to the addresses of the persons entitled to payment or by wire transfer to bank accounts in the United States designated in writing to the applicable trustee or other designated party at least 15 days before the applicable payment date by the persons entitled to payment, unless a shorter period is satisfactory to the applicable trustee or other designated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Redemption proceeds, distributions and dividend payments on the securities will be made to Cede &amp; Co., or such other nominee as may be requested by an authorized representative of DTC. DTC’s practice is to credit direct participants’ accounts upon DTC’s receipt of funds and corresponding detail information from us on the payment date in accordance with their respective holdings shown on DTC records. Payments by participants to beneficial owners will be governed by standing instructions and customary practices, as is the case with securities held for the account of customers in bearer form or registered in “street name.” Those payments will be the responsibility of participants and not of DTC or us, subject to any statutory or regulatory requirements in effect from time to time. Payment of redemption proceeds, distributions and dividend payments to Cede &amp; Co., or such other nominee as may be requested by an authorized representative of DTC, is our responsibility, disbursement of payments to direct participants is the responsibility of DTC, and disbursement of payments to the beneficial owners is the responsibility of direct and indirect participants.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under the limited circumstances described below, purchasers of securities will not be entitled to have securities registered in their names and will not receive physical delivery of securities. Accordingly, each beneficial owner must rely on the procedures of DTC and its participants to exercise any rights under the securities and the indenture.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laws of some jurisdictions may require that some purchasers of securities take physical delivery of securities in definitive form. Those laws may impair the ability to transfer or pledge beneficial interests in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DTC may discontinue providing its services as securities depositary with respect to the securities at any time by giving reasonable notice to us. Under such circumstances, in the event that a successor depositary is not obtained, securities certificates are required to be printed and delivered.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noted above, beneficial owners of a particular series of securities generally will not receive certificates representing their ownership interests in those securities. However, if:</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DTC notifies us that it is unwilling or unable to continue as a depositary for the global security or securities representing such series of securities or if DTC ceases to be a clearing agency registered under the Exchange Act at a time when it is required to be registered and a successor depositary is not appointed within 90 days of the notification to us or of our becoming aware of DTC’s ceasing to be so registered, as the case may be;</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we determine, in our sole discretion, not to have such securities represented by one or more global securities; or</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3"/>
        <w:gridCol w:w="197"/>
        <w:gridCol w:w="9965"/>
      </w:tblGrid>
      <w:tr>
        <w:trPr/>
        <w:tc>
          <w:tcPr>
            <w:tcW w:w="43"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pPr>
            <w:r>
              <w:rPr/>
              <w:t>●</w:t>
            </w:r>
          </w:p>
        </w:tc>
        <w:tc>
          <w:tcPr>
            <w:tcW w:w="996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an Event of Default has occurred and is continuing with respect to such series of securities,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we will prepare and deliver certificates for such securities in exchange for beneficial interests in the global securities. Any beneficial interest in a global security that is exchangeable under the circumstances described in the preceding sentence will be exchangeable for securities in definitive certificated form registered in the names that the depositary directs. It is expected that these directions will be based upon directions received by the depositary from its participants with respect to ownership of beneficial interests in the global securities.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obtained the information in this section and elsewhere in this prospectus concerning DTC and DTC’s book-entry system from sources that are believed to be reliable, but we take no responsibility for the accuracy of this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7" w:name="a_013"/>
      <w:bookmarkEnd w:id="27"/>
      <w:r>
        <w:rPr>
          <w:rFonts w:ascii="Times New Roman;Times;Serif" w:hAnsi="Times New Roman;Times;Serif"/>
          <w:b/>
          <w:i w:val="false"/>
          <w:caps w:val="false"/>
          <w:smallCaps w:val="false"/>
          <w:sz w:val="20"/>
        </w:rPr>
        <w:t>SELLING SECURITYHOLDERS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relates to the resale by the Selling Securityholders of (a) up to 16,250,000 shares of Common Stock, issuable upon exercise of warrants to purchase Common Stock at an exercise price of $8.21 per share with respect to the public warrants and $11.50 per share of Common Stock with respect to the Financing Warrants and the Private Placement Warrants, (b) up to 573,660 shares of Common Stock that may be issued upon exercise of the Trinity Warrants, and (c) the offer and sale, from time to time, by the Selling Securityholders of up to an aggregate of 52,709,824 shares of Common Stock, which includes up to:</w:t>
      </w:r>
    </w:p>
    <w:p>
      <w:pPr>
        <w:pStyle w:val="TextBody"/>
        <w:bidi w:val="0"/>
        <w:spacing w:before="0" w:after="0"/>
        <w:ind w:left="864" w:right="0" w:hanging="360"/>
        <w:jc w:val="both"/>
        <w:rPr>
          <w:caps w:val="false"/>
          <w:smallCaps w:val="false"/>
        </w:rPr>
      </w:pPr>
      <w:r>
        <w:rPr>
          <w:caps w:val="false"/>
          <w:smallCaps w:val="false"/>
        </w:rPr>
        <w:t> </w:t>
      </w:r>
    </w:p>
    <w:tbl>
      <w:tblPr>
        <w:tblW w:w="2868" w:type="dxa"/>
        <w:jc w:val="left"/>
        <w:tblInd w:w="0" w:type="dxa"/>
        <w:tblLayout w:type="fixed"/>
        <w:tblCellMar>
          <w:top w:w="0" w:type="dxa"/>
          <w:left w:w="0" w:type="dxa"/>
          <w:bottom w:w="0" w:type="dxa"/>
          <w:right w:w="0" w:type="dxa"/>
        </w:tblCellMar>
      </w:tblPr>
      <w:tblGrid>
        <w:gridCol w:w="38"/>
        <w:gridCol w:w="230"/>
        <w:gridCol w:w="260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w:t>
            </w:r>
          </w:p>
        </w:tc>
        <w:tc>
          <w:tcPr>
            <w:tcW w:w="260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4,312,500 Founder Shares;</w:t>
            </w:r>
          </w:p>
        </w:tc>
      </w:tr>
    </w:tbl>
    <w:p>
      <w:pPr>
        <w:pStyle w:val="TextBody"/>
        <w:bidi w:val="0"/>
        <w:spacing w:before="0" w:after="0"/>
        <w:ind w:left="864" w:right="0" w:hanging="360"/>
        <w:jc w:val="both"/>
        <w:rPr>
          <w:caps w:val="false"/>
          <w:smallCaps w:val="false"/>
        </w:rPr>
      </w:pPr>
      <w:r>
        <w:rPr>
          <w:caps w:val="false"/>
          <w:smallCaps w:val="false"/>
        </w:rPr>
        <w:t> </w:t>
      </w:r>
    </w:p>
    <w:tbl>
      <w:tblPr>
        <w:tblW w:w="4818" w:type="dxa"/>
        <w:jc w:val="left"/>
        <w:tblInd w:w="0" w:type="dxa"/>
        <w:tblLayout w:type="fixed"/>
        <w:tblCellMar>
          <w:top w:w="0" w:type="dxa"/>
          <w:left w:w="0" w:type="dxa"/>
          <w:bottom w:w="0" w:type="dxa"/>
          <w:right w:w="0" w:type="dxa"/>
        </w:tblCellMar>
      </w:tblPr>
      <w:tblGrid>
        <w:gridCol w:w="38"/>
        <w:gridCol w:w="290"/>
        <w:gridCol w:w="449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(ii)</w:t>
            </w:r>
          </w:p>
        </w:tc>
        <w:tc>
          <w:tcPr>
            <w:tcW w:w="449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7,143,687 Business Combination PIPE Shares;</w:t>
            </w:r>
          </w:p>
        </w:tc>
      </w:tr>
    </w:tbl>
    <w:p>
      <w:pPr>
        <w:pStyle w:val="TextBody"/>
        <w:bidi w:val="0"/>
        <w:spacing w:before="0" w:after="0"/>
        <w:ind w:left="864"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03"/>
        <w:gridCol w:w="9864"/>
      </w:tblGrid>
      <w:tr>
        <w:trPr/>
        <w:tc>
          <w:tcPr>
            <w:tcW w:w="38"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(iii)</w:t>
            </w:r>
          </w:p>
        </w:tc>
        <w:tc>
          <w:tcPr>
            <w:tcW w:w="9864"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640,000 shares of Common Stock issued as partial consideration to various advisors of the Company and VTAQ for services rendered in connection with the Business Combination and the PIPE Investment (as defined herein), valued at $10.00 per share;</w:t>
            </w:r>
          </w:p>
        </w:tc>
      </w:tr>
    </w:tbl>
    <w:p>
      <w:pPr>
        <w:pStyle w:val="TextBody"/>
        <w:bidi w:val="0"/>
        <w:spacing w:before="0" w:after="0"/>
        <w:ind w:left="864"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01"/>
        <w:gridCol w:w="9866"/>
      </w:tblGrid>
      <w:tr>
        <w:trPr/>
        <w:tc>
          <w:tcPr>
            <w:tcW w:w="3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(iv)</w:t>
            </w:r>
          </w:p>
        </w:tc>
        <w:tc>
          <w:tcPr>
            <w:tcW w:w="9866"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20,995,097 shares of Common Stock issued or issuable to affiliates of the Company, at an exchange ratio as provided in the Merger Agreement, for shares or restricted stock units of Legacy Presto (as defined herein), resulting in an effective purchase price of $10.00 per share;</w:t>
            </w:r>
          </w:p>
        </w:tc>
      </w:tr>
    </w:tbl>
    <w:p>
      <w:pPr>
        <w:pStyle w:val="TextBody"/>
        <w:bidi w:val="0"/>
        <w:spacing w:before="0" w:after="0"/>
        <w:ind w:left="864"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2"/>
        <w:gridCol w:w="9935"/>
      </w:tblGrid>
      <w:tr>
        <w:trPr/>
        <w:tc>
          <w:tcPr>
            <w:tcW w:w="38"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(v)</w:t>
            </w:r>
          </w:p>
        </w:tc>
        <w:tc>
          <w:tcPr>
            <w:tcW w:w="993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up to 7,433,040 shares of Common Stock (that may be issued from time to time upon achievement of certain stock price thresholds) to affiliates of the Company in connection with the earnout provisions set forth in the Merger Agreement (as defined herein) at an exchange ratio as provided in the Merger Agreement for shares of Legacy Presto, resulting in an effective purchase price of $10.00 per share;</w:t>
            </w:r>
          </w:p>
        </w:tc>
      </w:tr>
    </w:tbl>
    <w:p>
      <w:pPr>
        <w:pStyle w:val="TextBody"/>
        <w:bidi w:val="0"/>
        <w:spacing w:before="0" w:after="0"/>
        <w:ind w:left="864"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89"/>
        <w:gridCol w:w="9878"/>
      </w:tblGrid>
      <w:tr>
        <w:trPr/>
        <w:tc>
          <w:tcPr>
            <w:tcW w:w="38"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(vi)</w:t>
            </w:r>
          </w:p>
        </w:tc>
        <w:tc>
          <w:tcPr>
            <w:tcW w:w="987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6,125,000 Private Placement Warrants each exercisable for one share of Common Stock at an exercise price of $11.50 per share, purchased by the Sponsors and their permitted transferees, at a price of $1.00 per warrant in a private placement simultaneously with the consummation of VTAQ’s IPO; and 1,500,000 Financing Warrants each exercisable for one share of Common Stock at an exercise price of $11.50 per share, issued to lenders party to the Credit Agreement (as defined herein);</w:t>
            </w:r>
          </w:p>
        </w:tc>
      </w:tr>
    </w:tbl>
    <w:p>
      <w:pPr>
        <w:pStyle w:val="TextBody"/>
        <w:bidi w:val="0"/>
        <w:spacing w:before="0" w:after="0"/>
        <w:ind w:left="864" w:right="0" w:hanging="360"/>
        <w:jc w:val="both"/>
        <w:rPr>
          <w:caps w:val="false"/>
          <w:smallCaps w:val="false"/>
        </w:rPr>
      </w:pPr>
      <w:r>
        <w:rPr>
          <w:caps w:val="false"/>
          <w:smallCaps w:val="false"/>
        </w:rPr>
        <w:t> </w:t>
      </w:r>
    </w:p>
    <w:tbl>
      <w:tblPr>
        <w:tblW w:w="3783" w:type="dxa"/>
        <w:jc w:val="left"/>
        <w:tblInd w:w="0" w:type="dxa"/>
        <w:tblLayout w:type="fixed"/>
        <w:tblCellMar>
          <w:top w:w="0" w:type="dxa"/>
          <w:left w:w="0" w:type="dxa"/>
          <w:bottom w:w="0" w:type="dxa"/>
          <w:right w:w="0" w:type="dxa"/>
        </w:tblCellMar>
      </w:tblPr>
      <w:tblGrid>
        <w:gridCol w:w="38"/>
        <w:gridCol w:w="410"/>
        <w:gridCol w:w="3335"/>
      </w:tblGrid>
      <w:tr>
        <w:trPr/>
        <w:tc>
          <w:tcPr>
            <w:tcW w:w="3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(vii)</w:t>
            </w:r>
          </w:p>
        </w:tc>
        <w:tc>
          <w:tcPr>
            <w:tcW w:w="333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4,760,500 June 2023 PIPE Shares;</w:t>
            </w:r>
          </w:p>
        </w:tc>
      </w:tr>
    </w:tbl>
    <w:p>
      <w:pPr>
        <w:pStyle w:val="TextBody"/>
        <w:bidi w:val="0"/>
        <w:spacing w:before="0" w:after="0"/>
        <w:ind w:left="864" w:right="0" w:hanging="360"/>
        <w:jc w:val="both"/>
        <w:rPr>
          <w:caps w:val="false"/>
          <w:smallCaps w:val="false"/>
        </w:rPr>
      </w:pPr>
      <w:r>
        <w:rPr>
          <w:caps w:val="false"/>
          <w:smallCaps w:val="false"/>
        </w:rPr>
        <w:t> </w:t>
      </w:r>
    </w:p>
    <w:tbl>
      <w:tblPr>
        <w:tblW w:w="4578" w:type="dxa"/>
        <w:jc w:val="left"/>
        <w:tblInd w:w="0" w:type="dxa"/>
        <w:tblLayout w:type="fixed"/>
        <w:tblCellMar>
          <w:top w:w="0" w:type="dxa"/>
          <w:left w:w="0" w:type="dxa"/>
          <w:bottom w:w="0" w:type="dxa"/>
          <w:right w:w="0" w:type="dxa"/>
        </w:tblCellMar>
      </w:tblPr>
      <w:tblGrid>
        <w:gridCol w:w="38"/>
        <w:gridCol w:w="470"/>
        <w:gridCol w:w="4070"/>
      </w:tblGrid>
      <w:tr>
        <w:trPr/>
        <w:tc>
          <w:tcPr>
            <w:tcW w:w="38"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(viii)</w:t>
            </w:r>
          </w:p>
        </w:tc>
        <w:tc>
          <w:tcPr>
            <w:tcW w:w="407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1,500,000 October 2023 PIPE Shares; and</w:t>
            </w:r>
          </w:p>
        </w:tc>
      </w:tr>
    </w:tbl>
    <w:p>
      <w:pPr>
        <w:pStyle w:val="TextBody"/>
        <w:bidi w:val="0"/>
        <w:spacing w:before="0" w:after="0"/>
        <w:ind w:left="864"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03"/>
        <w:gridCol w:w="9864"/>
      </w:tblGrid>
      <w:tr>
        <w:trPr/>
        <w:tc>
          <w:tcPr>
            <w:tcW w:w="38"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(ix)</w:t>
            </w:r>
          </w:p>
        </w:tc>
        <w:tc>
          <w:tcPr>
            <w:tcW w:w="9864"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5,925,000 shares of Common Stock issuable upon the exercise of warrants to purchase shares of our Common Stock by Metropolitan and the Metropolitan Entities (all warrants listed below are referred to herein as the “penny warrants”), which consist of:</w:t>
            </w:r>
          </w:p>
        </w:tc>
      </w:tr>
    </w:tbl>
    <w:p>
      <w:pPr>
        <w:pStyle w:val="TextBody"/>
        <w:bidi w:val="0"/>
        <w:spacing w:before="0" w:after="0"/>
        <w:ind w:left="144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w:t>
            </w:r>
          </w:p>
        </w:tc>
        <w:tc>
          <w:tcPr>
            <w:tcW w:w="998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400,000 shares of Common Stock issuable upon the exercise of warrants to purchase shares of our Common Stock, at an exercise price of $0.01 per share, subject to adjustment (the “May 2023 Resale Warrants”), held by the Selling Securityholders;</w:t>
            </w:r>
          </w:p>
        </w:tc>
      </w:tr>
    </w:tbl>
    <w:p>
      <w:pPr>
        <w:pStyle w:val="TextBody"/>
        <w:bidi w:val="0"/>
        <w:spacing w:before="0" w:after="0"/>
        <w:ind w:left="144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w:t>
            </w:r>
          </w:p>
        </w:tc>
        <w:tc>
          <w:tcPr>
            <w:tcW w:w="996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500,000 shares of Common Stock issuable upon the exercise of warrants, with an exercise price of $0.01 per share (the “June 2023 Conversion Warrants”), that were issued pursuant to that certain second amendment to credit agreement, dated as of May 22, 2023, by and among us, E La Carte, LLC, Metropolitan, and the Metropolitan Entities;</w:t>
            </w:r>
          </w:p>
        </w:tc>
      </w:tr>
    </w:tbl>
    <w:p>
      <w:pPr>
        <w:pStyle w:val="TextBody"/>
        <w:bidi w:val="0"/>
        <w:spacing w:before="0" w:after="0"/>
        <w:ind w:left="144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w:t>
            </w:r>
          </w:p>
        </w:tc>
        <w:tc>
          <w:tcPr>
            <w:tcW w:w="998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2,000,000 shares of Common Stock issuable upon the exercise of warrants, with an exercise price of $0.01 per share (the “Second Amendment Warrants”), that were issued pursuant to that certain second amended and restated fee letter, dated as of May 22, 2023, by and among us, E La Carte, LLC and Metropolitan;</w:t>
            </w:r>
          </w:p>
        </w:tc>
      </w:tr>
    </w:tbl>
    <w:p>
      <w:pPr>
        <w:pStyle w:val="TextBody"/>
        <w:bidi w:val="0"/>
        <w:spacing w:before="0" w:after="0"/>
        <w:ind w:left="144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w:t>
            </w:r>
          </w:p>
        </w:tc>
        <w:tc>
          <w:tcPr>
            <w:tcW w:w="996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25,000 shares of Common Stock issuable upon the exercise of warrants, with an exercise price of $0.01 per share, that were issued pursuant to that certain third amendment to credit agreement, dated as of October 10, 2023, by and among us, E La Carte, LLC, Metropolitan and the Metropolitan Entities; and</w:t>
            </w:r>
          </w:p>
        </w:tc>
      </w:tr>
    </w:tbl>
    <w:p>
      <w:pPr>
        <w:pStyle w:val="TextBody"/>
        <w:bidi w:val="0"/>
        <w:spacing w:before="0" w:after="0"/>
        <w:ind w:left="144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w:t>
            </w:r>
          </w:p>
        </w:tc>
        <w:tc>
          <w:tcPr>
            <w:tcW w:w="998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3,000,000 shares of Common Stock issuable upon the exercise of warrants, with an exercise price of $0.01 per share that were issued pursuant to that certain third amended and restated fee letter, dated as of October 10, 2023, by and among us, E La Carte, LLC and Metropolitan.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Securityholders may from time to time offer and sell any or all of the shares of Common Stock set forth below pursuant to this prospectus and any accompanying prospectus supplement. When we refer to the “Selling Securityholders” in this prospectus, we mean the persons listed in the table below, and the pledgees, donees, transferees, assignees, successors, designees and others who later come to hold any of the Selling Securityholders’ interest in the Common Stock other than through a public sale. We cannot advise you as to whether the Selling Securityholders will in fact sell any or all of such shares of Common Stock. In addition, the Selling Securityholders may sell, transfer or otherwise dispose of, at any time and from time to time, the shares of Common Stock in transactions exempt from the registration requirements of the Securities Act after the date of this prospectus. For purposes of this table, we have assumed that all of the earnout shares have been issued in accordance with the terms of the Business Combination Agreement and the Selling Securityholders will have sold all of the securities covered by this prospectus upon the completion of the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to the Company’s knowledge after review of information reasonably obtainable, as of the date of this filing (or such other date as such information was provided to us by the applicable Selling Securityholders), the name and address of the Selling Securityholders, the number of shares of Common Stock beneficially owned, the number of shares of Common Stock that the Selling Securityholders may offer pursuant to this prospectus and the number of shares of Common Stock beneficially owned by the Selling Securityholders after the sale of the securities offered hereby.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Securityholder information for each additional Selling Securityholder, if any, will be set forth by prospectus supplement to the extent required prior to the time of any offer or sale of such Selling Securityholder’s shares pursuant to this prospectus. Any prospectus supplement may add, update, substitute, or change the information contained in this prospectus, including the identity of each Selling Securityholder and the number of shares registered on its behalf. A Selling Securityholder may sell or otherwise transfer all, some or none of such shares in this offering. See “Plan of Distribution.”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beneficial ownership of shares of our Common Stock and Common Stock is based on 57,855,594 shares of our Common Stock as of September 30, 2023. Beneficial ownership is determined according to the rules of the SEC, which generally provide that a person has beneficial ownership of a security if he, she or it possesses sole or shared voting or investment power over that security. Under those rules, beneficial ownership includes securities that the individual or entity has the right to acquire, such as through the exercise of warrants or stock options, within 60 days of September 30, 2023. Shares subject to warrants or options that are currently exercisable or exercisable within 60 days of September 30, 2023 that vest within 60 days of September 30, 2023 are considered outstanding and beneficially owned by the person holding such warrants or options for the purpose of computing the percentage ownership of that person but are not treated as outstanding for the purpose of computing the percentage ownership of any other person.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noted by footnote, and subject to community property laws where applicable, based on the information provided to us, the persons and entities named in the table below have sole voting and investment power with respect to all shares shown as beneficially owned by them.</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10545" w:type="dxa"/>
        <w:jc w:val="left"/>
        <w:tblInd w:w="0" w:type="dxa"/>
        <w:tblLayout w:type="fixed"/>
        <w:tblCellMar>
          <w:top w:w="0" w:type="dxa"/>
          <w:left w:w="0" w:type="dxa"/>
          <w:bottom w:w="0" w:type="dxa"/>
          <w:right w:w="0" w:type="dxa"/>
        </w:tblCellMar>
      </w:tblPr>
      <w:tblGrid>
        <w:gridCol w:w="1715"/>
        <w:gridCol w:w="60"/>
        <w:gridCol w:w="70"/>
        <w:gridCol w:w="981"/>
        <w:gridCol w:w="70"/>
        <w:gridCol w:w="70"/>
        <w:gridCol w:w="111"/>
        <w:gridCol w:w="629"/>
        <w:gridCol w:w="325"/>
        <w:gridCol w:w="70"/>
        <w:gridCol w:w="70"/>
        <w:gridCol w:w="883"/>
        <w:gridCol w:w="60"/>
        <w:gridCol w:w="60"/>
        <w:gridCol w:w="60"/>
        <w:gridCol w:w="830"/>
        <w:gridCol w:w="60"/>
        <w:gridCol w:w="60"/>
        <w:gridCol w:w="64"/>
        <w:gridCol w:w="796"/>
        <w:gridCol w:w="60"/>
        <w:gridCol w:w="60"/>
        <w:gridCol w:w="113"/>
        <w:gridCol w:w="1141"/>
        <w:gridCol w:w="113"/>
        <w:gridCol w:w="113"/>
        <w:gridCol w:w="138"/>
        <w:gridCol w:w="602"/>
        <w:gridCol w:w="113"/>
        <w:gridCol w:w="113"/>
        <w:gridCol w:w="160"/>
        <w:gridCol w:w="700"/>
        <w:gridCol w:w="75"/>
      </w:tblGrid>
      <w:tr>
        <w:trPr/>
        <w:tc>
          <w:tcPr>
            <w:tcW w:w="1715" w:type="dxa"/>
            <w:tcBorders/>
            <w:vAlign w:val="center"/>
          </w:tcPr>
          <w:p>
            <w:pPr>
              <w:pStyle w:val="TableContents"/>
              <w:bidi w:val="0"/>
              <w:spacing w:before="0" w:after="283"/>
              <w:ind w:left="0" w:right="0" w:hanging="180"/>
              <w:jc w:val="center"/>
              <w:rPr/>
            </w:pPr>
            <w:r>
              <w:rPr/>
              <w:t> </w:t>
            </w:r>
          </w:p>
        </w:tc>
        <w:tc>
          <w:tcPr>
            <w:tcW w:w="60" w:type="dxa"/>
            <w:tcBorders/>
            <w:vAlign w:val="center"/>
          </w:tcPr>
          <w:p>
            <w:pPr>
              <w:pStyle w:val="TableContents"/>
              <w:bidi w:val="0"/>
              <w:spacing w:before="0" w:after="283"/>
              <w:jc w:val="center"/>
              <w:rPr/>
            </w:pPr>
            <w:r>
              <w:rPr/>
              <w:t> </w:t>
            </w:r>
          </w:p>
        </w:tc>
        <w:tc>
          <w:tcPr>
            <w:tcW w:w="3279" w:type="dxa"/>
            <w:gridSpan w:val="10"/>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18"/>
              </w:rPr>
            </w:pPr>
            <w:r>
              <w:rPr>
                <w:rFonts w:ascii="Times New Roman;Times;Serif" w:hAnsi="Times New Roman;Times;Serif"/>
                <w:b/>
                <w:sz w:val="18"/>
              </w:rPr>
              <w:t>Beneficially Owned Before the Offering</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90" w:type="dxa"/>
            <w:gridSpan w:val="2"/>
            <w:tcBorders/>
            <w:vAlign w:val="center"/>
          </w:tcPr>
          <w:p>
            <w:pPr>
              <w:pStyle w:val="TableContents"/>
              <w:bidi w:val="0"/>
              <w:spacing w:before="0" w:after="283"/>
              <w:jc w:val="center"/>
              <w:rPr>
                <w:rFonts w:ascii="Times New Roman;Times;Serif" w:hAnsi="Times New Roman;Times;Serif"/>
                <w:b/>
                <w:sz w:val="18"/>
              </w:rPr>
            </w:pPr>
            <w:r>
              <w:rPr>
                <w:rFonts w:ascii="Times New Roman;Times;Serif" w:hAnsi="Times New Roman;Times;Serif"/>
                <w:b/>
                <w:sz w:val="18"/>
              </w:rPr>
              <w:t>Number of</w:t>
              <w:br/>
              <w:t>Shares of</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60" w:type="dxa"/>
            <w:gridSpan w:val="2"/>
            <w:tcBorders/>
            <w:vAlign w:val="center"/>
          </w:tcPr>
          <w:p>
            <w:pPr>
              <w:pStyle w:val="TableContents"/>
              <w:bidi w:val="0"/>
              <w:spacing w:before="0" w:after="283"/>
              <w:jc w:val="center"/>
              <w:rPr>
                <w:rFonts w:ascii="Times New Roman;Times;Serif" w:hAnsi="Times New Roman;Times;Serif"/>
                <w:b/>
                <w:sz w:val="18"/>
              </w:rPr>
            </w:pPr>
            <w:r>
              <w:rPr>
                <w:rFonts w:ascii="Times New Roman;Times;Serif" w:hAnsi="Times New Roman;Times;Serif"/>
                <w:b/>
                <w:sz w:val="18"/>
              </w:rPr>
              <w:t>Number of</w:t>
              <w:br/>
              <w:t>Private</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3306" w:type="dxa"/>
            <w:gridSpan w:val="10"/>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18"/>
              </w:rPr>
            </w:pPr>
            <w:r>
              <w:rPr>
                <w:rFonts w:ascii="Times New Roman;Times;Serif" w:hAnsi="Times New Roman;Times;Serif"/>
                <w:b/>
                <w:sz w:val="18"/>
              </w:rPr>
              <w:t>Beneficially Owned After the Offering</w:t>
            </w:r>
          </w:p>
        </w:tc>
        <w:tc>
          <w:tcPr>
            <w:tcW w:w="75" w:type="dxa"/>
            <w:tcBorders/>
            <w:vAlign w:val="center"/>
          </w:tcPr>
          <w:p>
            <w:pPr>
              <w:pStyle w:val="TableContents"/>
              <w:bidi w:val="0"/>
              <w:spacing w:before="0" w:after="283"/>
              <w:jc w:val="center"/>
              <w:rPr/>
            </w:pPr>
            <w:r>
              <w:rPr/>
              <w:t> </w:t>
            </w:r>
          </w:p>
        </w:tc>
      </w:tr>
      <w:tr>
        <w:trPr/>
        <w:tc>
          <w:tcPr>
            <w:tcW w:w="171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sz w:val="18"/>
              </w:rPr>
            </w:pPr>
            <w:r>
              <w:rPr>
                <w:rFonts w:ascii="Times New Roman;Times;Serif" w:hAnsi="Times New Roman;Times;Serif"/>
                <w:b/>
                <w:sz w:val="18"/>
              </w:rPr>
              <w:t>Selling Securityholder</w:t>
            </w:r>
          </w:p>
        </w:tc>
        <w:tc>
          <w:tcPr>
            <w:tcW w:w="60" w:type="dxa"/>
            <w:tcBorders/>
            <w:vAlign w:val="center"/>
          </w:tcPr>
          <w:p>
            <w:pPr>
              <w:pStyle w:val="TableContents"/>
              <w:bidi w:val="0"/>
              <w:spacing w:before="0" w:after="283"/>
              <w:jc w:val="center"/>
              <w:rPr/>
            </w:pPr>
            <w:r>
              <w:rPr/>
              <w:t> </w:t>
            </w:r>
          </w:p>
        </w:tc>
        <w:tc>
          <w:tcPr>
            <w:tcW w:w="1051"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18"/>
              </w:rPr>
            </w:pPr>
            <w:r>
              <w:rPr>
                <w:rFonts w:ascii="Times New Roman;Times;Serif" w:hAnsi="Times New Roman;Times;Serif"/>
                <w:b/>
                <w:sz w:val="18"/>
              </w:rPr>
              <w:t>Shares of</w:t>
              <w:br/>
              <w:t>Common</w:t>
              <w:br/>
              <w:t>Stock</w:t>
            </w:r>
            <w:r>
              <w:rPr>
                <w:rFonts w:ascii="Times New Roman;Times;Serif" w:hAnsi="Times New Roman;Times;Serif"/>
                <w:b/>
                <w:position w:val="6"/>
                <w:sz w:val="14"/>
                <w:sz w:val="18"/>
              </w:rPr>
              <w:t>(1)</w:t>
            </w:r>
          </w:p>
        </w:tc>
        <w:tc>
          <w:tcPr>
            <w:tcW w:w="70" w:type="dxa"/>
            <w:tcBorders/>
            <w:vAlign w:val="center"/>
          </w:tcPr>
          <w:p>
            <w:pPr>
              <w:pStyle w:val="TableContents"/>
              <w:bidi w:val="0"/>
              <w:spacing w:before="0" w:after="283"/>
              <w:jc w:val="center"/>
              <w:rPr/>
            </w:pPr>
            <w:r>
              <w:rPr/>
              <w:t> </w:t>
            </w:r>
          </w:p>
        </w:tc>
        <w:tc>
          <w:tcPr>
            <w:tcW w:w="7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74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18"/>
              </w:rPr>
            </w:pPr>
            <w:r>
              <w:rPr>
                <w:rFonts w:ascii="Times New Roman;Times;Serif" w:hAnsi="Times New Roman;Times;Serif"/>
                <w:b/>
                <w:sz w:val="18"/>
              </w:rPr>
              <w:t>% of</w:t>
              <w:br/>
              <w:t>Common</w:t>
              <w:br/>
              <w:t>Stock</w:t>
            </w:r>
          </w:p>
        </w:tc>
        <w:tc>
          <w:tcPr>
            <w:tcW w:w="325" w:type="dxa"/>
            <w:tcBorders/>
            <w:vAlign w:val="center"/>
          </w:tcPr>
          <w:p>
            <w:pPr>
              <w:pStyle w:val="TableContents"/>
              <w:bidi w:val="0"/>
              <w:spacing w:before="0" w:after="283"/>
              <w:jc w:val="center"/>
              <w:rPr/>
            </w:pPr>
            <w:r>
              <w:rPr/>
              <w:t> </w:t>
            </w:r>
          </w:p>
        </w:tc>
        <w:tc>
          <w:tcPr>
            <w:tcW w:w="7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953"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18"/>
              </w:rPr>
            </w:pPr>
            <w:r>
              <w:rPr>
                <w:rFonts w:ascii="Times New Roman;Times;Serif" w:hAnsi="Times New Roman;Times;Serif"/>
                <w:b/>
                <w:sz w:val="18"/>
              </w:rPr>
              <w:t>Number of</w:t>
              <w:br/>
              <w:t>Private</w:t>
              <w:br/>
              <w:t>Placement</w:t>
              <w:br/>
              <w:t>Warrants</w:t>
            </w:r>
          </w:p>
        </w:tc>
        <w:tc>
          <w:tcPr>
            <w:tcW w:w="60" w:type="dxa"/>
            <w:tcBorders/>
            <w:vAlign w:val="center"/>
          </w:tcPr>
          <w:p>
            <w:pPr>
              <w:pStyle w:val="TableContents"/>
              <w:bidi w:val="0"/>
              <w:spacing w:before="0" w:after="283"/>
              <w:jc w:val="center"/>
              <w:rPr/>
            </w:pPr>
            <w:r>
              <w:rPr/>
              <w:t> </w:t>
            </w:r>
          </w:p>
        </w:tc>
        <w:tc>
          <w:tcPr>
            <w:tcW w:w="6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89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18"/>
              </w:rPr>
            </w:pPr>
            <w:r>
              <w:rPr>
                <w:rFonts w:ascii="Times New Roman;Times;Serif" w:hAnsi="Times New Roman;Times;Serif"/>
                <w:b/>
                <w:sz w:val="18"/>
              </w:rPr>
              <w:t>Common</w:t>
              <w:br/>
              <w:t>Stock</w:t>
              <w:br/>
              <w:t>Being</w:t>
              <w:br/>
              <w:t>Offered</w:t>
            </w:r>
          </w:p>
        </w:tc>
        <w:tc>
          <w:tcPr>
            <w:tcW w:w="60" w:type="dxa"/>
            <w:tcBorders/>
            <w:vAlign w:val="center"/>
          </w:tcPr>
          <w:p>
            <w:pPr>
              <w:pStyle w:val="TableContents"/>
              <w:bidi w:val="0"/>
              <w:spacing w:before="0" w:after="283"/>
              <w:jc w:val="center"/>
              <w:rPr/>
            </w:pPr>
            <w:r>
              <w:rPr/>
              <w:t> </w:t>
            </w:r>
          </w:p>
        </w:tc>
        <w:tc>
          <w:tcPr>
            <w:tcW w:w="6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18"/>
              </w:rPr>
            </w:pPr>
            <w:r>
              <w:rPr>
                <w:rFonts w:ascii="Times New Roman;Times;Serif" w:hAnsi="Times New Roman;Times;Serif"/>
                <w:b/>
                <w:sz w:val="18"/>
              </w:rPr>
              <w:t>Placement</w:t>
              <w:br/>
              <w:t>Warrants</w:t>
              <w:br/>
              <w:t>Being</w:t>
              <w:br/>
              <w:t>Offered</w:t>
            </w:r>
          </w:p>
        </w:tc>
        <w:tc>
          <w:tcPr>
            <w:tcW w:w="60" w:type="dxa"/>
            <w:tcBorders/>
            <w:vAlign w:val="center"/>
          </w:tcPr>
          <w:p>
            <w:pPr>
              <w:pStyle w:val="TableContents"/>
              <w:bidi w:val="0"/>
              <w:spacing w:before="0" w:after="283"/>
              <w:jc w:val="center"/>
              <w:rPr/>
            </w:pPr>
            <w:r>
              <w:rPr/>
              <w:t> </w:t>
            </w:r>
          </w:p>
        </w:tc>
        <w:tc>
          <w:tcPr>
            <w:tcW w:w="6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25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18"/>
              </w:rPr>
            </w:pPr>
            <w:r>
              <w:rPr>
                <w:rFonts w:ascii="Times New Roman;Times;Serif" w:hAnsi="Times New Roman;Times;Serif"/>
                <w:b/>
                <w:sz w:val="18"/>
              </w:rPr>
              <w:t>Number of</w:t>
              <w:br/>
              <w:t>Shares of</w:t>
              <w:br/>
              <w:t>Common</w:t>
              <w:br/>
              <w:t>Stock</w:t>
            </w:r>
          </w:p>
        </w:tc>
        <w:tc>
          <w:tcPr>
            <w:tcW w:w="113" w:type="dxa"/>
            <w:tcBorders/>
            <w:vAlign w:val="center"/>
          </w:tcPr>
          <w:p>
            <w:pPr>
              <w:pStyle w:val="TableContents"/>
              <w:bidi w:val="0"/>
              <w:spacing w:before="0" w:after="283"/>
              <w:jc w:val="center"/>
              <w:rPr/>
            </w:pPr>
            <w:r>
              <w:rPr/>
              <w:t> </w:t>
            </w:r>
          </w:p>
        </w:tc>
        <w:tc>
          <w:tcPr>
            <w:tcW w:w="113" w:type="dxa"/>
            <w:tcBorders>
              <w:bottom w:val="single" w:sz="12" w:space="0" w:color="000000"/>
            </w:tcBorders>
            <w:tcMar>
              <w:bottom w:w="28" w:type="dxa"/>
            </w:tcMar>
            <w:vAlign w:val="center"/>
          </w:tcPr>
          <w:p>
            <w:pPr>
              <w:pStyle w:val="TableContents"/>
              <w:bidi w:val="0"/>
              <w:spacing w:before="0" w:after="283"/>
              <w:jc w:val="center"/>
              <w:rPr/>
            </w:pPr>
            <w:r>
              <w:rPr/>
              <w:t> </w:t>
            </w:r>
          </w:p>
        </w:tc>
        <w:tc>
          <w:tcPr>
            <w:tcW w:w="74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18"/>
              </w:rPr>
            </w:pPr>
            <w:r>
              <w:rPr>
                <w:rFonts w:ascii="Times New Roman;Times;Serif" w:hAnsi="Times New Roman;Times;Serif"/>
                <w:b/>
                <w:sz w:val="18"/>
              </w:rPr>
              <w:t>% of</w:t>
              <w:br/>
              <w:t>Common</w:t>
              <w:br/>
              <w:t>Stock</w:t>
            </w:r>
          </w:p>
        </w:tc>
        <w:tc>
          <w:tcPr>
            <w:tcW w:w="113" w:type="dxa"/>
            <w:tcBorders/>
            <w:vAlign w:val="center"/>
          </w:tcPr>
          <w:p>
            <w:pPr>
              <w:pStyle w:val="TableContents"/>
              <w:bidi w:val="0"/>
              <w:spacing w:before="0" w:after="283"/>
              <w:jc w:val="center"/>
              <w:rPr/>
            </w:pPr>
            <w:r>
              <w:rPr/>
              <w:t> </w:t>
            </w:r>
          </w:p>
        </w:tc>
        <w:tc>
          <w:tcPr>
            <w:tcW w:w="113" w:type="dxa"/>
            <w:tcBorders>
              <w:bottom w:val="single" w:sz="12" w:space="0" w:color="000000"/>
            </w:tcBorders>
            <w:tcMar>
              <w:bottom w:w="28" w:type="dxa"/>
            </w:tcMar>
            <w:vAlign w:val="center"/>
          </w:tcPr>
          <w:p>
            <w:pPr>
              <w:pStyle w:val="TableContents"/>
              <w:bidi w:val="0"/>
              <w:spacing w:before="0" w:after="283"/>
              <w:jc w:val="center"/>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18"/>
              </w:rPr>
            </w:pPr>
            <w:r>
              <w:rPr>
                <w:rFonts w:ascii="Times New Roman;Times;Serif" w:hAnsi="Times New Roman;Times;Serif"/>
                <w:b/>
                <w:sz w:val="18"/>
              </w:rPr>
              <w:t>Number of</w:t>
              <w:br/>
              <w:t>Private</w:t>
              <w:br/>
              <w:t>Placement</w:t>
              <w:br/>
              <w:t>Warrants</w:t>
            </w:r>
          </w:p>
        </w:tc>
        <w:tc>
          <w:tcPr>
            <w:tcW w:w="75" w:type="dxa"/>
            <w:tcBorders/>
            <w:vAlign w:val="center"/>
          </w:tcPr>
          <w:p>
            <w:pPr>
              <w:pStyle w:val="TableContents"/>
              <w:bidi w:val="0"/>
              <w:spacing w:before="0" w:after="283"/>
              <w:ind w:left="0" w:right="0" w:hanging="180"/>
              <w:jc w:val="center"/>
              <w:rPr/>
            </w:pPr>
            <w:r>
              <w:rPr/>
              <w:t> </w:t>
            </w:r>
          </w:p>
        </w:tc>
      </w:tr>
      <w:tr>
        <w:trPr/>
        <w:tc>
          <w:tcPr>
            <w:tcW w:w="1715"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80Five LLC</w:t>
            </w:r>
            <w:r>
              <w:rPr>
                <w:rFonts w:ascii="Times New Roman;Times;Serif" w:hAnsi="Times New Roman;Times;Serif"/>
                <w:position w:val="6"/>
                <w:sz w:val="14"/>
                <w:sz w:val="18"/>
              </w:rPr>
              <w:t>(3)</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981"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77,232</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325"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83"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52,476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77,232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796"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52,476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141"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602"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70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715"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Acadia Woods Partners,</w:t>
              <w:br/>
              <w:t>LLC</w:t>
            </w:r>
            <w:r>
              <w:rPr>
                <w:rFonts w:ascii="Times New Roman;Times;Serif" w:hAnsi="Times New Roman;Times;Serif"/>
                <w:position w:val="6"/>
                <w:sz w:val="14"/>
                <w:sz w:val="18"/>
              </w:rPr>
              <w:t>(4)</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981"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31,250</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325"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88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31,250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602"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70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715"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Adam Eskin</w:t>
            </w:r>
            <w:r>
              <w:rPr>
                <w:rFonts w:ascii="Times New Roman;Times;Serif" w:hAnsi="Times New Roman;Times;Serif"/>
                <w:position w:val="6"/>
                <w:sz w:val="14"/>
                <w:sz w:val="18"/>
              </w:rPr>
              <w:t>(3)</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981"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44,866</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325"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83"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26,238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44,866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796"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26,238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141"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602"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70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715"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Adam Feil</w:t>
            </w:r>
            <w:r>
              <w:rPr>
                <w:rFonts w:ascii="Times New Roman;Times;Serif" w:hAnsi="Times New Roman;Times;Serif"/>
                <w:position w:val="6"/>
                <w:sz w:val="14"/>
                <w:sz w:val="18"/>
              </w:rPr>
              <w:t>(3)</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981"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6,250</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325"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88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6,250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602"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70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715"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Al Marjan Limited</w:t>
            </w:r>
            <w:r>
              <w:rPr>
                <w:rFonts w:ascii="Times New Roman;Times;Serif" w:hAnsi="Times New Roman;Times;Serif"/>
                <w:position w:val="6"/>
                <w:sz w:val="14"/>
                <w:sz w:val="18"/>
              </w:rPr>
              <w:t>(30)</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981"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100,000</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325"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8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79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141"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602"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70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715"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Alexander Nevinskiy</w:t>
            </w:r>
            <w:r>
              <w:rPr>
                <w:rFonts w:ascii="Times New Roman;Times;Serif" w:hAnsi="Times New Roman;Times;Serif"/>
                <w:position w:val="6"/>
                <w:sz w:val="14"/>
                <w:sz w:val="18"/>
              </w:rPr>
              <w:t>(30)(32)</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981"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250,000</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325"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88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250,000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602"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70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715"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Aloha Partners, LLC</w:t>
            </w:r>
            <w:r>
              <w:rPr>
                <w:rFonts w:ascii="Times New Roman;Times;Serif" w:hAnsi="Times New Roman;Times;Serif"/>
                <w:position w:val="6"/>
                <w:sz w:val="14"/>
                <w:sz w:val="18"/>
              </w:rPr>
              <w:t>(5)</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981"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12,500</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325"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8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12,500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79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141"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602"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70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715"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Amir Ali Mithani</w:t>
            </w:r>
            <w:r>
              <w:rPr>
                <w:rFonts w:ascii="Times New Roman;Times;Serif" w:hAnsi="Times New Roman;Times;Serif"/>
                <w:position w:val="6"/>
                <w:sz w:val="14"/>
                <w:sz w:val="18"/>
              </w:rPr>
              <w:t>(30)</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981"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50,000</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325"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88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50,000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602"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70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715"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Amy Doshi &amp; Sarin Swami</w:t>
            </w:r>
            <w:r>
              <w:rPr>
                <w:rFonts w:ascii="Times New Roman;Times;Serif" w:hAnsi="Times New Roman;Times;Serif"/>
                <w:position w:val="6"/>
                <w:sz w:val="14"/>
                <w:sz w:val="18"/>
              </w:rPr>
              <w:t>(30)</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981"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15,000</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325"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8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79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141"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602"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70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715"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Arbat Capital Group Ltd</w:t>
            </w:r>
            <w:r>
              <w:rPr>
                <w:rFonts w:ascii="Times New Roman;Times;Serif" w:hAnsi="Times New Roman;Times;Serif"/>
                <w:position w:val="6"/>
                <w:sz w:val="14"/>
                <w:sz w:val="18"/>
              </w:rPr>
              <w:t>.(29)(30)</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981"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201,100</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325"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88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101,100</w:t>
            </w:r>
          </w:p>
        </w:tc>
        <w:tc>
          <w:tcPr>
            <w:tcW w:w="113"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602"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113"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70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715"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Art Spigel</w:t>
            </w:r>
            <w:r>
              <w:rPr>
                <w:rFonts w:ascii="Times New Roman;Times;Serif" w:hAnsi="Times New Roman;Times;Serif"/>
                <w:position w:val="6"/>
                <w:sz w:val="14"/>
                <w:sz w:val="18"/>
              </w:rPr>
              <w:t>(3)</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981"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77,232</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325"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83"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52,476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77,232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79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141"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602"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70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715"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Biren Gosalia</w:t>
            </w:r>
            <w:r>
              <w:rPr>
                <w:rFonts w:ascii="Times New Roman;Times;Serif" w:hAnsi="Times New Roman;Times;Serif"/>
                <w:position w:val="6"/>
                <w:sz w:val="14"/>
                <w:sz w:val="18"/>
              </w:rPr>
              <w:t>(30)</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981"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10,500</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325"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88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10,500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602"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70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715"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Blind 1212, LLC</w:t>
            </w:r>
            <w:r>
              <w:rPr>
                <w:rFonts w:ascii="Times New Roman;Times;Serif" w:hAnsi="Times New Roman;Times;Serif"/>
                <w:position w:val="6"/>
                <w:sz w:val="14"/>
                <w:sz w:val="18"/>
              </w:rPr>
              <w:t>(3)</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981"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447,274</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325"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83"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288,616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447,274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796"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288,616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141"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602"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70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715"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Brock Strasbourger</w:t>
            </w:r>
            <w:r>
              <w:rPr>
                <w:rFonts w:ascii="Times New Roman;Times;Serif" w:hAnsi="Times New Roman;Times;Serif"/>
                <w:position w:val="6"/>
                <w:sz w:val="14"/>
                <w:sz w:val="18"/>
              </w:rPr>
              <w:t>(3)(34)</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981"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390,905</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325"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883"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269,850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390,905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269,850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602"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70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715"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Cabbaj Capital Ltd.</w:t>
            </w:r>
            <w:r>
              <w:rPr>
                <w:rFonts w:ascii="Times New Roman;Times;Serif" w:hAnsi="Times New Roman;Times;Serif"/>
                <w:position w:val="6"/>
                <w:sz w:val="14"/>
                <w:sz w:val="18"/>
              </w:rPr>
              <w:t>(7)</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981"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50,000</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325"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8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50,000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79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141"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602"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70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715"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Cartoris Limited</w:t>
            </w:r>
            <w:r>
              <w:rPr>
                <w:rFonts w:ascii="Times New Roman;Times;Serif" w:hAnsi="Times New Roman;Times;Serif"/>
                <w:position w:val="6"/>
                <w:sz w:val="14"/>
                <w:sz w:val="18"/>
              </w:rPr>
              <w:t>(30)</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981"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252,687</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325"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88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85,000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167,687</w:t>
            </w:r>
          </w:p>
        </w:tc>
        <w:tc>
          <w:tcPr>
            <w:tcW w:w="113"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602"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113"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70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715"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CEOF Holdings LP</w:t>
            </w:r>
            <w:r>
              <w:rPr>
                <w:rFonts w:ascii="Times New Roman;Times;Serif" w:hAnsi="Times New Roman;Times;Serif"/>
                <w:position w:val="6"/>
                <w:sz w:val="14"/>
                <w:sz w:val="18"/>
              </w:rPr>
              <w:t>(21)</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981"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1,021,457</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1.8</w:t>
            </w:r>
          </w:p>
        </w:tc>
        <w:tc>
          <w:tcPr>
            <w:tcW w:w="3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83"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190,909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1,021,457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796"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190,909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141"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602"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70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715"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Chardan Capital Markets</w:t>
              <w:br/>
              <w:t>LLC</w:t>
            </w:r>
            <w:r>
              <w:rPr>
                <w:rFonts w:ascii="Times New Roman;Times;Serif" w:hAnsi="Times New Roman;Times;Serif"/>
                <w:position w:val="6"/>
                <w:sz w:val="14"/>
                <w:sz w:val="18"/>
              </w:rPr>
              <w:t>(23)</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981"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350,000</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325"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88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350,000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602"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70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715"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Chardan International Investments, LLC</w:t>
            </w:r>
            <w:r>
              <w:rPr>
                <w:rFonts w:ascii="Times New Roman;Times;Serif" w:hAnsi="Times New Roman;Times;Serif"/>
                <w:position w:val="6"/>
                <w:sz w:val="14"/>
                <w:sz w:val="18"/>
              </w:rPr>
              <w:t>(23)</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981"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2,983,171</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5.2</w:t>
            </w:r>
          </w:p>
        </w:tc>
        <w:tc>
          <w:tcPr>
            <w:tcW w:w="325"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83"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1,875,000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2,983,171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796"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1,875,000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141"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602"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70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715"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Chris Ahrens</w:t>
            </w:r>
            <w:r>
              <w:rPr>
                <w:rFonts w:ascii="Times New Roman;Times;Serif" w:hAnsi="Times New Roman;Times;Serif"/>
                <w:position w:val="6"/>
                <w:sz w:val="14"/>
                <w:sz w:val="18"/>
              </w:rPr>
              <w:t>(3)(38)</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981"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61,116</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325"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883"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26,238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61,116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26,238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602"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70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715"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Cindat USA LLC</w:t>
            </w:r>
            <w:r>
              <w:rPr>
                <w:rFonts w:ascii="Times New Roman;Times;Serif" w:hAnsi="Times New Roman;Times;Serif"/>
                <w:position w:val="6"/>
                <w:sz w:val="14"/>
                <w:sz w:val="18"/>
              </w:rPr>
              <w:t>(17)</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981"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1,374,148</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2.4</w:t>
            </w:r>
          </w:p>
        </w:tc>
        <w:tc>
          <w:tcPr>
            <w:tcW w:w="325"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83"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918,387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1,374,148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796"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918,387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141"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602"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70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715"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Cleveland Avenue LLC</w:t>
            </w:r>
            <w:r>
              <w:rPr>
                <w:rFonts w:ascii="Times New Roman;Times;Serif" w:hAnsi="Times New Roman;Times;Serif"/>
                <w:position w:val="6"/>
                <w:sz w:val="14"/>
                <w:sz w:val="18"/>
              </w:rPr>
              <w:t>(33)</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981"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10,000,000</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17.3</w:t>
            </w:r>
          </w:p>
        </w:tc>
        <w:tc>
          <w:tcPr>
            <w:tcW w:w="325"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88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10,000,000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602"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70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715"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Cliff Moskowitz</w:t>
            </w:r>
            <w:r>
              <w:rPr>
                <w:rFonts w:ascii="Times New Roman;Times;Serif" w:hAnsi="Times New Roman;Times;Serif"/>
                <w:position w:val="6"/>
                <w:sz w:val="14"/>
                <w:sz w:val="18"/>
              </w:rPr>
              <w:t>(3)</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981"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44,866</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325"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83"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26,238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44,866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796"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26,238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141"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602"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70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715"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Connective Capital Emerging Energy QP, LP</w:t>
            </w:r>
            <w:r>
              <w:rPr>
                <w:rFonts w:ascii="Times New Roman;Times;Serif" w:hAnsi="Times New Roman;Times;Serif"/>
                <w:position w:val="6"/>
                <w:sz w:val="14"/>
                <w:sz w:val="18"/>
              </w:rPr>
              <w:t>(30)</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981"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68,137</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325"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88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68,137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602"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70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715"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Connective Capital I QP, LP</w:t>
            </w:r>
            <w:r>
              <w:rPr>
                <w:rFonts w:ascii="Times New Roman;Times;Serif" w:hAnsi="Times New Roman;Times;Serif"/>
                <w:position w:val="6"/>
                <w:sz w:val="14"/>
                <w:sz w:val="18"/>
              </w:rPr>
              <w:t>(30)</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981"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31,863</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325"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8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31,863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79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141"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602"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70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715"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Cosme Fagundo</w:t>
            </w:r>
            <w:r>
              <w:rPr>
                <w:rFonts w:ascii="Times New Roman;Times;Serif" w:hAnsi="Times New Roman;Times;Serif"/>
                <w:position w:val="6"/>
                <w:sz w:val="14"/>
                <w:sz w:val="18"/>
              </w:rPr>
              <w:t>(2)</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981"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10,000</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325"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88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602"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70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715"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Dan Bordessa</w:t>
            </w:r>
            <w:r>
              <w:rPr>
                <w:rFonts w:ascii="Times New Roman;Times;Serif" w:hAnsi="Times New Roman;Times;Serif"/>
                <w:position w:val="6"/>
                <w:sz w:val="14"/>
                <w:sz w:val="18"/>
              </w:rPr>
              <w:t>(3)</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981"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77,232</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325"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83"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52,476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77,232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796"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52,476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141"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602"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70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715"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David Allan DeHorn</w:t>
            </w:r>
            <w:r>
              <w:rPr>
                <w:rFonts w:ascii="Times New Roman;Times;Serif" w:hAnsi="Times New Roman;Times;Serif"/>
                <w:position w:val="6"/>
                <w:sz w:val="14"/>
                <w:sz w:val="18"/>
              </w:rPr>
              <w:t>(3)</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981"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77,232</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325"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883"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52,476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77,232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52,476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602"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70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715"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Dentons US LLP</w:t>
            </w:r>
            <w:r>
              <w:rPr>
                <w:rFonts w:ascii="Times New Roman;Times;Serif" w:hAnsi="Times New Roman;Times;Serif"/>
                <w:position w:val="6"/>
                <w:sz w:val="14"/>
                <w:sz w:val="18"/>
              </w:rPr>
              <w:t>(13)</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981"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15,000</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325"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8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79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141"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602"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70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715"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Dhari Albader</w:t>
            </w:r>
            <w:r>
              <w:rPr>
                <w:rFonts w:ascii="Times New Roman;Times;Serif" w:hAnsi="Times New Roman;Times;Serif"/>
                <w:position w:val="6"/>
                <w:sz w:val="14"/>
                <w:sz w:val="18"/>
              </w:rPr>
              <w:t>(30)</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981"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247,500</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325"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88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147,500</w:t>
            </w:r>
          </w:p>
        </w:tc>
        <w:tc>
          <w:tcPr>
            <w:tcW w:w="113"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602"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113"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70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715"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Dipan Desai</w:t>
            </w:r>
            <w:r>
              <w:rPr>
                <w:rFonts w:ascii="Times New Roman;Times;Serif" w:hAnsi="Times New Roman;Times;Serif"/>
                <w:position w:val="6"/>
                <w:sz w:val="14"/>
                <w:sz w:val="18"/>
              </w:rPr>
              <w:t>(30)</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981"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50,000</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325"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8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50,000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79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141"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602"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70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715"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Ed Scheetz</w:t>
            </w:r>
            <w:r>
              <w:rPr>
                <w:rFonts w:ascii="Times New Roman;Times;Serif" w:hAnsi="Times New Roman;Times;Serif"/>
                <w:position w:val="6"/>
                <w:sz w:val="14"/>
                <w:sz w:val="18"/>
              </w:rPr>
              <w:t>(3)(11)</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981"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1,321,389</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2.3</w:t>
            </w:r>
          </w:p>
        </w:tc>
        <w:tc>
          <w:tcPr>
            <w:tcW w:w="325"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883"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705,762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1,032,464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705,762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602"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70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715"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EJK Investments LLC</w:t>
            </w:r>
            <w:r>
              <w:rPr>
                <w:rFonts w:ascii="Times New Roman;Times;Serif" w:hAnsi="Times New Roman;Times;Serif"/>
                <w:position w:val="6"/>
                <w:sz w:val="14"/>
                <w:sz w:val="18"/>
              </w:rPr>
              <w:t>(30)</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981"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50,000</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325"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8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50,000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79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141"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602"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70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715"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Georgia Sgardeli</w:t>
            </w:r>
            <w:r>
              <w:rPr>
                <w:rFonts w:ascii="Times New Roman;Times;Serif" w:hAnsi="Times New Roman;Times;Serif"/>
                <w:position w:val="6"/>
                <w:sz w:val="14"/>
                <w:sz w:val="18"/>
              </w:rPr>
              <w:t>(30)</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981"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15,000</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325"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88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15,000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602"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70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715"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Greg Flynn</w:t>
            </w:r>
            <w:r>
              <w:rPr>
                <w:rFonts w:ascii="Times New Roman;Times;Serif" w:hAnsi="Times New Roman;Times;Serif"/>
                <w:position w:val="6"/>
                <w:sz w:val="14"/>
                <w:sz w:val="18"/>
              </w:rPr>
              <w:t>(18)</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981"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10,000</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325"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8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79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141"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602"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70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715"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HighSage Ventures LLC</w:t>
            </w:r>
            <w:r>
              <w:rPr>
                <w:rFonts w:ascii="Times New Roman;Times;Serif" w:hAnsi="Times New Roman;Times;Serif"/>
                <w:position w:val="6"/>
                <w:sz w:val="14"/>
                <w:sz w:val="18"/>
              </w:rPr>
              <w:t>(19)</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981"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100,000</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325"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88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602"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70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715"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I2BF Global Investments</w:t>
              <w:br/>
              <w:t>Ltd.</w:t>
            </w:r>
            <w:r>
              <w:rPr>
                <w:rFonts w:ascii="Times New Roman;Times;Serif" w:hAnsi="Times New Roman;Times;Serif"/>
                <w:position w:val="6"/>
                <w:sz w:val="14"/>
                <w:sz w:val="18"/>
              </w:rPr>
              <w:t>(6)</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981"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5,682,225</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9.8</w:t>
            </w:r>
          </w:p>
        </w:tc>
        <w:tc>
          <w:tcPr>
            <w:tcW w:w="325"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8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5,682,225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79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141"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602"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70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715"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Jameson Weber</w:t>
            </w:r>
            <w:r>
              <w:rPr>
                <w:rFonts w:ascii="Times New Roman;Times;Serif" w:hAnsi="Times New Roman;Times;Serif"/>
                <w:position w:val="6"/>
                <w:sz w:val="14"/>
                <w:sz w:val="18"/>
              </w:rPr>
              <w:t>(3)</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981"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77,232</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325"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883"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52,476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77,232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52,476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602"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70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715"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Jasminder Singh</w:t>
            </w:r>
            <w:r>
              <w:rPr>
                <w:rFonts w:ascii="Times New Roman;Times;Serif" w:hAnsi="Times New Roman;Times;Serif"/>
                <w:position w:val="6"/>
                <w:sz w:val="14"/>
                <w:sz w:val="18"/>
              </w:rPr>
              <w:t>(3)</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981"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115,848</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325"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83"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78,714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115,848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796"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78,714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141"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602"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70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hanging="0"/>
        <w:jc w:val="left"/>
        <w:rPr/>
      </w:pPr>
      <w:r>
        <w:rPr/>
        <w:t> </w:t>
      </w:r>
    </w:p>
    <w:p>
      <w:pPr>
        <w:pStyle w:val="TextBody"/>
        <w:bidi w:val="0"/>
        <w:spacing w:before="0" w:after="0"/>
        <w:jc w:val="left"/>
        <w:rPr/>
      </w:pPr>
      <w:r>
        <w:rPr>
          <w:caps w:val="false"/>
          <w:smallCaps w:val="false"/>
        </w:rPr>
        <w:t> </w:t>
      </w:r>
      <w:r>
        <w:rPr/>
        <w:t xml:space="preserve"> </w:t>
      </w:r>
    </w:p>
    <w:tbl>
      <w:tblPr>
        <w:tblW w:w="10659" w:type="dxa"/>
        <w:jc w:val="left"/>
        <w:tblInd w:w="0" w:type="dxa"/>
        <w:tblLayout w:type="fixed"/>
        <w:tblCellMar>
          <w:top w:w="0" w:type="dxa"/>
          <w:left w:w="0" w:type="dxa"/>
          <w:bottom w:w="0" w:type="dxa"/>
          <w:right w:w="0" w:type="dxa"/>
        </w:tblCellMar>
      </w:tblPr>
      <w:tblGrid>
        <w:gridCol w:w="1715"/>
        <w:gridCol w:w="60"/>
        <w:gridCol w:w="78"/>
        <w:gridCol w:w="1084"/>
        <w:gridCol w:w="78"/>
        <w:gridCol w:w="78"/>
        <w:gridCol w:w="112"/>
        <w:gridCol w:w="628"/>
        <w:gridCol w:w="222"/>
        <w:gridCol w:w="78"/>
        <w:gridCol w:w="78"/>
        <w:gridCol w:w="794"/>
        <w:gridCol w:w="60"/>
        <w:gridCol w:w="60"/>
        <w:gridCol w:w="60"/>
        <w:gridCol w:w="830"/>
        <w:gridCol w:w="60"/>
        <w:gridCol w:w="60"/>
        <w:gridCol w:w="77"/>
        <w:gridCol w:w="783"/>
        <w:gridCol w:w="60"/>
        <w:gridCol w:w="60"/>
        <w:gridCol w:w="97"/>
        <w:gridCol w:w="1205"/>
        <w:gridCol w:w="97"/>
        <w:gridCol w:w="97"/>
        <w:gridCol w:w="138"/>
        <w:gridCol w:w="602"/>
        <w:gridCol w:w="276"/>
        <w:gridCol w:w="97"/>
        <w:gridCol w:w="158"/>
        <w:gridCol w:w="702"/>
        <w:gridCol w:w="75"/>
      </w:tblGrid>
      <w:tr>
        <w:trPr/>
        <w:tc>
          <w:tcPr>
            <w:tcW w:w="171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3230" w:type="dxa"/>
            <w:gridSpan w:val="10"/>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Beneficially Owned Before the Offering</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9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Number of</w:t>
              <w:br/>
              <w:t>Shares of</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6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Number of</w:t>
              <w:br/>
              <w:t>Private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3469" w:type="dxa"/>
            <w:gridSpan w:val="10"/>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Beneficially Owned After the Offering</w:t>
            </w:r>
          </w:p>
        </w:tc>
        <w:tc>
          <w:tcPr>
            <w:tcW w:w="7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171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Selling Securityholder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62"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Shares of</w:t>
              <w:br/>
              <w:t>Common</w:t>
              <w:br/>
              <w:t>Stock</w:t>
            </w:r>
            <w:r>
              <w:rPr>
                <w:rFonts w:ascii="Times New Roman;Times;Serif" w:hAnsi="Times New Roman;Times;Serif"/>
                <w:b/>
                <w:i w:val="false"/>
                <w:caps w:val="false"/>
                <w:smallCaps w:val="false"/>
                <w:position w:val="6"/>
                <w:sz w:val="14"/>
                <w:sz w:val="18"/>
              </w:rPr>
              <w:t>(1)</w:t>
            </w:r>
          </w:p>
        </w:tc>
        <w:tc>
          <w:tcPr>
            <w:tcW w:w="78" w:type="dxa"/>
            <w:tcBorders/>
            <w:vAlign w:val="center"/>
          </w:tcPr>
          <w:p>
            <w:pPr>
              <w:pStyle w:val="TableContents"/>
              <w:bidi w:val="0"/>
              <w:spacing w:before="0" w:after="283"/>
              <w:jc w:val="left"/>
              <w:rPr>
                <w:caps w:val="false"/>
                <w:smallCaps w:val="false"/>
              </w:rPr>
            </w:pPr>
            <w:r>
              <w:rPr>
                <w:caps w:val="false"/>
                <w:smallCaps w:val="false"/>
              </w:rPr>
              <w:t> </w:t>
            </w:r>
          </w:p>
        </w:tc>
        <w:tc>
          <w:tcPr>
            <w:tcW w:w="78"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4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 of</w:t>
              <w:br/>
              <w:t>Common</w:t>
              <w:br/>
              <w:t>Stock</w:t>
            </w:r>
          </w:p>
        </w:tc>
        <w:tc>
          <w:tcPr>
            <w:tcW w:w="222" w:type="dxa"/>
            <w:tcBorders/>
            <w:vAlign w:val="center"/>
          </w:tcPr>
          <w:p>
            <w:pPr>
              <w:pStyle w:val="TableContents"/>
              <w:bidi w:val="0"/>
              <w:spacing w:before="0" w:after="283"/>
              <w:jc w:val="left"/>
              <w:rPr>
                <w:caps w:val="false"/>
                <w:smallCaps w:val="false"/>
              </w:rPr>
            </w:pPr>
            <w:r>
              <w:rPr>
                <w:caps w:val="false"/>
                <w:smallCaps w:val="false"/>
              </w:rPr>
              <w:t> </w:t>
            </w:r>
          </w:p>
        </w:tc>
        <w:tc>
          <w:tcPr>
            <w:tcW w:w="78"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72"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Number of</w:t>
              <w:br/>
              <w:t>Private</w:t>
              <w:br/>
              <w:t>Placement</w:t>
              <w:br/>
              <w:t>Warrants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Common</w:t>
              <w:br/>
              <w:t>Stock</w:t>
              <w:br/>
              <w:t>Being</w:t>
              <w:br/>
              <w:t>Offered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Placement</w:t>
              <w:br/>
              <w:t>Warrants</w:t>
              <w:br/>
              <w:t>Being</w:t>
              <w:br/>
              <w:t>Offered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02"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Number of</w:t>
              <w:br/>
              <w:t>Shares of</w:t>
              <w:br/>
              <w:t>Common</w:t>
              <w:br/>
              <w:t>Stock</w:t>
            </w:r>
          </w:p>
        </w:tc>
        <w:tc>
          <w:tcPr>
            <w:tcW w:w="97" w:type="dxa"/>
            <w:tcBorders/>
            <w:vAlign w:val="center"/>
          </w:tcPr>
          <w:p>
            <w:pPr>
              <w:pStyle w:val="TableContents"/>
              <w:bidi w:val="0"/>
              <w:spacing w:before="0" w:after="283"/>
              <w:jc w:val="left"/>
              <w:rPr>
                <w:caps w:val="false"/>
                <w:smallCaps w:val="false"/>
              </w:rPr>
            </w:pPr>
            <w:r>
              <w:rPr>
                <w:caps w:val="false"/>
                <w:smallCaps w:val="false"/>
              </w:rPr>
              <w:t> </w:t>
            </w:r>
          </w:p>
        </w:tc>
        <w:tc>
          <w:tcPr>
            <w:tcW w:w="97"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4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 of</w:t>
              <w:br/>
              <w:t>Common</w:t>
              <w:br/>
              <w:t>Stock</w:t>
            </w:r>
          </w:p>
        </w:tc>
        <w:tc>
          <w:tcPr>
            <w:tcW w:w="276" w:type="dxa"/>
            <w:tcBorders/>
            <w:vAlign w:val="center"/>
          </w:tcPr>
          <w:p>
            <w:pPr>
              <w:pStyle w:val="TableContents"/>
              <w:bidi w:val="0"/>
              <w:spacing w:before="0" w:after="283"/>
              <w:jc w:val="left"/>
              <w:rPr>
                <w:caps w:val="false"/>
                <w:smallCaps w:val="false"/>
              </w:rPr>
            </w:pPr>
            <w:r>
              <w:rPr>
                <w:caps w:val="false"/>
                <w:smallCaps w:val="false"/>
              </w:rPr>
              <w:t> </w:t>
            </w:r>
          </w:p>
        </w:tc>
        <w:tc>
          <w:tcPr>
            <w:tcW w:w="97"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Number of</w:t>
              <w:br/>
              <w:t>Private</w:t>
              <w:br/>
              <w:t>Placement</w:t>
              <w:br/>
              <w:t>Warrants</w:t>
            </w:r>
          </w:p>
        </w:tc>
        <w:tc>
          <w:tcPr>
            <w:tcW w:w="75"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7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Jay Lidell</w:t>
            </w:r>
            <w:r>
              <w:rPr>
                <w:rFonts w:ascii="Times New Roman;Times;Serif" w:hAnsi="Times New Roman;Times;Serif"/>
                <w:b w:val="false"/>
                <w:i w:val="false"/>
                <w:caps w:val="false"/>
                <w:smallCaps w:val="false"/>
                <w:position w:val="6"/>
                <w:sz w:val="14"/>
                <w:sz w:val="18"/>
              </w:rPr>
              <w:t>(3)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6,250</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22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4"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6,250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3"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2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7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Jeff Jones</w:t>
            </w:r>
            <w:r>
              <w:rPr>
                <w:rFonts w:ascii="Times New Roman;Times;Serif" w:hAnsi="Times New Roman;Times;Serif"/>
                <w:b w:val="false"/>
                <w:i w:val="false"/>
                <w:caps w:val="false"/>
                <w:smallCaps w:val="false"/>
                <w:position w:val="6"/>
                <w:sz w:val="14"/>
                <w:sz w:val="18"/>
              </w:rPr>
              <w:t>(20)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10,000</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22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4"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10,000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3"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2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7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Jefferies LLC</w:t>
            </w:r>
            <w:r>
              <w:rPr>
                <w:rFonts w:ascii="Times New Roman;Times;Serif" w:hAnsi="Times New Roman;Times;Serif"/>
                <w:b w:val="false"/>
                <w:i w:val="false"/>
                <w:caps w:val="false"/>
                <w:smallCaps w:val="false"/>
                <w:position w:val="6"/>
                <w:sz w:val="14"/>
                <w:sz w:val="18"/>
              </w:rPr>
              <w:t>(24)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150,000</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22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4"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150,000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3"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2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7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Julie Atkinson</w:t>
            </w:r>
            <w:r>
              <w:rPr>
                <w:rFonts w:ascii="Times New Roman;Times;Serif" w:hAnsi="Times New Roman;Times;Serif"/>
                <w:b w:val="false"/>
                <w:i w:val="false"/>
                <w:caps w:val="false"/>
                <w:smallCaps w:val="false"/>
                <w:position w:val="6"/>
                <w:sz w:val="14"/>
                <w:sz w:val="18"/>
              </w:rPr>
              <w:t>(3)(35)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37,946</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22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10,495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37,946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10,495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2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7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Kali Invest LLC</w:t>
            </w:r>
            <w:r>
              <w:rPr>
                <w:rFonts w:ascii="Times New Roman;Times;Serif" w:hAnsi="Times New Roman;Times;Serif"/>
                <w:b w:val="false"/>
                <w:i w:val="false"/>
                <w:caps w:val="false"/>
                <w:smallCaps w:val="false"/>
                <w:position w:val="6"/>
                <w:sz w:val="14"/>
                <w:sz w:val="18"/>
              </w:rPr>
              <w:t>(30)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10,000</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22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4"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10,000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3"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2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7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 xml:space="preserve">Kepos Alpha Master </w:t>
              <w:br/>
              <w:t>Fund L.P.</w:t>
            </w:r>
            <w:r>
              <w:rPr>
                <w:rFonts w:ascii="Times New Roman;Times;Serif" w:hAnsi="Times New Roman;Times;Serif"/>
                <w:b w:val="false"/>
                <w:i w:val="false"/>
                <w:caps w:val="false"/>
                <w:smallCaps w:val="false"/>
                <w:position w:val="6"/>
                <w:sz w:val="14"/>
                <w:sz w:val="18"/>
              </w:rPr>
              <w:t>(30)(31)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500,000</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22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4"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500,000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3"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2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7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Kim Lopdrup</w:t>
            </w:r>
            <w:r>
              <w:rPr>
                <w:rFonts w:ascii="Times New Roman;Times;Serif" w:hAnsi="Times New Roman;Times;Serif"/>
                <w:b w:val="false"/>
                <w:i w:val="false"/>
                <w:caps w:val="false"/>
                <w:smallCaps w:val="false"/>
                <w:position w:val="6"/>
                <w:sz w:val="14"/>
                <w:sz w:val="18"/>
              </w:rPr>
              <w:t>(2)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10,000</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22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4"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10,000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3"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2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7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Lago Innovation</w:t>
            </w:r>
            <w:r>
              <w:rPr>
                <w:rFonts w:ascii="Times New Roman;Times;Serif" w:hAnsi="Times New Roman;Times;Serif"/>
                <w:b w:val="false"/>
                <w:i w:val="false"/>
                <w:caps w:val="false"/>
                <w:smallCaps w:val="false"/>
                <w:position w:val="6"/>
                <w:sz w:val="14"/>
                <w:sz w:val="18"/>
              </w:rPr>
              <w:t>(25)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156,233</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22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4"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156,233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3"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2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7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Matt Armstrong</w:t>
            </w:r>
            <w:r>
              <w:rPr>
                <w:rFonts w:ascii="Times New Roman;Times;Serif" w:hAnsi="Times New Roman;Times;Serif"/>
                <w:b w:val="false"/>
                <w:i w:val="false"/>
                <w:caps w:val="false"/>
                <w:smallCaps w:val="false"/>
                <w:position w:val="6"/>
                <w:sz w:val="14"/>
                <w:sz w:val="18"/>
              </w:rPr>
              <w:t>(3)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77,232</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22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52,476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77,232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52,476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2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7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Matt MacDonald</w:t>
            </w:r>
            <w:r>
              <w:rPr>
                <w:rFonts w:ascii="Times New Roman;Times;Serif" w:hAnsi="Times New Roman;Times;Serif"/>
                <w:b w:val="false"/>
                <w:i w:val="false"/>
                <w:caps w:val="false"/>
                <w:smallCaps w:val="false"/>
                <w:position w:val="6"/>
                <w:sz w:val="14"/>
                <w:sz w:val="18"/>
              </w:rPr>
              <w:t>(3)(11)(36)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1,036,253</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1.8</w:t>
            </w:r>
          </w:p>
        </w:tc>
        <w:tc>
          <w:tcPr>
            <w:tcW w:w="22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512,024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747,328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512,024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2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7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Metropolitan Partners</w:t>
              <w:br/>
              <w:t>Group</w:t>
            </w:r>
            <w:r>
              <w:rPr>
                <w:rFonts w:ascii="Times New Roman;Times;Serif" w:hAnsi="Times New Roman;Times;Serif"/>
                <w:b w:val="false"/>
                <w:i w:val="false"/>
                <w:caps w:val="false"/>
                <w:smallCaps w:val="false"/>
                <w:position w:val="6"/>
                <w:sz w:val="14"/>
                <w:sz w:val="18"/>
              </w:rPr>
              <w:t>(22)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7,003,544</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12.1</w:t>
            </w:r>
          </w:p>
        </w:tc>
        <w:tc>
          <w:tcPr>
            <w:tcW w:w="22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4"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7,003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3"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2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7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Monil Gandhi Personal Revocable Trust</w:t>
            </w:r>
            <w:r>
              <w:rPr>
                <w:rFonts w:ascii="Times New Roman;Times;Serif" w:hAnsi="Times New Roman;Times;Serif"/>
                <w:b w:val="false"/>
                <w:i w:val="false"/>
                <w:caps w:val="false"/>
                <w:smallCaps w:val="false"/>
                <w:position w:val="6"/>
                <w:sz w:val="14"/>
                <w:sz w:val="18"/>
              </w:rPr>
              <w:t>(30)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12,500</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22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4"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12,500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3"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2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7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Nadir Noorani</w:t>
            </w:r>
            <w:r>
              <w:rPr>
                <w:rFonts w:ascii="Times New Roman;Times;Serif" w:hAnsi="Times New Roman;Times;Serif"/>
                <w:b w:val="false"/>
                <w:i w:val="false"/>
                <w:caps w:val="false"/>
                <w:smallCaps w:val="false"/>
                <w:position w:val="6"/>
                <w:sz w:val="14"/>
                <w:sz w:val="18"/>
              </w:rPr>
              <w:t>(30)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75,000</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22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4"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75,000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3"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2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7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Nexxus Capital Management Pte. Ltd.</w:t>
            </w:r>
            <w:r>
              <w:rPr>
                <w:rFonts w:ascii="Times New Roman;Times;Serif" w:hAnsi="Times New Roman;Times;Serif"/>
                <w:b w:val="false"/>
                <w:i w:val="false"/>
                <w:caps w:val="false"/>
                <w:smallCaps w:val="false"/>
                <w:position w:val="6"/>
                <w:sz w:val="14"/>
                <w:sz w:val="18"/>
              </w:rPr>
              <w:t>(30)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42,029</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22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4"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2,500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3"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39,529</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2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7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Paresh Doshi</w:t>
            </w:r>
            <w:r>
              <w:rPr>
                <w:rFonts w:ascii="Times New Roman;Times;Serif" w:hAnsi="Times New Roman;Times;Serif"/>
                <w:b w:val="false"/>
                <w:i w:val="false"/>
                <w:caps w:val="false"/>
                <w:smallCaps w:val="false"/>
                <w:position w:val="6"/>
                <w:sz w:val="14"/>
                <w:sz w:val="18"/>
              </w:rPr>
              <w:t>(30)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5,000</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22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4"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5,000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3"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2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7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Paul Liberman</w:t>
            </w:r>
            <w:r>
              <w:rPr>
                <w:rFonts w:ascii="Times New Roman;Times;Serif" w:hAnsi="Times New Roman;Times;Serif"/>
                <w:b w:val="false"/>
                <w:i w:val="false"/>
                <w:caps w:val="false"/>
                <w:smallCaps w:val="false"/>
                <w:position w:val="6"/>
                <w:sz w:val="14"/>
                <w:sz w:val="18"/>
              </w:rPr>
              <w:t>(3)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38,616</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22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26,238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38,616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26,238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2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7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Prasad Phatak</w:t>
            </w:r>
            <w:r>
              <w:rPr>
                <w:rFonts w:ascii="Times New Roman;Times;Serif" w:hAnsi="Times New Roman;Times;Serif"/>
                <w:b w:val="false"/>
                <w:i w:val="false"/>
                <w:caps w:val="false"/>
                <w:smallCaps w:val="false"/>
                <w:position w:val="6"/>
                <w:sz w:val="14"/>
                <w:sz w:val="18"/>
              </w:rPr>
              <w:t>(3)(37)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604,758</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1.0</w:t>
            </w:r>
          </w:p>
        </w:tc>
        <w:tc>
          <w:tcPr>
            <w:tcW w:w="22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415,154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604,758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415,154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2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7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Rajat Suri</w:t>
            </w:r>
            <w:r>
              <w:rPr>
                <w:rFonts w:ascii="Times New Roman;Times;Serif" w:hAnsi="Times New Roman;Times;Serif"/>
                <w:b w:val="false"/>
                <w:i w:val="false"/>
                <w:caps w:val="false"/>
                <w:smallCaps w:val="false"/>
                <w:position w:val="6"/>
                <w:sz w:val="14"/>
                <w:sz w:val="18"/>
              </w:rPr>
              <w:t>(2)(15)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8,623,814</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14.9</w:t>
            </w:r>
          </w:p>
        </w:tc>
        <w:tc>
          <w:tcPr>
            <w:tcW w:w="22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4"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4,386,655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3"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2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7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Richard Hoon Thye Woei</w:t>
            </w:r>
            <w:r>
              <w:rPr>
                <w:rFonts w:ascii="Times New Roman;Times;Serif" w:hAnsi="Times New Roman;Times;Serif"/>
                <w:b w:val="false"/>
                <w:i w:val="false"/>
                <w:caps w:val="false"/>
                <w:smallCaps w:val="false"/>
                <w:position w:val="6"/>
                <w:sz w:val="14"/>
                <w:sz w:val="18"/>
              </w:rPr>
              <w:t>(30)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28,926</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22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4"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20,000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3"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8,926</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2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7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Robert Martin</w:t>
            </w:r>
            <w:r>
              <w:rPr>
                <w:rFonts w:ascii="Times New Roman;Times;Serif" w:hAnsi="Times New Roman;Times;Serif"/>
                <w:b w:val="false"/>
                <w:i w:val="false"/>
                <w:caps w:val="false"/>
                <w:smallCaps w:val="false"/>
                <w:position w:val="6"/>
                <w:sz w:val="14"/>
                <w:sz w:val="18"/>
              </w:rPr>
              <w:t>(3)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77,232</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22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52,476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77,232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52,476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2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7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Romulus Capital</w:t>
            </w:r>
            <w:r>
              <w:rPr>
                <w:rFonts w:ascii="Times New Roman;Times;Serif" w:hAnsi="Times New Roman;Times;Serif"/>
                <w:b w:val="false"/>
                <w:i w:val="false"/>
                <w:caps w:val="false"/>
                <w:smallCaps w:val="false"/>
                <w:position w:val="6"/>
                <w:sz w:val="14"/>
                <w:sz w:val="18"/>
              </w:rPr>
              <w:t>(9)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18,111,939</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31.3</w:t>
            </w:r>
          </w:p>
        </w:tc>
        <w:tc>
          <w:tcPr>
            <w:tcW w:w="22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4"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18,111,939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3"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2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7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Sasha Hoffman</w:t>
            </w:r>
            <w:r>
              <w:rPr>
                <w:rFonts w:ascii="Times New Roman;Times;Serif" w:hAnsi="Times New Roman;Times;Serif"/>
                <w:b w:val="false"/>
                <w:i w:val="false"/>
                <w:caps w:val="false"/>
                <w:smallCaps w:val="false"/>
                <w:position w:val="6"/>
                <w:sz w:val="14"/>
                <w:sz w:val="18"/>
              </w:rPr>
              <w:t>(30)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30,000</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22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4"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30,000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3"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2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7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Schechter Private Capital I, LLC – Series V</w:t>
            </w:r>
            <w:r>
              <w:rPr>
                <w:rFonts w:ascii="Times New Roman;Times;Serif" w:hAnsi="Times New Roman;Times;Serif"/>
                <w:b w:val="false"/>
                <w:i w:val="false"/>
                <w:caps w:val="false"/>
                <w:smallCaps w:val="false"/>
                <w:position w:val="6"/>
                <w:sz w:val="14"/>
                <w:sz w:val="18"/>
              </w:rPr>
              <w:t>(30)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1,932,773</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3.3</w:t>
            </w:r>
          </w:p>
        </w:tc>
        <w:tc>
          <w:tcPr>
            <w:tcW w:w="22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4"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500,000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3"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1,432,773</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2.5</w:t>
            </w:r>
          </w:p>
        </w:tc>
        <w:tc>
          <w:tcPr>
            <w:tcW w:w="27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7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Shamsuddin Charania</w:t>
            </w:r>
            <w:r>
              <w:rPr>
                <w:rFonts w:ascii="Times New Roman;Times;Serif" w:hAnsi="Times New Roman;Times;Serif"/>
                <w:b w:val="false"/>
                <w:i w:val="false"/>
                <w:caps w:val="false"/>
                <w:smallCaps w:val="false"/>
                <w:position w:val="6"/>
                <w:sz w:val="14"/>
                <w:sz w:val="18"/>
              </w:rPr>
              <w:t>(30)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262,069</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22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4"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87,500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3"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174,569</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2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7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Sheel Tyle</w:t>
            </w:r>
            <w:r>
              <w:rPr>
                <w:rFonts w:ascii="Times New Roman;Times;Serif" w:hAnsi="Times New Roman;Times;Serif"/>
                <w:b w:val="false"/>
                <w:i w:val="false"/>
                <w:caps w:val="false"/>
                <w:smallCaps w:val="false"/>
                <w:position w:val="6"/>
                <w:sz w:val="14"/>
                <w:sz w:val="18"/>
              </w:rPr>
              <w:t>(30)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500,000</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22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4"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500,000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3"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2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7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Shehzaan Chunara</w:t>
            </w:r>
            <w:r>
              <w:rPr>
                <w:rFonts w:ascii="Times New Roman;Times;Serif" w:hAnsi="Times New Roman;Times;Serif"/>
                <w:b w:val="false"/>
                <w:i w:val="false"/>
                <w:caps w:val="false"/>
                <w:smallCaps w:val="false"/>
                <w:position w:val="6"/>
                <w:sz w:val="14"/>
                <w:sz w:val="18"/>
              </w:rPr>
              <w:t>(30)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87,500</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22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4"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87,500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3"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2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7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Silver Rock Capital</w:t>
              <w:br/>
              <w:t>Partners</w:t>
            </w:r>
            <w:r>
              <w:rPr>
                <w:rFonts w:ascii="Times New Roman;Times;Serif" w:hAnsi="Times New Roman;Times;Serif"/>
                <w:b w:val="false"/>
                <w:i w:val="false"/>
                <w:caps w:val="false"/>
                <w:smallCaps w:val="false"/>
                <w:position w:val="6"/>
                <w:sz w:val="14"/>
                <w:sz w:val="18"/>
              </w:rPr>
              <w:t>(10)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500,000</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22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500,000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500,000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500,000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2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7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Tan Chin Nam</w:t>
            </w:r>
            <w:r>
              <w:rPr>
                <w:rFonts w:ascii="Times New Roman;Times;Serif" w:hAnsi="Times New Roman;Times;Serif"/>
                <w:b w:val="false"/>
                <w:i w:val="false"/>
                <w:caps w:val="false"/>
                <w:smallCaps w:val="false"/>
                <w:position w:val="6"/>
                <w:sz w:val="14"/>
                <w:sz w:val="18"/>
              </w:rPr>
              <w:t>(30)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13,926</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22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4"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5,000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3"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8,926</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2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7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The Rebecca P. Samberg 2018 revocable Trust</w:t>
            </w:r>
            <w:r>
              <w:rPr>
                <w:rFonts w:ascii="Times New Roman;Times;Serif" w:hAnsi="Times New Roman;Times;Serif"/>
                <w:b w:val="false"/>
                <w:i w:val="false"/>
                <w:caps w:val="false"/>
                <w:smallCaps w:val="false"/>
                <w:position w:val="6"/>
                <w:sz w:val="14"/>
                <w:sz w:val="18"/>
              </w:rPr>
              <w:t>(30)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409,640</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22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4"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125,000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3"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284,640</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2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7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Thomas P Botts</w:t>
            </w:r>
            <w:r>
              <w:rPr>
                <w:rFonts w:ascii="Times New Roman;Times;Serif" w:hAnsi="Times New Roman;Times;Serif"/>
                <w:b w:val="false"/>
                <w:i w:val="false"/>
                <w:caps w:val="false"/>
                <w:smallCaps w:val="false"/>
                <w:position w:val="6"/>
                <w:sz w:val="14"/>
                <w:sz w:val="18"/>
              </w:rPr>
              <w:t>(3)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115,848</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22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78,714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115,848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78,714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2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FFFFFF" w:val="clear"/>
            <w:vAlign w:val="center"/>
          </w:tcPr>
          <w:p>
            <w:pPr>
              <w:pStyle w:val="TableContents"/>
              <w:bidi w:val="0"/>
              <w:spacing w:before="0" w:after="283"/>
              <w:ind w:left="0" w:right="0" w:hanging="0"/>
              <w:jc w:val="left"/>
              <w:rPr>
                <w:caps w:val="false"/>
                <w:smallCaps w:val="false"/>
              </w:rPr>
            </w:pPr>
            <w:r>
              <w:rPr>
                <w:caps w:val="false"/>
                <w:smallCaps w:val="false"/>
              </w:rPr>
              <w:t> </w:t>
            </w:r>
          </w:p>
        </w:tc>
      </w:tr>
      <w:tr>
        <w:trPr/>
        <w:tc>
          <w:tcPr>
            <w:tcW w:w="1715" w:type="dxa"/>
            <w:tcBorders/>
            <w:shd w:fill="CCEEFF" w:val="clear"/>
            <w:vAlign w:val="center"/>
          </w:tcPr>
          <w:p>
            <w:pPr>
              <w:pStyle w:val="TableContents"/>
              <w:pBdr/>
              <w:bidi w:val="0"/>
              <w:spacing w:before="0" w:after="283"/>
              <w:ind w:left="0" w:right="0" w:hanging="18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Trinity Capital Fund II, L.P., LLC</w:t>
            </w:r>
            <w:r>
              <w:rPr>
                <w:rFonts w:ascii="Times New Roman;Times;Serif" w:hAnsi="Times New Roman;Times;Serif"/>
                <w:b w:val="false"/>
                <w:i w:val="false"/>
                <w:caps w:val="false"/>
                <w:smallCaps w:val="false"/>
                <w:position w:val="6"/>
                <w:sz w:val="14"/>
                <w:sz w:val="18"/>
              </w:rPr>
              <w:t>(39)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573,660</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1.0</w:t>
            </w:r>
          </w:p>
        </w:tc>
        <w:tc>
          <w:tcPr>
            <w:tcW w:w="22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4"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288,925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3"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2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7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Ventoux Acquisition</w:t>
              <w:br/>
              <w:t>Holdings LLC</w:t>
            </w:r>
            <w:r>
              <w:rPr>
                <w:rFonts w:ascii="Times New Roman;Times;Serif" w:hAnsi="Times New Roman;Times;Serif"/>
                <w:b w:val="false"/>
                <w:i w:val="false"/>
                <w:caps w:val="false"/>
                <w:smallCaps w:val="false"/>
                <w:position w:val="6"/>
                <w:sz w:val="14"/>
                <w:sz w:val="18"/>
              </w:rPr>
              <w:t>(3)(16)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288,925</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22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4"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288,925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3"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2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7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White &amp; Case LLP</w:t>
            </w:r>
            <w:r>
              <w:rPr>
                <w:rFonts w:ascii="Times New Roman;Times;Serif" w:hAnsi="Times New Roman;Times;Serif"/>
                <w:b w:val="false"/>
                <w:i w:val="false"/>
                <w:caps w:val="false"/>
                <w:smallCaps w:val="false"/>
                <w:position w:val="6"/>
                <w:sz w:val="14"/>
                <w:sz w:val="18"/>
              </w:rPr>
              <w:t>(12)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110,000</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22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4"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110,000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3"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2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7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William (Bill) Healey</w:t>
            </w:r>
            <w:r>
              <w:rPr>
                <w:rFonts w:ascii="Times New Roman;Times;Serif" w:hAnsi="Times New Roman;Times;Serif"/>
                <w:b w:val="false"/>
                <w:i w:val="false"/>
                <w:caps w:val="false"/>
                <w:smallCaps w:val="false"/>
                <w:position w:val="6"/>
                <w:sz w:val="14"/>
                <w:sz w:val="18"/>
              </w:rPr>
              <w:t>(2)(26)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307,318</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22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4"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307,318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3"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2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7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William Souillard-Mandar</w:t>
            </w:r>
            <w:r>
              <w:rPr>
                <w:rFonts w:ascii="Times New Roman;Times;Serif" w:hAnsi="Times New Roman;Times;Serif"/>
                <w:b w:val="false"/>
                <w:i w:val="false"/>
                <w:caps w:val="false"/>
                <w:smallCaps w:val="false"/>
                <w:position w:val="6"/>
                <w:sz w:val="14"/>
                <w:sz w:val="18"/>
              </w:rPr>
              <w:t>(30)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375,000</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22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4"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375,000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3"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2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7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Wilton Trustees (IOM) Limited ATO Dalmia Trust</w:t>
            </w:r>
            <w:r>
              <w:rPr>
                <w:rFonts w:ascii="Times New Roman;Times;Serif" w:hAnsi="Times New Roman;Times;Serif"/>
                <w:b w:val="false"/>
                <w:i w:val="false"/>
                <w:caps w:val="false"/>
                <w:smallCaps w:val="false"/>
                <w:position w:val="6"/>
                <w:sz w:val="14"/>
                <w:sz w:val="18"/>
              </w:rPr>
              <w:t>(15)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50,000</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22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4"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50,000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3"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2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7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Woolery &amp; Co PLLC</w:t>
            </w:r>
            <w:r>
              <w:rPr>
                <w:rFonts w:ascii="Times New Roman;Times;Serif" w:hAnsi="Times New Roman;Times;Serif"/>
                <w:b w:val="false"/>
                <w:i w:val="false"/>
                <w:caps w:val="false"/>
                <w:smallCaps w:val="false"/>
                <w:position w:val="6"/>
                <w:sz w:val="14"/>
                <w:sz w:val="18"/>
              </w:rPr>
              <w:t>(14)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15,000</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22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4"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15,000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3"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2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283"/>
        <w:jc w:val="left"/>
        <w:rPr/>
      </w:pPr>
      <w:r>
        <w:rPr/>
        <w:t> </w:t>
      </w:r>
    </w:p>
    <w:p>
      <w:pPr>
        <w:pStyle w:val="TextBody"/>
        <w:bidi w:val="0"/>
        <w:jc w:val="left"/>
        <w:rPr>
          <w:bdr w:val="single" w:sz="12" w:space="1" w:color="000000"/>
        </w:rPr>
      </w:pPr>
      <w:r>
        <w:rPr>
          <w:bdr w:val="single" w:sz="12" w:space="1" w:color="000000"/>
        </w:rPr>
        <w:t> </w:t>
      </w:r>
    </w:p>
    <w:tbl>
      <w:tblPr>
        <w:tblW w:w="4638" w:type="dxa"/>
        <w:jc w:val="left"/>
        <w:tblInd w:w="0" w:type="dxa"/>
        <w:tblLayout w:type="fixed"/>
        <w:tblCellMar>
          <w:top w:w="0" w:type="dxa"/>
          <w:left w:w="0" w:type="dxa"/>
          <w:bottom w:w="0" w:type="dxa"/>
          <w:right w:w="0" w:type="dxa"/>
        </w:tblCellMar>
      </w:tblPr>
      <w:tblGrid>
        <w:gridCol w:w="38"/>
        <w:gridCol w:w="140"/>
        <w:gridCol w:w="4460"/>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446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Indicates beneficial ownership of less than 1%.</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232"/>
        <w:gridCol w:w="9973"/>
      </w:tblGrid>
      <w:tr>
        <w:trPr/>
        <w:tc>
          <w:tcPr>
            <w:tcW w:w="23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7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Includes such number of shares of Presto Common Stock underlying the Private Placement Warrants, Financing Warrants, Trinity Warrants and penny warrants registered hereby as such warrants are currently exercisable.</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66"/>
        <w:gridCol w:w="9901"/>
      </w:tblGrid>
      <w:tr>
        <w:trPr/>
        <w:tc>
          <w:tcPr>
            <w:tcW w:w="38"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w:t>
            </w:r>
          </w:p>
        </w:tc>
        <w:tc>
          <w:tcPr>
            <w:tcW w:w="9901"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Unless otherwise noted, the business address of these securityholders is c/o Presto Automation Inc., 985 Industrial Road, San Carlos, CA 94070.</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63"/>
        <w:gridCol w:w="9904"/>
      </w:tblGrid>
      <w:tr>
        <w:trPr/>
        <w:tc>
          <w:tcPr>
            <w:tcW w:w="38"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w:t>
            </w:r>
          </w:p>
        </w:tc>
        <w:tc>
          <w:tcPr>
            <w:tcW w:w="9904"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business address of each of these securityholders is c/o Ventoux Acquisition Holdings LLC, 1 East Putnam Avenue, Floor 4, Greenwich, CT 06830.</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76"/>
        <w:gridCol w:w="9891"/>
      </w:tblGrid>
      <w:tr>
        <w:trPr/>
        <w:tc>
          <w:tcPr>
            <w:tcW w:w="38"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(4)</w:t>
            </w:r>
          </w:p>
        </w:tc>
        <w:tc>
          <w:tcPr>
            <w:tcW w:w="9891"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business address of Acadia Woods Partners, LLC is c/o Hawkes Financial LLC, 77 Bedford Road, Katonah, NY 10536.</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82"/>
        <w:gridCol w:w="9885"/>
      </w:tblGrid>
      <w:tr>
        <w:trPr/>
        <w:tc>
          <w:tcPr>
            <w:tcW w:w="38"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(5)</w:t>
            </w:r>
          </w:p>
        </w:tc>
        <w:tc>
          <w:tcPr>
            <w:tcW w:w="988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business address of Aloha Partners, LLC is c/o Hawkes Financial LLC 77 Bedford Road, Omaha, NE 68127.</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27"/>
        <w:gridCol w:w="9940"/>
      </w:tblGrid>
      <w:tr>
        <w:trPr/>
        <w:tc>
          <w:tcPr>
            <w:tcW w:w="38"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(6)</w:t>
            </w:r>
          </w:p>
        </w:tc>
        <w:tc>
          <w:tcPr>
            <w:tcW w:w="994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Consists of Presto Common Stock held of record by I2BF Global Investments LTD (“I2BF”) and 1,252,717 Earnout Shares that may be issued to I2BF from time to time upon achievement of certain stock price thresholds in accordance with the terms of the Merger Agreement. Ilya Golubovich is a director of the Company and is the sole director of I2BF and possesses both voting and dispositive power over the shares. The business address of I2BF is C/O HSM Corporate Services Ltd. 68 Fort Street, PO Box 31726, Grand Cayman KY 1-1297, Cayman Islands.</w:t>
            </w:r>
          </w:p>
        </w:tc>
      </w:tr>
    </w:tbl>
    <w:p>
      <w:pPr>
        <w:pStyle w:val="TextBody"/>
        <w:bidi w:val="0"/>
        <w:spacing w:before="0" w:after="283"/>
        <w:jc w:val="left"/>
        <w:rPr/>
      </w:pPr>
      <w:r>
        <w:rPr/>
        <w:t> </w:t>
      </w:r>
    </w:p>
    <w:tbl>
      <w:tblPr>
        <w:tblW w:w="9663" w:type="dxa"/>
        <w:jc w:val="left"/>
        <w:tblInd w:w="0" w:type="dxa"/>
        <w:tblLayout w:type="fixed"/>
        <w:tblCellMar>
          <w:top w:w="0" w:type="dxa"/>
          <w:left w:w="0" w:type="dxa"/>
          <w:bottom w:w="0" w:type="dxa"/>
          <w:right w:w="0" w:type="dxa"/>
        </w:tblCellMar>
      </w:tblPr>
      <w:tblGrid>
        <w:gridCol w:w="38"/>
        <w:gridCol w:w="290"/>
        <w:gridCol w:w="933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(7)</w:t>
            </w:r>
          </w:p>
        </w:tc>
        <w:tc>
          <w:tcPr>
            <w:tcW w:w="933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business address of Cabbaj Capital Ltd. is Georgiou Katsounotou, 6, 3026, Limassol, Cyprus.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21"/>
        <w:gridCol w:w="9946"/>
      </w:tblGrid>
      <w:tr>
        <w:trPr/>
        <w:tc>
          <w:tcPr>
            <w:tcW w:w="38"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(8)</w:t>
            </w:r>
          </w:p>
        </w:tc>
        <w:tc>
          <w:tcPr>
            <w:tcW w:w="9946"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Consists of 7,000,000 shares of Presto Common Stock held of record by Presto CA LLC (“Presto CA”). Cleveland Avenue Food and Beverage Fund II, LP (“CAFB Fund II”) is the sole member of Presto CA. Cleveland Avenue GP II, LLC (“Cleveland Avenue GP II”) is the general partner of CAFB Fund II. Cleveland Avenue, LLC (“CA LLC”) is the sole member of Cleveland Avenue GP II. Keith Kravcik, a director and significant stockholder of the Company, is the Chief Financial Officer and Chief Investment Officer for all of CA LLC’s various investment funds. Donald Thompson is the sole manager of CA LLC. Consequently, Mr. Thompson may be deemed to have sole voting and dispositive power over the shares held directly by Presto CA. Mr. Thompson disclaims beneficial ownership of these securities except to the extent of any pecuniary interest therein. The principal business address of Presto CA is c/o Cleveland Avenue, 222 N. Canal St., Chicago, IL 60606.</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202"/>
        <w:gridCol w:w="10003"/>
      </w:tblGrid>
      <w:tr>
        <w:trPr/>
        <w:tc>
          <w:tcPr>
            <w:tcW w:w="20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w:t>
            </w:r>
          </w:p>
        </w:tc>
        <w:tc>
          <w:tcPr>
            <w:tcW w:w="1000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Consists of (i) 279,680 shares of Presto Common Stock held of record by KKG Enterprises LLC, for which Krishna K. Gupta, the chairman of our Board of Directors, is the managing member; (ii) 239,399 shares of Presto Common Stock held of record by Romulus Capital I, L.P. (“Romulus I”), for which Mr. Gupta is one of two members of Palatine Hill Ventures GP LLC, the general partner of Romulus I, through which Mr. Gupta exercises joint voting and dispositive control of the Presto Common Stock held by Romulus I; (iii) 3,608,384 shares of Presto Common Stock held of record by Romulus Capital II, L.P. (“Romulus II”), for which Mr. Gupta is one of two managing members of Romulus Capital II GP, LLC (the “Romulus GP”), the general partner of Romulus II, through which Mr. Gupta exercises joint voting and dispositive control of the Presto Common Stock held by Romulus II; (iv) 8,225,642 shares of Presto Common Stock held of record by Romulus Capital III, L.P. (“Romulus III”), for which Mr. Gupta is one of two managing members of Romulus GP, which is the general partner of Romulus III, through which Mr. Gupta exercises joint voting and dispositive control of the Presto Common Stock held by Romulus III; (v) 159,209 shares of Presto Common Stock held of record by Romulus ELC B3 Special Opportunity, L.P. (“Romulus Special Opportunity”), for which Mr. Gupta is one of two managing members of Romulus GP, which is the general partner of Romulus Special Opportunity, through which Mr. Gupta exercises joint voting and dispositive control of the Presto Common Stock held by Romulus Special Opportunity; (vi) 638,076 shares of Presto Common Stock held of record by Zaffran Special Opportunities LLC, for which Mr. Gupta is the sole general partner; (vii) 1,200,000 shares of Common Stock underlying outstanding restricted stock units that Legacy Presto granted to Mr. Gupta for services rendered prior to and in connection with the Business Combination, which were subsequently transferred from Mr. Gupta to KKG Enterprises LLC pursuant to that certain Restricted Stock Unit Transfer Agreement, by and among the Company, Mr. Gupta, and KKG Enterprises LLC, dated as of September 29, 2022 and (viii) 3,761,549 Earnout Shares that may be issued to such entities from time to time upon achievement of certain stock price thresholds in accordance with the terms of the Merger Agreement.</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353"/>
        <w:gridCol w:w="9814"/>
      </w:tblGrid>
      <w:tr>
        <w:trPr/>
        <w:tc>
          <w:tcPr>
            <w:tcW w:w="38"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(10)</w:t>
            </w:r>
          </w:p>
        </w:tc>
        <w:tc>
          <w:tcPr>
            <w:tcW w:w="9814"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Consists of 500,000 Private Placement Warrants held of record by Lake Vineyard Fund LP and Silver Rock Empire Fund LP — Series 2022, for which Silver Rock Capital Partners LP acts as investment advisor and possesses voting and dispositive power over such Private Placement Warrants. Vinay Kumar is the Managing Partner of Silver Rock Capital Partners LP.</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361"/>
        <w:gridCol w:w="9806"/>
      </w:tblGrid>
      <w:tr>
        <w:trPr/>
        <w:tc>
          <w:tcPr>
            <w:tcW w:w="38"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(11)</w:t>
            </w:r>
          </w:p>
        </w:tc>
        <w:tc>
          <w:tcPr>
            <w:tcW w:w="9806"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Includes shares owned by Ventoux Acquisition Holdings LLC, for which Edward Scheetz and Matt MacDonald are the managing members and have voting and/or dispositive powers with respect to such shares. Edward Sheetz currently serves as a director of the Company.</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370"/>
        <w:gridCol w:w="9797"/>
      </w:tblGrid>
      <w:tr>
        <w:trPr/>
        <w:tc>
          <w:tcPr>
            <w:tcW w:w="38"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(12)</w:t>
            </w:r>
          </w:p>
        </w:tc>
        <w:tc>
          <w:tcPr>
            <w:tcW w:w="97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business address of White &amp; Case LLP is 1221 Avenue of the Americas New York, NY 10020. White &amp; Case LLP served as counsel to Legacy Presto in connection with the Business Combination.</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371"/>
        <w:gridCol w:w="9796"/>
      </w:tblGrid>
      <w:tr>
        <w:trPr/>
        <w:tc>
          <w:tcPr>
            <w:tcW w:w="38"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(13)</w:t>
            </w:r>
          </w:p>
        </w:tc>
        <w:tc>
          <w:tcPr>
            <w:tcW w:w="9796"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business address of Dentons US LLP is 233 South Wacker Drive, Suite 5900, Chicago, IL 60606. Dentons US LLP served as co-counsel to VTAQ in connection with the Business Combination.</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370"/>
        <w:gridCol w:w="9797"/>
      </w:tblGrid>
      <w:tr>
        <w:trPr/>
        <w:tc>
          <w:tcPr>
            <w:tcW w:w="38"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(14)</w:t>
            </w:r>
          </w:p>
        </w:tc>
        <w:tc>
          <w:tcPr>
            <w:tcW w:w="97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business address of Woolery &amp; Co. PLLC is 1 Pier 76, 408 12</w:t>
            </w:r>
            <w:r>
              <w:rPr>
                <w:rFonts w:ascii="Times New Roman;Times;Serif" w:hAnsi="Times New Roman;Times;Serif"/>
                <w:position w:val="8"/>
                <w:sz w:val="19"/>
              </w:rPr>
              <w:t>th</w:t>
            </w:r>
            <w:r>
              <w:rPr>
                <w:rFonts w:ascii="Times New Roman;Times;Serif" w:hAnsi="Times New Roman;Times;Serif"/>
              </w:rPr>
              <w:t> Ave New York, NY 10018. Woolery &amp; Co. PLLC served as co-counsel to VTAQ in connection with the Business Combination.</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345"/>
        <w:gridCol w:w="9822"/>
      </w:tblGrid>
      <w:tr>
        <w:trPr/>
        <w:tc>
          <w:tcPr>
            <w:tcW w:w="38"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(15)</w:t>
            </w:r>
          </w:p>
        </w:tc>
        <w:tc>
          <w:tcPr>
            <w:tcW w:w="982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Beneficial ownership consists of (i) 2,234,703 shares of Presto Common Stock currently owned by Rajat Suri, our former Chief Executive Officer and former member of the Presto Board, (ii) 4,237,159 shares of Presto Common Stock underlying stock options that are currently exercisable or exercisable within 60 days and (iii) up to 2,151,952 Earnout Shares that may be issued to Mr. Suri from time to time upon achievement of certain stock price thresholds in accordance with the terms of the Merger Agreement. The 2,234,703 shares of Presto Common Stock and 2,151,952 Earnout Shares are being offered by this prospectus.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363"/>
        <w:gridCol w:w="9804"/>
      </w:tblGrid>
      <w:tr>
        <w:trPr/>
        <w:tc>
          <w:tcPr>
            <w:tcW w:w="38"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(16)</w:t>
            </w:r>
          </w:p>
        </w:tc>
        <w:tc>
          <w:tcPr>
            <w:tcW w:w="9804"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Includes 288,925 shares of Presto Common Stock that are subject to vesting based upon achievement of certain stock price thresholds in accordance with the terms of the Merger Agreement. VTAQ was the corporate predecessor of the Company.</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392"/>
        <w:gridCol w:w="9775"/>
      </w:tblGrid>
      <w:tr>
        <w:trPr/>
        <w:tc>
          <w:tcPr>
            <w:tcW w:w="38"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(17)</w:t>
            </w:r>
          </w:p>
        </w:tc>
        <w:tc>
          <w:tcPr>
            <w:tcW w:w="977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business address of Cindat USA LLC is Beijing Yintai Center, Tower C, Suite 5101, 2 Jianwai Avenue, Beijing 100022, PRC.</w:t>
            </w:r>
          </w:p>
        </w:tc>
      </w:tr>
    </w:tbl>
    <w:p>
      <w:pPr>
        <w:pStyle w:val="TextBody"/>
        <w:bidi w:val="0"/>
        <w:spacing w:before="0" w:after="283"/>
        <w:jc w:val="left"/>
        <w:rPr/>
      </w:pPr>
      <w:r>
        <w:rPr/>
        <w:t> </w:t>
      </w:r>
    </w:p>
    <w:tbl>
      <w:tblPr>
        <w:tblW w:w="9453" w:type="dxa"/>
        <w:jc w:val="left"/>
        <w:tblInd w:w="0" w:type="dxa"/>
        <w:tblLayout w:type="fixed"/>
        <w:tblCellMar>
          <w:top w:w="0" w:type="dxa"/>
          <w:left w:w="0" w:type="dxa"/>
          <w:bottom w:w="0" w:type="dxa"/>
          <w:right w:w="0" w:type="dxa"/>
        </w:tblCellMar>
      </w:tblPr>
      <w:tblGrid>
        <w:gridCol w:w="38"/>
        <w:gridCol w:w="410"/>
        <w:gridCol w:w="9005"/>
      </w:tblGrid>
      <w:tr>
        <w:trPr/>
        <w:tc>
          <w:tcPr>
            <w:tcW w:w="3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(18)</w:t>
            </w:r>
          </w:p>
        </w:tc>
        <w:tc>
          <w:tcPr>
            <w:tcW w:w="900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business address of Greg Flynn is 225 Bush Street, Suite 1800, San Francisco, CA 94104.</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406"/>
        <w:gridCol w:w="9761"/>
      </w:tblGrid>
      <w:tr>
        <w:trPr/>
        <w:tc>
          <w:tcPr>
            <w:tcW w:w="38"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(19)</w:t>
            </w:r>
          </w:p>
        </w:tc>
        <w:tc>
          <w:tcPr>
            <w:tcW w:w="9761"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business address of HighSage Ventures, LLC is 200 Clarendon Street, 59</w:t>
            </w:r>
            <w:r>
              <w:rPr>
                <w:rFonts w:ascii="Times New Roman;Times;Serif" w:hAnsi="Times New Roman;Times;Serif"/>
                <w:position w:val="8"/>
                <w:sz w:val="19"/>
              </w:rPr>
              <w:t>th</w:t>
            </w:r>
            <w:r>
              <w:rPr>
                <w:rFonts w:ascii="Times New Roman;Times;Serif" w:hAnsi="Times New Roman;Times;Serif"/>
              </w:rPr>
              <w:t> Floor, Boston, MA, 02116.</w:t>
            </w:r>
          </w:p>
        </w:tc>
      </w:tr>
    </w:tbl>
    <w:p>
      <w:pPr>
        <w:pStyle w:val="TextBody"/>
        <w:bidi w:val="0"/>
        <w:spacing w:before="0" w:after="283"/>
        <w:jc w:val="left"/>
        <w:rPr/>
      </w:pPr>
      <w:r>
        <w:rPr/>
        <w:t> </w:t>
      </w:r>
    </w:p>
    <w:tbl>
      <w:tblPr>
        <w:tblW w:w="8823" w:type="dxa"/>
        <w:jc w:val="left"/>
        <w:tblInd w:w="0" w:type="dxa"/>
        <w:tblLayout w:type="fixed"/>
        <w:tblCellMar>
          <w:top w:w="0" w:type="dxa"/>
          <w:left w:w="0" w:type="dxa"/>
          <w:bottom w:w="0" w:type="dxa"/>
          <w:right w:w="0" w:type="dxa"/>
        </w:tblCellMar>
      </w:tblPr>
      <w:tblGrid>
        <w:gridCol w:w="38"/>
        <w:gridCol w:w="410"/>
        <w:gridCol w:w="8375"/>
      </w:tblGrid>
      <w:tr>
        <w:trPr/>
        <w:tc>
          <w:tcPr>
            <w:tcW w:w="3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w:t>
            </w:r>
          </w:p>
        </w:tc>
        <w:tc>
          <w:tcPr>
            <w:tcW w:w="837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business address of Jeff Jones is 1180 NW Maple St Ste 105, Issaquah, WA 98027.</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349"/>
        <w:gridCol w:w="9818"/>
      </w:tblGrid>
      <w:tr>
        <w:trPr/>
        <w:tc>
          <w:tcPr>
            <w:tcW w:w="38"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(21)</w:t>
            </w:r>
          </w:p>
        </w:tc>
        <w:tc>
          <w:tcPr>
            <w:tcW w:w="981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Corbin Capital Partners, L.P., is the investment manager of CEOF Holdings LP (“CEOF”). Craig Bergstrom is the Chief Investment Officer of Corbin Capital Partners, L.P. and directs the voting and investment decisions with respect to the shares held by CEOF. The business address of CEOF is 590 Madison Avenue, 31</w:t>
            </w:r>
            <w:r>
              <w:rPr>
                <w:rFonts w:ascii="Times New Roman;Times;Serif" w:hAnsi="Times New Roman;Times;Serif"/>
                <w:position w:val="8"/>
                <w:sz w:val="19"/>
              </w:rPr>
              <w:t>st</w:t>
            </w:r>
            <w:r>
              <w:rPr>
                <w:rFonts w:ascii="Times New Roman;Times;Serif" w:hAnsi="Times New Roman;Times;Serif"/>
              </w:rPr>
              <w:t> Floor, New York, New York 10022. Mr. Bergstrom disclaims beneficial ownership of shares held by CEOF. CEOF is a lender under the Credit Agreement.</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343"/>
        <w:gridCol w:w="9824"/>
      </w:tblGrid>
      <w:tr>
        <w:trPr/>
        <w:tc>
          <w:tcPr>
            <w:tcW w:w="38"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(22)</w:t>
            </w:r>
          </w:p>
        </w:tc>
        <w:tc>
          <w:tcPr>
            <w:tcW w:w="9824"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MPF VII GP, LLC, an affiliate of Metropolitan Partners Group, is the general partner of Metropolitan Levered Partners Fund VII, LP, Metropolitan Offshore Partners Fund VII, LP, and Metropolitan Partners Fund VII, LP. Paul Lisiak, Alice Wang, Miles Peet and Dougal Gold are the Managing Partner and Chief Executive Officer, Chief Operating Officer, Deputy Chief Operating Officer and Chief Accounting Officer, respectively, of MPF VII GP, LLC and direct the voting and investment decisions with respect to the shares held by such entities. The business address of such entities is 850, Third Avenue, 18</w:t>
            </w:r>
            <w:r>
              <w:rPr>
                <w:rFonts w:ascii="Times New Roman;Times;Serif" w:hAnsi="Times New Roman;Times;Serif"/>
                <w:position w:val="8"/>
                <w:sz w:val="19"/>
              </w:rPr>
              <w:t>th</w:t>
            </w:r>
            <w:r>
              <w:rPr>
                <w:rFonts w:ascii="Times New Roman;Times;Serif" w:hAnsi="Times New Roman;Times;Serif"/>
              </w:rPr>
              <w:t xml:space="preserve"> Floor, New York, New York 10022. Metropolitan Levered Partners Fund VII, LP, Metropolitan Partners Fund VII, LP, Metropolitan Offshore Partners Fund VII, LP are lenders under the Credit Agreement. </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344"/>
        <w:gridCol w:w="9823"/>
      </w:tblGrid>
      <w:tr>
        <w:trPr/>
        <w:tc>
          <w:tcPr>
            <w:tcW w:w="38"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(23)</w:t>
            </w:r>
          </w:p>
        </w:tc>
        <w:tc>
          <w:tcPr>
            <w:tcW w:w="982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Consists of (i) 1,108,171 shares of Presto Common Stock and 1,875,000 Private Placement Warrants held by Chardan International Investments, LLC and (ii) 350,000 shares of Presto Common Stock held by Chardan Capital Markets, LLC. 155,575 of the shares of Presto Common Stock held by Chardan International Investments, LLC are subject to vesting based upon achievement of certain stock price thresholds in accordance with the terms of the Merger Agreement. The business address for such entities is c/o Chardan Capital Markets LLC, 17 State Street, 21</w:t>
            </w:r>
            <w:r>
              <w:rPr>
                <w:rFonts w:ascii="Times New Roman;Times;Serif" w:hAnsi="Times New Roman;Times;Serif"/>
                <w:position w:val="8"/>
                <w:sz w:val="19"/>
              </w:rPr>
              <w:t>st</w:t>
            </w:r>
            <w:r>
              <w:rPr>
                <w:rFonts w:ascii="Times New Roman;Times;Serif" w:hAnsi="Times New Roman;Times;Serif"/>
              </w:rPr>
              <w:t> Floor, New York, NY 10004. Chardan Capital Markets, LLC served as an advisor to Legacy Presto in connection with the Business Combination</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370"/>
        <w:gridCol w:w="9797"/>
      </w:tblGrid>
      <w:tr>
        <w:trPr/>
        <w:tc>
          <w:tcPr>
            <w:tcW w:w="38"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(24)</w:t>
            </w:r>
          </w:p>
        </w:tc>
        <w:tc>
          <w:tcPr>
            <w:tcW w:w="97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business address of Jefferies LLC is 520 Madison Avenue, 10</w:t>
            </w:r>
            <w:r>
              <w:rPr>
                <w:rFonts w:ascii="Times New Roman;Times;Serif" w:hAnsi="Times New Roman;Times;Serif"/>
                <w:position w:val="8"/>
                <w:sz w:val="19"/>
              </w:rPr>
              <w:t>th</w:t>
            </w:r>
            <w:r>
              <w:rPr>
                <w:rFonts w:ascii="Times New Roman;Times;Serif" w:hAnsi="Times New Roman;Times;Serif"/>
              </w:rPr>
              <w:t> Floor, New York, NY 10022. Jefferies LLC served as financial advisor to Legacy Presto in connection with the Business Combination.</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350"/>
        <w:gridCol w:w="9817"/>
      </w:tblGrid>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(25)</w:t>
            </w:r>
          </w:p>
        </w:tc>
        <w:tc>
          <w:tcPr>
            <w:tcW w:w="981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Consists of 93,739, 31,247 and 31,247 shares of Presto Common Stock held by Lago Acceleration I, LLC, Lago Innovation Fund I, LLC and Lago Innovation Fund II, LLC, respectively. Tim Gottfried and Heather La Freniere are the managing members of each of these entities and have voting and/or dispositive powers with respect to such shares. The business address of such holders is 211 West Wacker Drive 1500A, Chicago, IL 60606.</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376"/>
        <w:gridCol w:w="9791"/>
      </w:tblGrid>
      <w:tr>
        <w:trPr/>
        <w:tc>
          <w:tcPr>
            <w:tcW w:w="38"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(26)</w:t>
            </w:r>
          </w:p>
        </w:tc>
        <w:tc>
          <w:tcPr>
            <w:tcW w:w="9791"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Includes 266,822 Earnout Shares that may be issued from time to time upon achievement of certain stock price thresholds in accordance with the terms of the Merger Agreement.</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389"/>
        <w:gridCol w:w="9778"/>
      </w:tblGrid>
      <w:tr>
        <w:trPr/>
        <w:tc>
          <w:tcPr>
            <w:tcW w:w="38"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(27)</w:t>
            </w:r>
          </w:p>
        </w:tc>
        <w:tc>
          <w:tcPr>
            <w:tcW w:w="977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business address of Wilton Trustees (IOM) Limited ATO Dalmia Trust is Grosvenor House 66-67 Athol Street, Isle of Man IM1 IJE.</w:t>
            </w:r>
          </w:p>
        </w:tc>
      </w:tr>
    </w:tbl>
    <w:p>
      <w:pPr>
        <w:pStyle w:val="TextBody"/>
        <w:bidi w:val="0"/>
        <w:spacing w:before="0" w:after="283"/>
        <w:jc w:val="left"/>
        <w:rPr/>
      </w:pPr>
      <w:r>
        <w:rPr/>
        <w:t> </w:t>
      </w:r>
    </w:p>
    <w:tbl>
      <w:tblPr>
        <w:tblW w:w="8133" w:type="dxa"/>
        <w:jc w:val="left"/>
        <w:tblInd w:w="0" w:type="dxa"/>
        <w:tblLayout w:type="fixed"/>
        <w:tblCellMar>
          <w:top w:w="0" w:type="dxa"/>
          <w:left w:w="0" w:type="dxa"/>
          <w:bottom w:w="0" w:type="dxa"/>
          <w:right w:w="0" w:type="dxa"/>
        </w:tblCellMar>
      </w:tblPr>
      <w:tblGrid>
        <w:gridCol w:w="38"/>
        <w:gridCol w:w="410"/>
        <w:gridCol w:w="7685"/>
      </w:tblGrid>
      <w:tr>
        <w:trPr/>
        <w:tc>
          <w:tcPr>
            <w:tcW w:w="3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(28)</w:t>
            </w:r>
          </w:p>
        </w:tc>
        <w:tc>
          <w:tcPr>
            <w:tcW w:w="768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business address of Cosme Fagundo is 711 Calle Artis San Jose, CA 95131.</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343"/>
        <w:gridCol w:w="9824"/>
      </w:tblGrid>
      <w:tr>
        <w:trPr/>
        <w:tc>
          <w:tcPr>
            <w:tcW w:w="38"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(29)</w:t>
            </w:r>
          </w:p>
        </w:tc>
        <w:tc>
          <w:tcPr>
            <w:tcW w:w="9824"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Shares of Common Stock to be sold pursuant to this prospectus represent 100,000 June 2023 PIPE Shares. Other shares of Common Stock beneficially owned prior to this offering consists of 101,100 shares of Common Stock. Mr. Golubovich is a director of Arbat and disclaims beneficial ownership of the Common Stock held by Arbat except to the extent of his pecuniary interest therein. The business address of Arbat is 5 Themistokli Dervi St., 1066 Nicosia, Cyprus. Mr. Golubovich is a director of Arbat and disclaims beneficial ownership of the common stock held by Arbat except to the extent of his pecuniary interest therein. The business address of Arbat is Room 207 Mortlake Business Centre, 20 Mortlake High Street, London, SW14 8JN, UK.</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382"/>
        <w:gridCol w:w="9785"/>
      </w:tblGrid>
      <w:tr>
        <w:trPr/>
        <w:tc>
          <w:tcPr>
            <w:tcW w:w="38"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(30)</w:t>
            </w:r>
          </w:p>
        </w:tc>
        <w:tc>
          <w:tcPr>
            <w:tcW w:w="978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Unless otherwise noted, the shares of Common Stock to be sold pursuant to this prospectus represent June 2023 PIPE Shares held by the securityholders.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341"/>
        <w:gridCol w:w="9826"/>
      </w:tblGrid>
      <w:tr>
        <w:trPr/>
        <w:tc>
          <w:tcPr>
            <w:tcW w:w="38"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(31)</w:t>
            </w:r>
          </w:p>
        </w:tc>
        <w:tc>
          <w:tcPr>
            <w:tcW w:w="9826"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Shares of Common Stock to be sold pursuant to this prospectus represent 500,000 June 2023 PIPE Shares held of record by Kepos Capital LP. Kepos Capital LP is the investment manager of Kepos Alpha Master Fund L.P. and Kepos Partners LLC is the General Partner of Kepos Alpha Master Fund L.P. and each may be deemed to have voting and dispositive power with respect to the shares. The general partner of Kepos Capital LP is Kepos Capital GP LLC (the “Kepos GP”) and the Managing Member of Kepos Partners LLC is Kepos Partners MM LLC (“Kepos MM”). Mark Carhart controls Kepos GP and Kepos MM and, accordingly, may be deemed to have voting and dispositive power with respect to the shares held by Kepos Alpha Master Fund L.P. Mr. Carhart disclaims beneficial ownership of the shares held by Kepos Alpha Master Fund L.P. The business address of Kepos Capital LP and Mr. Carhart is 11 Times Square, 35</w:t>
            </w:r>
            <w:r>
              <w:rPr>
                <w:rFonts w:ascii="Times New Roman;Times;Serif" w:hAnsi="Times New Roman;Times;Serif"/>
                <w:position w:val="8"/>
                <w:sz w:val="19"/>
              </w:rPr>
              <w:t>th</w:t>
            </w:r>
            <w:r>
              <w:rPr>
                <w:rFonts w:ascii="Times New Roman;Times;Serif" w:hAnsi="Times New Roman;Times;Serif"/>
              </w:rPr>
              <w:t> Floor, New York, NY 10036.</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355"/>
        <w:gridCol w:w="9812"/>
      </w:tblGrid>
      <w:tr>
        <w:trPr/>
        <w:tc>
          <w:tcPr>
            <w:tcW w:w="38"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(32)</w:t>
            </w:r>
          </w:p>
        </w:tc>
        <w:tc>
          <w:tcPr>
            <w:tcW w:w="981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Shares of Common Stock to be sold pursuant to this prospectus represent 250,000 June 2023 PIPE Shares. As of April 2022, Mr. Nevinskiy was a partner of I2BF. I2BF, together with its affiliates, holds more than 5% beneficial ownership of the Company and Mr. Golubovich, the sole director of I2BF, currently serves as a director of the Company.</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341"/>
        <w:gridCol w:w="9826"/>
      </w:tblGrid>
      <w:tr>
        <w:trPr/>
        <w:tc>
          <w:tcPr>
            <w:tcW w:w="38"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(33)</w:t>
            </w:r>
          </w:p>
        </w:tc>
        <w:tc>
          <w:tcPr>
            <w:tcW w:w="9826"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Shares of Common Stock to be sold pursuant to this prospectus represent 1,500,000 June 2023 PIPE Shares held of record by Presto CA LLC (“Presto CA”). Cleveland Avenue Food and Beverage Fund II, LP (“CAFB Fund II”) is the sole member of Presto CA. Cleveland Avenue GP II, LLC (“Cleveland Avenue GP II”) is the general partner of CAFB Fund II. Cleveland Avenue, LLC (“CA LLC”) is the sole member of Cleveland Avenue GP II. Keith Kravcik, a director and significant stockholder of the Company, is the Chief Financial Officer and Chief Investment Officer for all of Cleveland Avenue LLC’s various investment funds. Donald Thompson is the sole manager of CA LLC. Consequently, Mr. Thompson may be deemed to have sole voting and dispositive power over the shares held directly by Presto CA. Mr. Thompson disclaims beneficial ownership of these securities except to the extent of any pecuniary interest therein. The principal business address of Presto CA is c/o Cleveland Avenue, 222 N. Canal St., Chicago, IL 60606.</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388"/>
        <w:gridCol w:w="9779"/>
      </w:tblGrid>
      <w:tr>
        <w:trPr/>
        <w:tc>
          <w:tcPr>
            <w:tcW w:w="3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(34)</w:t>
            </w:r>
          </w:p>
        </w:tc>
        <w:tc>
          <w:tcPr>
            <w:tcW w:w="9779"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Prior to the Business Combination, Brock Strasbourger was the Chief Operating Officer of the Company’s corporate predecessor, VTAQ.</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401"/>
        <w:gridCol w:w="9766"/>
      </w:tblGrid>
      <w:tr>
        <w:trPr/>
        <w:tc>
          <w:tcPr>
            <w:tcW w:w="38"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(35)</w:t>
            </w:r>
          </w:p>
        </w:tc>
        <w:tc>
          <w:tcPr>
            <w:tcW w:w="9766"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Prior to the Business Combination, Julie Atkinson was a director of the Company’s corporate predecessor, VTAQ.</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(36)</w:t>
            </w:r>
          </w:p>
        </w:tc>
        <w:tc>
          <w:tcPr>
            <w:tcW w:w="978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Prior to the Business Combination, Matt MacDonald was the Chief Financial Officer, Secretary, and a director of the Company’s corporate predecessor, VTAQ.</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390"/>
        <w:gridCol w:w="9777"/>
      </w:tblGrid>
      <w:tr>
        <w:trPr/>
        <w:tc>
          <w:tcPr>
            <w:tcW w:w="38"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(37)</w:t>
            </w:r>
          </w:p>
        </w:tc>
        <w:tc>
          <w:tcPr>
            <w:tcW w:w="977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Prior to the Business Combination, Prasad Phatak was the Chief Investment Officer of the Company’s corporate predecessor, VTAQ.</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401"/>
        <w:gridCol w:w="9766"/>
      </w:tblGrid>
      <w:tr>
        <w:trPr/>
        <w:tc>
          <w:tcPr>
            <w:tcW w:w="38"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(38)</w:t>
            </w:r>
          </w:p>
        </w:tc>
        <w:tc>
          <w:tcPr>
            <w:tcW w:w="9766"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Prior to the Business Combination, Chris Ahrens was a director of the Company’s corporate predecessor, VTAQ.</w:t>
            </w:r>
          </w:p>
        </w:tc>
      </w:tr>
    </w:tbl>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60"/>
        <w:gridCol w:w="9845"/>
      </w:tblGrid>
      <w:tr>
        <w:trPr/>
        <w:tc>
          <w:tcPr>
            <w:tcW w:w="3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(39)</w:t>
            </w:r>
          </w:p>
        </w:tc>
        <w:tc>
          <w:tcPr>
            <w:tcW w:w="98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business address of Trinity Capital Fund II, L.P., LLC is 2121 West Chandler Boulevard, Suite 103, Chandler, Arizona 85224.</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8" w:name="a_014"/>
      <w:bookmarkEnd w:id="28"/>
      <w:r>
        <w:rPr>
          <w:rFonts w:ascii="Times New Roman;Times;Serif" w:hAnsi="Times New Roman;Times;Serif"/>
          <w:b/>
          <w:i w:val="false"/>
          <w:caps w:val="false"/>
          <w:smallCaps w:val="false"/>
          <w:sz w:val="20"/>
        </w:rPr>
        <w:t>PLAN OF DISTRIBUTION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relates to from time to time (i) the offer and sale by us of up to $75,000,000 in the aggregate of the Company’s Common Stock, preferred stock, debt securities, new warrants, rights or units, (ii) the offer and sale by us of up to 16,823,660 shares of Common Stock upon exercise of the Trinity Warrants, Public Warrants, Financing Warrants, and the Private Placement Warrants and (iii) the resale by certain of the Selling Securityholders named in this prospectus of (a) an aggregate of 52,709,824 shares of Common Stock and (b) 7,625,000 Private Placement Warrants and Financing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registering the securities covered by this prospectus on both our behalf and that of the Selling Securityholders. All costs, expenses and fees connected with the registration of such securities will be borne by us. Any brokerage commissions and similar expenses connected with selling such securities will be borne by both us and the Selling Securityholders, respectively, according to the allocation of securities sold.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not receive any of the proceeds from the sale of the securities by the Selling Securityholders.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effectiveness of the registration statement of which this prospectus forms a part, the securities beneficially owned by us or the Selling Securityholders covered by this prospectus may be offered and sold from time to time by us or the Selling Securityholders, as applicable. The term “Selling Securityholders” includes donees, pledgees, transferees or other successors in interest selling securities received after the date of this prospectus from a Selling Securityholder as a gift, pledge, partnership distribution or other transfer. The Selling Securityholders will act independently of us in making decisions with respect to the timing, manner and size of each sale. Such sales may be made on one or more exchanges or in the over-the-counter market or otherwise, at prices and under terms then prevailing or at prices related to the then current market price or in negotiated transactions. Each Selling Securityholder reserves the right to accept and, together with its respective agents, to reject, any proposed purchase of securities to be made directly or through agents. We and the Selling Securityholders and any of their permitted transferees may sell securities offered by this prospectus on any stock exchange, market or trading facility on which the securities are traded or in private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limitations set forth in any applicable registration rights agreement, we and the Selling Securityholders may use any one or more of the following methods when selling the securities offered by this prospectus:</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purchases by a broker-dealer as principal and resale by such broker-dealer for its own account pursuant to this prospectus;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5"/>
        <w:gridCol w:w="203"/>
        <w:gridCol w:w="9957"/>
      </w:tblGrid>
      <w:tr>
        <w:trPr/>
        <w:tc>
          <w:tcPr>
            <w:tcW w:w="45"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pPr>
            <w:r>
              <w:rPr/>
              <w:t>●</w:t>
            </w:r>
          </w:p>
        </w:tc>
        <w:tc>
          <w:tcPr>
            <w:tcW w:w="995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ordinary brokerage transactions and transactions in which the broker solicits purchasers;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block trades in which the broker-dealer so engaged will attempt to sell the securities as agent but may position and resell a portion of the block as principal to facilitate the transaction;</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5"/>
        <w:gridCol w:w="203"/>
        <w:gridCol w:w="9957"/>
      </w:tblGrid>
      <w:tr>
        <w:trPr/>
        <w:tc>
          <w:tcPr>
            <w:tcW w:w="45"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pPr>
            <w:r>
              <w:rPr/>
              <w:t>●</w:t>
            </w:r>
          </w:p>
        </w:tc>
        <w:tc>
          <w:tcPr>
            <w:tcW w:w="995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an over-the-counter distribution in accordance with the rules of the applicable exchange;</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7"/>
        <w:gridCol w:w="260"/>
        <w:gridCol w:w="9888"/>
      </w:tblGrid>
      <w:tr>
        <w:trPr/>
        <w:tc>
          <w:tcPr>
            <w:tcW w:w="5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w:t>
            </w:r>
          </w:p>
        </w:tc>
        <w:tc>
          <w:tcPr>
            <w:tcW w:w="988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settlement of short sales entered into after the date of this prospectus;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8"/>
        <w:gridCol w:w="173"/>
        <w:gridCol w:w="9994"/>
      </w:tblGrid>
      <w:tr>
        <w:trPr/>
        <w:tc>
          <w:tcPr>
            <w:tcW w:w="38"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pPr>
            <w:r>
              <w:rPr/>
              <w:t>●</w:t>
            </w:r>
          </w:p>
        </w:tc>
        <w:tc>
          <w:tcPr>
            <w:tcW w:w="9994"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agreements with broker-dealers to sell a specified number of the securities at a stipulated price per share;</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w:t>
            </w:r>
            <w:r>
              <w:rPr>
                <w:rFonts w:ascii="Times New Roman;Times;Serif" w:hAnsi="Times New Roman;Times;Serif"/>
              </w:rPr>
              <w:t>at the market” offerings, as defined in Rule 415 under the Securities Act, at negotiated prices, at prices prevailing at the time of sale or at prices related to such prevailing market prices, including sales made directly on a national securities exchange or sales made through a market maker other than on an exchange or other similar offerings through sales agents;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sales directly to purchasers, including through a specific bidding, auction or other process or in privately negotiated transactions;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through the writing or settlement of options or other hedging transactions, whether through an options exchange or otherwise;</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1"/>
        <w:gridCol w:w="319"/>
        <w:gridCol w:w="9815"/>
      </w:tblGrid>
      <w:tr>
        <w:trPr/>
        <w:tc>
          <w:tcPr>
            <w:tcW w:w="71"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pPr>
            <w:r>
              <w:rPr/>
              <w:t>●</w:t>
            </w:r>
          </w:p>
        </w:tc>
        <w:tc>
          <w:tcPr>
            <w:tcW w:w="981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through a combination of any of the above methods; or</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1"/>
        <w:gridCol w:w="319"/>
        <w:gridCol w:w="9815"/>
      </w:tblGrid>
      <w:tr>
        <w:trPr/>
        <w:tc>
          <w:tcPr>
            <w:tcW w:w="71"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pPr>
            <w:r>
              <w:rPr/>
              <w:t>●</w:t>
            </w:r>
          </w:p>
        </w:tc>
        <w:tc>
          <w:tcPr>
            <w:tcW w:w="981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any other method permitted pursuant to applicable law.</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 Selling Securityholder that is an entity may elect to make a pro rata in-kind distribution of securities to its members, partners or stockholders pursuant to the registration statement of which this prospectus is a part by delivering a prospectus with a plan of distribution. Such members, partners or stockholders would thereby receive freely tradeable securities pursuant to the distribution through a registration statement. To the extent a distributee is an affiliate of ours (or to the extent otherwise required by law), we may file a prospectus supplement in order to permit the distributees to use the prospectus to resell the securities acquired in the distribution.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Securityholders also may transfer the securities in other circumstances, in which case the transferees, pledgees or other successors-in-interest will be the selling beneficial owners for purposes of this prospectus. Upon being notified by a Selling Securityholder that a donee, pledgee, transferee, other successor-in-interest intends to sell our securities, we will, to the extent required, promptly file a supplement to this prospectus to name specifically such person as a Selling Securityholder.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required, the names of the Selling Securityholders, the respective purchase prices and public offering prices, the names of any agents, dealer or underwriter, any applicable commissions or discounts with respect to a particular offer will be set forth in an accompanying prospectus supplement or, if appropriate, a post-effective amendment to the registration statement that includes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or in connection with the sale of the shares of Common Stock registered hereby, the Selling Securityholders may enter into hedging transactions with broker-dealers or other financial institutions, which may in turn engage in short sales of our securities or the PIPE Shares in the course of hedging the positions they assume. We or the Selling Securityholders may also sell the securities or PIPE Shares short and deliver these securities to close out their short positions, or loan or pledge the securities or PIPE Shares to broker-dealers that in turn may sell these shares. We or the Selling Securityholders may also enter into option or other transactions with broker-dealers or other financial institutions or the creation of one or more derivative securities which require the delivery to such broker-dealer or other financial institution of shares offered by this prospectus, which shares such broker-dealer or other financial institution may resell pursuant to this prospectus (as supplemented or amended to reflect such transaction). The third party in such sale transactions will be an underwriter and will be identified in the applicable prospectus supplement (or a post-effective amendment to the registration statement of which this prospectus is a part).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offering the securities covered by this prospectus, us, the Selling Securityholders and any underwriters, broker-dealers or agents who execute sales for the Selling Securityholders may be deemed to be “underwriters” within the meaning of the Securities Act in connection with such sales. Any discounts, commissions, concessions or profit they earn on any resale of those securities may be underwriting discounts and commissions under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comply with the securities laws of certain states, if applicable, the securities must be sold in such jurisdictions only through registered or licensed brokers or dealers. In addition, in certain states the securities may not be sold unless they have been registered or qualified for sale in the applicable state or an exemption from the registration or qualification requirement is available and is complied with.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advised the Selling Securityholders that the anti-manipulation rules of Regulation M under the Exchange Act may apply to sales of shares in the market and to the activities of the Selling Securityholders and their affiliates. In addition, to the extent applicable we will make copies of this prospectus (as it may be supplemented or amended from time to time) available to the Selling Securityholders for the purpose of satisfying the prospectus delivery requirements of the Securities Act. The Selling Securityholders may indemnify any broker-dealer that participates in transactions involving the sale of the shares against certain liabilities, including liabilities arising under the Securities Act.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25</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9" w:name="a_015"/>
      <w:bookmarkEnd w:id="29"/>
      <w:r>
        <w:rPr>
          <w:rFonts w:ascii="Times New Roman;Times;Serif" w:hAnsi="Times New Roman;Times;Serif"/>
          <w:b/>
          <w:i w:val="false"/>
          <w:caps w:val="false"/>
          <w:smallCaps w:val="false"/>
          <w:sz w:val="20"/>
        </w:rPr>
        <w:t>LEGAL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in an applicable prospectus supplement, the validity of the securities to be offered by this prospectus will be passed upon for us by White &amp; Case LLP, 1221 Avenue of the Americas, New York, New York 10020 and for any agents, underwriters, dealers, remarketing firms or other third parties by counsel named in the applicable prospectus supplement.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0" w:name="a_016"/>
      <w:bookmarkEnd w:id="30"/>
      <w:r>
        <w:rPr>
          <w:rFonts w:ascii="Times New Roman;Times;Serif" w:hAnsi="Times New Roman;Times;Serif"/>
          <w:b/>
          <w:i w:val="false"/>
          <w:caps w:val="false"/>
          <w:smallCaps w:val="false"/>
          <w:sz w:val="20"/>
        </w:rPr>
        <w:t>EXPERTS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incorporated in this prospectus by reference from Presto Automation Inc.’s Annual Report on Form 10-K for the year ended June 30, 2023 have been audited by Moss Adams LLP, an independent registered public accounting firm, as stated in its report, which is incorporated herein by reference. Such consolidated financial statements have been so incorporated in reliance upon the report of such firm (which report expresses an unqualified opinion and includes explanatory paragraphs relating to a going concern uncertainty and the adoption of a new accounting standard) given upon their authority as experts in accounting and auditing.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26</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1" w:name="a_017"/>
      <w:bookmarkEnd w:id="31"/>
      <w:r>
        <w:rPr>
          <w:rFonts w:ascii="Times New Roman;Times;Serif" w:hAnsi="Times New Roman;Times;Serif"/>
          <w:b/>
          <w:i w:val="false"/>
          <w:caps w:val="false"/>
          <w:smallCaps w:val="false"/>
          <w:sz w:val="20"/>
        </w:rPr>
        <w:t>WHERE YOU CAN FIND MORE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file annual, quarterly and current reports, proxy statements and other information with the SEC. We have also filed registration statements on Form S-1, including exhibits, under the Securities Act with respect to the securities offered by this prospectus. This prospectus is part of the registration statement, but does not contain all of the information included in the registration statement or the exhibits. Our SEC filings are available to the public on the internet at a website maintained by the SEC located at http://www.sec.gov. Those filings are also available to the public on, or accessible through, our website under the heading “Investors” at https://investor.presto.com/. The information on our web site, however, is not, and should not be deemed to be, a part of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SEC’s rules allow us to “incorporate by reference” information into this prospectus, which means that we can disclose important information to you by referring you to another document filed separately with the SEC. The information incorporated by reference is deemed to be part of this prospectus, and subsequent information that we file with the SEC will automatically update and supersede that information. Any statement contained in this prospectus or a previously filed document incorporated by reference will be deemed to be modified or superseded for purposes of this prospectus to the extent that a statement contained in this prospectus or a subsequently filed document incorporated by reference modifies or replaces that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and any accompanying prospectus supplement incorporate by reference the documents set forth below (excluding any portions of such documents that have been “furnished to” but not “filed with” the SEC for purposes of the Exchange Act):</w:t>
      </w:r>
    </w:p>
    <w:p>
      <w:pPr>
        <w:pStyle w:val="TextBody"/>
        <w:bidi w:val="0"/>
        <w:spacing w:before="0" w:after="0"/>
        <w:ind w:left="0" w:right="0" w:hanging="0"/>
        <w:jc w:val="center"/>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rFonts w:ascii="Times New Roman;Times;Serif" w:hAnsi="Times New Roman;Times;Serif"/>
              </w:rPr>
              <w:t xml:space="preserve">our Annual Report on </w:t>
            </w:r>
            <w:hyperlink r:id="rId34">
              <w:r>
                <w:rPr>
                  <w:rStyle w:val="InternetLink"/>
                  <w:rFonts w:ascii="Times New Roman;Times;Serif" w:hAnsi="Times New Roman;Times;Serif"/>
                </w:rPr>
                <w:t>Form 10-K</w:t>
              </w:r>
            </w:hyperlink>
            <w:r>
              <w:rPr>
                <w:rFonts w:ascii="Times New Roman;Times;Serif" w:hAnsi="Times New Roman;Times;Serif"/>
              </w:rPr>
              <w:t xml:space="preserve"> for the year ended June 30, 2023, filed with the SEC on October 11, 2023, as amended by amendment no. 1 to our Annual Report for the year ended June 30, 2023 on </w:t>
            </w:r>
            <w:hyperlink r:id="rId35">
              <w:r>
                <w:rPr>
                  <w:rStyle w:val="InternetLink"/>
                  <w:rFonts w:ascii="Times New Roman;Times;Serif" w:hAnsi="Times New Roman;Times;Serif"/>
                </w:rPr>
                <w:t>Form 10-K/A</w:t>
              </w:r>
            </w:hyperlink>
            <w:r>
              <w:rPr>
                <w:rFonts w:ascii="Times New Roman;Times;Serif" w:hAnsi="Times New Roman;Times;Serif"/>
              </w:rPr>
              <w:t>, filed with the SEC on October 12, 2023;</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rFonts w:ascii="Times New Roman;Times;Serif" w:hAnsi="Times New Roman;Times;Serif"/>
              </w:rPr>
              <w:t xml:space="preserve">our Current Reports on Form 8-K, filed with the SEC on </w:t>
            </w:r>
            <w:hyperlink r:id="rId36">
              <w:r>
                <w:rPr>
                  <w:rStyle w:val="InternetLink"/>
                  <w:rFonts w:ascii="Times New Roman;Times;Serif" w:hAnsi="Times New Roman;Times;Serif"/>
                </w:rPr>
                <w:t>August 2, 2023</w:t>
              </w:r>
            </w:hyperlink>
            <w:r>
              <w:rPr>
                <w:rFonts w:ascii="Times New Roman;Times;Serif" w:hAnsi="Times New Roman;Times;Serif"/>
              </w:rPr>
              <w:t xml:space="preserve">, </w:t>
            </w:r>
            <w:hyperlink r:id="rId37">
              <w:r>
                <w:rPr>
                  <w:rStyle w:val="InternetLink"/>
                  <w:rFonts w:ascii="Times New Roman;Times;Serif" w:hAnsi="Times New Roman;Times;Serif"/>
                </w:rPr>
                <w:t>August 31, 2023</w:t>
              </w:r>
            </w:hyperlink>
            <w:r>
              <w:rPr>
                <w:rFonts w:ascii="Times New Roman;Times;Serif" w:hAnsi="Times New Roman;Times;Serif"/>
              </w:rPr>
              <w:t xml:space="preserve">, </w:t>
            </w:r>
            <w:hyperlink r:id="rId38">
              <w:r>
                <w:rPr>
                  <w:rStyle w:val="InternetLink"/>
                  <w:rFonts w:ascii="Times New Roman;Times;Serif" w:hAnsi="Times New Roman;Times;Serif"/>
                </w:rPr>
                <w:t>October 11, 2023</w:t>
              </w:r>
            </w:hyperlink>
            <w:r>
              <w:rPr>
                <w:rFonts w:ascii="Times New Roman;Times;Serif" w:hAnsi="Times New Roman;Times;Serif"/>
              </w:rPr>
              <w:t xml:space="preserve">, and </w:t>
            </w:r>
            <w:hyperlink r:id="rId39">
              <w:r>
                <w:rPr>
                  <w:rStyle w:val="InternetLink"/>
                  <w:rFonts w:ascii="Times New Roman;Times;Serif" w:hAnsi="Times New Roman;Times;Serif"/>
                </w:rPr>
                <w:t>October 20, 2023</w:t>
              </w:r>
            </w:hyperlink>
            <w:r>
              <w:rPr>
                <w:rFonts w:ascii="Times New Roman;Times;Serif" w:hAnsi="Times New Roman;Times;Serif"/>
              </w:rPr>
              <w:t>; and</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rFonts w:ascii="Times New Roman;Times;Serif" w:hAnsi="Times New Roman;Times;Serif"/>
              </w:rPr>
              <w:t xml:space="preserve">the description of our capital stock contained in our registration statement on </w:t>
            </w:r>
            <w:hyperlink r:id="rId40">
              <w:r>
                <w:rPr>
                  <w:rStyle w:val="InternetLink"/>
                  <w:rFonts w:ascii="Times New Roman;Times;Serif" w:hAnsi="Times New Roman;Times;Serif"/>
                </w:rPr>
                <w:t>Form 8-A</w:t>
              </w:r>
            </w:hyperlink>
            <w:r>
              <w:rPr>
                <w:rFonts w:ascii="Times New Roman;Times;Serif" w:hAnsi="Times New Roman;Times;Serif"/>
              </w:rPr>
              <w:t xml:space="preserve"> (File No. 001-39830) filed on December 23, 2020, and any amendments or reports filed for the purposes of updating this description (including </w:t>
            </w:r>
            <w:hyperlink r:id="rId41">
              <w:r>
                <w:rPr>
                  <w:rStyle w:val="InternetLink"/>
                  <w:rFonts w:ascii="Times New Roman;Times;Serif" w:hAnsi="Times New Roman;Times;Serif"/>
                </w:rPr>
                <w:t>Exhibit 4.1</w:t>
              </w:r>
            </w:hyperlink>
            <w:r>
              <w:rPr>
                <w:rFonts w:ascii="Times New Roman;Times;Serif" w:hAnsi="Times New Roman;Times;Serif"/>
              </w:rPr>
              <w:t xml:space="preserve"> to the Annual Report on </w:t>
            </w:r>
            <w:hyperlink r:id="rId42">
              <w:r>
                <w:rPr>
                  <w:rStyle w:val="InternetLink"/>
                  <w:rFonts w:ascii="Times New Roman;Times;Serif" w:hAnsi="Times New Roman;Times;Serif"/>
                </w:rPr>
                <w:t>Form 10-K</w:t>
              </w:r>
            </w:hyperlink>
            <w:r>
              <w:rPr>
                <w:rFonts w:ascii="Times New Roman;Times;Serif" w:hAnsi="Times New Roman;Times;Serif"/>
              </w:rPr>
              <w:t xml:space="preserve"> for the year ended June 30, 2023).</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reports and other documents we subsequently file pursuant to Section 13(a), 13(c), 14 or 15(d) of Exchange Act prior to the termination of this offering, including all such documents we may file with the SEC after the date of the initial registration statement and prior to the effectiveness of the registration statement, but excluding any information “furnished to,” rather than “filed with,” the SEC under the Exchange Act, will also be incorporated by reference into this prospectus and deemed to be part of this prospectus from the date of the filing of such reports and documents.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may request a free copy of any of the documents incorporated by reference in this prospectus by writing or telephoning us at the following address: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Presto Automation Inc.</w:t>
        <w:br/>
        <w:t>985 Industrial Road</w:t>
        <w:br/>
        <w:t>San Carlos, CA 94070</w:t>
        <w:br/>
        <w:t>Telephone: (650) 817-9012</w:t>
        <w:br/>
        <w:t>Attention: Corporate Secretary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Exhibits to the filings will not be sent, however, unless those exhibits have specifically been incorporated by reference in this prospectus or any accompanying prospectus supplement.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2" w:name="a_018"/>
      <w:bookmarkEnd w:id="32"/>
      <w:r>
        <w:rPr>
          <w:rFonts w:ascii="Times New Roman;Times;Serif" w:hAnsi="Times New Roman;Times;Serif"/>
          <w:b/>
          <w:i w:val="false"/>
          <w:caps w:val="false"/>
          <w:smallCaps w:val="false"/>
          <w:sz w:val="20"/>
        </w:rPr>
        <w:t>INDEMNIFICATION FOR SECURITIES ACT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Insofar as indemnification for liabilities arising under the Securities Act may be permitted to directors, officers or persons controlling us pursuant to the foregoing provisions, we have been informed that in the opinion of the SEC such indemnification is against public policy as expressed in the Securities Act and is therefore unenforceable.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27</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8,749,940 Shares of Common Stock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 SUPPLEMENT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August 7, 2024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283"/>
        <w:ind w:left="0" w:right="0" w:hanging="0"/>
        <w:jc w:val="left"/>
        <w:rPr>
          <w:bdr w:val="single" w:sz="12" w:space="1" w:color="000000"/>
        </w:rPr>
      </w:pPr>
      <w:r>
        <w:rPr>
          <w:bdr w:val="single" w:sz="12"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www.sec.gov/Archives/edgar/data/1822145/000155837023016336/prst-20230630x10k.htm" TargetMode="External"/><Relationship Id="rId5" Type="http://schemas.openxmlformats.org/officeDocument/2006/relationships/hyperlink" Target="http://www.sec.gov/Archives/edgar/data/1822145/000155837023016408/prst-20230630x10ka.htm" TargetMode="External"/><Relationship Id="rId6" Type="http://schemas.openxmlformats.org/officeDocument/2006/relationships/hyperlink" Target="http://www.sec.gov/Archives/edgar/data/1822145/000155837023019254/prst-20230930x10q.htm" TargetMode="External"/><Relationship Id="rId7" Type="http://schemas.openxmlformats.org/officeDocument/2006/relationships/hyperlink" Target="http://www.sec.gov/Archives/edgar/data/1822145/000155837024001375/prst-20231231x10q.htm" TargetMode="External"/><Relationship Id="rId8" Type="http://schemas.openxmlformats.org/officeDocument/2006/relationships/hyperlink" Target="http://www.sec.gov/Archives/edgar/data/1822145/000155837024008505/prst-20240331x10q.htm" TargetMode="External"/><Relationship Id="rId9" Type="http://schemas.openxmlformats.org/officeDocument/2006/relationships/hyperlink" Target="http://www.sec.gov/Archives/edgar/data/1822145/000110465923086535/tm2322640d1_8k.htm" TargetMode="External"/><Relationship Id="rId10" Type="http://schemas.openxmlformats.org/officeDocument/2006/relationships/hyperlink" Target="http://www.sec.gov/Archives/edgar/data/1822145/000110465923097311/tm2325309d1_8k.htm" TargetMode="External"/><Relationship Id="rId11" Type="http://schemas.openxmlformats.org/officeDocument/2006/relationships/hyperlink" Target="http://www.sec.gov/Archives/edgar/data/1822145/000101376223002979/ea186564-8k_prestoauto.htm" TargetMode="External"/><Relationship Id="rId12" Type="http://schemas.openxmlformats.org/officeDocument/2006/relationships/hyperlink" Target="http://www.sec.gov/Archives/edgar/data/1822145/000101376223005246/ea187043-8k_prestoauto.htm" TargetMode="External"/><Relationship Id="rId13" Type="http://schemas.openxmlformats.org/officeDocument/2006/relationships/hyperlink" Target="http://www.sec.gov/Archives/edgar/data/1822145/000121390023089293/ea188717-8k_presto.htm" TargetMode="External"/><Relationship Id="rId14" Type="http://schemas.openxmlformats.org/officeDocument/2006/relationships/hyperlink" Target="http://www.sec.gov/Archives/edgar/data/1822145/000155837023019477/prst-20231129x8k.htm" TargetMode="External"/><Relationship Id="rId15" Type="http://schemas.openxmlformats.org/officeDocument/2006/relationships/hyperlink" Target="http://www.sec.gov/Archives/edgar/data/1822145/000155837023019744/prst-20231206x8k.htm" TargetMode="External"/><Relationship Id="rId16" Type="http://schemas.openxmlformats.org/officeDocument/2006/relationships/hyperlink" Target="http://www.sec.gov/Archives/edgar/data/1822145/000121390023095635/ea190049-8k_presto.htm" TargetMode="External"/><Relationship Id="rId17" Type="http://schemas.openxmlformats.org/officeDocument/2006/relationships/hyperlink" Target="http://www.sec.gov/Archives/edgar/data/1822145/000121390023098185/ea190594-8k_presto.htm" TargetMode="External"/><Relationship Id="rId18" Type="http://schemas.openxmlformats.org/officeDocument/2006/relationships/hyperlink" Target="http://www.sec.gov/Archives/edgar/data/1822145/000155837024000064/prst-20231228x8k.htm" TargetMode="External"/><Relationship Id="rId19" Type="http://schemas.openxmlformats.org/officeDocument/2006/relationships/hyperlink" Target="http://www.sec.gov/Archives/edgar/data/1822145/000110465924005627/tm243773d1_8k.htm" TargetMode="External"/><Relationship Id="rId20" Type="http://schemas.openxmlformats.org/officeDocument/2006/relationships/hyperlink" Target="http://www.sec.gov/Archives/edgar/data/1822145/000121390024009098/ea192676-8k_presto.htm" TargetMode="External"/><Relationship Id="rId21" Type="http://schemas.openxmlformats.org/officeDocument/2006/relationships/hyperlink" Target="http://www.sec.gov/Archives/edgar/data/1822145/000110465924010183/tm244871d1_8k.htm" TargetMode="External"/><Relationship Id="rId22" Type="http://schemas.openxmlformats.org/officeDocument/2006/relationships/hyperlink" Target="http://www.sec.gov/Archives/edgar/data/1822145/000110465924025618/tm246736d1_8ka.htm" TargetMode="External"/><Relationship Id="rId23" Type="http://schemas.openxmlformats.org/officeDocument/2006/relationships/hyperlink" Target="http://www.sec.gov/Archives/edgar/data/1822145/000110465924012313/tm245632d1_8k.htm" TargetMode="External"/><Relationship Id="rId24" Type="http://schemas.openxmlformats.org/officeDocument/2006/relationships/hyperlink" Target="http://www.sec.gov/Archives/edgar/data/1822145/000110465924029415/tm247433d1_8k.htm" TargetMode="External"/><Relationship Id="rId25" Type="http://schemas.openxmlformats.org/officeDocument/2006/relationships/hyperlink" Target="http://www.sec.gov/Archives/edgar/data/1822145/000110465924030518/tm246736d5_8k.htm" TargetMode="External"/><Relationship Id="rId26" Type="http://schemas.openxmlformats.org/officeDocument/2006/relationships/hyperlink" Target="http://www.sec.gov/Archives/edgar/data/1822145/000110465924032703/tm248423d1_8k.htm" TargetMode="External"/><Relationship Id="rId27" Type="http://schemas.openxmlformats.org/officeDocument/2006/relationships/hyperlink" Target="http://www.sec.gov/Archives/edgar/data/1822145/000110465924035601/tm249131d1_8k.htm" TargetMode="External"/><Relationship Id="rId28" Type="http://schemas.openxmlformats.org/officeDocument/2006/relationships/hyperlink" Target="http://www.sec.gov/Archives/edgar/data/1822145/000110465924037407/tm249250d1_8k.htm" TargetMode="External"/><Relationship Id="rId29" Type="http://schemas.openxmlformats.org/officeDocument/2006/relationships/hyperlink" Target="http://www.sec.gov/Archives/edgar/data/1822145/000110465924062373/tm2414694d1_8k.htm" TargetMode="External"/><Relationship Id="rId30" Type="http://schemas.openxmlformats.org/officeDocument/2006/relationships/hyperlink" Target="http://www.sec.gov/Archives/edgar/data/1822145/000110465924064342/tm2415136d1_8k.htm" TargetMode="External"/><Relationship Id="rId31" Type="http://schemas.openxmlformats.org/officeDocument/2006/relationships/hyperlink" Target="http://www.sec.gov/Archives/edgar/data/1822145/000121390020044238/ea131985-8a12b_ventouxccm.htm" TargetMode="External"/><Relationship Id="rId32" Type="http://schemas.openxmlformats.org/officeDocument/2006/relationships/hyperlink" Target="http://www.sec.gov/Archives/edgar/data/1822145/000155837023016336/prst-20230630xex4d1.htm" TargetMode="External"/><Relationship Id="rId33" Type="http://schemas.openxmlformats.org/officeDocument/2006/relationships/hyperlink" Target="http://www.sec.gov/Archives/edgar/data/1822145/000155837023016336/prst-20230630x10k.htm" TargetMode="External"/><Relationship Id="rId34" Type="http://schemas.openxmlformats.org/officeDocument/2006/relationships/hyperlink" Target="http://www.sec.gov/Archives/edgar/data/1822145/000155837023016336/prst-20230630x10k.htm" TargetMode="External"/><Relationship Id="rId35" Type="http://schemas.openxmlformats.org/officeDocument/2006/relationships/hyperlink" Target="http://www.sec.gov/Archives/edgar/data/1822145/000155837023016408/prst-20230630x10ka.htm" TargetMode="External"/><Relationship Id="rId36" Type="http://schemas.openxmlformats.org/officeDocument/2006/relationships/hyperlink" Target="https://www.sec.gov/Archives/edgar/data/1822145/000110465923086535/tm2322640d1_8k.htm" TargetMode="External"/><Relationship Id="rId37" Type="http://schemas.openxmlformats.org/officeDocument/2006/relationships/hyperlink" Target="https://www.sec.gov/Archives/edgar/data/1822145/000110465923097311/tm2325309d1_8k.htm" TargetMode="External"/><Relationship Id="rId38" Type="http://schemas.openxmlformats.org/officeDocument/2006/relationships/hyperlink" Target="https://www.sec.gov/Archives/edgar/data/1822145/000101376223002979/ea186564-8k_prestoauto.htm" TargetMode="External"/><Relationship Id="rId39" Type="http://schemas.openxmlformats.org/officeDocument/2006/relationships/hyperlink" Target="https://www.sec.gov/Archives/edgar/data/1822145/000101376223005246/ea187043-8k_prestoauto.htm" TargetMode="External"/><Relationship Id="rId40" Type="http://schemas.openxmlformats.org/officeDocument/2006/relationships/hyperlink" Target="http://www.sec.gov/Archives/edgar/data/1822145/000121390020044238/ea131985-8a12b_ventouxccm.htm" TargetMode="External"/><Relationship Id="rId41" Type="http://schemas.openxmlformats.org/officeDocument/2006/relationships/hyperlink" Target="http://www.sec.gov/Archives/edgar/data/1822145/000155837023016336/prst-20230630xex4d1.htm" TargetMode="External"/><Relationship Id="rId42" Type="http://schemas.openxmlformats.org/officeDocument/2006/relationships/hyperlink" Target="http://www.sec.gov/Archives/edgar/data/1822145/000155837023016336/prst-20230630x10k.htm" TargetMode="External"/><Relationship Id="rId43" Type="http://schemas.openxmlformats.org/officeDocument/2006/relationships/fontTable" Target="fontTable.xml"/><Relationship Id="rId4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33442</Words>
  <Characters>175409</Characters>
  <CharactersWithSpaces>210198</CharactersWithSpaces>
  <Paragraphs>4581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