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480" w:type="dxa"/>
            <w:vAlign w:val="bottom"/>
            <w:gridSpan w:val="6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88"/>
              </w:rPr>
              <w:t>SEC Form 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18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ind w:right="2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18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6"/>
            <w:vMerge w:val="restart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Suri Rajat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6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 MIDDLEFIELD ROAD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60" w:type="dxa"/>
            <w:vAlign w:val="bottom"/>
            <w:gridSpan w:val="2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96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0" w:type="dxa"/>
            <w:vAlign w:val="bottom"/>
            <w:gridSpan w:val="11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06/26/2023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06/26/2023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06/29/2023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06/29/2023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06/29/2023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1.4446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06/29/2023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08/27/2017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03/27/2026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06/29/2023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08/27/2017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03/27/2026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5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1.4446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06/29/2023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06/29/2022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03/27/2026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-7858760</wp:posOffset>
            </wp:positionV>
            <wp:extent cx="7045960" cy="8012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01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options.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6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Actual price per share was $1.444582414838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Rajat Suri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06/30/2023</w:t>
            </w: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90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45017" TargetMode="External"/><Relationship Id="rId9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2023-06-30T19:29:33Z</dcterms:created>
  <dcterms:modified xsi:type="dcterms:W3CDTF">2023-06-30T19:29:33Z</dcterms:modified>
</cp:coreProperties>
</file>