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8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85" w:lineRule="exact"/>
        <w:rPr>
          <w:sz w:val="24"/>
          <w:szCs w:val="24"/>
          <w:color w:val="auto"/>
        </w:rPr>
      </w:pPr>
    </w:p>
    <w:p>
      <w:pPr>
        <w:jc w:val="center"/>
        <w:ind w:left="3980" w:right="1120" w:hanging="2854"/>
        <w:spacing w:after="0" w:line="362" w:lineRule="auto"/>
        <w:tabs>
          <w:tab w:leader="none" w:pos="1326"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2020</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9" w:lineRule="exact"/>
        <w:rPr>
          <w:rFonts w:ascii="MS PGothic" w:cs="MS PGothic" w:eastAsia="MS PGothic" w:hAnsi="MS PGothic"/>
          <w:sz w:val="18"/>
          <w:szCs w:val="18"/>
          <w:color w:val="auto"/>
        </w:rPr>
      </w:pPr>
    </w:p>
    <w:p>
      <w:pPr>
        <w:jc w:val="center"/>
        <w:ind w:left="3120" w:right="940" w:hanging="2179"/>
        <w:spacing w:after="0" w:line="360" w:lineRule="auto"/>
        <w:tabs>
          <w:tab w:leader="none" w:pos="11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________________</w:t>
      </w: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001-39830</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VENTOUX CCM ACQUISITION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84-2968594</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292"/>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0"/>
              </w:rPr>
              <w:t>1 East Putnam Avenue, Floor 4</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3"/>
              </w:rPr>
              <w:t>Greenwich, CT</w:t>
            </w:r>
          </w:p>
        </w:tc>
        <w:tc>
          <w:tcPr>
            <w:tcW w:w="572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06830</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1"/>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Units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58"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registrant’s securities were not publicly traded. The registrant’s units began trading on The Nasdaq Stock Market LLC on December 24, 2020, and the registrant’s common stock, warrants and rights began trading on The Nasdaq Stock Market LLC on February 5, 2021.</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shares of common stock as of March 29, 2021 was 21,562,500.</w:t>
      </w:r>
    </w:p>
    <w:p>
      <w:pPr>
        <w:spacing w:after="0" w:line="10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15"/>
          </w:tcPr>
          <w:p>
            <w:pPr>
              <w:ind w:left="200"/>
              <w:spacing w:after="0"/>
              <w:rPr>
                <w:sz w:val="20"/>
                <w:szCs w:val="20"/>
                <w:color w:val="auto"/>
              </w:rPr>
            </w:pPr>
            <w:r>
              <w:rPr>
                <w:rFonts w:ascii="Arial" w:cs="Arial" w:eastAsia="Arial" w:hAnsi="Arial"/>
                <w:sz w:val="18"/>
                <w:szCs w:val="18"/>
                <w:b w:val="1"/>
                <w:bCs w:val="1"/>
                <w:color w:val="auto"/>
              </w:rPr>
              <w:t>VENTOUX CCM ACQUISITION CORP.</w:t>
            </w:r>
          </w:p>
        </w:tc>
        <w:tc>
          <w:tcPr>
            <w:tcW w:w="114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1B. UNRESOLVED STAFF COMMENTS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10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PURCHASES OF EQUITY SECURITIES</w:t>
              </w:r>
            </w:hyperlink>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6.</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6"/>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7.</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60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OPERATIONS</w:t>
              </w:r>
            </w:hyperlink>
          </w:p>
        </w:tc>
        <w:tc>
          <w:tcPr>
            <w:tcW w:w="980" w:type="dxa"/>
            <w:vAlign w:val="bottom"/>
            <w:tcBorders>
              <w:top w:val="single" w:sz="8" w:color="CCEEFF"/>
            </w:tcBorders>
            <w:gridSpan w:val="4"/>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17</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7A. 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8.</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FINANCIAL STATEMENTS AND SUPPLEMENTARY DATA</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6"/>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9.</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CHANGES IN AND DISAGREEMENTS WITH ACCOUNTANTS ON ACCOUNTING AND FINANCIAL</w:t>
              </w:r>
            </w:hyperlink>
          </w:p>
        </w:tc>
        <w:tc>
          <w:tcPr>
            <w:tcW w:w="1140" w:type="dxa"/>
            <w:vAlign w:val="bottom"/>
            <w:shd w:val="clear" w:color="auto" w:fill="CCEEFF"/>
          </w:tcPr>
          <w:p>
            <w:pPr>
              <w:spacing w:after="0"/>
              <w:rPr>
                <w:sz w:val="15"/>
                <w:szCs w:val="15"/>
                <w:color w:val="auto"/>
              </w:rPr>
            </w:pPr>
          </w:p>
        </w:tc>
      </w:tr>
      <w:tr>
        <w:trPr>
          <w:trHeight w:val="216"/>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7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DISCLOSURE</w:t>
              </w:r>
            </w:hyperlink>
          </w:p>
        </w:tc>
        <w:tc>
          <w:tcPr>
            <w:tcW w:w="800" w:type="dxa"/>
            <w:vAlign w:val="bottom"/>
            <w:tcBorders>
              <w:top w:val="single" w:sz="8" w:color="CCEEFF"/>
            </w:tcBorders>
            <w:gridSpan w:val="3"/>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9A. CONTROLS AND PROCEDURES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9B. 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PART III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10.</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DIRECTORS, EXECUTIVE OFFICERS AND CORPORATE GOVERNANCE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11.</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EXECUTIVE COMPENSATION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720" w:type="dxa"/>
            <w:vAlign w:val="bottom"/>
            <w:gridSpan w:val="6"/>
            <w:shd w:val="clear" w:color="auto" w:fill="CCEEFF"/>
          </w:tcPr>
          <w:p>
            <w:pPr>
              <w:spacing w:after="0" w:line="17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12.</w:t>
              </w:r>
            </w:hyperlink>
          </w:p>
        </w:tc>
        <w:tc>
          <w:tcPr>
            <w:tcW w:w="460" w:type="dxa"/>
            <w:vAlign w:val="bottom"/>
            <w:shd w:val="clear" w:color="auto" w:fill="CCEEFF"/>
          </w:tcPr>
          <w:p>
            <w:pPr>
              <w:spacing w:after="0"/>
              <w:rPr>
                <w:sz w:val="15"/>
                <w:szCs w:val="15"/>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SECURITY OWNERSHIP OF CERTAIN BENEFICIAL OWNERS AND MANAGEMENT AND RELATED</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84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STOCKHOLDER MATTERS</w:t>
              </w:r>
            </w:hyperlink>
          </w:p>
        </w:tc>
        <w:tc>
          <w:tcPr>
            <w:tcW w:w="740" w:type="dxa"/>
            <w:vAlign w:val="bottom"/>
            <w:tcBorders>
              <w:top w:val="single" w:sz="8" w:color="CCEEFF"/>
            </w:tcBorders>
            <w:gridSpan w:val="2"/>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13.</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14.</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PRINCIPAL ACCOUNTANT FEES AND SERVICES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PART IV</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15.</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 AND FINANCIAL STATEMENT SCHEDULES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6"/>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16.</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FORM 10-K SUMMARY</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Ventoux CCM Acquisition Corp. (the “Company,” “we”, “our” or “us”) is filing this Amendment No. 1 to the Annual Report on Form 10-K/A (the “Amendment”) to amend the Annual Report on Form 10-K for the year ended December 31, 2020, originally filed with the U.S. Securities and Exchange Commission (the “SEC”) on March 30, 2021 (the “Original Filing”) as a comprehensive amendment to amend and restate its financial statements and related footnote disclosures as of and for the year ended December 31, 2020 and the balance sheet as of December 30, 2020 (the “December 30, 2020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of Restatement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advises, among other things, that certain settlement terms and provisions generally present in SPAC warrants preclude such warrants from being accounted for as equity.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the SEC Statement, the Company reevaluated the accounting treatment of the Private Warrants (as defined below) in consideration of the guidance in Accounting Standards Codification (“ASC”) 815-40,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xml:space="preserve">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of the board of directors (“Audit Committee”), in consultation with management, concluded that the Private Warrants are not indexed to the Company’s common stock in the manner contemplated by ASC Section 815-40-15 because the holder of the instrument is not an input into the pricing of a fixed-for-fixed option on equity shares. Accordingly, the Private Warrants are required to be classified as a liability measured at fair value at inception (on the date of issuance) and at each reporting date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with changes in fair value recognized in the statement of operations in the period of change.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22, 2021, based on management’s evaluation, the Audit Committee determined that the Company’s financial statements, which were included in the Original Filing, and December 30, 2020 Balance Sheet should no longer be relied upon due to an the Company’s accounting for an aggregate of 6,000,000 warrants issued to Ventoux Acquisition Holdings LLC (“Ventoux Acquisition”) and Chardan International Investments, LLC (“Chardan Investments”) in a private placement that closed concurrently with the closing of the Company’s initial public offering (such warrants, the “Private Warrants”) as equity instead of accounting for the Private Warrants as derivative liabilities.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restatement results in non-cash, non-operating financial statement corrections, and will have no impact on the Company’s current or previously reported cash position, operating expenses or total operating, investing or financing cash flows.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Part IV, Item 15, Note 2, “Restatement of Previously Issued Financial Statements” of the notes to the financial statements of this Amendment for a more detailed discussion of the restatement.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Amended In This Amendment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convenience of the reader, this Amendment sets forth the Original Filing in its entirety, as amended to reflect the restatement. No attempt has been made in this Form 10-K/A to update other disclosures presented in the Original Filing, except as required to reflect the effects of the restatement. The following items have been amended as a result of the restatement:</w:t>
      </w:r>
    </w:p>
    <w:p>
      <w:pPr>
        <w:spacing w:after="0" w:line="1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 Item 7. Management’s Discussion and Analysis of Financial Condition and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 Item 8. Financial Statements and Supplementary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 Item 9A. Controls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IV – Item 15. Exhibit and Financial Statement Schedules.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Company’s Chief Executive Officer and Chief Financial Officer have provided new certifications dated as of the date of this filing in connection with this Form 10-K/A (Exhibits 31.1, 31.2 and 32.1).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does not reflect adjustments for events occurring after March 30, 2021, the date of the filing of the Original Filing, except to the extent they are otherwise required to be included and discussed herein and did not substantively modify or update the disclosures herein other than as required to reflect the adjustments described above. Accordingly, this Amendment should be read in conjunction with the Original Filing and our filings with the SEC subsequent to the date of the Original Filing.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spacing w:after="0" w:line="178"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in light of disruption that may result from limitations imposed by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our filings from time to time with the United States Securities and Exchange Commission (the “SEC”).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10000"/>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Ventoux CCM Acquisition Corp. (the “Company”) is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herein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stockholders.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30, 2020, the Company consummated the IPO of 15,000,000 units (the “Units”). Each Unit consists of one share of common stock, $0.0001 par value (“Common Stock”), one right entitling the holder thereof to receive one-twentieth (1/20) of one share of Common Stock upon the consummation of an initial business combination, and one warrant entitling the holder thereof to purchase one-half (1/2) of one share of Common Stock at a price of $11.50 per whole share. The Units were sold at an offering price of $10.00 per Unit, generating gross proceeds of $150,000,000.</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30, 2020, simultaneously with the consummation of the IPO, the Company consummated the private placement with initial stockholders of the Company of 6,000,000 warrants (the “Private Warrants”), at a price of $1.00 per Private Warrant, generating total proceeds of $6,000,000. The Private Warrants are identical to the warrants sold as part of the public Units in the IPO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Such initial purchasers were granted certain demand and piggyback registration rights in connection with the purchase of the Private Warrants.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29, 2020, the underwriters exercised their over-allotment option in full. The closing of the issuance and sale of the additional Units (the “Over-Allotment Option Units”) occurred on January 5, 2021.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total of $174,225,000 of the net proceeds from the IPO (including the Over-Allotment Option Units) and the private placements on December 30, 2020 and January 5, 2021 were deposited in a trust account maintained by Continental Stock Transfer &amp; Trust Company, acting as trustee, established for the benefit of the Company’s public stockholders. None of the funds held in trust will be released from the trust account, other than to pay our income or other tax obligations until the earlier of (i) the consummation of the Company’s initial business combination, (ii) the Company’s failure to consummate a business combination within 15 months (or up to 18 months if we have extended the period of time) from the closing of the IPO, and (iii) the redemption of any public shares properly submitted in connection with a stockholder vote to amend the Company’s amended and restated certificate of incorporation</w:t>
      </w:r>
    </w:p>
    <w:p>
      <w:pPr>
        <w:spacing w:after="0" w:line="4" w:lineRule="exact"/>
        <w:rPr>
          <w:sz w:val="20"/>
          <w:szCs w:val="20"/>
          <w:color w:val="auto"/>
        </w:rPr>
      </w:pPr>
    </w:p>
    <w:p>
      <w:pPr>
        <w:jc w:val="both"/>
        <w:ind w:firstLine="8"/>
        <w:spacing w:after="0" w:line="253" w:lineRule="auto"/>
        <w:tabs>
          <w:tab w:leader="none" w:pos="29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modify the substance or timing of the ability of holders of the Company’s public shares to seek redemption in connection with the Company’s initial business combination or the Company’s obligation to redeem 100% of its public shares if the Company does not complete its initial business combination within 15 months (or up to 18 months if we have extended the period of time) from the closing of the IPO or (B) with respect to any other provision relating to stockholders’ rights or pre-business combination activity.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 Holdings LLC (“Ventoux Acquisition”) and Chardan International Investments, LLC (“Chardan Investments”). Our management team, led by co-founders Mr. Edward Scheetz and Mr. Matthew MacDonald, has a combined 40 years of hospitality and investment experience. Together with our management team, Chardan Investments and its affiliate, Chardan Capital Markets, LLC (“Chardan” or “Chardan Capital Markets”),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 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75"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Chardan has an extensive track record in the SPAC market as underwriter, sponsor and advisor. Since 2004, Chardan has been lead or co-lead underwriter on 88 SPAC IPOs. Since 2018, Chardan has been merger and acquisition advisor to sixteen SPACs, helping companies close transactions valued at approximately $6.4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sponsored or co-sponsored twelve SPACs, six of which have closed successful business combinations, one of which has announced a business combination, three of which are currently seeking an acquisition, and two of which have publicly filed.</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Jonas Grossman is a partner, the President and Head of Capital Markets for Chardan. Since 2003, Mr. Grossman has overseen the firm’s investment banking and capital markets activities and initiatives. He has extensive transactional experience, having led or managed more than 400 transactions during his tenure at Chardan. Mr. Grossman has nearly two decades of SPAC expertise. Mr. Grossman has provided underwriting and business combination advisory services to more than 100 SPACs in a variety of industries. He has been a founder, CEO and President of two SPACs, and holds the same positions in two SPACs that have publicly filed, Chardan NexTech Acquisition Corp and Chardan NexTech Acquisition 2 Corp. He has also served as a nonexecutive board member of two additional SPACs. Mr. Grossman was the Chief Executive Officer and President of Chardan Healthcare Acquisition Corp. from March 2018 until its merger in October 2019 with BiomX (NYSE: PHGE). Mr. Grossman is currently a director of BiomX. Mr. Grossman was a director of LifeSci Acquisition Corp. from March 2020 until its merger in December 2020 with Vincera Pharma, Inc. (now Vincerx Pharma, Inc.) (NASDAQ: VINC). He currently serves as Chief Executive Officer, President and a director of Chardan Healthcare Acquisition 2 Corp., which announced its merger with Renovacor in March 2021.</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Alex Weil is currently co-head of FinTech investment banking at Chardan, and is CFO of Chardan NexTech Acquisition Corp and Chardan NexTech Acquisition 2 Corp. Mr. Weil has spent his career, which spans over two decades, providing strategic advisory services to global companies, senior executives, boards of directors, and investors. Mr. Weil’s background in strategic advisory work was built during his career at both global companies, as a leader in Citi’s corporate strategy and M&amp;A group, UBS Financial Institutions Group’s investment bank, and General Electric’s corporate development group, and at boutique investment banking advisors, such as Lazard Middle Market and William Blair. 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includes Woodrow (“Woody”) H. Levin, Julie Atkinson, Christian (“Chris”) Ahrens and Bernard Van der Lande.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7"/>
          <w:szCs w:val="17"/>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 Travel Leaders Network and Nexion.</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Bernard Van der Lande is Managing Director of Cindat, an international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Robert Martin serves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to evaluate each investment opportunity.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the foregoing experiences of our management, directors, and Chardan, past performance is not a guarantee (i) that we will be able to identify a suitable candidate for our initial business combination or (ii) of success with respect to any business combination we may consummate. You should not rely on the historical record of our management’s, directors’, or Chardan’s performance as indicative of our future performance.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Industry Opportunity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COVID-19 has created a temporary valuation dislocation, and has adversely impacted the ability of companies and business divisions to access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positioned for continued organic growth and may grow through bolt-on acquisitions in these challenging times for the industry sectors;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an operating model that has adapted to meet the changing consumer or business behaviors in a post-COVID 19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in the form of proxy solicitation materials or tender offer documents that we would file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Creation Post Merger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stockholder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effectuate our initial business combination using cash from the proceeds of the IPO and the private placements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We may engage the services of professional firms or other individuals that specialize in business acquisitions,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 At this time, we are not a party to any arrangement or understanding with any third party with respect to raising any additional funds through the sale of securities or otherwise.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stockholder of the target (or control the target through contractual arrangements in limited circumstances for regulatory compliance purposes as discussed below) or are otherwise not required to register as an investment company under the Investment Company Act of 1940, as amended (the “Investment Company Act), or to the extent permitted by law we may acquire interests in a variable interest entity, in which we may have less than a majority of the voting rights in such entity, but in which we are the primary beneficiary. There is no current basis for investors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debt or equity securities and have no current intention of doing so.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87"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If we determine to engage in a tender offer, such tender offer will be structured so that each stockholder may tender any or all of his, her or its public shares rather than some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the IPO in order to be able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in or after the IPO.</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pro rata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do not complete a business combination within 15 months (or up to 18 months, as applicable) from the closing of the IPO,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7"/>
          <w:szCs w:val="17"/>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$1,725,000 (due to the exercise in full of the underwriters’ over-allotment option)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distribution. It is our intention to redeem our public shares as soon as reasonably possible following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(or up to the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as applicable)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seek to have all third parties and any prospective target businesses enter into valid and enforceable agreements with us waiving any right, title, interest or claim of any kind they may have in or to any monies held in the trust account. The underwriters in the IPO have executed such a waiver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to Chardan Capital Markets, LLC, an affiliate of Chardan Investments, a fee of $10,000 per month for use of office space and certain office and secretarial services. The office space is located at 1 East Putnam Avenue, Floor 4, Greenwich, CT 06830. We consider our current office space adequate for our current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(which we refer to herein as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date of the IPO,</w:t>
      </w:r>
    </w:p>
    <w:p>
      <w:pPr>
        <w:spacing w:after="0" w:line="46" w:lineRule="exact"/>
        <w:rPr>
          <w:sz w:val="20"/>
          <w:szCs w:val="20"/>
          <w:color w:val="auto"/>
        </w:rPr>
      </w:pPr>
    </w:p>
    <w:p>
      <w:pPr>
        <w:jc w:val="both"/>
        <w:ind w:firstLine="8"/>
        <w:spacing w:after="0" w:line="277" w:lineRule="auto"/>
        <w:tabs>
          <w:tab w:leader="none" w:pos="26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which we have total annual gross revenue of at least $1.07 billion, or (c) in which we are deemed to be a large accelerated filer, which means the market value of our shares of common stock that are held by non-affiliates exceeds $700 million on the last day of the second fiscal quarter of any given fiscal year, and (2) the date on which we have issued more than $1.0 billion in non-convertible debt during the prior three year period.</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to Chardan Capital Markets, LLC, an affiliate of Chardan Investments, a fee of $10,000 per month for use of office space and certain office and secretarial services. The office space is located at 1 East Putnam Avenue, Floor 4, Greenwich, CT 06830. We consider our current office space adequate for our current operations.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10000"/>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010000"/>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units, common stock, rights and warrants trade on The Nasdaq Stock Market LLC, or Nasdaq, under the symbols “VTAQU,” “VTAQ,” “VTAQR” and “VTAQW,”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29, 2021, there were 21,562,500 shares of common stock issued and outstanding held by one stockholder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unregistered securities to report which have not been previously included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“Forward-Looking Statements” and elsewhere in this Annual Report on Form 10-K.</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has been amended and restated to give effect to the restatement and revision of our financial statements as of December 31, 2020 and for the year ended December 31, 2020. We are restating our historical financial results for such period to reclassify our Private Warrants as derivative liabilities pursuant to ASC 815-40 rather than as a component of equity as we had previously treated the Private Warrants. The impact of the restatement is reflected in this Management’s Discussion and Analysis of Financial Condition and Results of Operations below. Other than as disclosed in the Explanatory Note and with respect to the impact of the restatement, no other information in this Item 7 has been amended, and this Item 7 does not reflect any events occurring after the Original Filing. The impact of the restatement is more fully described in Note 2 to our financial statements included in Item 15 of Part IV of this Amendment and 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blank check company formed under the laws of the State of Delaware on July 10, 2019 for the purpose of effecting a merger, share exchange, asset acquisition, share purchase, reorganization or similar business combination with one or more businesses. We intend to effectuate our initial business combination using cash from the proceeds of the IPO and the sale of the Private Warrants, our capital stock, debt or a combination of cash, stock and debt.</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an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neither engaged in any operations (other than searching for a target for our initial business combination after our IPO) nor generated any revenues to date. Our only activities from July 10, 2019 (inception) through December 31, 2020 were organizational activities, including those necessary to prepare for the IPO. We do not expect to generate any operating revenues until after the completion of our initial business combination. We expect to generate non-operating income in the form of interest earned on investments held since the IPO.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Private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2020, we had a net loss of $1,363,061, which consisted of operating costs of $18,208, a change in fair value of warrant liabilities of $180,000, loss on initial issuance of private warrants of $1,140,000, and transaction costs allocable to warrant liabilities of $24,853.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July 10, 2019 (inception) through December 31, 2019, we had net loss of $1,450, which consisted of formation and operational costs.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consummated the IPO of 15,000,000 Units at a price of $10.00 per Unit, generating gross proceeds of $150,000,000. Simultaneously with the closing of the IPO, we consummated the sale of 6,000,000 Private Warrants, at a price of $1.00 per Private Warrant, in a private placement to our initial stockholders, generating gross proceeds of $6,000,000.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IPO, a total of $151,500,000 was placed in the Trust Account. We incurred $3,543,017 in transaction costs, including $3,000,000 in cash underwriting fees and $543,017 of other offering costs.</w:t>
      </w:r>
    </w:p>
    <w:p>
      <w:pPr>
        <w:spacing w:after="0" w:line="17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December 29, 2020, the underwriters notified the Company of their intent to fully exercise their over-allotment option. Closing of the over-allotment option occurred on January 5, 2021, when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Transaction costs related to the underwriters’ exercise of their over-allotment option were $450,000, consisting of underwriting fees. As a result of the underwriters’ election to exercise their over-allotment option in full, 562,500 founder shares are no longer subject to forfeiture.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For the year ended December 31, 2020, cash used in operating activities was $30,735. Net loss of $1,363,061 was affected by a change in fair value of warrant liabilities of $180,000, loss on initial issuance of private warrants of $1,140,000,transaction costs allocable to warrant liabilities of $24,853, and changes in operating assets and liabilities, which used $12,527 of cash from operating activities.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had cash held in the trust account of $151,500,000, which excludes an additional $22,725,000 of net proceeds deposited on January 5, 2021. We intend to use substantially all of the funds held in the trust account, including any amounts representing interest earned on the funds held in the trust account, to complete our initial business combination. We may withdraw, from time to time, any interest earned on the funds in the trust account that we may need to pay our tax obligations. During the year ended December 31, 2020, we did not withdraw any interest income from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2020, we had $1,071,253 of cash held outside of the trust account. We intend to use the funds held outside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initial business combination.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The warrants would be identical to the Private Warrants. If we do not complete a business combination, the loans will only be repaid with funds not held in the trust account, to the extent available. Loans made by Chardan Capital Markets or any of its related persons will not be convertible into private warrants, and Chardan Capital Markets and its related persons will have no recourse with respect to their ability to convert their loans into private warrants. Except for the foregoing, the terms of such working capital loans, if any, have not been determined and no written agreements exist with respect to such loans.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to redeem a significant number of our public shares upon consummation of our initial business combination, in which case we may issue additional securities or incur debt in connection with such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Chardan Capital Markets, LLC a monthly fee of $10,000 for office space, utilities, secretarial and administrative support services. As of December 31, 2020, there were no amounts incurred under this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the underwriters a 45-day option from the date of the IPO to purchase up to 2,250,000 additional Units to cover over-allotments, if any, at the IPO price less the underwriting discounts and commissions. On January 5, 2021, the closing of the underwriters’ over-allotment option occurred. The underwriters were paid cash underwriting discount of $0.20 per Unit, or $3,450,000 in the aggregate, upon the closing of the IPO and the over-allotment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right="20"/>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an initial business combination to assist the Company in holding meetings with its stockholders to discuss the potential initial business combination and the target business’s attributes, introduce the Company to potential investors that are interested in purchasing the Company’s securities in connection with the potential initial business combination, assist the Company in obtaining stockholder approval for the initial business combination and assist the Company with its press releases and public filings in connection with initial business combination. The Company will pay Chardan Capital Markets, LLC a marketing fee for such services upon the consummation of an initial business combination in an amount equal to, in the aggregate, 3.5% of the gross proceeds of the IPO, including proceeds from the exercise of the underwriters’ over-allotment option. As a result, Chardan Capital Markets, LLC will not be entitled to such fee unless the Company consummates its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 of operations. The Private Warrants for periods where no observable traded price was available are valued using a Modified Black-Scholes model.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common stock subject to possible redemption is presented as temporary equity, outside of the stockholders’ equity section of the Company’s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common share, basic and diluted for redeemable common stock is calculated by dividing the interest income earned on the trust account, net of applicable franchise and income taxes, by the weighted average number of redeemable common stock outstanding for the period. Net loss per common share, basic and diluted for non-redeemable common stock is calculated by dividing the net income, less income attributable to redeemable common stock, by the weighted average number of non-redeemable common stock outstanding for the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IPO,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financial statements and supplementary data required by this Item are listed in Part IV, Item 15 of this Annual Report on Form 10-K (or are incorporated therein by reference) and are presented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Amendment, our management re-evaluated,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solely due to the Company’s restatement of its financial statements to reclassify the Company’s Private Warrants and related existence of a material weakness found in our internal controls over financial reporting described below, our disclosure controls and procedures were not effective as of December 31, 2020.</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22, 2021, we revised our prior position on accounting for Private Warrants and concluded that our previously issued financial statements as of and for the year ended December 31, 2020 should not be relied on because of a misapplication in the guidance on warrant accounting. However, the non-cash adjustments to the financial statements do not impact the amounts previously reported for our cash and cash equivalents, total assets, revenue or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during the most recent fiscal quarter that have materially affected, or are reasonably likely to materially affect, our internal control over financial reporting.)</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light of the restatement of our financial statements included in this Amendment, we plan to enhance our processes to identify and appropriately apply applicable accounting requirements to better evaluate and understand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010000"/>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10.</w:t>
      </w:r>
      <w:r>
        <w:rPr>
          <w:rFonts w:ascii="Arial" w:cs="Arial" w:eastAsia="Arial" w:hAnsi="Arial"/>
          <w:sz w:val="18"/>
          <w:szCs w:val="18"/>
          <w:b w:val="1"/>
          <w:bCs w:val="1"/>
          <w:color w:val="auto"/>
        </w:rPr>
        <w:tab/>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Age</w:t>
            </w:r>
          </w:p>
        </w:tc>
        <w:tc>
          <w:tcPr>
            <w:tcW w:w="70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Financial Officer and Secretary, 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Investment Officer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Woodrow H. Levin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Edward Scheetz</w:t>
      </w:r>
      <w:r>
        <w:rPr>
          <w:rFonts w:ascii="Arial" w:cs="Arial" w:eastAsia="Arial" w:hAnsi="Arial"/>
          <w:sz w:val="16"/>
          <w:szCs w:val="16"/>
          <w:color w:val="auto"/>
        </w:rPr>
        <w:t>, 56, has been our Chief Executive Officer and Chairman since August 2020. He is also the co-founder,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Matthew MacDonald</w:t>
      </w:r>
      <w:r>
        <w:rPr>
          <w:rFonts w:ascii="Arial" w:cs="Arial" w:eastAsia="Arial" w:hAnsi="Arial"/>
          <w:sz w:val="18"/>
          <w:szCs w:val="18"/>
          <w:color w:val="auto"/>
        </w:rPr>
        <w:t>, 36, has been our Chief Financial Officer and Secretary, and a director since August 2020. He is also the co-founder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b w:val="1"/>
          <w:bCs w:val="1"/>
          <w:color w:val="auto"/>
        </w:rPr>
        <w:t>Brock Strasbourger</w:t>
      </w:r>
      <w:r>
        <w:rPr>
          <w:rFonts w:ascii="Arial" w:cs="Arial" w:eastAsia="Arial" w:hAnsi="Arial"/>
          <w:sz w:val="18"/>
          <w:szCs w:val="18"/>
          <w:color w:val="auto"/>
        </w:rPr>
        <w:t>, 33, has been our Chief Operating Officer since October 2020. He is also the Chief Operating Officer of Ventoux Acquisition.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Prasad Phatak</w:t>
      </w:r>
      <w:r>
        <w:rPr>
          <w:rFonts w:ascii="Arial" w:cs="Arial" w:eastAsia="Arial" w:hAnsi="Arial"/>
          <w:sz w:val="16"/>
          <w:szCs w:val="16"/>
          <w:color w:val="auto"/>
        </w:rPr>
        <w:t>, 38, has been our Chief Investment Officer since September 2020. He is also the Chief Investment Officer of Ventoux Acquisition.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Jonas Grossman</w:t>
      </w:r>
      <w:r>
        <w:rPr>
          <w:rFonts w:ascii="Arial" w:cs="Arial" w:eastAsia="Arial" w:hAnsi="Arial"/>
          <w:sz w:val="17"/>
          <w:szCs w:val="17"/>
          <w:color w:val="auto"/>
        </w:rPr>
        <w:t>, 47, has been our director since July 2019. Mr. Grossman was the Chief Executive Officer and President of Chardan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Corp. from March 2018 until its merger in October 2019 with BiomX (NYSE: PHGE). Mr. Grossman is currently a director of BiomX. Mr. Grossman was a director of LifeSci Acquisition Corp. from March 2020 until its merger in December 2020 with Vincera Pharma, Inc. (now Vincerx Pharma, Inc.) (NASDAQ: VINC). He currently serves as Chief Executive Officer, President and director of Chardan Healthcare Acquisition 2 Corp., which announced its merger with Renovacor in March 2021. Mr. Grossman currently serves as Chief Executive Officer, President and director of each of Chardan NexTech Acquisition Corp. and Chardan NexTech Acquisition 2 Corp.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Woodrow (“Woody”) H. Levin</w:t>
      </w:r>
      <w:r>
        <w:rPr>
          <w:rFonts w:ascii="Arial" w:cs="Arial" w:eastAsia="Arial" w:hAnsi="Arial"/>
          <w:sz w:val="16"/>
          <w:szCs w:val="16"/>
          <w:color w:val="auto"/>
        </w:rPr>
        <w:t>, 42, has been our director since December 2020. Mr. Levin is the founder, and has been the Chief Executive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b w:val="1"/>
          <w:bCs w:val="1"/>
          <w:color w:val="auto"/>
        </w:rPr>
        <w:t>Alex Weil, 49</w:t>
      </w:r>
      <w:r>
        <w:rPr>
          <w:rFonts w:ascii="Arial" w:cs="Arial" w:eastAsia="Arial" w:hAnsi="Arial"/>
          <w:sz w:val="16"/>
          <w:szCs w:val="16"/>
          <w:color w:val="auto"/>
        </w:rPr>
        <w:t>, has been our director since December 2020. Mr. Weil has served as Managing Director and Co-Head of Fintech Investment Banking at</w:t>
      </w:r>
      <w:r>
        <w:rPr>
          <w:rFonts w:ascii="Arial" w:cs="Arial" w:eastAsia="Arial" w:hAnsi="Arial"/>
          <w:sz w:val="16"/>
          <w:szCs w:val="16"/>
          <w:b w:val="1"/>
          <w:bCs w:val="1"/>
          <w:color w:val="auto"/>
        </w:rPr>
        <w:t xml:space="preserve"> </w:t>
      </w:r>
      <w:r>
        <w:rPr>
          <w:rFonts w:ascii="Arial" w:cs="Arial" w:eastAsia="Arial" w:hAnsi="Arial"/>
          <w:sz w:val="16"/>
          <w:szCs w:val="16"/>
          <w:color w:val="auto"/>
        </w:rPr>
        <w:t>Chardan Capital Markets, LLC, a New York headquartered broker/dealer, since March 2020. Mr. Weil currently serves as Chief Financial Officer, and has agreed to become a director, of each of Chardan NexTech Acquisition Corp. and Chardan NexTech Acquisition 2 Corp.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Julie Atkinson, 47</w:t>
      </w:r>
      <w:r>
        <w:rPr>
          <w:rFonts w:ascii="Arial" w:cs="Arial" w:eastAsia="Arial" w:hAnsi="Arial"/>
          <w:sz w:val="17"/>
          <w:szCs w:val="17"/>
          <w:color w:val="auto"/>
        </w:rPr>
        <w:t>, has been our director since December 2020. Ms. Atkinson served as Chief Marketing Officer for Founders Table Restaurant Group</w:t>
      </w:r>
      <w:r>
        <w:rPr>
          <w:rFonts w:ascii="Arial" w:cs="Arial" w:eastAsia="Arial" w:hAnsi="Arial"/>
          <w:sz w:val="17"/>
          <w:szCs w:val="17"/>
          <w:b w:val="1"/>
          <w:bCs w:val="1"/>
          <w:color w:val="auto"/>
        </w:rPr>
        <w:t xml:space="preserve"> </w:t>
      </w:r>
      <w:r>
        <w:rPr>
          <w:rFonts w:ascii="Arial" w:cs="Arial" w:eastAsia="Arial" w:hAnsi="Arial"/>
          <w:sz w:val="17"/>
          <w:szCs w:val="17"/>
          <w:color w:val="auto"/>
        </w:rPr>
        <w:t>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Christian (“Chris”) Ahrens</w:t>
      </w:r>
      <w:r>
        <w:rPr>
          <w:rFonts w:ascii="Arial" w:cs="Arial" w:eastAsia="Arial" w:hAnsi="Arial"/>
          <w:sz w:val="17"/>
          <w:szCs w:val="17"/>
          <w:color w:val="auto"/>
        </w:rPr>
        <w:t>, 44, has been our director since December 2020. Mr. Ahrens has been an Advisor with Certares Management LLC since</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Bernard A. Van der Lande, 38</w:t>
      </w:r>
      <w:r>
        <w:rPr>
          <w:rFonts w:ascii="Arial" w:cs="Arial" w:eastAsia="Arial" w:hAnsi="Arial"/>
          <w:sz w:val="18"/>
          <w:szCs w:val="18"/>
          <w:color w:val="auto"/>
        </w:rPr>
        <w:t>, has been our director since December 2020. Mr. Van der Lande has been a Managing Director of Cindat USA LLC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officers and board of directors are composed of a diverse group of leaders with a wide array of professional roles. In these roles, they have gained experience in core management skills, such as strategic and financial planning, financial reporting, compliance, risk management, and leadership development. Many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officers and board members described below, provide us with a diverse range of perspectives and judgment necessary to facilitate our goals of consummating an acquisition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a standing audit, nominating and corporate governance, and compensation committee. The independent directors oversee director nominations. Each committee has a charter, each in the form previously filed with the SEC as an exhibit to the Company’s Registration Statement on Form S-1, as amended, adopted in connection with the consummation of the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the Company’s independent accountants, reviewing their independence and performance, and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no formal meetings during 2020 as the Company did not have any underlying business, relying on monthly reports and written approvals as required.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the Audit Committee are Mr. Weil, Mr. Levin, and Mr. Ahrens, each of whom is an independent director under Nasdaq’s listing standards. Mr. Weil is the Chairperson of the Audit Committee. The Board has determined that Mr. Weil qualifies as an “audit committee financial expert,” as defined under the rules and regulations of Nasdaq and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Nominating and Corporate Governance Committee is responsible for overseeing the selection of persons to be nominated to serve on our Board. Specifically, the Nominating and Corporate Governance Committee makes recommendations to the Board regarding the size and composition of the Board, establishes procedures for the director nomination process and screens and recommends candidates for election to the Board. On an annual basis, the Nominating and Corporate Governance Committee recommends for approval by the Board certain desired qualifications and characteristics for board membership. Additionally, the Nominating and Corporate Governance Committee establishes and administers a periodic assessment procedure relating to the performance of the Board as a whole and its individual members. 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 The Nominating and Corporate Governance Committee did not hold any meetings during 2020.</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members of the Nominating and Corporate Governance Committee are Mr. Weil, Mr. Ahrens, and Ms. Atkinson, each of whom is an independent director under Nasdaq’s listing standards. Mr. Ahrens is the Chairperson of the Nominating and Corporate Governance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did not meet during 2020.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Compensation Committee are Mr. Levin, Ms. Atkinson, and Mr. Van der Lande, each of whom is an independent director under Nasdaq’s listing standards. Mr. Levin is the Chairperson of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11.</w:t>
      </w:r>
      <w:r>
        <w:rPr>
          <w:rFonts w:ascii="Arial" w:cs="Arial" w:eastAsia="Arial" w:hAnsi="Arial"/>
          <w:sz w:val="18"/>
          <w:szCs w:val="18"/>
          <w:b w:val="1"/>
          <w:bCs w:val="1"/>
          <w:color w:val="auto"/>
        </w:rPr>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executive officer has received any cash compensation for services rendered to us.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However, such individuals will be reimbursed for any out-of-pocket expenses incurred in connection with activities on our behalf such as identifying potential target businesses and performing due diligence on suitable business combinations. There is no limit on the amount of these out-of-pocket expenses and there will be no review of the reasonableness of the expenses by anyone other than our board of directors and Audit Committee, which includes persons who may seek reimbursement, or a court of competent jurisdiction if such reimbursement is challenged.</w:t>
      </w:r>
    </w:p>
    <w:p>
      <w:pPr>
        <w:spacing w:after="0" w:line="19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010000"/>
        </w:rPr>
        <w:t>ITEM 12.</w:t>
      </w:r>
      <w:r>
        <w:rPr>
          <w:rFonts w:ascii="Arial" w:cs="Arial" w:eastAsia="Arial" w:hAnsi="Arial"/>
          <w:sz w:val="18"/>
          <w:szCs w:val="18"/>
          <w:b w:val="1"/>
          <w:bCs w:val="1"/>
          <w:color w:val="auto"/>
        </w:rPr>
        <w:tab/>
        <w:t>SECURITY OWNERSHIP OF CERTAIN BENEFICIAL OWNERS AND MANAGEMENT AND RELATED STOCKHOLDER MATTERS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March 29, 2021, certain information regarding beneficial ownership of the Company’s common stock by each person who is known by the Company to beneficially own more than 5% of the Company’s common stock. The table also identifies the stock ownership of each of the Company’s directors and officers, and all directors and officers as a group. Except as otherwise indicated, the stockholders listed in the table have sole voting and investment powers with respect to the shares indicated.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spacing w:after="0" w:line="311" w:lineRule="auto"/>
        <w:rPr>
          <w:sz w:val="20"/>
          <w:szCs w:val="20"/>
          <w:color w:val="auto"/>
        </w:rPr>
      </w:pPr>
      <w:r>
        <w:rPr>
          <w:rFonts w:ascii="Arial" w:cs="Arial" w:eastAsia="Arial" w:hAnsi="Arial"/>
          <w:sz w:val="16"/>
          <w:szCs w:val="16"/>
          <w:color w:val="auto"/>
        </w:rPr>
        <w:t>Shares of common stock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Amount and Nature</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Approximate Percentage</w:t>
            </w:r>
          </w:p>
        </w:tc>
      </w:tr>
      <w:tr>
        <w:trPr>
          <w:trHeight w:val="216"/>
        </w:trPr>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Beneficial</w:t>
            </w: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Outstanding</w:t>
            </w:r>
          </w:p>
        </w:tc>
      </w:tr>
      <w:tr>
        <w:trPr>
          <w:trHeight w:val="241"/>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 and Address of Beneficial Owner(1)</w:t>
            </w: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Ownership(2)</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 Stock (%)</w:t>
            </w:r>
          </w:p>
        </w:tc>
        <w:tc>
          <w:tcPr>
            <w:tcW w:w="160" w:type="dxa"/>
            <w:vAlign w:val="bottom"/>
            <w:tcBorders>
              <w:bottom w:val="single" w:sz="8" w:color="CCEEFF"/>
            </w:tcBorders>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Scheetz(3)</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2,728,875</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Matthew MacDonald(3)</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Prasad Phatak</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Grossman(4)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Alex Weil</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Woodrow H. Levin(5)</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Julie Atkinson</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Bernard Van der Lande</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officers and directors as a group (10 individuals)(3)(4)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Ventoux Acquisition Holdings LLC(6)</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Chardan International Investments, LLC(7)</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MMCAP International Inc. SPC (8)</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1,300,000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Polar Asset Management Partners Inc.(9)</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Mizuho Financial Group, Inc.(10)</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1,150,000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Weiss Asset Management LP(11)</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6240" w:type="dxa"/>
            <w:vAlign w:val="bottom"/>
            <w:gridSpan w:val="2"/>
          </w:tcPr>
          <w:p>
            <w:pPr>
              <w:ind w:left="280"/>
              <w:spacing w:after="0"/>
              <w:rPr>
                <w:sz w:val="20"/>
                <w:szCs w:val="20"/>
                <w:color w:val="auto"/>
              </w:rPr>
            </w:pPr>
            <w:r>
              <w:rPr>
                <w:rFonts w:ascii="Arial" w:cs="Arial" w:eastAsia="Arial" w:hAnsi="Arial"/>
                <w:sz w:val="18"/>
                <w:szCs w:val="18"/>
                <w:color w:val="auto"/>
              </w:rPr>
              <w:t>Less than 1%.</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stockholders is c/o Ventoux CCM Acquisition Corp., 1 East Putnam Avenue, Floor 4, Greenwich, CT 06830.</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shares issuable pursuant to warrants and rights issued in connection with the IPO. The warrants will not become exercisable until the later of one year after the closing of the IPO or the consummation of an initial business combination. Each holder of a right will receive one-twentieth (1/20) of a share of common stock upon consummation of our initial business combination.</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shares owned by Ventoux Acquisition Holdings LLC, for which Edward Scheetz and Matthew MacDonald are the managing members.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owned by Chardan International Investments, LLC, for which Jonas Grossman is the managing member.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shares owned by Blind 1212, LLC for which Woodrow H. Levin is the sole and managing member.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Edward Scheetz and Matthew MacDonald are the managing members of Ventoux Acquisition Holdings LLC.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Jonas Grossman is the managing member of Chardan International Investments,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left="660" w:hanging="652"/>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 filed on February 10, 2021. According to the Schedule 13G, as of December 30, 2020, each of MMCAP International Inc. SPC and MM Asset Management Inc. has shared voting and dispositive power over 1,300,000 units convertible into 1,300,000 shares, warrants exercisable for 650,000 shares and rights exchangeable for 65,000 shares of our common stock. The address for MMCAP International Inc. is Mourant Governance Services (Cayman) Limited, 94 Solaris Avenue, Camana Bay, P.O. Box 1348, Grand Cayman, KY1-1108, Cayman Islands. The address for MM Asset Management Inc. is 161 Bay Street, TD Canada Trust Tower Ste 2240, Toronto, ON M5J 2S1, Canada.</w:t>
      </w:r>
    </w:p>
    <w:p>
      <w:pPr>
        <w:spacing w:after="0" w:line="192"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reported is based on a Schedule 13G filed on February 11, 2021. According to the Schedule 13G, as of December 31, 2020, Polar Asset Management Partners Inc. (“Polar”), which serves as the investment advisor to Polar Multi-Strategy Master Fund (“PMSMF”) with respect to the 1,3000,000 shares of our common stock directly held by PMSMF, has sole voting and dispositive power with respect to such securities. The address for Polar is 401 Bay Street, Suite 1900, PO Box 19, Toronto, Ontario M5H 2Y4, Canada.</w:t>
      </w:r>
    </w:p>
    <w:p>
      <w:pPr>
        <w:spacing w:after="0" w:line="171"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is based on a Schedule 13G filed on February 12, 2021. According to the Schedule 13G, as of December 31, 2020, Mizuho Financial Group, Inc., Mizuho Bank, Ltd. and Mizuho Americas LLC may be deemed to be indirect beneficial owners of 1,150,000 shares of our common stock held by Mizuho Securities USA LLC, which is their wholly-owned subsidiary. Mizuho Financial Group, Inc. has sole voting and dispositive power over such securities. The address of each of Mizuho Financial Group, Inc. and Mizuho Bank, Ltd. is 1–5–5, Otemachi, Chiyoda–ku, Tokyo 100–8176, Japan. The address of each of Mizuho Americas LLC and Mizuho Securities USA LLC is 1271 Avenue of the Americas, New York, NY 10020.</w:t>
      </w:r>
    </w:p>
    <w:p>
      <w:pPr>
        <w:spacing w:after="0" w:line="192"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is based on a Schedule 13G filed on February 12, 2021. According to the Schedule 13G, as of December 31, 2020, each of Weiss Asset Management LP, WAM GP LLC and Andrew M. Weiss has shared voting and dispositive power over 1,200,000 shares of our common stock. Weiss Asset Management LP is the sole investment manager to a private investment partnership (the “Partnership”) and a private investment fund (“Fund”). WAM GP LLC is the sole general partner of Weiss Asset Management LP. Andrew Weiss is the managing member of WAM GP LLC. Shares reported for WAM GP LLC, Andrew Weiss and Weiss Asset Management LP include shares beneficially owned by the Partnership and the Fund. The address for each of Weiss Asset Management LP, WAM GP LLC and Andrew M. Weiss is 222 Berkeley St., 16th floor, Boston, MA 02116.</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13.</w:t>
      </w:r>
      <w:r>
        <w:rPr>
          <w:rFonts w:ascii="Arial" w:cs="Arial" w:eastAsia="Arial" w:hAnsi="Arial"/>
          <w:sz w:val="18"/>
          <w:szCs w:val="18"/>
          <w:b w:val="1"/>
          <w:bCs w:val="1"/>
          <w:color w:val="auto"/>
        </w:rPr>
        <w:tab/>
        <w:t>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20, 2020, the Company issued an unsecured promissory note to Ventoux Acquisition. The outstanding balance under the promissory note of $151,812 was repaid in full on December 31,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at the closing of the IPO, the Company’s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the Company an aggregate of 675,000 Private Warrants at $1.00 per Private Warrant (for a total purchase price of $675,000). As of December 31, 2020, the Company had no loans outstanding, including any loans from its directors or officers.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w:t>
      </w:r>
    </w:p>
    <w:p>
      <w:pPr>
        <w:spacing w:after="0" w:line="2" w:lineRule="exact"/>
        <w:rPr>
          <w:sz w:val="20"/>
          <w:szCs w:val="20"/>
          <w:color w:val="auto"/>
        </w:rPr>
      </w:pPr>
    </w:p>
    <w:p>
      <w:pPr>
        <w:jc w:val="both"/>
        <w:ind w:firstLine="8"/>
        <w:spacing w:after="0" w:line="253" w:lineRule="auto"/>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of directors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listing standards require that a majority of our board of directors be independent. For a description of the director independence, see above Part III, Item 10 – Directors, Executive Officers and Corporate Governance.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year ended December 31, 2020, fees for our independent registered public accounting firm were approximately $65,400,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Withum performed in connection with our IPO and the audit of our December 31, 2020 financial statements included in this Annual Report on Form 10-K.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 ended December 31, 2020, our independent registered public accounting firm did not render assurance and related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performance of the audit or review of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year ended December 31, 2020, fees for our independent registered public accounting firm were approximately $7,500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year ended December 31, 2020, there were no fees billed for products and services provided by our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5260"/>
        <w:spacing w:after="0"/>
        <w:rPr>
          <w:sz w:val="20"/>
          <w:szCs w:val="20"/>
          <w:color w:val="auto"/>
        </w:rPr>
      </w:pPr>
      <w:r>
        <w:rPr>
          <w:rFonts w:ascii="Arial" w:cs="Arial" w:eastAsia="Arial" w:hAnsi="Arial"/>
          <w:sz w:val="18"/>
          <w:szCs w:val="18"/>
          <w:b w:val="1"/>
          <w:bCs w:val="1"/>
          <w:color w:val="010000"/>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15.</w:t>
      </w:r>
      <w:r>
        <w:rPr>
          <w:rFonts w:ascii="Arial" w:cs="Arial" w:eastAsia="Arial" w:hAnsi="Arial"/>
          <w:sz w:val="18"/>
          <w:szCs w:val="18"/>
          <w:b w:val="1"/>
          <w:bCs w:val="1"/>
          <w:color w:val="auto"/>
        </w:rPr>
        <w:tab/>
        <w:t>EXHIBIT AND FINANCIAL STATEMENT SCHEDULES</w:t>
      </w:r>
    </w:p>
    <w:p>
      <w:pPr>
        <w:spacing w:after="0" w:line="22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are filed with this report:</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196"/>
        </w:trPr>
        <w:tc>
          <w:tcPr>
            <w:tcW w:w="10120" w:type="dxa"/>
            <w:vAlign w:val="bottom"/>
            <w:gridSpan w:val="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Report of Independent Registered Public Accounting Firm</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590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996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Balance Sheets (as restated)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Statements of Operations (as restated)</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32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Statements of Changes in Stockholders’ Equity (as restated)</w:t>
              </w:r>
            </w:hyperlink>
          </w:p>
        </w:tc>
        <w:tc>
          <w:tcPr>
            <w:tcW w:w="56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176"/>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Statements of Cash Flows (as restated)</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0"/>
        </w:trPr>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996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Notes to Financial Statements (as restated)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rPr>
              <w:t>(2)  Financial Statement Schedules:</w:t>
            </w:r>
          </w:p>
        </w:tc>
        <w:tc>
          <w:tcPr>
            <w:tcW w:w="11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7"/>
          </w:tcPr>
          <w:p>
            <w:pPr>
              <w:ind w:left="540"/>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r>
      <w:tr>
        <w:trPr>
          <w:trHeight w:val="432"/>
        </w:trPr>
        <w:tc>
          <w:tcPr>
            <w:tcW w:w="440" w:type="dxa"/>
            <w:vAlign w:val="bottom"/>
            <w:gridSpan w:val="2"/>
          </w:tcPr>
          <w:p>
            <w:pPr>
              <w:spacing w:after="0"/>
              <w:rPr>
                <w:sz w:val="20"/>
                <w:szCs w:val="20"/>
                <w:color w:val="auto"/>
              </w:rPr>
            </w:pPr>
            <w:r>
              <w:rPr>
                <w:rFonts w:ascii="Arial" w:cs="Arial" w:eastAsia="Arial" w:hAnsi="Arial"/>
                <w:sz w:val="18"/>
                <w:szCs w:val="18"/>
                <w:color w:val="auto"/>
              </w:rPr>
              <w:t>(b)</w:t>
            </w: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rPr>
              <w:t>Exhibits</w:t>
            </w:r>
          </w:p>
        </w:tc>
        <w:tc>
          <w:tcPr>
            <w:tcW w:w="11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obtained from the SEC’s website at http://www.sec.gov.</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44">
              <w:r>
                <w:rPr>
                  <w:rFonts w:ascii="Arial" w:cs="Arial" w:eastAsia="Arial" w:hAnsi="Arial"/>
                  <w:sz w:val="18"/>
                  <w:szCs w:val="18"/>
                  <w:color w:val="0000EE"/>
                  <w:w w:val="93"/>
                </w:rPr>
                <w:t>Underwriting Agreement, dated December 23, 2020, by and between the Company and Chardan Capital Markets, LLC (incorporated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4"/>
              </w:rPr>
            </w:pPr>
            <w:hyperlink r:id="rId44">
              <w:r>
                <w:rPr>
                  <w:rFonts w:ascii="Arial" w:cs="Arial" w:eastAsia="Arial" w:hAnsi="Arial"/>
                  <w:sz w:val="18"/>
                  <w:szCs w:val="18"/>
                  <w:color w:val="0000EE"/>
                  <w:w w:val="94"/>
                </w:rPr>
                <w:t>reference to Exhibit 1.1 to the Current Report on Form 8-K filed with the Securities and Exchange Commission on December 31,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Amended and Restated Certificate of Incorporation (incorporated by reference to Exhibit 3.1 to the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the Securities and Exchange Commission on 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7"/>
              </w:rPr>
            </w:pPr>
            <w:hyperlink r:id="rId46">
              <w:r>
                <w:rPr>
                  <w:rFonts w:ascii="Arial" w:cs="Arial" w:eastAsia="Arial" w:hAnsi="Arial"/>
                  <w:sz w:val="18"/>
                  <w:szCs w:val="18"/>
                  <w:color w:val="0000EE"/>
                  <w:w w:val="97"/>
                </w:rPr>
                <w:t>Bylaws (incorporated by reference to Exhibit 3.5 to the Registration Statement on Form S-1 filed with the Securities and Exchange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Commission on December 1,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Specimen Unit Certificate (incorporated by reference to Exhibit 4.1 to the Registration Statement on Form S-1/A filed with the Securities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and Exchange Commission on December 15,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Specimen Common Stock Certificate (incorporated by reference to Exhibit 4.2 to the Registration Statement on Form S-1/A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Securities and Exchange Commission on December 15,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8"/>
              </w:rPr>
            </w:pPr>
            <w:hyperlink r:id="rId49">
              <w:r>
                <w:rPr>
                  <w:rFonts w:ascii="Arial" w:cs="Arial" w:eastAsia="Arial" w:hAnsi="Arial"/>
                  <w:sz w:val="18"/>
                  <w:szCs w:val="18"/>
                  <w:color w:val="0000EE"/>
                  <w:w w:val="98"/>
                </w:rPr>
                <w:t>Specimen Warrant Certificate (incorporated by reference to Exhibit 4.3 to the Registration Statement on Form S-1/A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Securities and Exchange Commission on December 15,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8"/>
              </w:rPr>
            </w:pPr>
            <w:hyperlink r:id="rId50">
              <w:r>
                <w:rPr>
                  <w:rFonts w:ascii="Arial" w:cs="Arial" w:eastAsia="Arial" w:hAnsi="Arial"/>
                  <w:sz w:val="18"/>
                  <w:szCs w:val="18"/>
                  <w:color w:val="0000EE"/>
                  <w:w w:val="98"/>
                </w:rPr>
                <w:t>Warrant Agreement, dated December 23, 2020, by and between the Company and Continental Stock Transfer &amp; Trust Company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7"/>
              </w:rPr>
            </w:pPr>
            <w:hyperlink r:id="rId50">
              <w:r>
                <w:rPr>
                  <w:rFonts w:ascii="Arial" w:cs="Arial" w:eastAsia="Arial" w:hAnsi="Arial"/>
                  <w:sz w:val="18"/>
                  <w:szCs w:val="18"/>
                  <w:color w:val="0000EE"/>
                  <w:w w:val="97"/>
                </w:rPr>
                <w:t>(incorporated by reference to Exhibit 4.1 to the Current Report on Form 8-K filed with the Securities and Exchange Commission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r:id="rId51">
              <w:r>
                <w:rPr>
                  <w:rFonts w:ascii="Arial" w:cs="Arial" w:eastAsia="Arial" w:hAnsi="Arial"/>
                  <w:sz w:val="18"/>
                  <w:szCs w:val="18"/>
                  <w:color w:val="0000EE"/>
                  <w:w w:val="99"/>
                </w:rPr>
                <w:t>Rights Agreement, dated December 23, 2020, by and between the Company and Continental Stock Transfer &amp; Trust Company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51">
              <w:r>
                <w:rPr>
                  <w:rFonts w:ascii="Arial" w:cs="Arial" w:eastAsia="Arial" w:hAnsi="Arial"/>
                  <w:sz w:val="18"/>
                  <w:szCs w:val="18"/>
                  <w:color w:val="0000EE"/>
                  <w:w w:val="97"/>
                </w:rPr>
                <w:t>(incorporated by reference to Exhibit 4.2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8"/>
              </w:rPr>
            </w:pPr>
            <w:hyperlink r:id="rId52">
              <w:r>
                <w:rPr>
                  <w:rFonts w:ascii="Arial" w:cs="Arial" w:eastAsia="Arial" w:hAnsi="Arial"/>
                  <w:sz w:val="18"/>
                  <w:szCs w:val="18"/>
                  <w:color w:val="0000EE"/>
                  <w:w w:val="98"/>
                </w:rPr>
                <w:t>Description of Securities (incorporated by reference to Exhibit 4.6 to the Annual Report on Form 10-K filed with the Securities and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Exchange Commission on March 30,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Letter Agreements, dated December 23, 2020, by and between the Company and the Company’s officers, directors and initial stockholders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3">
              <w:r>
                <w:rPr>
                  <w:rFonts w:ascii="Arial" w:cs="Arial" w:eastAsia="Arial" w:hAnsi="Arial"/>
                  <w:sz w:val="18"/>
                  <w:szCs w:val="18"/>
                  <w:color w:val="0000EE"/>
                  <w:w w:val="96"/>
                </w:rPr>
                <w:t>(incorporated by reference to Exhibit 10.1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Investment Management Trust Agreement, dated December 23, 2020, by and between the Company and Continental Stock Transfer &amp;</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6"/>
              </w:rPr>
            </w:pPr>
            <w:hyperlink r:id="rId54">
              <w:r>
                <w:rPr>
                  <w:rFonts w:ascii="Arial" w:cs="Arial" w:eastAsia="Arial" w:hAnsi="Arial"/>
                  <w:sz w:val="18"/>
                  <w:szCs w:val="18"/>
                  <w:color w:val="0000EE"/>
                  <w:w w:val="96"/>
                </w:rPr>
                <w:t>Trust Company (incorporated by reference to Exhibit 10.2 to the Current Report on Form 8-K filed with the Securities and Exchange</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Commission on December 31, 2020)</w:t>
              </w:r>
            </w:hyperlink>
          </w:p>
        </w:tc>
        <w:tc>
          <w:tcPr>
            <w:tcW w:w="742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ind w:left="4400"/>
              <w:spacing w:after="0"/>
              <w:rPr>
                <w:sz w:val="20"/>
                <w:szCs w:val="20"/>
                <w:color w:val="auto"/>
              </w:rPr>
            </w:pPr>
            <w:r>
              <w:rPr>
                <w:rFonts w:ascii="Arial" w:cs="Arial" w:eastAsia="Arial" w:hAnsi="Arial"/>
                <w:sz w:val="18"/>
                <w:szCs w:val="18"/>
                <w:color w:val="auto"/>
              </w:rPr>
              <w:t>29</w:t>
            </w:r>
          </w:p>
        </w:tc>
        <w:tc>
          <w:tcPr>
            <w:tcW w:w="5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10.3</w:t>
            </w:r>
          </w:p>
        </w:tc>
        <w:tc>
          <w:tcPr>
            <w:tcW w:w="1010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4"/>
              </w:rPr>
            </w:pPr>
            <w:hyperlink r:id="rId55">
              <w:r>
                <w:rPr>
                  <w:rFonts w:ascii="Arial" w:cs="Arial" w:eastAsia="Arial" w:hAnsi="Arial"/>
                  <w:sz w:val="18"/>
                  <w:szCs w:val="18"/>
                  <w:color w:val="0000EE"/>
                  <w:w w:val="94"/>
                </w:rPr>
                <w:t>Stock Escrow Agreement, dated December 23, 2020, by and between the Company and Continental Stock Transfer &amp; Trust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(incorporated by reference to Exhibit 10.3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0100" w:type="dxa"/>
            <w:vAlign w:val="bottom"/>
            <w:gridSpan w:val="10"/>
          </w:tcPr>
          <w:p>
            <w:pPr>
              <w:spacing w:after="0" w:line="176"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Registration Rights Agreement, dated December 23, 2020, by and between the Company and the initial stockholders of the Company</w:t>
              </w:r>
            </w:hyperlink>
          </w:p>
        </w:tc>
      </w:tr>
      <w:tr>
        <w:trPr>
          <w:trHeight w:val="20"/>
        </w:trPr>
        <w:tc>
          <w:tcPr>
            <w:tcW w:w="11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6">
              <w:r>
                <w:rPr>
                  <w:rFonts w:ascii="Arial" w:cs="Arial" w:eastAsia="Arial" w:hAnsi="Arial"/>
                  <w:sz w:val="18"/>
                  <w:szCs w:val="18"/>
                  <w:color w:val="0000EE"/>
                  <w:w w:val="96"/>
                </w:rPr>
                <w:t>(incorporated by reference to Exhibit 10.4 to the Current Report on Form 8-K filed with the Securities and Exchange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9"/>
              </w:rPr>
            </w:pPr>
            <w:hyperlink r:id="rId57">
              <w:r>
                <w:rPr>
                  <w:rFonts w:ascii="Arial" w:cs="Arial" w:eastAsia="Arial" w:hAnsi="Arial"/>
                  <w:sz w:val="18"/>
                  <w:szCs w:val="18"/>
                  <w:color w:val="0000EE"/>
                  <w:w w:val="99"/>
                </w:rPr>
                <w:t>Indemnity Agreements, dated December 23, 2020, by and between the Company and the directors and officers of the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7">
              <w:r>
                <w:rPr>
                  <w:rFonts w:ascii="Arial" w:cs="Arial" w:eastAsia="Arial" w:hAnsi="Arial"/>
                  <w:sz w:val="18"/>
                  <w:szCs w:val="18"/>
                  <w:color w:val="0000EE"/>
                  <w:w w:val="96"/>
                </w:rPr>
                <w:t>(incorporated by reference to Exhibit 10.5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Subscription Agreement, dated December 23, 2020, by and between the Company and Ventoux Acquisition Holdings LLC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reference to Exhibit 10.6 to the Current Report on Form 8-K filed with the Securities and Exchange Commission on 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9"/>
              </w:rPr>
            </w:pPr>
            <w:hyperlink r:id="rId59">
              <w:r>
                <w:rPr>
                  <w:rFonts w:ascii="Arial" w:cs="Arial" w:eastAsia="Arial" w:hAnsi="Arial"/>
                  <w:sz w:val="18"/>
                  <w:szCs w:val="18"/>
                  <w:color w:val="0000EE"/>
                  <w:w w:val="99"/>
                </w:rPr>
                <w:t>Subscription Agreement, dated December 23, 2020, by and between the Company and Chardan International Investments,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9">
              <w:r>
                <w:rPr>
                  <w:rFonts w:ascii="Arial" w:cs="Arial" w:eastAsia="Arial" w:hAnsi="Arial"/>
                  <w:sz w:val="18"/>
                  <w:szCs w:val="18"/>
                  <w:color w:val="0000EE"/>
                  <w:w w:val="96"/>
                </w:rPr>
                <w:t>(incorporated by reference to Exhibit 10.7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0100" w:type="dxa"/>
            <w:vAlign w:val="bottom"/>
            <w:gridSpan w:val="10"/>
          </w:tcPr>
          <w:p>
            <w:pPr>
              <w:spacing w:after="0" w:line="17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Business Combination Marketing Agreement, dated December 23, 2020, by and between the Company and Chardan Capital Markets, LLC</w:t>
              </w:r>
            </w:hyperlink>
          </w:p>
        </w:tc>
      </w:tr>
      <w:tr>
        <w:trPr>
          <w:trHeight w:val="20"/>
        </w:trPr>
        <w:tc>
          <w:tcPr>
            <w:tcW w:w="11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(incorporated by reference to Exhibit 10.8 to the Current Report on Form 8-K filed with the Securities and Exchange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7"/>
              </w:rPr>
            </w:pPr>
            <w:hyperlink r:id="rId61">
              <w:r>
                <w:rPr>
                  <w:rFonts w:ascii="Arial" w:cs="Arial" w:eastAsia="Arial" w:hAnsi="Arial"/>
                  <w:sz w:val="18"/>
                  <w:szCs w:val="18"/>
                  <w:color w:val="0000EE"/>
                  <w:w w:val="97"/>
                </w:rPr>
                <w:t>Administrative Services Agreement, dated December 23, 2020, by and between the Company and Chardan Capital Markets,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(incorporated by reference to Exhibit 10.9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14.1</w:t>
            </w:r>
          </w:p>
        </w:tc>
        <w:tc>
          <w:tcPr>
            <w:tcW w:w="10100" w:type="dxa"/>
            <w:vAlign w:val="bottom"/>
            <w:gridSpan w:val="10"/>
          </w:tcPr>
          <w:p>
            <w:pPr>
              <w:spacing w:after="0" w:line="176" w:lineRule="exact"/>
              <w:rPr>
                <w:rFonts w:ascii="Arial" w:cs="Arial" w:eastAsia="Arial" w:hAnsi="Arial"/>
                <w:sz w:val="18"/>
                <w:szCs w:val="18"/>
                <w:color w:val="0000EE"/>
                <w:w w:val="94"/>
              </w:rPr>
            </w:pPr>
            <w:hyperlink r:id="rId62">
              <w:r>
                <w:rPr>
                  <w:rFonts w:ascii="Arial" w:cs="Arial" w:eastAsia="Arial" w:hAnsi="Arial"/>
                  <w:sz w:val="18"/>
                  <w:szCs w:val="18"/>
                  <w:color w:val="0000EE"/>
                  <w:w w:val="94"/>
                </w:rPr>
                <w:t>Form of Code of Ethics (incorporated by reference to Exhibit 14.1 to the Registration Statement on Form S-1/A filed with the Securities</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and Exchange Commission on December 15, 2020)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Certification of Principal Executive Officer and Principal Financial Officer pursuant to 18 U.S.C. Section 1350, as adopted pursuant to</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34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Section 906 of the Sarbanes-Oxley Act of 2002.</w:t>
              </w:r>
            </w:hyperlink>
          </w:p>
        </w:tc>
        <w:tc>
          <w:tcPr>
            <w:tcW w:w="664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8"/>
              </w:rPr>
            </w:pPr>
            <w:hyperlink r:id="rId63">
              <w:r>
                <w:rPr>
                  <w:rFonts w:ascii="Arial" w:cs="Arial" w:eastAsia="Arial" w:hAnsi="Arial"/>
                  <w:sz w:val="18"/>
                  <w:szCs w:val="18"/>
                  <w:color w:val="0000EE"/>
                  <w:w w:val="98"/>
                </w:rPr>
                <w:t>Form of Nominating and Corporate Governance Committee Charter (incorporated by reference to Exhibit 99.1 to the Registration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Statement on Form S-1/A filed with the Securities and Exchange Commission on December 15,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Form of Audit Committee Charter (incorporated by reference to Exhibit 99.2 to the Registration Statement on Form S-1/A filed with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Securities and Exchange Commission on December 15, 2020)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99.3</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Form of Compensation Committee Charter (incorporated by reference to Exhibit 99.3 to the Registration Statement on Form S-1/A filed</w:t>
              </w:r>
            </w:hyperlink>
          </w:p>
        </w:tc>
      </w:tr>
      <w:tr>
        <w:trPr>
          <w:trHeight w:val="196"/>
        </w:trPr>
        <w:tc>
          <w:tcPr>
            <w:tcW w:w="1140" w:type="dxa"/>
            <w:vAlign w:val="bottom"/>
          </w:tcPr>
          <w:p>
            <w:pPr>
              <w:spacing w:after="0"/>
              <w:rPr>
                <w:sz w:val="17"/>
                <w:szCs w:val="17"/>
                <w:color w:val="auto"/>
              </w:rPr>
            </w:pPr>
          </w:p>
        </w:tc>
        <w:tc>
          <w:tcPr>
            <w:tcW w:w="5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with the Securities and Exchange Commission on December 15, 2020)</w:t>
              </w:r>
            </w:hyperlink>
          </w:p>
        </w:tc>
        <w:tc>
          <w:tcPr>
            <w:tcW w:w="5000" w:type="dxa"/>
            <w:vAlign w:val="bottom"/>
            <w:gridSpan w:val="4"/>
          </w:tcPr>
          <w:p>
            <w:pPr>
              <w:spacing w:after="0"/>
              <w:rPr>
                <w:sz w:val="17"/>
                <w:szCs w:val="17"/>
                <w:color w:val="auto"/>
              </w:rPr>
            </w:pPr>
          </w:p>
        </w:tc>
      </w:tr>
    </w:tbl>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16.</w:t>
      </w:r>
      <w:r>
        <w:rPr>
          <w:rFonts w:ascii="Arial" w:cs="Arial" w:eastAsia="Arial" w:hAnsi="Arial"/>
          <w:sz w:val="18"/>
          <w:szCs w:val="18"/>
          <w:b w:val="1"/>
          <w:bCs w:val="1"/>
          <w:color w:val="auto"/>
        </w:rPr>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100" w:type="dxa"/>
            <w:vAlign w:val="bottom"/>
            <w:gridSpan w:val="2"/>
          </w:tcPr>
          <w:p>
            <w:pPr>
              <w:ind w:left="262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4140" w:type="dxa"/>
            <w:vAlign w:val="bottom"/>
          </w:tcPr>
          <w:p>
            <w:pPr>
              <w:spacing w:after="0"/>
              <w:rPr>
                <w:sz w:val="20"/>
                <w:szCs w:val="20"/>
                <w:color w:val="auto"/>
              </w:rPr>
            </w:pPr>
            <w:r>
              <w:rPr>
                <w:rFonts w:ascii="Arial" w:cs="Arial" w:eastAsia="Arial" w:hAnsi="Arial"/>
                <w:sz w:val="18"/>
                <w:szCs w:val="18"/>
                <w:color w:val="auto"/>
              </w:rPr>
              <w:t>Dated: June 22, 2021</w:t>
            </w:r>
          </w:p>
        </w:tc>
        <w:tc>
          <w:tcPr>
            <w:tcW w:w="3300" w:type="dxa"/>
            <w:vAlign w:val="bottom"/>
          </w:tcPr>
          <w:p>
            <w:pPr>
              <w:ind w:left="262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4140" w:type="dxa"/>
            <w:vAlign w:val="bottom"/>
          </w:tcPr>
          <w:p>
            <w:pPr>
              <w:spacing w:after="0"/>
              <w:rPr>
                <w:sz w:val="17"/>
                <w:szCs w:val="17"/>
                <w:color w:val="auto"/>
              </w:rPr>
            </w:pPr>
          </w:p>
        </w:tc>
        <w:tc>
          <w:tcPr>
            <w:tcW w:w="330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30"/>
        </w:trPr>
        <w:tc>
          <w:tcPr>
            <w:tcW w:w="4140" w:type="dxa"/>
            <w:vAlign w:val="bottom"/>
          </w:tcPr>
          <w:p>
            <w:pPr>
              <w:spacing w:after="0"/>
              <w:rPr>
                <w:sz w:val="20"/>
                <w:szCs w:val="20"/>
                <w:color w:val="auto"/>
              </w:rPr>
            </w:pPr>
          </w:p>
        </w:tc>
        <w:tc>
          <w:tcPr>
            <w:tcW w:w="3300" w:type="dxa"/>
            <w:vAlign w:val="bottom"/>
          </w:tcPr>
          <w:p>
            <w:pPr>
              <w:ind w:left="262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in the capacities and on the dates indicated.</w:t>
      </w:r>
    </w:p>
    <w:p>
      <w:pPr>
        <w:sectPr>
          <w:pgSz w:w="11900" w:h="16838" w:orient="portrait"/>
          <w:cols w:equalWidth="0" w:num="1">
            <w:col w:w="11240"/>
          </w:cols>
          <w:pgMar w:left="320" w:top="337" w:right="339" w:bottom="1440" w:gutter="0" w:footer="0" w:header="0"/>
        </w:sectPr>
      </w:pPr>
    </w:p>
    <w:p>
      <w:pPr>
        <w:spacing w:after="0" w:line="16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317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Scheetz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MacDonald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Woodrow H. Levin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Julie Atkinson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Bernard Van der Lande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and Chief Executive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1900" w:type="dxa"/>
            <w:vAlign w:val="bottom"/>
          </w:tcPr>
          <w:p>
            <w:pPr>
              <w:spacing w:after="0"/>
              <w:rPr>
                <w:sz w:val="20"/>
                <w:szCs w:val="20"/>
                <w:color w:val="auto"/>
              </w:rPr>
            </w:pPr>
          </w:p>
        </w:tc>
      </w:tr>
      <w:tr>
        <w:trPr>
          <w:trHeight w:val="431"/>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r>
        <w:trPr>
          <w:trHeight w:val="216"/>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Accounting and Financial Officer),</w:t>
            </w:r>
          </w:p>
        </w:tc>
        <w:tc>
          <w:tcPr>
            <w:tcW w:w="1900" w:type="dxa"/>
            <w:vAlign w:val="bottom"/>
          </w:tcPr>
          <w:p>
            <w:pPr>
              <w:spacing w:after="0"/>
              <w:rPr>
                <w:sz w:val="18"/>
                <w:szCs w:val="18"/>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Secretary and Director</w:t>
            </w:r>
          </w:p>
        </w:tc>
        <w:tc>
          <w:tcPr>
            <w:tcW w:w="1900" w:type="dxa"/>
            <w:vAlign w:val="bottom"/>
          </w:tcPr>
          <w:p>
            <w:pPr>
              <w:spacing w:after="0"/>
              <w:rPr>
                <w:sz w:val="20"/>
                <w:szCs w:val="20"/>
                <w:color w:val="auto"/>
              </w:rPr>
            </w:pPr>
          </w:p>
        </w:tc>
      </w:tr>
      <w:tr>
        <w:trPr>
          <w:trHeight w:val="446"/>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June 22, 2021</w:t>
            </w:r>
          </w:p>
        </w:tc>
      </w:tr>
    </w:tbl>
    <w:p>
      <w:pPr>
        <w:spacing w:after="0" w:line="406" w:lineRule="exact"/>
        <w:rPr>
          <w:sz w:val="20"/>
          <w:szCs w:val="20"/>
          <w:color w:val="auto"/>
        </w:rPr>
      </w:pPr>
    </w:p>
    <w:p>
      <w:pPr>
        <w:sectPr>
          <w:pgSz w:w="11900" w:h="16838" w:orient="portrait"/>
          <w:cols w:equalWidth="0" w:num="2">
            <w:col w:w="4020" w:space="720"/>
            <w:col w:w="6500"/>
          </w:cols>
          <w:pgMar w:left="320" w:top="337"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rPr>
              <w:t>VENTOUX CCM ACQUISITION CORP.</w:t>
            </w:r>
          </w:p>
        </w:tc>
        <w:tc>
          <w:tcPr>
            <w:tcW w:w="10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Report of Independent Registered Public Accounting Firm</w:t>
              </w:r>
            </w:hyperlink>
          </w:p>
        </w:tc>
        <w:tc>
          <w:tcPr>
            <w:tcW w:w="10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F-2</w:t>
            </w:r>
          </w:p>
        </w:tc>
      </w:tr>
      <w:tr>
        <w:trPr>
          <w:trHeight w:val="216"/>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020" w:type="dxa"/>
            <w:vAlign w:val="bottom"/>
            <w:tcBorders>
              <w:top w:val="single" w:sz="8" w:color="CCEEFF"/>
            </w:tcBorders>
            <w:gridSpan w:val="5"/>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Balance Sheets as of December 31, 2020 (as restated) and 2019</w:t>
              </w:r>
            </w:hyperlink>
          </w:p>
        </w:tc>
        <w:tc>
          <w:tcPr>
            <w:tcW w:w="550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F-3</w:t>
            </w:r>
          </w:p>
        </w:tc>
      </w:tr>
      <w:tr>
        <w:trPr>
          <w:trHeight w:val="175"/>
        </w:trPr>
        <w:tc>
          <w:tcPr>
            <w:tcW w:w="160" w:type="dxa"/>
            <w:vAlign w:val="bottom"/>
          </w:tcPr>
          <w:p>
            <w:pPr>
              <w:spacing w:after="0"/>
              <w:rPr>
                <w:sz w:val="15"/>
                <w:szCs w:val="15"/>
                <w:color w:val="auto"/>
              </w:rPr>
            </w:pPr>
          </w:p>
        </w:tc>
        <w:tc>
          <w:tcPr>
            <w:tcW w:w="10080" w:type="dxa"/>
            <w:vAlign w:val="bottom"/>
            <w:gridSpan w:val="8"/>
          </w:tcPr>
          <w:p>
            <w:pPr>
              <w:spacing w:after="0" w:line="17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Statements of Operations for the year ended December 31, 2020 (as restated) and for the period from July 10, 2019 (Inception) through</w:t>
              </w:r>
            </w:hyperlink>
          </w:p>
        </w:tc>
        <w:tc>
          <w:tcPr>
            <w:tcW w:w="10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December 31, 2019</w:t>
              </w:r>
            </w:hyperlink>
          </w:p>
        </w:tc>
        <w:tc>
          <w:tcPr>
            <w:tcW w:w="1000" w:type="dxa"/>
            <w:vAlign w:val="bottom"/>
          </w:tcPr>
          <w:p>
            <w:pPr>
              <w:ind w:left="300"/>
              <w:spacing w:after="0" w:line="196" w:lineRule="exact"/>
              <w:rPr>
                <w:sz w:val="20"/>
                <w:szCs w:val="20"/>
                <w:color w:val="auto"/>
              </w:rPr>
            </w:pPr>
            <w:r>
              <w:rPr>
                <w:rFonts w:ascii="Arial" w:cs="Arial" w:eastAsia="Arial" w:hAnsi="Arial"/>
                <w:sz w:val="18"/>
                <w:szCs w:val="18"/>
                <w:color w:val="auto"/>
              </w:rPr>
              <w:t>F-4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68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Statements of Changes in Stockholders' Equity as of December 31, 2020 (as restated) and 2019</w:t>
              </w:r>
            </w:hyperlink>
          </w:p>
        </w:tc>
        <w:tc>
          <w:tcPr>
            <w:tcW w:w="322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F-5</w:t>
            </w:r>
          </w:p>
        </w:tc>
      </w:tr>
      <w:tr>
        <w:trPr>
          <w:trHeight w:val="176"/>
        </w:trPr>
        <w:tc>
          <w:tcPr>
            <w:tcW w:w="160" w:type="dxa"/>
            <w:vAlign w:val="bottom"/>
          </w:tcPr>
          <w:p>
            <w:pPr>
              <w:spacing w:after="0"/>
              <w:rPr>
                <w:sz w:val="15"/>
                <w:szCs w:val="15"/>
                <w:color w:val="auto"/>
              </w:rPr>
            </w:pPr>
          </w:p>
        </w:tc>
        <w:tc>
          <w:tcPr>
            <w:tcW w:w="9760" w:type="dxa"/>
            <w:vAlign w:val="bottom"/>
            <w:tcBorders>
              <w:bottom w:val="single" w:sz="8" w:color="0000EE"/>
            </w:tcBorders>
            <w:gridSpan w:val="7"/>
          </w:tcPr>
          <w:p>
            <w:pPr>
              <w:spacing w:after="0" w:line="17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Statements of Cash Flows for the year ended December 31,2020 (as restated) and for the period from July 10, 2019 (Inception) through</w:t>
              </w:r>
            </w:hyperlink>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0240" w:type="dxa"/>
            <w:vAlign w:val="bottom"/>
            <w:gridSpan w:val="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December 31, 2019</w:t>
              </w:r>
            </w:hyperlink>
          </w:p>
        </w:tc>
        <w:tc>
          <w:tcPr>
            <w:tcW w:w="1000" w:type="dxa"/>
            <w:vAlign w:val="bottom"/>
          </w:tcPr>
          <w:p>
            <w:pPr>
              <w:ind w:left="300"/>
              <w:spacing w:after="0" w:line="196" w:lineRule="exact"/>
              <w:rPr>
                <w:sz w:val="20"/>
                <w:szCs w:val="20"/>
                <w:color w:val="auto"/>
              </w:rPr>
            </w:pPr>
            <w:r>
              <w:rPr>
                <w:rFonts w:ascii="Arial" w:cs="Arial" w:eastAsia="Arial" w:hAnsi="Arial"/>
                <w:sz w:val="18"/>
                <w:szCs w:val="18"/>
                <w:color w:val="auto"/>
              </w:rPr>
              <w:t>F-6</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Notes to Financial Statements (as restated)</w:t>
              </w:r>
            </w:hyperlink>
          </w:p>
        </w:tc>
        <w:tc>
          <w:tcPr>
            <w:tcW w:w="10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F-7</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18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5500" w:type="dxa"/>
            <w:vAlign w:val="bottom"/>
            <w:tcBorders>
              <w:top w:val="single" w:sz="8" w:color="CCEEFF"/>
              <w:bottom w:val="single" w:sz="8" w:color="auto"/>
            </w:tcBorders>
            <w:gridSpan w:val="4"/>
          </w:tcPr>
          <w:p>
            <w:pPr>
              <w:jc w:val="center"/>
              <w:ind w:right="3740"/>
              <w:spacing w:after="0"/>
              <w:rPr>
                <w:sz w:val="20"/>
                <w:szCs w:val="20"/>
                <w:color w:val="auto"/>
              </w:rPr>
            </w:pPr>
            <w:r>
              <w:rPr>
                <w:rFonts w:ascii="Arial" w:cs="Arial" w:eastAsia="Arial" w:hAnsi="Arial"/>
                <w:sz w:val="18"/>
                <w:szCs w:val="18"/>
                <w:color w:val="auto"/>
                <w:w w:val="88"/>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6" w:name="page37"/>
    <w:bookmarkEnd w:id="3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balance sheets of Ventoux CCM Acquisition Corp. (the “Company”) as of December 31, 2020, and 2019, the related statements of operations, changes in stockholders’ equity and cash flows for the year ended December 31, 2020 and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for the year ended December 31, 2020 and period from July 10, 2019 (inception) through December 31, 2019,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March 30,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ind w:left="32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Prepaid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Advances from related parties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r>
      <w:tr>
        <w:trPr>
          <w:trHeight w:val="230"/>
        </w:trPr>
        <w:tc>
          <w:tcPr>
            <w:tcW w:w="1120" w:type="dxa"/>
            <w:vAlign w:val="bottom"/>
            <w:gridSpan w:val="2"/>
          </w:tcPr>
          <w:p>
            <w:pPr>
              <w:jc w:val="right"/>
              <w:spacing w:after="0"/>
              <w:rPr>
                <w:sz w:val="20"/>
                <w:szCs w:val="20"/>
                <w:color w:val="auto"/>
              </w:rPr>
            </w:pPr>
            <w:r>
              <w:rPr>
                <w:rFonts w:ascii="Arial" w:cs="Arial" w:eastAsia="Arial" w:hAnsi="Arial"/>
                <w:sz w:val="18"/>
                <w:szCs w:val="18"/>
                <w:color w:val="auto"/>
                <w:w w:val="94"/>
              </w:rPr>
              <w:t>(As Restated)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3"/>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1,071,253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r>
      <w:tr>
        <w:trPr>
          <w:trHeight w:val="237"/>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29,200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1,100,453</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0"/>
                <w:szCs w:val="20"/>
                <w:color w:val="auto"/>
              </w:rPr>
            </w:pPr>
          </w:p>
        </w:tc>
      </w:tr>
      <w:tr>
        <w:trPr>
          <w:trHeight w:val="431"/>
        </w:trPr>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151,500,000</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152,600,453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25,000</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3"/>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18,123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24"/>
                <w:szCs w:val="24"/>
                <w:color w:val="auto"/>
              </w:rPr>
            </w:pPr>
          </w:p>
        </w:tc>
      </w:tr>
      <w:tr>
        <w:trPr>
          <w:trHeight w:val="237"/>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120,005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138,128</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20"/>
                <w:szCs w:val="20"/>
                <w:color w:val="auto"/>
              </w:rPr>
            </w:pPr>
          </w:p>
        </w:tc>
      </w:tr>
      <w:tr>
        <w:trPr>
          <w:trHeight w:val="438"/>
        </w:trPr>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7,320,000</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7,458,128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20" w:type="dxa"/>
            <w:vAlign w:val="bottom"/>
          </w:tcPr>
          <w:p>
            <w:pPr>
              <w:spacing w:after="0"/>
              <w:rPr>
                <w:sz w:val="19"/>
                <w:szCs w:val="19"/>
                <w:color w:val="auto"/>
              </w:rPr>
            </w:pPr>
          </w:p>
        </w:tc>
      </w:tr>
    </w:tbl>
    <w:p>
      <w:pPr>
        <w:spacing w:after="0" w:line="604" w:lineRule="exact"/>
        <w:rPr>
          <w:sz w:val="20"/>
          <w:szCs w:val="20"/>
          <w:color w:val="auto"/>
        </w:rPr>
      </w:pPr>
    </w:p>
    <w:p>
      <w:pPr>
        <w:sectPr>
          <w:pgSz w:w="11900" w:h="16838" w:orient="portrait"/>
          <w:cols w:equalWidth="0" w:num="2">
            <w:col w:w="7960" w:space="720"/>
            <w:col w:w="2560"/>
          </w:cols>
          <w:pgMar w:left="320" w:top="904" w:right="3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subject to possible redemption, 13,875,477 and 0 shares as of December 31, 2020 and 2019 (at $10.10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share), respectively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140,142,318</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$0.0001 par value; 50,000,000 shares authorized; 5,437,023 and 4,312,500 shares issued and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outstanding (excluding 13,875,477 and 0 shares subject to possible redemption) as of December 31, 2020 and 2019,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 (1)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6,363,974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24,569</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(1,364,511)</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5,000,007</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  152,600,453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8"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numbers include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July 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(As Restated)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operational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60"/>
              <w:spacing w:after="0" w:line="203" w:lineRule="exact"/>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(18,208)</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Loss on initial issuance of private warrants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(1,140,000)</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(24,853)</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60"/>
              <w:spacing w:after="0" w:line="203" w:lineRule="exact"/>
              <w:rPr>
                <w:sz w:val="20"/>
                <w:szCs w:val="20"/>
                <w:color w:val="auto"/>
              </w:rPr>
            </w:pPr>
            <w:r>
              <w:rPr>
                <w:rFonts w:ascii="Arial" w:cs="Arial" w:eastAsia="Arial" w:hAnsi="Arial"/>
                <w:sz w:val="18"/>
                <w:szCs w:val="18"/>
                <w:color w:val="auto"/>
              </w:rPr>
              <w:t>Other expense,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(1,344,853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4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81"/>
              <w:spacing w:after="0" w:line="256" w:lineRule="exact"/>
              <w:rPr>
                <w:sz w:val="20"/>
                <w:szCs w:val="20"/>
                <w:color w:val="auto"/>
              </w:rPr>
            </w:pPr>
            <w:r>
              <w:rPr>
                <w:rFonts w:ascii="Arial" w:cs="Arial" w:eastAsia="Arial" w:hAnsi="Arial"/>
                <w:sz w:val="16"/>
                <w:szCs w:val="16"/>
                <w:b w:val="1"/>
                <w:bCs w:val="1"/>
                <w:color w:val="auto"/>
              </w:rPr>
              <w:t>(1,363,061</w:t>
            </w:r>
            <w:r>
              <w:rPr>
                <w:rFonts w:ascii="Arial" w:cs="Arial" w:eastAsia="Arial" w:hAnsi="Arial"/>
                <w:sz w:val="29"/>
                <w:szCs w:val="29"/>
                <w:b w:val="1"/>
                <w:bCs w:val="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3"/>
          </w:tcPr>
          <w:p>
            <w:pPr>
              <w:jc w:val="right"/>
              <w:ind w:right="40"/>
              <w:spacing w:after="0" w:line="256" w:lineRule="exact"/>
              <w:rPr>
                <w:sz w:val="20"/>
                <w:szCs w:val="20"/>
                <w:color w:val="auto"/>
              </w:rPr>
            </w:pPr>
            <w:r>
              <w:rPr>
                <w:rFonts w:ascii="Arial" w:cs="Arial" w:eastAsia="Arial" w:hAnsi="Arial"/>
                <w:sz w:val="16"/>
                <w:szCs w:val="16"/>
                <w:b w:val="1"/>
                <w:bCs w:val="1"/>
                <w:color w:val="auto"/>
              </w:rPr>
              <w:t>(1,450</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redeemable common stock</w:t>
            </w:r>
          </w:p>
        </w:tc>
        <w:tc>
          <w:tcPr>
            <w:tcW w:w="1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income per share, redeemable common stock</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non-redeemable common stock (1)</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3,750,000</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308"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These numbers exclude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434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10"/>
          </w:tcPr>
          <w:p>
            <w:pPr>
              <w:ind w:left="3100"/>
              <w:spacing w:after="0"/>
              <w:rPr>
                <w:sz w:val="20"/>
                <w:szCs w:val="20"/>
                <w:color w:val="auto"/>
              </w:rPr>
            </w:pPr>
            <w:r>
              <w:rPr>
                <w:rFonts w:ascii="Arial" w:cs="Arial" w:eastAsia="Arial" w:hAnsi="Arial"/>
                <w:sz w:val="18"/>
                <w:szCs w:val="18"/>
                <w:b w:val="1"/>
                <w:bCs w:val="1"/>
                <w:color w:val="auto"/>
              </w:rPr>
              <w:t>STATEMENTS OF CHANGES IN STOCKHOLDERS’ EQUITY</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10, 2019 (inception)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Initial Stockholders </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4,312,500</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24,569</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December 31, 2019</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24,569</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(1,450)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Sale of 15,000,000 Units, net of underwriting discounts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offering costs</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15,000,000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146,480,336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146,481,836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(13,875,477)</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(140,140,931)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(140,142,318)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(1,363,061)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(1,363,061)</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 (As Restated)</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5,437,023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6,363,974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(1,364,511</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308" w:lineRule="auto"/>
        <w:tabs>
          <w:tab w:leader="none" w:pos="2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number includes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RESTATED)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July 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(As Restated)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(1,363,061)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Loss on initial issuance of private warrants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1,140,000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24,853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16,673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Investment of cash into Trust Account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(151,500,000)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(151,500,000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issuance of common stock to Sponsor</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147,000,000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Private Warrants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2,520,005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advances from related parties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(2,400,000)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(151,812)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(536,205)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40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152,576,988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1,046,253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 End of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1,071,253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140,340,442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(198,124</w:t>
            </w:r>
          </w:p>
        </w:tc>
        <w:tc>
          <w:tcPr>
            <w:tcW w:w="2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paid through promissory note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and the initial public offering (“Initial Public Offering”), which is described below.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4.</w:t>
      </w:r>
    </w:p>
    <w:p>
      <w:pPr>
        <w:spacing w:after="0" w:line="184" w:lineRule="exact"/>
        <w:rPr>
          <w:sz w:val="20"/>
          <w:szCs w:val="20"/>
          <w:color w:val="auto"/>
        </w:rPr>
      </w:pPr>
    </w:p>
    <w:p>
      <w:pPr>
        <w:jc w:val="both"/>
        <w:ind w:firstLine="292"/>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5.</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Transaction costs amounted to $3,543,017, consisting of $3,000,000 in cash underwriting fees and $543,017 of other offering costs.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29, 2020, the underwriters notified the Company of their intent to fully exercise their over-allotment option. Closing of the over-allotment option occurred on January 5, 2021, when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Transaction costs related to the underwriters’ exercise of their over-allotment option were $450,000, consisting of underwriting fees. As a result of the underwriters’ election to exercise their over-allotment option in full, 562,500 Founder Shares (as defined in Note 5) are no longer subject to forfeiture.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324"/>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March 31, 2021, the Company had $1,071,253 in its operating bank accounts, $151,500,000 in securities held in the Trust Account to be used for a Business Combination or to repurchase or redeem its common stock in connection therewith and working capital of $962,325.</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229" w:lineRule="exact"/>
        <w:rPr>
          <w:sz w:val="20"/>
          <w:szCs w:val="20"/>
          <w:color w:val="auto"/>
        </w:rPr>
      </w:pPr>
    </w:p>
    <w:p>
      <w:pPr>
        <w:jc w:val="both"/>
        <w:ind w:firstLine="298"/>
        <w:spacing w:after="0" w:line="263" w:lineRule="auto"/>
        <w:rPr>
          <w:sz w:val="20"/>
          <w:szCs w:val="20"/>
          <w:color w:val="auto"/>
        </w:rPr>
      </w:pPr>
      <w:r>
        <w:rPr>
          <w:rFonts w:ascii="Arial" w:cs="Arial" w:eastAsia="Arial" w:hAnsi="Arial"/>
          <w:sz w:val="18"/>
          <w:szCs w:val="18"/>
          <w:color w:val="auto"/>
        </w:rPr>
        <w:t>The Company previously accounted for its outstanding Private Warrants as components of equity instead of as derivative liabilities. The warrant agreement governing the Private Warrants includes a provision that provides for potential changes to the settlement amounts dependent upon the characteristics of the holder of the warrant.</w:t>
      </w:r>
    </w:p>
    <w:p>
      <w:pPr>
        <w:spacing w:after="0" w:line="184" w:lineRule="exact"/>
        <w:rPr>
          <w:sz w:val="20"/>
          <w:szCs w:val="20"/>
          <w:color w:val="auto"/>
        </w:rPr>
      </w:pPr>
    </w:p>
    <w:p>
      <w:pPr>
        <w:jc w:val="both"/>
        <w:ind w:firstLine="298"/>
        <w:spacing w:after="0" w:line="257"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advises, among other things, that certain settlement terms and provisions generally present in SPAC warrants preclude such warrants from being accounted for as equity.</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a result of the SEC Statement, the Company reevaluated the accounting treatment of the Private Warrants (as defined below) in consideration of the guidance in Accounting Standards Codification (“ASC”)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xml:space="preserve">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of the board of directors, in consultation with management, concluded that the Private Warrants are not indexed to the Company’s common stock in the manner contemplated by ASC Section 815-40-15 because the holder of the instrument is not an input into the pricing of a fixed-for-fixed option on equity shares. Accordingly, the Private Warrants are required to be classified as a liability measured at fair value at inception (on the date of issuance) and at each reporting date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changes in fair value recognized in the statement of operations in the period of change.</w:t>
      </w:r>
    </w:p>
    <w:p>
      <w:pPr>
        <w:spacing w:after="0" w:line="168" w:lineRule="exact"/>
        <w:rPr>
          <w:sz w:val="20"/>
          <w:szCs w:val="20"/>
          <w:color w:val="auto"/>
        </w:rPr>
      </w:pPr>
    </w:p>
    <w:p>
      <w:pPr>
        <w:jc w:val="both"/>
        <w:ind w:firstLine="298"/>
        <w:spacing w:after="0" w:line="263" w:lineRule="auto"/>
        <w:rPr>
          <w:sz w:val="20"/>
          <w:szCs w:val="20"/>
          <w:color w:val="auto"/>
        </w:rPr>
      </w:pPr>
      <w:r>
        <w:rPr>
          <w:rFonts w:ascii="Arial" w:cs="Arial" w:eastAsia="Arial" w:hAnsi="Arial"/>
          <w:sz w:val="18"/>
          <w:szCs w:val="18"/>
          <w:color w:val="auto"/>
        </w:rPr>
        <w:t>Per the above, the Company should have classified the Private Warrants as derivative liabilities in its previously issued financial statements. Under this accounting treatment, the Company is required to measure the fair value of the Private Warrants at the end of each reporting period and recognize changes in the fair value from the prior period in the Company’s operating results for the current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firstLine="298"/>
        <w:spacing w:after="0" w:line="277" w:lineRule="auto"/>
        <w:rPr>
          <w:sz w:val="20"/>
          <w:szCs w:val="20"/>
          <w:color w:val="auto"/>
        </w:rPr>
      </w:pPr>
      <w:r>
        <w:rPr>
          <w:rFonts w:ascii="Arial" w:cs="Arial" w:eastAsia="Arial" w:hAnsi="Arial"/>
          <w:sz w:val="18"/>
          <w:szCs w:val="18"/>
          <w:color w:val="auto"/>
        </w:rPr>
        <w:t>The Company’s accounting for the Private Warrants as components of equity instead of as derivative liabilities did not have any effect on the Company’s previously reported cash or investments held in the trust account.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table below summarizes the effects of the restatement on the financial statements for all periods being restated.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Previously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Restated</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December 30, 2020</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271,817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7,140,000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7,411,817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147,480,442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(7,140,000)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140,340,442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5,001,070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1,164,783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6,165,853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(1,164,853)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(1,166,388)</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138,128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7,320,000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7,458,128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147,462,323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(7,320,005)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140,142,318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5,019,189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1,344,785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6,363,974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(19,658)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(1,344,853)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(1,364,511)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5,000,007</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Year Ended December 31, 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initial issuance of private warrants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(1,140,000)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(24,853)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(24,853)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(1,344,853)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(1,363,061)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shares outstanding, Common stock subject to possible redemption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15,000,000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shares outstanding, Common stock</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3,750,000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Common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Statement for the Year Ended December 31, 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(18,208)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(1,344,853)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(1,363,061)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initial issuance of private warrants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147,480,442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(7,140,000)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140,340,442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(18,119)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(198,124)</w:t>
            </w:r>
          </w:p>
        </w:tc>
      </w:tr>
      <w:tr>
        <w:trPr>
          <w:trHeight w:val="655"/>
        </w:trPr>
        <w:tc>
          <w:tcPr>
            <w:tcW w:w="732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F-10</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are presented in accordance with accounting principles generally accepted in the United States of America (“GAAP”) and pursuant to the rules and regulations of the SEC.</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described in Note 2—Restatement of Previously Issued Financial Statements, the Company’s financial statements for as of and for the year ended December 31, 2020 are restated in this Annual Report on Form 10-K/A (Amendment No. 1) (this “Annual Report”) to correct the misapplication of accounting guidance related to the Company’s warrants in the Company’s previously issued audited financial statements for such periods. The restated financial statements are indicated as “Restated” in the audited financial statements and accompanying notes, as applicable. See Note 2—Restatement of Previously Issued Financial Statements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Accordingly, the actual results could differ significantly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common stock subject to possible redemption is presented as temporary equity, outside of the stockholders’ equity section of the Company’s balance sheet.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$3,518,164 were charged to stockholders’ equity and $24,853 were charged to the statement of operations upon the completion of the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jc w:val="both"/>
        <w:ind w:firstLine="292"/>
        <w:spacing w:after="0" w:line="286" w:lineRule="auto"/>
        <w:rPr>
          <w:sz w:val="20"/>
          <w:szCs w:val="20"/>
          <w:color w:val="auto"/>
        </w:rPr>
      </w:pPr>
      <w:r>
        <w:rPr>
          <w:rFonts w:ascii="Arial" w:cs="Arial" w:eastAsia="Arial" w:hAnsi="Arial"/>
          <w:sz w:val="17"/>
          <w:szCs w:val="17"/>
          <w:color w:val="auto"/>
        </w:rPr>
        <w:t>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65" w:lineRule="exact"/>
        <w:rPr>
          <w:sz w:val="20"/>
          <w:szCs w:val="20"/>
          <w:color w:val="auto"/>
        </w:rPr>
      </w:pPr>
    </w:p>
    <w:p>
      <w:pPr>
        <w:jc w:val="both"/>
        <w:ind w:firstLine="292"/>
        <w:spacing w:after="0" w:line="273" w:lineRule="auto"/>
        <w:rPr>
          <w:sz w:val="20"/>
          <w:szCs w:val="20"/>
          <w:color w:val="auto"/>
        </w:rPr>
      </w:pPr>
      <w:r>
        <w:rPr>
          <w:rFonts w:ascii="Arial" w:cs="Arial" w:eastAsia="Arial" w:hAnsi="Arial"/>
          <w:sz w:val="17"/>
          <w:szCs w:val="17"/>
          <w:color w:val="auto"/>
        </w:rPr>
        <w:t>The Company accounts for the Private Warrants in accordance with the guidance contained in ASC 815-40 under which the Private Warrants do not meet the criteria for equity treatment and must be recorded as liabilities. Accordingly,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 of operations. The Private Warrants for periods where no observable traded price was available are valued using a Modified Black-Scholes model. Derivative warrant liabilities are classified as non-current liabilities as their liquidation is not reasonably expected to require the use of current assets or require the creation of current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loss per common share is computed by dividing net income (loss) by the weighted average number of common shares outstanding for the period. The Company has not considered the effect of warrants or rights sold in the Initial Public Offering and private placement to purchase 14,250,000 shares of common stock in the calculation of diluted income (loss) per share, since the exercise of the warrants and rights are contingent upon the occurrence of future events and the inclusion of such warrants and rights would be anti-dilutive.</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statements of operations include a presentation of income (loss) per share for common shares subject to redemption in a manner similar to the two-class method of income (loss) per share. Net loss per common share, basic and diluted, for redeemable common stock is calculated by dividing the interest income earned on the Trust Account, by the weighted average number of redeemable common stock for the periods of 15,000,000 shares as of December 31, 2020 and none as of December 31, 2019. Net loss per common share, basic and diluted, for non-redeemable common stock is calculated by dividing the net income (loss), less income attributable to redeemable common stock, by the weighted average number of non-redeemable common stock outstanding of 3,750,000 for both December 31, 2020 and 2019. These amounts exclude 562,500 subject to forfeiture if the underwriter does not exercise their over-allotment option. Non-redeemable common stock includes the Founder Shares as these shares do not have any redemption features and do not participate in the income earned on the Trust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340"/>
        <w:spacing w:after="0"/>
        <w:rPr>
          <w:sz w:val="20"/>
          <w:szCs w:val="20"/>
          <w:color w:val="auto"/>
        </w:rPr>
      </w:pPr>
      <w:r>
        <w:rPr>
          <w:rFonts w:ascii="Arial" w:cs="Arial" w:eastAsia="Arial" w:hAnsi="Arial"/>
          <w:sz w:val="16"/>
          <w:szCs w:val="16"/>
          <w:color w:val="auto"/>
        </w:rPr>
        <w:t>The following table reflects the calculation of basic and diluted net income (loss) per share for common shares (in dollars,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0"/>
              </w:rPr>
              <w:t>July 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Redeemable Common Stock</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300"/>
              <w:spacing w:after="0"/>
              <w:rPr>
                <w:sz w:val="20"/>
                <w:szCs w:val="20"/>
                <w:color w:val="auto"/>
              </w:rPr>
            </w:pPr>
            <w:r>
              <w:rPr>
                <w:rFonts w:ascii="Arial" w:cs="Arial" w:eastAsia="Arial" w:hAnsi="Arial"/>
                <w:sz w:val="18"/>
                <w:szCs w:val="18"/>
                <w:color w:val="auto"/>
              </w:rPr>
              <w:t>Income Tax and Franchise Tax</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Denominator: Weighted Average 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Common Stock, Basic and Diluted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8680" w:type="dxa"/>
            <w:vAlign w:val="bottom"/>
          </w:tcPr>
          <w:p>
            <w:pPr>
              <w:ind w:left="160"/>
              <w:spacing w:after="0"/>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Numerator: Net Loss minus Redeemable Net Earnings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(1,363,061)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Net Earnings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ind w:left="440"/>
              <w:spacing w:after="0"/>
              <w:rPr>
                <w:sz w:val="20"/>
                <w:szCs w:val="20"/>
                <w:color w:val="auto"/>
              </w:rPr>
            </w:pPr>
            <w:r>
              <w:rPr>
                <w:rFonts w:ascii="Arial" w:cs="Arial" w:eastAsia="Arial" w:hAnsi="Arial"/>
                <w:sz w:val="18"/>
                <w:szCs w:val="18"/>
                <w:color w:val="auto"/>
              </w:rPr>
              <w:t>Non-Redeemable 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(1,363,061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 Average Non-Redeemable Common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Non-Redeemable Common Stock, Basic and Diluted</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Loss/Basic and Diluted Non-Redeemable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(0.36</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2020 and 2019, basic and diluted shares are the same as there are no securities that are dilutive to the Company’s common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December 31, 2020 and 2019, the Company has not experienced losses on these accounts and management believes the Company is not exposed to significant risks on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 except for the Private Warrants (see Note 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024"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Initial Public Offering on December 30, 2020, the Company sold 15,000,000 Units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Ventoux Acquisition purchased an additional 450,000 Private Warrants and Chardan Investments purchased an additional 225,000 Private Warrants, at a price of $1.00 per Private Warrant, or $675,000 in the aggregate, upon the full exercise of the over-allotment option (see Note 10).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10). All share and per-share amounts have been retroactively restated.</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As of December 31, 2020, there were no amounts incurred under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20, 2020, the Company issued an unsecured promissory note to Ventoux Acquisition (the “Promissory Note”), pursuant to which the Company could borrow up to an aggregate principal amount of $250,000. The Promissory Note was non-interest bearing and payable promptly after (i) the date on which the consummation of the Initial Public Offering or (ii) the date on which it is determined not to consummate the Initial Public Offering. The outstanding balance under the Promissory Note of $151,812 was repaid in full on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December 31, 2020 and 2019, no Working Capital Loans were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parties advanced the Company approximately $2,520,000 to pay for certain offering costs in connection with the Initial Public Offering. A majority of these advances were repaid and, at December 31, 2020, $120,005 was still owed to some of these related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closing of the underwriters’ over-allotment option occurred (see Note 10).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 (see Note 10).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Per the Company’s Amended and Restated Certificate of Incorporation, the Company is authorized to issue up to 1,000,000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preferred stock. As of December 31, 2020 and 2019, the Company has not issued shares of preferred stock</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 The Company is authorized to issue 50,000,000 shares of common stock with a par value of $0.0001 per share. 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common stock are entitled to one vote for each share. At December 31, 2020, there were 5,437,023 shares of common stock issued and outstanding, excluding 13,875,477 shares of common stock subject to possible redemption, of which 562,500 shares were subject to forfeiture to the extent that the underwriters’ over-allotment option was not exercised in full so that the Initial Stockholders would collectively own approximately 20% of the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10). At December 31, 2019, there were 4,312,500 shares of common stock issued and outstanding.</w:t>
      </w:r>
    </w:p>
    <w:p>
      <w:pPr>
        <w:spacing w:after="0" w:line="177" w:lineRule="exact"/>
        <w:rPr>
          <w:sz w:val="20"/>
          <w:szCs w:val="20"/>
          <w:color w:val="auto"/>
        </w:rPr>
      </w:pPr>
    </w:p>
    <w:p>
      <w:pPr>
        <w:jc w:val="both"/>
        <w:ind w:firstLine="292"/>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ind w:firstLine="292"/>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Public Warrants will become exercisable at any time commencing on the later of one year after the closing of the Initial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Public Warrants are accounted for as equity and the Private Warrants are accounted for as liabilities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4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r>
      <w:tr>
        <w:trPr>
          <w:trHeight w:val="236"/>
        </w:trPr>
        <w:tc>
          <w:tcPr>
            <w:tcW w:w="48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Deferred tax asset</w:t>
            </w:r>
          </w:p>
        </w:tc>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40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6"/>
        </w:trPr>
        <w:tc>
          <w:tcPr>
            <w:tcW w:w="484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40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840" w:type="dxa"/>
            <w:vAlign w:val="bottom"/>
          </w:tcPr>
          <w:p>
            <w:pPr>
              <w:spacing w:after="0"/>
              <w:rPr>
                <w:sz w:val="20"/>
                <w:szCs w:val="20"/>
                <w:color w:val="auto"/>
              </w:rPr>
            </w:pPr>
            <w:r>
              <w:rPr>
                <w:rFonts w:ascii="Arial" w:cs="Arial" w:eastAsia="Arial" w:hAnsi="Arial"/>
                <w:sz w:val="18"/>
                <w:szCs w:val="18"/>
                <w:color w:val="auto"/>
              </w:rPr>
              <w:t>Valuation allowance</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jc w:val="right"/>
              <w:ind w:right="3047"/>
              <w:spacing w:after="0"/>
              <w:rPr>
                <w:sz w:val="20"/>
                <w:szCs w:val="20"/>
                <w:color w:val="auto"/>
              </w:rPr>
            </w:pPr>
            <w:r>
              <w:rPr>
                <w:rFonts w:ascii="Arial" w:cs="Arial" w:eastAsia="Arial" w:hAnsi="Arial"/>
                <w:sz w:val="18"/>
                <w:szCs w:val="18"/>
                <w:color w:val="auto"/>
              </w:rPr>
              <w:t>F-17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$4,000 available to offset future taxable income.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2020 and for the period from July 10, 2019 (inception) through December 31, 2019, the change in the valuation allowance was $3,824 and $0, respectively.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2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8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21.0%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(20.3)%</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Transaction costs allocable to warrant liabilities</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(0.4)%</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r>
      <w:tr>
        <w:trPr>
          <w:trHeight w:val="25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7"/>
        </w:trPr>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8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ind w:firstLine="292"/>
        <w:spacing w:after="0" w:line="301" w:lineRule="auto"/>
        <w:rPr>
          <w:sz w:val="20"/>
          <w:szCs w:val="20"/>
          <w:color w:val="auto"/>
        </w:rPr>
      </w:pPr>
      <w:r>
        <w:rPr>
          <w:rFonts w:ascii="Arial" w:cs="Arial" w:eastAsia="Arial" w:hAnsi="Arial"/>
          <w:sz w:val="16"/>
          <w:szCs w:val="16"/>
          <w:color w:val="auto"/>
        </w:rPr>
        <w:t>At December 31, 2020, assets held in the Trust Account were comprised of $151,500,000 in a money market fund which is classified as trading securities (Level 1). Trading securities are presented on the balance sheet at fair value at the end of each reporting period. Gains and losses resulting from the change in fair value of these securities is included in interest income in the accompanying statement of operations. The estimated fair values of investments held in the trust account are determined using available market information. At December 31, 2019, no assets were held in the Trust Account.</w:t>
      </w:r>
    </w:p>
    <w:p>
      <w:pPr>
        <w:spacing w:after="0" w:line="157" w:lineRule="exact"/>
        <w:rPr>
          <w:sz w:val="20"/>
          <w:szCs w:val="20"/>
          <w:color w:val="auto"/>
        </w:rPr>
      </w:pPr>
    </w:p>
    <w:p>
      <w:pPr>
        <w:jc w:val="both"/>
        <w:ind w:firstLine="292"/>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151,500,000</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Warrant Liabilities – Private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7,320,000</w:t>
            </w:r>
          </w:p>
        </w:tc>
      </w:tr>
      <w:tr>
        <w:trPr>
          <w:trHeight w:val="857"/>
        </w:trPr>
        <w:tc>
          <w:tcPr>
            <w:tcW w:w="868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F-18</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6"/>
          <w:szCs w:val="16"/>
          <w:color w:val="auto"/>
        </w:rPr>
        <w:t>The Private Warrants were accounted for as liabilities in accordance with ASC 815-40 and are presented within warrant liabilities on the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warrant liabilities are measured at fair value at inception and on a recurring basis, with changes in fair value presented in the statement of operations.</w:t>
      </w:r>
    </w:p>
    <w:p>
      <w:pPr>
        <w:spacing w:after="0" w:line="2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Warrants were initially and subsequently valued using a Modified Black-Scholes model, which is considered to be a Level 3 fair value measurement. The estimated fair value of derivative warrant liabilities is determined using Level 3 inputs.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Company estimates the volatility of its ordinary shares based on historical volatility of select peer companies that matches the expected remaining life of the warrants. The risk-free interest rate is based on the U.S. Treasury zero-coupon yield curve on the grant date for a maturity similar to the expected remaining life of the warrants. The term of the warrants is assumed to be equivalent to their remaining contractual term. The dividend rate is based on the historical rate, which the Company anticipates remaining at zero.</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Modified Black-Scholes model’s primary unobservable input utilized in determining the fair value of the Private Warrants is the expected volatility of the common stock. The expected volatility was derived from observable public warrant pricing on comparable ‘blank-check’ companies without an identified target. The expected volatility as of subsequent valuation dates will be implied from the Company’s own Public Warrant pricing.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 of the warrant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(Initial</w:t>
            </w:r>
          </w:p>
        </w:tc>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580" w:type="dxa"/>
            <w:vAlign w:val="bottom"/>
          </w:tcPr>
          <w:p>
            <w:pPr>
              <w:spacing w:after="0"/>
              <w:rPr>
                <w:sz w:val="20"/>
                <w:szCs w:val="20"/>
                <w:color w:val="auto"/>
              </w:rPr>
            </w:pPr>
          </w:p>
        </w:tc>
        <w:tc>
          <w:tcPr>
            <w:tcW w:w="24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Measurement)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Stock price</w:t>
            </w:r>
          </w:p>
        </w:tc>
        <w:tc>
          <w:tcPr>
            <w:tcW w:w="11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Term</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418"/>
        </w:trPr>
        <w:tc>
          <w:tcPr>
            <w:tcW w:w="758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color w:val="auto"/>
              </w:rPr>
              <w:t>Initial measurement on December 30, 2020 (Initial Public Offering)</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7,140,000</w:t>
            </w:r>
          </w:p>
        </w:tc>
        <w:tc>
          <w:tcPr>
            <w:tcW w:w="100" w:type="dxa"/>
            <w:vAlign w:val="bottom"/>
          </w:tcPr>
          <w:p>
            <w:pPr>
              <w:spacing w:after="0"/>
              <w:rPr>
                <w:sz w:val="18"/>
                <w:szCs w:val="18"/>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58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7,320,000</w:t>
            </w:r>
          </w:p>
        </w:tc>
        <w:tc>
          <w:tcPr>
            <w:tcW w:w="100" w:type="dxa"/>
            <w:vAlign w:val="bottom"/>
          </w:tcPr>
          <w:p>
            <w:pPr>
              <w:spacing w:after="0"/>
              <w:rPr>
                <w:sz w:val="20"/>
                <w:szCs w:val="20"/>
                <w:color w:val="auto"/>
              </w:rPr>
            </w:pPr>
          </w:p>
        </w:tc>
      </w:tr>
      <w:tr>
        <w:trPr>
          <w:trHeight w:val="21"/>
        </w:trPr>
        <w:tc>
          <w:tcPr>
            <w:tcW w:w="7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 to/from Levels 1, 2 and 3 are recognized at the end of the reporting period in which a change in valuation technique or methodology occurs.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from other levels in the fair value hierarchy during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29, 2020, the underwriters notified the Company of their intention to fully exercise their over-allotment option. On January 5, 2021,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costs related to the underwriters’ exercise of their over-allotment option were $450,000, consisting of underwriting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underwriters’ election to exercise their over-allotment option in full, 562,500 Founder Shares are no longer subject to forfeiture.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and 33-8392/34-49313); and</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Ventoux CCM Acquisition Corp. (the “Company”) on Form 10-K/A for the year ended December 31, 2020 as filed with the Securities and Exchange Commission on the date hereof (the “Report”), each of the undersigned, in the capacities and on the dates indicated below, hereby certifies pursuant to 18 U.S.C. Section 1350, as adopted pursuant to Section 906 of the Sarbanes-Oxley Act of 2002, that:</w:t>
      </w:r>
    </w:p>
    <w:p>
      <w:pPr>
        <w:spacing w:after="0" w:line="165" w:lineRule="exact"/>
        <w:rPr>
          <w:sz w:val="20"/>
          <w:szCs w:val="20"/>
          <w:color w:val="auto"/>
        </w:rPr>
      </w:pPr>
    </w:p>
    <w:p>
      <w:pPr>
        <w:ind w:left="680" w:hanging="335"/>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180" w:hanging="335"/>
        <w:spacing w:after="0" w:line="50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June 22,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Date: June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upp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Letter"/>
      <w:start w:val="2"/>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lvl w:ilvl="1">
      <w:lvlJc w:val="left"/>
      <w:lvlText w:val="(%2)"/>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44" Type="http://schemas.openxmlformats.org/officeDocument/2006/relationships/hyperlink" Target="http://www.sec.gov/Archives/edgar/data/1822145/000121390020045520/ea132405ex1-1_ventouxccm.htm" TargetMode="External"/><Relationship Id="rId45" Type="http://schemas.openxmlformats.org/officeDocument/2006/relationships/hyperlink" Target="https://www.sec.gov/Archives/edgar/data/1822145/000121390020045520/ea132405ex3-1_ventouxccm.htm" TargetMode="External"/><Relationship Id="rId46" Type="http://schemas.openxmlformats.org/officeDocument/2006/relationships/hyperlink" Target="http://www.sec.gov/Archives/edgar/data/1822145/000121390020040143/fs12020ex3-5_ventoux.htm" TargetMode="External"/><Relationship Id="rId47" Type="http://schemas.openxmlformats.org/officeDocument/2006/relationships/hyperlink" Target="http://www.sec.gov/Archives/edgar/data/1822145/000121390020042648/fs12020a1ex4-1_ventouxccm.htm" TargetMode="External"/><Relationship Id="rId48" Type="http://schemas.openxmlformats.org/officeDocument/2006/relationships/hyperlink" Target="http://www.sec.gov/Archives/edgar/data/1822145/000121390020042648/fs12020a1ex4-2_ventouxccm.htm" TargetMode="External"/><Relationship Id="rId49" Type="http://schemas.openxmlformats.org/officeDocument/2006/relationships/hyperlink" Target="http://www.sec.gov/Archives/edgar/data/1822145/000121390020042648/fs12020a1ex4-3_ventouxccm.htm" TargetMode="External"/><Relationship Id="rId50" Type="http://schemas.openxmlformats.org/officeDocument/2006/relationships/hyperlink" Target="http://www.sec.gov/Archives/edgar/data/1822145/000121390020045520/ea132405ex4-1_ventouxccm.htm" TargetMode="External"/><Relationship Id="rId51" Type="http://schemas.openxmlformats.org/officeDocument/2006/relationships/hyperlink" Target="http://www.sec.gov/Archives/edgar/data/1822145/000121390020045520/ea132405ex4-2_ventouxccm.htm" TargetMode="External"/><Relationship Id="rId52" Type="http://schemas.openxmlformats.org/officeDocument/2006/relationships/hyperlink" Target="http://www.sec.gov/Archives/edgar/data/1822145/000121390021018748/f10k2020ex4-6_ventoux.htm" TargetMode="External"/><Relationship Id="rId53" Type="http://schemas.openxmlformats.org/officeDocument/2006/relationships/hyperlink" Target="http://www.sec.gov/Archives/edgar/data/1822145/000121390020045520/ea132405ex10-1_ventouxccm.htm" TargetMode="External"/><Relationship Id="rId54" Type="http://schemas.openxmlformats.org/officeDocument/2006/relationships/hyperlink" Target="http://www.sec.gov/Archives/edgar/data/1822145/000121390020045520/ea132405ex10-2_ventouxccm.htm" TargetMode="External"/><Relationship Id="rId55" Type="http://schemas.openxmlformats.org/officeDocument/2006/relationships/hyperlink" Target="http://www.sec.gov/Archives/edgar/data/1822145/000121390020045520/ea132405ex10-3_ventouxccm.htm" TargetMode="External"/><Relationship Id="rId56" Type="http://schemas.openxmlformats.org/officeDocument/2006/relationships/hyperlink" Target="http://www.sec.gov/Archives/edgar/data/1822145/000121390020045520/ea132405ex10-4_ventouxccm.htm" TargetMode="External"/><Relationship Id="rId57" Type="http://schemas.openxmlformats.org/officeDocument/2006/relationships/hyperlink" Target="http://www.sec.gov/Archives/edgar/data/1822145/000121390020045520/ea132405ex10-5_ventouxccm.htm" TargetMode="External"/><Relationship Id="rId58" Type="http://schemas.openxmlformats.org/officeDocument/2006/relationships/hyperlink" Target="http://www.sec.gov/Archives/edgar/data/1822145/000121390020045520/ea132405ex10-6_ventouxccm.htm" TargetMode="External"/><Relationship Id="rId59" Type="http://schemas.openxmlformats.org/officeDocument/2006/relationships/hyperlink" Target="http://www.sec.gov/Archives/edgar/data/1822145/000121390020045520/ea132405ex10-7_ventouxccm.htm" TargetMode="External"/><Relationship Id="rId60" Type="http://schemas.openxmlformats.org/officeDocument/2006/relationships/hyperlink" Target="http://www.sec.gov/Archives/edgar/data/1822145/000121390020045520/ea132405ex10-8_ventouxccm.htm" TargetMode="External"/><Relationship Id="rId61" Type="http://schemas.openxmlformats.org/officeDocument/2006/relationships/hyperlink" Target="http://www.sec.gov/Archives/edgar/data/1822145/000121390020045520/ea132405ex10-9_ventouxccm.htm" TargetMode="External"/><Relationship Id="rId62" Type="http://schemas.openxmlformats.org/officeDocument/2006/relationships/hyperlink" Target="http://www.sec.gov/Archives/edgar/data/1822145/000121390020042648/fs12020a1ex14-1_ventouxccm.htm" TargetMode="External"/><Relationship Id="rId63" Type="http://schemas.openxmlformats.org/officeDocument/2006/relationships/hyperlink" Target="http://www.sec.gov/Archives/edgar/data/1822145/000121390020042648/fs12020a1ex99-1_ventouxccm.htm" TargetMode="External"/><Relationship Id="rId64" Type="http://schemas.openxmlformats.org/officeDocument/2006/relationships/hyperlink" Target="http://www.sec.gov/Archives/edgar/data/1822145/000121390020042648/fs12020a1ex99-2_ventouxccm.htm" TargetMode="External"/><Relationship Id="rId65" Type="http://schemas.openxmlformats.org/officeDocument/2006/relationships/hyperlink" Target="http://www.sec.gov/Archives/edgar/data/1822145/000121390020042648/fs12020a1ex99-3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2021-06-22T16:30:42Z</dcterms:created>
  <dcterms:modified xsi:type="dcterms:W3CDTF">2021-06-22T16:30:42Z</dcterms:modified>
</cp:coreProperties>
</file>