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ind w:left="3904"/>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ind w:left="4624"/>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9" w:lineRule="exact"/>
        <w:rPr>
          <w:sz w:val="24"/>
          <w:szCs w:val="24"/>
          <w:color w:val="auto"/>
        </w:rPr>
      </w:pPr>
    </w:p>
    <w:p>
      <w:pPr>
        <w:jc w:val="center"/>
        <w:ind w:right="36"/>
        <w:spacing w:after="0"/>
        <w:rPr>
          <w:sz w:val="20"/>
          <w:szCs w:val="20"/>
          <w:color w:val="auto"/>
        </w:rPr>
      </w:pPr>
      <w:r>
        <w:rPr>
          <w:rFonts w:ascii="Arial" w:cs="Arial" w:eastAsia="Arial" w:hAnsi="Arial"/>
          <w:sz w:val="16"/>
          <w:szCs w:val="1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CURRENT REPORT</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SECTION 13 OR 15(d)</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Date of Report (Date of earliest event reported): November 10, 2021</w:t>
      </w:r>
    </w:p>
    <w:p>
      <w:pPr>
        <w:spacing w:after="0" w:line="214"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Ventoux CCM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-210820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7" w:lineRule="exact"/>
        <w:rPr>
          <w:sz w:val="24"/>
          <w:szCs w:val="24"/>
          <w:color w:val="auto"/>
        </w:rPr>
      </w:pPr>
    </w:p>
    <w:p>
      <w:pPr>
        <w:jc w:val="center"/>
        <w:ind w:right="76"/>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4" w:type="dxa"/>
        <w:tblCellMar>
          <w:top w:w="0" w:type="dxa"/>
          <w:left w:w="0" w:type="dxa"/>
          <w:bottom w:w="0" w:type="dxa"/>
          <w:right w:w="0" w:type="dxa"/>
        </w:tblCellMar>
      </w:tblPr>
      <w:tr>
        <w:trPr>
          <w:trHeight w:val="224"/>
        </w:trPr>
        <w:tc>
          <w:tcPr>
            <w:tcW w:w="3040" w:type="dxa"/>
            <w:vAlign w:val="bottom"/>
          </w:tcPr>
          <w:p>
            <w:pPr>
              <w:jc w:val="center"/>
              <w:ind w:left="480"/>
              <w:spacing w:after="0"/>
              <w:rPr>
                <w:sz w:val="20"/>
                <w:szCs w:val="20"/>
                <w:color w:val="auto"/>
              </w:rPr>
            </w:pPr>
            <w:r>
              <w:rPr>
                <w:rFonts w:ascii="Arial" w:cs="Arial" w:eastAsia="Arial" w:hAnsi="Arial"/>
                <w:sz w:val="16"/>
                <w:szCs w:val="16"/>
                <w:b w:val="1"/>
                <w:bCs w:val="1"/>
                <w:color w:val="auto"/>
                <w:w w:val="91"/>
              </w:rPr>
              <w:t>Delaware</w:t>
            </w:r>
          </w:p>
        </w:tc>
        <w:tc>
          <w:tcPr>
            <w:tcW w:w="4400" w:type="dxa"/>
            <w:vAlign w:val="bottom"/>
            <w:gridSpan w:val="3"/>
          </w:tcPr>
          <w:p>
            <w:pPr>
              <w:jc w:val="center"/>
              <w:ind w:left="720"/>
              <w:spacing w:after="0"/>
              <w:rPr>
                <w:sz w:val="20"/>
                <w:szCs w:val="20"/>
                <w:color w:val="auto"/>
              </w:rPr>
            </w:pPr>
            <w:r>
              <w:rPr>
                <w:rFonts w:ascii="Arial" w:cs="Arial" w:eastAsia="Arial" w:hAnsi="Arial"/>
                <w:sz w:val="16"/>
                <w:szCs w:val="16"/>
                <w:b w:val="1"/>
                <w:bCs w:val="1"/>
                <w:color w:val="auto"/>
                <w:w w:val="88"/>
              </w:rPr>
              <w:t>001-39830</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tcPr>
          <w:p>
            <w:pPr>
              <w:jc w:val="center"/>
              <w:ind w:right="660"/>
              <w:spacing w:after="0"/>
              <w:rPr>
                <w:sz w:val="20"/>
                <w:szCs w:val="20"/>
                <w:color w:val="auto"/>
              </w:rPr>
            </w:pPr>
            <w:r>
              <w:rPr>
                <w:rFonts w:ascii="Arial" w:cs="Arial" w:eastAsia="Arial" w:hAnsi="Arial"/>
                <w:sz w:val="16"/>
                <w:szCs w:val="16"/>
                <w:b w:val="1"/>
                <w:bCs w:val="1"/>
                <w:color w:val="auto"/>
                <w:w w:val="91"/>
              </w:rPr>
              <w:t>84-2968594</w:t>
            </w:r>
          </w:p>
        </w:tc>
      </w:tr>
      <w:tr>
        <w:trPr>
          <w:trHeight w:val="175"/>
        </w:trPr>
        <w:tc>
          <w:tcPr>
            <w:tcW w:w="3040" w:type="dxa"/>
            <w:vAlign w:val="bottom"/>
            <w:tcBorders>
              <w:top w:val="single" w:sz="8" w:color="auto"/>
            </w:tcBorders>
          </w:tcPr>
          <w:p>
            <w:pPr>
              <w:jc w:val="center"/>
              <w:ind w:left="480"/>
              <w:spacing w:after="0" w:line="175" w:lineRule="exact"/>
              <w:rPr>
                <w:sz w:val="20"/>
                <w:szCs w:val="20"/>
                <w:color w:val="auto"/>
              </w:rPr>
            </w:pPr>
            <w:r>
              <w:rPr>
                <w:rFonts w:ascii="Arial" w:cs="Arial" w:eastAsia="Arial" w:hAnsi="Arial"/>
                <w:sz w:val="16"/>
                <w:szCs w:val="16"/>
                <w:b w:val="1"/>
                <w:bCs w:val="1"/>
                <w:color w:val="auto"/>
                <w:w w:val="90"/>
              </w:rPr>
              <w:t>(State or Other Jurisdiction</w:t>
            </w:r>
          </w:p>
        </w:tc>
        <w:tc>
          <w:tcPr>
            <w:tcW w:w="5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0"/>
              </w:rPr>
              <w:t>(Commission File Number)</w:t>
            </w: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jc w:val="center"/>
              <w:ind w:right="660"/>
              <w:spacing w:after="0" w:line="175" w:lineRule="exact"/>
              <w:rPr>
                <w:sz w:val="20"/>
                <w:szCs w:val="20"/>
                <w:color w:val="auto"/>
              </w:rPr>
            </w:pPr>
            <w:r>
              <w:rPr>
                <w:rFonts w:ascii="Arial" w:cs="Arial" w:eastAsia="Arial" w:hAnsi="Arial"/>
                <w:sz w:val="16"/>
                <w:szCs w:val="16"/>
                <w:b w:val="1"/>
                <w:bCs w:val="1"/>
                <w:color w:val="auto"/>
                <w:w w:val="93"/>
              </w:rPr>
              <w:t>(IRS Employer</w:t>
            </w:r>
          </w:p>
        </w:tc>
      </w:tr>
      <w:tr>
        <w:trPr>
          <w:trHeight w:val="208"/>
        </w:trPr>
        <w:tc>
          <w:tcPr>
            <w:tcW w:w="3040" w:type="dxa"/>
            <w:vAlign w:val="bottom"/>
          </w:tcPr>
          <w:p>
            <w:pPr>
              <w:jc w:val="center"/>
              <w:ind w:left="480"/>
              <w:spacing w:after="0"/>
              <w:rPr>
                <w:sz w:val="20"/>
                <w:szCs w:val="20"/>
                <w:color w:val="auto"/>
              </w:rPr>
            </w:pPr>
            <w:r>
              <w:rPr>
                <w:rFonts w:ascii="Arial" w:cs="Arial" w:eastAsia="Arial" w:hAnsi="Arial"/>
                <w:sz w:val="16"/>
                <w:szCs w:val="16"/>
                <w:b w:val="1"/>
                <w:bCs w:val="1"/>
                <w:color w:val="auto"/>
                <w:w w:val="93"/>
              </w:rPr>
              <w:t>of Incorporation)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40"/>
              <w:spacing w:after="0"/>
              <w:rPr>
                <w:sz w:val="20"/>
                <w:szCs w:val="20"/>
                <w:color w:val="auto"/>
              </w:rPr>
            </w:pPr>
            <w:r>
              <w:rPr>
                <w:rFonts w:ascii="Arial" w:cs="Arial" w:eastAsia="Arial" w:hAnsi="Arial"/>
                <w:sz w:val="16"/>
                <w:szCs w:val="16"/>
                <w:b w:val="1"/>
                <w:bCs w:val="1"/>
                <w:color w:val="auto"/>
                <w:w w:val="91"/>
              </w:rPr>
              <w:t>Identification No.)</w:t>
            </w: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90"/>
              </w:rPr>
              <w:t>1 East Putnam Avenue, Floor 4</w:t>
            </w:r>
          </w:p>
        </w:tc>
        <w:tc>
          <w:tcPr>
            <w:tcW w:w="2880" w:type="dxa"/>
            <w:vAlign w:val="bottom"/>
          </w:tcPr>
          <w:p>
            <w:pPr>
              <w:spacing w:after="0"/>
              <w:rPr>
                <w:sz w:val="24"/>
                <w:szCs w:val="24"/>
                <w:color w:val="auto"/>
              </w:rPr>
            </w:pPr>
          </w:p>
        </w:tc>
      </w:tr>
      <w:tr>
        <w:trPr>
          <w:trHeight w:val="191"/>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91"/>
              </w:rPr>
              <w:t>Greenwich, CT 06830</w:t>
            </w:r>
          </w:p>
        </w:tc>
        <w:tc>
          <w:tcPr>
            <w:tcW w:w="2880" w:type="dxa"/>
            <w:vAlign w:val="bottom"/>
          </w:tcPr>
          <w:p>
            <w:pPr>
              <w:spacing w:after="0"/>
              <w:rPr>
                <w:sz w:val="16"/>
                <w:szCs w:val="16"/>
                <w:color w:val="auto"/>
              </w:rPr>
            </w:pPr>
          </w:p>
        </w:tc>
      </w:tr>
      <w:tr>
        <w:trPr>
          <w:trHeight w:val="208"/>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88"/>
              </w:rPr>
              <w:t>(Address of principal executive office) (zip code)</w:t>
            </w:r>
          </w:p>
        </w:tc>
        <w:tc>
          <w:tcPr>
            <w:tcW w:w="288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3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9"/>
              </w:rPr>
              <w:t>Registrant’s telephone number, including area code: (646) 465-9000</w:t>
            </w:r>
          </w:p>
        </w:tc>
        <w:tc>
          <w:tcPr>
            <w:tcW w:w="2880" w:type="dxa"/>
            <w:vAlign w:val="bottom"/>
          </w:tcPr>
          <w:p>
            <w:pPr>
              <w:spacing w:after="0"/>
              <w:rPr>
                <w:sz w:val="24"/>
                <w:szCs w:val="24"/>
                <w:color w:val="auto"/>
              </w:rPr>
            </w:pP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rPr>
              <w:t>N/A</w:t>
            </w:r>
          </w:p>
        </w:tc>
        <w:tc>
          <w:tcPr>
            <w:tcW w:w="2880" w:type="dxa"/>
            <w:vAlign w:val="bottom"/>
          </w:tcPr>
          <w:p>
            <w:pPr>
              <w:spacing w:after="0"/>
              <w:rPr>
                <w:sz w:val="24"/>
                <w:szCs w:val="24"/>
                <w:color w:val="auto"/>
              </w:rPr>
            </w:pPr>
          </w:p>
        </w:tc>
      </w:tr>
      <w:tr>
        <w:trPr>
          <w:trHeight w:val="208"/>
        </w:trPr>
        <w:tc>
          <w:tcPr>
            <w:tcW w:w="3040" w:type="dxa"/>
            <w:vAlign w:val="bottom"/>
          </w:tcPr>
          <w:p>
            <w:pPr>
              <w:spacing w:after="0"/>
              <w:rPr>
                <w:sz w:val="18"/>
                <w:szCs w:val="18"/>
                <w:color w:val="auto"/>
              </w:rPr>
            </w:pPr>
          </w:p>
        </w:tc>
        <w:tc>
          <w:tcPr>
            <w:tcW w:w="53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9"/>
              </w:rPr>
              <w:t>(Former name or former address, if changed since last report)</w:t>
            </w:r>
          </w:p>
        </w:tc>
        <w:tc>
          <w:tcPr>
            <w:tcW w:w="28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6"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1"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86"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504" w:lineRule="auto"/>
        <w:tabs>
          <w:tab w:leader="none" w:pos="2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w:t>
            </w:r>
          </w:p>
        </w:tc>
      </w:tr>
      <w:tr>
        <w:trPr>
          <w:trHeight w:val="212"/>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registered</w:t>
            </w:r>
          </w:p>
        </w:tc>
      </w:tr>
      <w:tr>
        <w:trPr>
          <w:trHeight w:val="203"/>
        </w:trPr>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Common Stock</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VTAQ</w:t>
            </w:r>
          </w:p>
        </w:tc>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210"/>
        </w:trPr>
        <w:tc>
          <w:tcPr>
            <w:tcW w:w="3600" w:type="dxa"/>
            <w:vAlign w:val="bottom"/>
          </w:tcPr>
          <w:p>
            <w:pPr>
              <w:jc w:val="center"/>
              <w:spacing w:after="0"/>
              <w:rPr>
                <w:sz w:val="20"/>
                <w:szCs w:val="20"/>
                <w:color w:val="auto"/>
              </w:rPr>
            </w:pPr>
            <w:r>
              <w:rPr>
                <w:rFonts w:ascii="Arial" w:cs="Arial" w:eastAsia="Arial" w:hAnsi="Arial"/>
                <w:sz w:val="16"/>
                <w:szCs w:val="16"/>
                <w:color w:val="auto"/>
                <w:w w:val="86"/>
              </w:rPr>
              <w:t>Warrants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8"/>
              </w:rPr>
              <w:t>VTAQW</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197"/>
        </w:trPr>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Rights</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VTAQR</w:t>
            </w:r>
          </w:p>
        </w:tc>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204"/>
        </w:trPr>
        <w:tc>
          <w:tcPr>
            <w:tcW w:w="3600" w:type="dxa"/>
            <w:vAlign w:val="bottom"/>
          </w:tcPr>
          <w:p>
            <w:pPr>
              <w:jc w:val="center"/>
              <w:spacing w:after="0"/>
              <w:rPr>
                <w:sz w:val="20"/>
                <w:szCs w:val="20"/>
                <w:color w:val="auto"/>
              </w:rPr>
            </w:pPr>
            <w:r>
              <w:rPr>
                <w:rFonts w:ascii="Arial" w:cs="Arial" w:eastAsia="Arial" w:hAnsi="Arial"/>
                <w:sz w:val="16"/>
                <w:szCs w:val="16"/>
                <w:color w:val="auto"/>
                <w:w w:val="98"/>
              </w:rPr>
              <w:t>Units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7"/>
              </w:rPr>
              <w:t>VTAQU</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w w:val="91"/>
              </w:rPr>
              <w:t>The Nasdaq Stock Market LLC</w:t>
            </w:r>
          </w:p>
        </w:tc>
      </w:tr>
    </w:tbl>
    <w:p>
      <w:pPr>
        <w:spacing w:after="0" w:line="190" w:lineRule="exact"/>
        <w:rPr>
          <w:sz w:val="24"/>
          <w:szCs w:val="24"/>
          <w:color w:val="auto"/>
        </w:rPr>
      </w:pPr>
    </w:p>
    <w:p>
      <w:pPr>
        <w:jc w:val="both"/>
        <w:ind w:left="4"/>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jc w:val="both"/>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528320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70" w:right="319" w:bottom="1440" w:gutter="0" w:footer="0" w:header="0"/>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Merger Agreement</w:t>
      </w:r>
    </w:p>
    <w:p>
      <w:pPr>
        <w:spacing w:after="0" w:line="198" w:lineRule="exact"/>
        <w:rPr>
          <w:sz w:val="20"/>
          <w:szCs w:val="20"/>
          <w:color w:val="auto"/>
        </w:rPr>
      </w:pPr>
    </w:p>
    <w:p>
      <w:pPr>
        <w:jc w:val="both"/>
        <w:ind w:left="4" w:firstLine="574"/>
        <w:spacing w:after="0" w:line="287" w:lineRule="auto"/>
        <w:rPr>
          <w:sz w:val="20"/>
          <w:szCs w:val="20"/>
          <w:color w:val="auto"/>
        </w:rPr>
      </w:pPr>
      <w:r>
        <w:rPr>
          <w:rFonts w:ascii="Arial" w:cs="Arial" w:eastAsia="Arial" w:hAnsi="Arial"/>
          <w:sz w:val="14"/>
          <w:szCs w:val="14"/>
          <w:color w:val="auto"/>
        </w:rPr>
        <w:t>On November 10, 2021, Ventoux CCM Acquisition Corp., a Delaware corporation (“VTAQ”), entered into an agreement and plan of merger by and among VTAQ, Ventoux Merger Sub I Inc., a Delaware corporation and a direct, wholly-owned subsidiary of VTAQ (“Ventoux Merger Sub”), Ventoux Merger Sub II, LLC, a Delaware limited liability company and a direct, wholly-owned subsidiary of VTAQ (“Ventoux Merger Sub II”), and E La Carte, Inc., d/b/a Presto, Inc., a Delaware corporation (“Presto”) (as amended and/or restated from time to time, the “Merger Agreement”). The Merger Agreement has been approved by VTAQ’s and Presto’s board of directors. Subject to the satisfaction or waiver of certain closing conditions set forth in the Merger Agreement as described in more detail below, including the approval of the Merger Agreement and the transactions contemplated thereby by Presto and VTAQ’s stockholders, (a) Ventoux Merger Sub will merge with and into Presto (the “First Merger”), with Presto being the surviving entity in the First Merger and continuing (immediately following the First Merger) as a wholly-owned subsidiary of VTAQ (the “Surviving Corporation”), and (b) immediately following the First Merger and as part of the same overall transaction as the First Merger, the Surviving Corporation will merge with and into Ventoux Merger Sub</w:t>
      </w:r>
    </w:p>
    <w:p>
      <w:pPr>
        <w:spacing w:after="0" w:line="2" w:lineRule="exact"/>
        <w:rPr>
          <w:sz w:val="20"/>
          <w:szCs w:val="20"/>
          <w:color w:val="auto"/>
        </w:rPr>
      </w:pPr>
    </w:p>
    <w:p>
      <w:pPr>
        <w:jc w:val="both"/>
        <w:ind w:left="4" w:hanging="4"/>
        <w:spacing w:after="0" w:line="252" w:lineRule="auto"/>
        <w:tabs>
          <w:tab w:leader="none" w:pos="15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“Second Merger”), with Ventoux Merger Sub II being the surviving entity in the Second Merger and continuing (immediately following the Second Merger) as a wholly-owned subsidiary of VTAQ (the “Mergers” and the other agreements and transactions contemplated by the Merger Agreement, the “Business Combination”). In addition, in connection with the consummation of the Business Combination, VTAQ will be renamed Presto Technologies, Inc. and is referred to herein as “New Presto” as of the time of such change of name.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Merger Consideration</w:t>
      </w:r>
    </w:p>
    <w:p>
      <w:pPr>
        <w:spacing w:after="0" w:line="198" w:lineRule="exact"/>
        <w:rPr>
          <w:sz w:val="20"/>
          <w:szCs w:val="20"/>
          <w:color w:val="auto"/>
        </w:rPr>
      </w:pPr>
    </w:p>
    <w:p>
      <w:pPr>
        <w:jc w:val="both"/>
        <w:ind w:left="4" w:right="20" w:firstLine="574"/>
        <w:spacing w:after="0" w:line="287" w:lineRule="auto"/>
        <w:rPr>
          <w:sz w:val="20"/>
          <w:szCs w:val="20"/>
          <w:color w:val="auto"/>
        </w:rPr>
      </w:pPr>
      <w:r>
        <w:rPr>
          <w:rFonts w:ascii="Arial" w:cs="Arial" w:eastAsia="Arial" w:hAnsi="Arial"/>
          <w:sz w:val="15"/>
          <w:szCs w:val="15"/>
          <w:color w:val="auto"/>
        </w:rPr>
        <w:t>Pursuant to the Merger Agreement, subject to the satisfaction or waiver of certain closing conditions set forth therein, at the closing of the Business Combination (the “Closing”), VTAQ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spacing w:after="0" w:line="146" w:lineRule="exact"/>
        <w:rPr>
          <w:sz w:val="20"/>
          <w:szCs w:val="20"/>
          <w:color w:val="auto"/>
        </w:rPr>
      </w:pPr>
    </w:p>
    <w:p>
      <w:pPr>
        <w:jc w:val="both"/>
        <w:ind w:left="4" w:firstLine="574"/>
        <w:spacing w:after="0" w:line="297" w:lineRule="auto"/>
        <w:rPr>
          <w:sz w:val="20"/>
          <w:szCs w:val="20"/>
          <w:color w:val="auto"/>
        </w:rPr>
      </w:pPr>
      <w:r>
        <w:rPr>
          <w:rFonts w:ascii="Arial" w:cs="Arial" w:eastAsia="Arial" w:hAnsi="Arial"/>
          <w:sz w:val="14"/>
          <w:szCs w:val="14"/>
          <w:color w:val="auto"/>
        </w:rPr>
        <w:t>In addition to the Aggregate Base Consideration, Presto stockholders may be entitled to receive, as additional consideration, and without any action on behalf of VTAQ, Ventoux Merger Sub, Ventoux Merger Sub II or VTAQ’s stockholders,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Business Combination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Equity Awards, Presto Convertible Notes and Warrants</w:t>
      </w:r>
    </w:p>
    <w:p>
      <w:pPr>
        <w:spacing w:after="0" w:line="198" w:lineRule="exact"/>
        <w:rPr>
          <w:sz w:val="20"/>
          <w:szCs w:val="20"/>
          <w:color w:val="auto"/>
        </w:rPr>
      </w:pPr>
    </w:p>
    <w:p>
      <w:pPr>
        <w:jc w:val="both"/>
        <w:ind w:left="4" w:right="20" w:firstLine="574"/>
        <w:spacing w:after="0" w:line="274" w:lineRule="auto"/>
        <w:rPr>
          <w:sz w:val="20"/>
          <w:szCs w:val="20"/>
          <w:color w:val="auto"/>
        </w:rPr>
      </w:pPr>
      <w:r>
        <w:rPr>
          <w:rFonts w:ascii="Arial" w:cs="Arial" w:eastAsia="Arial" w:hAnsi="Arial"/>
          <w:sz w:val="15"/>
          <w:szCs w:val="15"/>
          <w:color w:val="auto"/>
        </w:rPr>
        <w:t>Pursuant to the Merger Agreement, at the time the First Merger becomes effective (the “Effective Time”), each option exercisable for Presto equity that is outstanding and unexercised immediately prior to the Effective Time will be assumed and converted into a newly issued option exercisable for common stock of New Presto. At the Effective Time, each warrant of Presto that is outstanding and unexercised immediately prior to the Effective Time shall, in accordance with its terms, either be (i) cancelled and converted into the right to receive common stock of New Presto, or (ii) assumed and converted into a newly issued warrant exercisable for common stock of New Presto. Immediately prior to the Effective Time, each convertible promissory note convertible for Presto equity that is issued and outstanding shall be cancelled and converted into the right to receive common stock of New Presto in accordance with the terms therein.</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625" w:right="319" w:bottom="1440" w:gutter="0" w:footer="0" w:header="0"/>
        </w:sectPr>
      </w:pPr>
    </w:p>
    <w:bookmarkStart w:id="2" w:name="page3"/>
    <w:bookmarkEnd w:id="2"/>
    <w:p>
      <w:pPr>
        <w:ind w:left="4"/>
        <w:spacing w:after="0"/>
        <w:rPr>
          <w:sz w:val="20"/>
          <w:szCs w:val="20"/>
          <w:color w:val="auto"/>
        </w:rPr>
      </w:pPr>
      <w:r>
        <w:rPr>
          <w:rFonts w:ascii="Arial" w:cs="Arial" w:eastAsia="Arial" w:hAnsi="Arial"/>
          <w:sz w:val="16"/>
          <w:szCs w:val="16"/>
          <w:i w:val="1"/>
          <w:iCs w:val="1"/>
          <w:color w:val="auto"/>
        </w:rPr>
        <w:t>Representations and Warranties and Covenants</w:t>
      </w:r>
    </w:p>
    <w:p>
      <w:pPr>
        <w:spacing w:after="0" w:line="198" w:lineRule="exact"/>
        <w:rPr>
          <w:sz w:val="20"/>
          <w:szCs w:val="20"/>
          <w:color w:val="auto"/>
        </w:rPr>
      </w:pPr>
    </w:p>
    <w:p>
      <w:pPr>
        <w:jc w:val="both"/>
        <w:ind w:left="4" w:firstLine="574"/>
        <w:spacing w:after="0" w:line="297" w:lineRule="auto"/>
        <w:rPr>
          <w:sz w:val="20"/>
          <w:szCs w:val="20"/>
          <w:color w:val="auto"/>
        </w:rPr>
      </w:pPr>
      <w:r>
        <w:rPr>
          <w:rFonts w:ascii="Arial" w:cs="Arial" w:eastAsia="Arial" w:hAnsi="Arial"/>
          <w:sz w:val="14"/>
          <w:szCs w:val="14"/>
          <w:color w:val="auto"/>
        </w:rPr>
        <w:t>The parties to the Merger Agreement have made customary representations and warranties for transactions of this type. The representations and warranties made under the Merger Agreement will generally not survive the Closing. In addition, the parties to the Merger Agreement agreed to be bound by certain customary covenants for transactions of this type, including, among others, covenants with respect to the conduct of Presto and VTAQ and their respective subsidiaries during the period between the execution of the Merger Agreement and the Closing, covenants with respect to making the filing under the Hart-Scott Rodino Antitrust Improvements Act of 1976 and covenants with respect to the preparation and filing of the Registration Statement on Form S-4 (“Registration Statement”), which will include the proxy statement/prospectus of VTAQ. The covenants made under the Merger Agreement will not survive the Closing, unless by their terms they are to be performed in whole or in part after the Closing.</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Conditions</w:t>
      </w:r>
    </w:p>
    <w:p>
      <w:pPr>
        <w:spacing w:after="0" w:line="198" w:lineRule="exact"/>
        <w:rPr>
          <w:sz w:val="20"/>
          <w:szCs w:val="20"/>
          <w:color w:val="auto"/>
        </w:rPr>
      </w:pPr>
    </w:p>
    <w:p>
      <w:pPr>
        <w:jc w:val="both"/>
        <w:ind w:left="4" w:right="20" w:firstLine="574"/>
        <w:spacing w:after="0" w:line="291" w:lineRule="auto"/>
        <w:rPr>
          <w:sz w:val="20"/>
          <w:szCs w:val="20"/>
          <w:color w:val="auto"/>
        </w:rPr>
      </w:pPr>
      <w:r>
        <w:rPr>
          <w:rFonts w:ascii="Arial" w:cs="Arial" w:eastAsia="Arial" w:hAnsi="Arial"/>
          <w:sz w:val="14"/>
          <w:szCs w:val="14"/>
          <w:color w:val="auto"/>
        </w:rPr>
        <w:t>The Closing is subject to certain customary conditions, including, among other things: (i) approval by VTAQ’s stockholders of the Merger Agreement, the Business Combination and certain other actions related thereto; (ii) approval by Presto’s stockholders of the Merger Agreement, the Business Combination and certain other actions related thereto; (iii) the expiration or termination of the waiting period (or any extension thereof) applicable under the Hart-Scott-Rodino Antitrust Improvements Act of 1976;</w:t>
      </w:r>
    </w:p>
    <w:p>
      <w:pPr>
        <w:spacing w:after="0" w:line="1" w:lineRule="exact"/>
        <w:rPr>
          <w:sz w:val="20"/>
          <w:szCs w:val="20"/>
          <w:color w:val="auto"/>
        </w:rPr>
      </w:pPr>
    </w:p>
    <w:p>
      <w:pPr>
        <w:jc w:val="both"/>
        <w:ind w:left="4" w:hanging="4"/>
        <w:spacing w:after="0" w:line="251" w:lineRule="auto"/>
        <w:tabs>
          <w:tab w:leader="none" w:pos="284" w:val="left"/>
        </w:tabs>
        <w:numPr>
          <w:ilvl w:val="0"/>
          <w:numId w:val="4"/>
        </w:numPr>
        <w:rPr>
          <w:rFonts w:ascii="Arial" w:cs="Arial" w:eastAsia="Arial" w:hAnsi="Arial"/>
          <w:sz w:val="16"/>
          <w:szCs w:val="16"/>
          <w:color w:val="auto"/>
        </w:rPr>
      </w:pPr>
      <w:r>
        <w:rPr>
          <w:rFonts w:ascii="Arial" w:cs="Arial" w:eastAsia="Arial" w:hAnsi="Arial"/>
          <w:sz w:val="16"/>
          <w:szCs w:val="16"/>
          <w:color w:val="auto"/>
        </w:rPr>
        <w:t>VTAQ having at least $85,000,000 of cash available at the Closing, consisting of cash held in its trust account and the aggregate amount of cash actually invested in (or contributed to) VTAQ pursuant to the Subscription Agreements (as defined below), after giving effect to redemptions of public shares, if any, but before giving effect to the consummation of the Closing and the payment of Presto’s and certain of VTAQ’s outstanding transaction expenses as contemplated by the Merger Agreement (the “Minimum Cash Condition”); (v) the absence of any material adverse effect that is continuing with respect to Presto, between the date of the Merger Agreement and the date of the Closing; and (vi) the shares of common stock of New Presto to be issued in connection with the Business Combination having been approved for listing by the Nasdaq Stock Market LLC subject only to official notice of issuance thereof.</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Termination</w:t>
      </w:r>
    </w:p>
    <w:p>
      <w:pPr>
        <w:spacing w:after="0" w:line="198"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The Merger Agreement may be terminated by VTAQ or Presto under certain circumstances, including, among others, (i) by written consent of VTAQ and Presto, (ii) by either VTAQ or Presto if the Closing has not occurred before August 31, 2022, and (iii) by VTAQ or Presto if VTAQ has not obtained the required approval of its stockholders.</w:t>
      </w:r>
    </w:p>
    <w:p>
      <w:pPr>
        <w:spacing w:after="0" w:line="162" w:lineRule="exact"/>
        <w:rPr>
          <w:sz w:val="20"/>
          <w:szCs w:val="20"/>
          <w:color w:val="auto"/>
        </w:rPr>
      </w:pPr>
    </w:p>
    <w:p>
      <w:pPr>
        <w:jc w:val="both"/>
        <w:ind w:left="4" w:firstLine="574"/>
        <w:spacing w:after="0" w:line="289" w:lineRule="auto"/>
        <w:rPr>
          <w:sz w:val="20"/>
          <w:szCs w:val="20"/>
          <w:color w:val="auto"/>
        </w:rPr>
      </w:pPr>
      <w:r>
        <w:rPr>
          <w:rFonts w:ascii="Arial" w:cs="Arial" w:eastAsia="Arial" w:hAnsi="Arial"/>
          <w:sz w:val="14"/>
          <w:szCs w:val="14"/>
          <w:color w:val="auto"/>
        </w:rPr>
        <w:t>The foregoing description of the Merger Agreement and the Business Combination does not purport to be complete and is qualified in its entirety by the terms and conditions of the Merger Agreement, a copy of which is attached hereto as Exhibit 2.1 and is incorporated herein by reference. The Merger Agreement contains representations, warranties and covenants that the parties to the Merger Agreement made to each other as of the date of the Merger Agreement or other specific dates. The assertions embodied in those representations, warranties and covenants were made for purposes of the contract among the parties and are subject to important qualifications and limitations agreed to by the parties in connection with negotiating the Merger Agreement. The Merger Agreement has been attached to provide investors with information regarding its terms and is not intended to provide any other factual information about VTAQ, Presto or any other party to the Merger Agreement. In particular, the representations, warranties, covenants and agreements contained in the Merger Agreement, which were made only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and reports and documents filed with the U.S. Securities and Exchange Commission (the “SEC”). Investors should not rely on the representations, warranties, covenants and agreements, or any descriptions thereof, as characterizations of the actual state of facts or condition of any party to the Merger Agreement. In addition, the representations, warranties, covenants and agreements and other terms of the Merger Agreement may be subject to subsequent waiver or modification. Moreover, information concerning the subject matter of the representations and warranties and other terms may change after the date of the Merger Agreement, which subsequent information may or may not be fully reflected in VTAQ’s public disclosures.</w:t>
      </w:r>
    </w:p>
    <w:p>
      <w:pPr>
        <w:spacing w:after="0" w:line="34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629" w:right="319" w:bottom="1440" w:gutter="0" w:footer="0" w:header="0"/>
        </w:sectPr>
      </w:pPr>
    </w:p>
    <w:bookmarkStart w:id="3" w:name="page4"/>
    <w:bookmarkEnd w:id="3"/>
    <w:p>
      <w:pPr>
        <w:spacing w:after="0"/>
        <w:rPr>
          <w:sz w:val="20"/>
          <w:szCs w:val="20"/>
          <w:color w:val="auto"/>
        </w:rPr>
      </w:pPr>
      <w:r>
        <w:rPr>
          <w:rFonts w:ascii="Arial" w:cs="Arial" w:eastAsia="Arial" w:hAnsi="Arial"/>
          <w:sz w:val="16"/>
          <w:szCs w:val="16"/>
          <w:i w:val="1"/>
          <w:iCs w:val="1"/>
          <w:color w:val="auto"/>
        </w:rPr>
        <w:t>Subscription Agreements</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VTAQ entered into equity subscription agreements (the “Equity Subscription Agreements”) each dated as of November 10, 2021, with certain accredited investors, pursuant to which, among other things, VTAQ agreed to issue and sell, in private placements to close immediately prior to or substantially concurrently with the Closing, an aggregate of 1,500,000 shares of common stock for $10.00 per share. The Equity Subscription Agreements provide that VTAQ must file a registration statement to register the resale of the subscribed common stock no later than 30 days after the closing date of the Business Combination (the “Closing Date”).</w:t>
      </w:r>
    </w:p>
    <w:p>
      <w:pPr>
        <w:spacing w:after="0" w:line="151"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VTAQ also entered into a convertible note subscription agreement (the “Convertible Note Subscription Agreement” and, together with the Equity Subscription Agreements, the “Subscription Agreements”), each dated as of November 10, 2021, with an institutional accredited investor (collectively, the “Note Investor”), pursuant to which, among other things, VTAQ agreed to issue and sell, in a private placement to close immediately prior to the Closing, an aggregate of $55,000,000 in aggregate principal amount of convertible notes (the “Notes”) and an aggregate of 1,000,000 warrants (the “Note Financing Warrants”).</w:t>
      </w:r>
    </w:p>
    <w:p>
      <w:pPr>
        <w:spacing w:after="0" w:line="151"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At any time prior to the close of business on the second trading day immediately preceding the maturity date of the Notes, the Notes will be convertible, at each holder’s option, into shares of common stock of New Presto at an initial conversion price equal to the lesser of (i) $13.00 and (ii) a 30% premium to the lowest per share price at which any equity of VTAQ is issued within 15 days prior to the Closing Date (the “Conversion Rate”). In the event of a conversion in connection with a Fundamental Change (as defined below) or a Company Redemption (as defined below), the Conversion Rate will be increased by a number of additional shares set forth in a usual and customary “make-whole table” to be included in the indenture governing the Notes (the “Indenture”), a copy of which is filed as Exhibit 4.1 hereto, respectively, and is incorporated herein by reference.</w:t>
      </w:r>
    </w:p>
    <w:p>
      <w:pPr>
        <w:spacing w:after="0" w:line="170"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At any time on or after the first anniversary of the issuance of the Notes until the second business day prior to maturity, the Notes will be convertible, in whole but not in part, at VTAQ’s option (a “Mandatory Conversion”) if the closing price of common stock is greater than or equal to 130% of the conversion price of the Notes for 20 trading days during any 30-consecutive-trading-day period ending on day before the notice of the Mandatory Conversion is given. The Conversion Rate in connection with a Mandatory Conversion will be increased by a number of additional shares pursuant to the make-whole table described above.</w:t>
      </w:r>
    </w:p>
    <w:p>
      <w:pPr>
        <w:spacing w:after="0" w:line="151"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In addition, VTAQ may redeem the Notes at any time prior to the 21st trading day before maturity by paying, in cash, the principal, accrued interest, and a premium equal to, (1) through third anniversary, the present value of all remaining scheduled interest payments, computed using a discount rate equal to the Treasury Rate (to be defined in the Indenture) plus 0.50%, and warrants to purchase a number of shares equal to 50% of the number of shares into which the Notes redeemed were convertible, or (2) between third anniversary and maturity, of all remaining scheduled interest payments, computed using a discount rate equal to the Treasury Rate.</w:t>
      </w:r>
    </w:p>
    <w:p>
      <w:pPr>
        <w:spacing w:after="0" w:line="151"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Each holder of a Note will have the right to cause VTAQ to repurchase for cash all or a portion of the Notes held by such holder at any time upon the occurrence of a “fundamental change,” a customary definition of which will be agreed in the Indenture (a “Fundamental Change”), at a repurchase price equal to 100% of the principal amount of such Notes plus accrued and unpaid interest thereon to, but excluding, the repurchase date.</w:t>
      </w:r>
    </w:p>
    <w:p>
      <w:pPr>
        <w:spacing w:after="0" w:line="16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VTAQ will pay interest on the principal amount of the Notes in cash or in kind, at VTAQ’s election. If VTAQ elects to pay interest in cash (“Cash Interest”), the interest on the Notes will accrue at a rate of 9.0% per annum and be payable in cash. If VTAQ elects to pay interest in kind (“PIK Interest”), the interest on the Notes will be increased to a rate of 11.0% per annum. PIK Interest will be payable either (x) by increasing the principal amount of the outstanding Notes by an amount equal to the amount of PIK Interest for the applicable interest period (rounded up to the nearest $1.00) or (y) if the Notes are no longer held as global notes, by issuing additional Notes in certificated form in an aggregate principal amount equal to the amount of PIK Interest for the period (rounded up to the nearest $1.00). Following an increase in the principal amount of the outstanding Notes as a result of a PIK Interest payment, the Notes will bear interest on such increased principal amount.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9" w:right="319" w:bottom="1440" w:gutter="0" w:footer="0" w:header="0"/>
        </w:sectPr>
      </w:pPr>
    </w:p>
    <w:bookmarkStart w:id="4" w:name="page5"/>
    <w:bookmarkEnd w:id="4"/>
    <w:p>
      <w:pPr>
        <w:jc w:val="both"/>
        <w:ind w:right="20" w:firstLine="574"/>
        <w:spacing w:after="0" w:line="275" w:lineRule="auto"/>
        <w:rPr>
          <w:sz w:val="20"/>
          <w:szCs w:val="20"/>
          <w:color w:val="auto"/>
        </w:rPr>
      </w:pPr>
      <w:r>
        <w:rPr>
          <w:rFonts w:ascii="Arial" w:cs="Arial" w:eastAsia="Arial" w:hAnsi="Arial"/>
          <w:sz w:val="16"/>
          <w:szCs w:val="16"/>
          <w:color w:val="auto"/>
        </w:rPr>
        <w:t>Indenture will contain certain customary negative covenants, including limitations on indebtedness, restricted payments, liens, asset sales and transactions with affiliates.</w:t>
      </w:r>
    </w:p>
    <w:p>
      <w:pPr>
        <w:spacing w:after="0" w:line="152"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VTAQ is obligated to register the shares issuable upon conversion of the Notes. VTAQ agreed that, after the consummation of the Business Combination, Presto will file with the SEC a registration statement registering the resale of the shares of VTAQ common stock issuable upon conversion of the Notes.</w:t>
      </w:r>
    </w:p>
    <w:p>
      <w:pPr>
        <w:spacing w:after="0" w:line="129"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The Note Financing Warrants have the same terms and conditions as VTAQ’s outstanding publicly held warrants, except that each Note Financing Warrant is exercisable into one whole share of common stock at an exercise price of $11.50 per share. The Note Financing Warrants, like the publicly held warrants, may be redeemed if, among other conditions, the reported last sale price of VTAQ common stock equals or exceeds $16.50 per share, for any 20 trading days within a 30-day trading period ending on the third business day prior to the date of the notice of redemption to warrantholders. The obligations of each party to consummate the transactions contemplated by the Convertible Note Subscription Agreement is conditioned upon, among other things, the entry into an indenture consistent with the terms set forth in the Convertible Note Subscription Agreement and the satisfaction or waiver of the conditions to the Closing. In connection with the execution and delivery of a Convertible Note Subscription Agreement with the lead investor of Notes subscription, Ventoux Acquisition Holdings LLC, a Delaware limited liability company, and Chardan International Investments, LLC, a Delaware limited liability company (together, the “Sponsors”) agreed to transfer, or cause to be transferred, 300,000 shares of Company common stock to a fund managed by such investor at the Closing. VTAQ has granted registration rights to the investors with respect to the Notes, the Note Financing Warrants and the common stock underlying the Notes and the Note Financing Warrants pursuant to the terms of the Amended and Restated Registration Rights Agreement as discussed below under the heading “Amended and Restated Registration Rights Agreement.”</w:t>
      </w:r>
    </w:p>
    <w:p>
      <w:pPr>
        <w:spacing w:after="0" w:line="16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foregoing descriptions of the Subscription Agreements do not purport to be complete and are qualified in their entirety by the terms and conditions of the forms of Indenture, the Equity Subscription Agreement, Convertible Note Subscription Agreement and Form of Amended and Restated Warrant Agreement, copies of which are filed as Exhibit 4.1, Exhibit 10.1, Exhibit 10.2 and Exhibit 10.3 hereto, respectively, and are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Amended and Restated Warrant Agreement</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At the Closing, New Presto, the Sponsors and Continental Stock Transfer &amp; Trust Company, as warrant agent, will enter into an amended and restated warrant agreement (the “Amended and Restated Warrant Agreement”) to reflect the issuance of the Note Financing Warrants. In addition, the Amended and Restated Warrant Agreement also provides that 600,000 of the Sponsors’ 6,675,000 private placement warrants will be cancelled. Each Note Financing Warrant and each private placement warrant is exercisable for one share of common stock at an exercise price of $11.50 per share.</w:t>
      </w:r>
    </w:p>
    <w:p>
      <w:pPr>
        <w:spacing w:after="0" w:line="165"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The foregoing description of the Amended and Restated Warrant Agreement does not purport to be complete and is qualified in its entirety by the terms and conditions of the Form of Amended and Restated Warrant Agreement, a copy of which is filed as Exhibit 10.3 hereto, respectively, and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Amended and Restated Registration Rights Agreement</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At the Closing, New Presto, the Sponsors, the Note Investor, certain investors and other holders of Presto capital stock (the “Presto Holders” and together with the Sponsors and the investors, the “Holders”) will enter into an amended and restated registration rights agreement (the “Amended and Restated Registration Rights Agreement”). Pursuant to the terms of the Amended and Restated Registration Rights Agreement, New Presto will be obligated to file a registration statement to register the resale of certain securities of New Presto held by the Holders. The Amended and Restated Registration Rights Agreement also provides the Holders with certain “demand” and “piggy-back” registration rights, subject to certain requirements and customary conditions.</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foregoing description of the Amended and Restated Registration Rights Agreement does not purport to be complete and is qualified in its entirety by the terms and conditions of the Form of Amended and Restated Registration Rights Agreement, a copy of which is filed as Exhibit 10.4 hereto, respectively, and is incorporated herein by reference.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9" w:right="319" w:bottom="1440" w:gutter="0" w:footer="0" w:header="0"/>
        </w:sectPr>
      </w:pPr>
    </w:p>
    <w:bookmarkStart w:id="5" w:name="page6"/>
    <w:bookmarkEnd w:id="5"/>
    <w:p>
      <w:pPr>
        <w:ind w:left="4"/>
        <w:spacing w:after="0"/>
        <w:rPr>
          <w:sz w:val="20"/>
          <w:szCs w:val="20"/>
          <w:color w:val="auto"/>
        </w:rPr>
      </w:pPr>
      <w:r>
        <w:rPr>
          <w:rFonts w:ascii="Arial" w:cs="Arial" w:eastAsia="Arial" w:hAnsi="Arial"/>
          <w:sz w:val="16"/>
          <w:szCs w:val="16"/>
          <w:i w:val="1"/>
          <w:iCs w:val="1"/>
          <w:color w:val="auto"/>
        </w:rPr>
        <w:t>Sponsor Support Agreement</w:t>
      </w:r>
    </w:p>
    <w:p>
      <w:pPr>
        <w:spacing w:after="0" w:line="198" w:lineRule="exact"/>
        <w:rPr>
          <w:sz w:val="20"/>
          <w:szCs w:val="20"/>
          <w:color w:val="auto"/>
        </w:rPr>
      </w:pPr>
    </w:p>
    <w:p>
      <w:pPr>
        <w:jc w:val="both"/>
        <w:ind w:left="4" w:firstLine="574"/>
        <w:spacing w:after="0" w:line="306" w:lineRule="auto"/>
        <w:rPr>
          <w:sz w:val="20"/>
          <w:szCs w:val="20"/>
          <w:color w:val="auto"/>
        </w:rPr>
      </w:pPr>
      <w:r>
        <w:rPr>
          <w:rFonts w:ascii="Arial" w:cs="Arial" w:eastAsia="Arial" w:hAnsi="Arial"/>
          <w:sz w:val="14"/>
          <w:szCs w:val="14"/>
          <w:color w:val="auto"/>
        </w:rPr>
        <w:t>In connection with the execution of the Merger Agreement, the Sponsors, Presto’s directors and officers and certain affiliates of the Sponsors (together, the “Sponsor Parties”) entered into a Sponsor Support Agreement (the “Sponsor Agreement”) with VTAQ and Presto, pursuant to which the Sponsor Parties agreed, among other things, to vote all shares of VTAQ common stock beneficially owned by them in favor of each of the proposals at the VTAQ Special Meeting and against any proposal that would impede the Business Combination. The Sponsor Agreement also provides that the Sponsor Parties will not redeem any shares of VTAQ common stock.</w:t>
      </w:r>
    </w:p>
    <w:p>
      <w:pPr>
        <w:spacing w:after="0" w:line="135" w:lineRule="exact"/>
        <w:rPr>
          <w:sz w:val="20"/>
          <w:szCs w:val="20"/>
          <w:color w:val="auto"/>
        </w:rPr>
      </w:pPr>
    </w:p>
    <w:p>
      <w:pPr>
        <w:jc w:val="both"/>
        <w:ind w:left="4" w:right="20" w:firstLine="574"/>
        <w:spacing w:after="0" w:line="301" w:lineRule="auto"/>
        <w:rPr>
          <w:sz w:val="20"/>
          <w:szCs w:val="20"/>
          <w:color w:val="auto"/>
        </w:rPr>
      </w:pPr>
      <w:r>
        <w:rPr>
          <w:rFonts w:ascii="Arial" w:cs="Arial" w:eastAsia="Arial" w:hAnsi="Arial"/>
          <w:sz w:val="14"/>
          <w:szCs w:val="14"/>
          <w:color w:val="auto"/>
        </w:rPr>
        <w:t>The Sponsor Parties agreed to subject the founder shares they acquired prior to the VTAQ initial public offering to lock-up restrictions. During the period beginning on the Closing Date until the period beginning on the Closing Date to six months after the Closing Date, the Sponsor Parties may not transfer any of its, his or her founder shares, and during the period beginning on the date that is six months after the Closing Date to 12 twelve months after the Closing Date, the Sponsor Parties may only transfer up to 50% of its, his or her founder shares, in each case except for certain limited permitted transfers. In addition, the Sponsor Parties agreed that they will not transfer any privately placed warrants, acquired prior to the VTAQ initial public offering, during the period from the Closing Date to 12 months after the Closing Date.</w:t>
      </w:r>
    </w:p>
    <w:p>
      <w:pPr>
        <w:spacing w:after="0" w:line="138" w:lineRule="exact"/>
        <w:rPr>
          <w:sz w:val="20"/>
          <w:szCs w:val="20"/>
          <w:color w:val="auto"/>
        </w:rPr>
      </w:pPr>
    </w:p>
    <w:p>
      <w:pPr>
        <w:jc w:val="both"/>
        <w:ind w:left="4" w:firstLine="574"/>
        <w:spacing w:after="0" w:line="288" w:lineRule="auto"/>
        <w:rPr>
          <w:sz w:val="20"/>
          <w:szCs w:val="20"/>
          <w:color w:val="auto"/>
        </w:rPr>
      </w:pPr>
      <w:r>
        <w:rPr>
          <w:rFonts w:ascii="Arial" w:cs="Arial" w:eastAsia="Arial" w:hAnsi="Arial"/>
          <w:sz w:val="14"/>
          <w:szCs w:val="14"/>
          <w:color w:val="auto"/>
        </w:rPr>
        <w:t>The Sponsors also agreed to subject their founder shares to vesting and forfeiture provisions as set forth in the Sponsor Agreement based on the number of public shares redeemed at the closing of the Business Combination (such shares, the “Sponsors’ Earnout Shares”). Pursuant to the Sponsor Agreement, at the Closing, (i) in the case of redemptions of public shares of 90% or more, 15% of the Sponsors’ founder shares that are owned immediately after the Closing will be subject to vesting, (ii) in the case of redemptions of public shares of between 80% and 90%, 10% of the Sponsors’ founder shares that are owned immediately after the Closing will be subject to vesting, (iii) in the case of redemptions of public shares of between 70% and 80%, 5% of the Sponsors’ founder shares that are owned immediately after the Closing will be subject to vesting and</w:t>
      </w:r>
    </w:p>
    <w:p>
      <w:pPr>
        <w:spacing w:after="0" w:line="3" w:lineRule="exact"/>
        <w:rPr>
          <w:sz w:val="20"/>
          <w:szCs w:val="20"/>
          <w:color w:val="auto"/>
        </w:rPr>
      </w:pPr>
    </w:p>
    <w:p>
      <w:pPr>
        <w:jc w:val="both"/>
        <w:ind w:left="4" w:right="20" w:hanging="4"/>
        <w:spacing w:after="0" w:line="254" w:lineRule="auto"/>
        <w:tabs>
          <w:tab w:leader="none" w:pos="28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case of redemptions of public shares of less than 70%, none of the Sponsors’ founder shares will be subject to vesting. The Sponsors’ Earnout Shares will vest if, during the period from and after the Closing until the fifth anniversary of the Closing, the VWAP of New Presto common stock is greater than or equal to $12.50 for any 40 trading days within a period of 60 consecutive trading days.</w:t>
      </w:r>
    </w:p>
    <w:p>
      <w:pPr>
        <w:spacing w:after="0" w:line="168"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The foregoing description of the Sponsor Agreement does not purport to be complete and is qualified in its entirety by the terms and conditions of the Sponsor Agreement filed as Exhibit 10.5 hereto and incorporated herein by reference.</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Presto Stockholder Support Agreement</w:t>
      </w:r>
    </w:p>
    <w:p>
      <w:pPr>
        <w:spacing w:after="0" w:line="198" w:lineRule="exact"/>
        <w:rPr>
          <w:sz w:val="20"/>
          <w:szCs w:val="20"/>
          <w:color w:val="auto"/>
        </w:rPr>
      </w:pPr>
    </w:p>
    <w:p>
      <w:pPr>
        <w:jc w:val="both"/>
        <w:ind w:left="4" w:firstLine="626"/>
        <w:spacing w:after="0" w:line="258" w:lineRule="auto"/>
        <w:rPr>
          <w:sz w:val="20"/>
          <w:szCs w:val="20"/>
          <w:color w:val="auto"/>
        </w:rPr>
      </w:pPr>
      <w:r>
        <w:rPr>
          <w:rFonts w:ascii="Arial" w:cs="Arial" w:eastAsia="Arial" w:hAnsi="Arial"/>
          <w:sz w:val="16"/>
          <w:szCs w:val="16"/>
          <w:color w:val="auto"/>
        </w:rPr>
        <w:t>In connection with the execution of the Merger Agreement, certain stockholders of Presto (collectively, the “Presto Supporting Stockholders”) entered into support agreements (collectively, the “Stockholder Support Agreements”), pursuant to which each Presto Supporting Stockholder agreed to, among other things, vote in favor of the Merger Agreement and the transactions contemplated thereby (including the Business Combination), not to transfer his, her or its Presto shares prior to the Closing Date, and to execute the Amended and Restated Registration Rights Agreement (as defined below) at the Closing Date.</w:t>
      </w:r>
    </w:p>
    <w:p>
      <w:pPr>
        <w:spacing w:after="0" w:line="165"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The Presto Stockholder Support Agreements provide that during the period beginning on the Closing Date and ending on the date that is six months after the Closing Date, the Presto Supporting Stockholders may not transfer any of their shares of New Presto common stock, and during the period beginning on the date that is six months after the Closing Date and ending on the date that is 12 months after the Closing Date, the Presto Supporting Stockholders may only transfer up to 50% of their New Presto common stock, in each case, except for certain limited permitted transfers.</w:t>
      </w:r>
    </w:p>
    <w:p>
      <w:pPr>
        <w:spacing w:after="0" w:line="165" w:lineRule="exact"/>
        <w:rPr>
          <w:sz w:val="20"/>
          <w:szCs w:val="20"/>
          <w:color w:val="auto"/>
        </w:rPr>
      </w:pPr>
    </w:p>
    <w:p>
      <w:pPr>
        <w:jc w:val="both"/>
        <w:ind w:left="4" w:firstLine="574"/>
        <w:spacing w:after="0" w:line="309" w:lineRule="auto"/>
        <w:rPr>
          <w:sz w:val="20"/>
          <w:szCs w:val="20"/>
          <w:color w:val="auto"/>
        </w:rPr>
      </w:pPr>
      <w:r>
        <w:rPr>
          <w:rFonts w:ascii="Arial" w:cs="Arial" w:eastAsia="Arial" w:hAnsi="Arial"/>
          <w:sz w:val="15"/>
          <w:szCs w:val="15"/>
          <w:color w:val="auto"/>
        </w:rPr>
        <w:t>The foregoing description of the Stockholder Support Agreements does not purport to be complete and is qualified in its entirety by the terms and conditions of the Stockholder Support Agreements, a form of which is attached as Exhibit 10.6 hereto, and the terms of which are incorporated herein by reference.</w:t>
      </w:r>
    </w:p>
    <w:p>
      <w:pPr>
        <w:spacing w:after="0" w:line="3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629"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color w:val="auto"/>
        </w:rPr>
        <w:t>Governance Agreement</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At the Closing, New Presto, Rajat Suri, REMUS Capital, an affiliate of Presto, and certain other parties set forth therein, will enter into a Governance Agreement (the “Governance Agreement”) to provide for certain governance rights and address certain governance matters relating to New Presto. The Governance Agreement will provide REMUS Capital the right to designate a replacement New Presto director if a director appointed within class I of the board is removed within one year of Closing and also will provide each of Mr. Suri and REMUS Capital with the right to nominate one individual to the New Presto board of directors, subject to certain qualifications, requirements and exceptions as set forth therein.</w:t>
      </w:r>
    </w:p>
    <w:p>
      <w:pPr>
        <w:spacing w:after="0" w:line="170"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foregoing description of the Governance Agreement does not purport to be complete and is qualified in its entirety by the terms and conditions of the Governance Agreement, a form of which is attached as Exhibit 10.7 hereto, and the terms of which are incorporated herein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3.02. Unregistered Sales of Equity Securities.</w:t>
      </w:r>
    </w:p>
    <w:p>
      <w:pPr>
        <w:spacing w:after="0" w:line="202"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The disclosure set forth above in Item 1.01 of this Current Report on Form 8-K under the headings “Subscription Agreements” is incorporated by reference herein. The shares of common stock to be issued and sold pursuant to the Equity Subscription Agreements, the Notes and warrants issued pursuant to the Convertible Note Subscription Agreement, the shares of common stock issuable upon conversion of the Notes and the exercise of the warrants will not be registered under the Securities Act of 1933, as amended (the “Securities Act”), in reliance on the exemption from registration provided by Section 4(a)(2) of the Securities Act and/or Regulation D promulgated thereunder.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November 10, 2021, VTAQ issued a press release announcing the execution of the Merger Agreement and other matters relating to the Business Combination and Presto. The press release is attached hereto as Exhibit 99.1 and incorporated herein by reference.</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Attached as Exhibit 99.2 hereto and incorporated herein by reference is the investor presentation dated November 2021, which will be used by VTAQ with respect to the Business Combination.</w:t>
      </w:r>
    </w:p>
    <w:p>
      <w:pPr>
        <w:spacing w:after="0" w:line="152"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On November 10, 2021, VTAQ and Presto made a webcast available on their respective websites in which members of their respective managements discussed the Business Combination (the “Webcast”). A copy of the transcript for the Webcast is attached hereto as Exhibit 99.3 and is incorporated herein by reference.</w:t>
      </w:r>
    </w:p>
    <w:p>
      <w:pPr>
        <w:spacing w:after="0" w:line="129"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The information in this Item 7.01, including Exhibits 99.1, 99.2 and 99.3 are furnished and shall not be deemed “filed” for purposes of Section 18 of the Securities Exchange Act of 1934, as amended (the “Exchange Act”), or otherwise subject to liabilities under that section, and shall not be deemed to be incorporated by reference into the filings of VTAQ under the Securities Act or the Exchange Act, regardless of any general incorporation language in such filings. This Current Report on Form 8-K will not be deemed an admission as to the materiality of any information of the information in this Item 7.01, including Exhibits 99.1, 99.2 and 99.3.</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Information and Where to Find It</w:t>
      </w:r>
    </w:p>
    <w:p>
      <w:pPr>
        <w:spacing w:after="0" w:line="198"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In connection with the Business Combination, VTAQ intends to file a registration statement, which will include a preliminary proxy statement/prospectus, with the SEC. The proxy statement/prospectus will be sent to stockholders of VTAQ. This Current Report on Form 8-K is not a substitute for the proxy statement/prospectus.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VTAQ, THE BUSINESS COMBINATION AND RELATED MATTERS. The documents filed or that will be filed with the SEC relating to the Business Combination (when they are available) can be obtained free of charge from the SEC’s website at www.sec.gov. These documents (when they are available) can also be obtained free of charge from VTAQ upon written request at Ventoux CCM Acquisition Corp., 1 East Putnam Avenue, Floor 4, Greenwich, CT 06830.</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9"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Participants in Solicitation</w:t>
      </w:r>
    </w:p>
    <w:p>
      <w:pPr>
        <w:spacing w:after="0" w:line="19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This Current Report on Form 8-K is not a solicitation of a proxy from any investor or security holder. However, VTAQ, Presto, and certain of their directors and executive officers may be deemed to be participants in the solicitation of proxies in connection with the proposed business combination under the rules of the SEC. Information about VTAQ’s directors and executive officers and their ownership of VTAQ’s securities is set forth in filings with the SEC, including VTAQ’s Annual Report on Form 10-K filed with the SEC on March 30, 2021 and amended on June 22, 2021. To the extent that holdings of VTAQ’s securities have changed since the amounts included in VTAQ’s Annual Report on Form 10-K, such changes have been or will be reflected on Statements of Changes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198"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VTAQ, Presto and New Presto, VTAQ’s and Presto’s estimated future results and the proposed business combination,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59"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color w:val="auto"/>
        </w:rPr>
        <w:t>In addition to factors previously disclosed or that will be disclosed in VTAQ’s reports filed with the SEC and those identified elsewhere in this Current Report on Form 8-K,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VTAQ, Presto, VTAQ or others following the announcement of the Business Combination and any definitive agreements with respect thereto; (3) the inability to complete the Business Combination due to the failure to obtain approval of the stockholders of VTAQ or Presto; (4) the inability of Presto to satisfy other conditions to closing; (5) changes to the proposed structure of the Business Combination that may be required or appropriate as a result of applicable laws or regulations or as a condition to obtaining regulatory approval of the Business Combination; (6) the ability to meet stock exchange listing standards in connection with and following the consummation of the Business Combination; (7) the risk that the Business Combination disrupts current plans and operations of Presto as a result of the announcement and consummation of the Business Combination; (8) the ability to recognize the anticipated benefits of the Business Combination, which may be affected by, among other things, competition, the ability of VTAQ to grow and manage growth profitably, grow its customer base, maintain relationships with customers and suppliers and retain its management and key employees; (9) the impact of the COVID-19 pandemic on the business of Presto and VTAQ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the Business Combination; (13) changes in applicable laws or regulations; (14) the possibility that Presto or VTAQ may be adversely affected by other economic, business, regulatory, and/or competitive factors; (15) 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9" w:right="319" w:bottom="1440" w:gutter="0" w:footer="0" w:header="0"/>
        </w:sectPr>
      </w:pPr>
    </w:p>
    <w:bookmarkStart w:id="8" w:name="page9"/>
    <w:bookmarkEnd w:id="8"/>
    <w:p>
      <w:pPr>
        <w:jc w:val="both"/>
        <w:ind w:firstLine="574"/>
        <w:spacing w:after="0" w:line="271" w:lineRule="auto"/>
        <w:rPr>
          <w:sz w:val="20"/>
          <w:szCs w:val="20"/>
          <w:color w:val="auto"/>
        </w:rPr>
      </w:pPr>
      <w:r>
        <w:rPr>
          <w:rFonts w:ascii="Arial" w:cs="Arial" w:eastAsia="Arial" w:hAnsi="Arial"/>
          <w:sz w:val="15"/>
          <w:szCs w:val="15"/>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VTAQ and Presto or the date of such information in the case of information from persons other than VTAQ and Presto, and we disclaim any intention or obligation to update any forward-looking statements as a result of developments occurring after the date of this Current Report on Form 8-K.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Offer or Solicitation</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This Current Report on Form 8-K is not intended to and shall not constitute a proxy statement or the solicitation of a proxy, consent or authorization with respect to any securities in respect of the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9"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 w:type="dxa"/>
            <w:vAlign w:val="bottom"/>
          </w:tcPr>
          <w:p>
            <w:pPr>
              <w:spacing w:after="0"/>
              <w:rPr>
                <w:sz w:val="17"/>
                <w:szCs w:val="17"/>
                <w:color w:val="auto"/>
              </w:rPr>
            </w:pPr>
          </w:p>
        </w:tc>
        <w:tc>
          <w:tcPr>
            <w:tcW w:w="10700" w:type="dxa"/>
            <w:vAlign w:val="bottom"/>
            <w:gridSpan w:val="17"/>
          </w:tcPr>
          <w:p>
            <w:pPr>
              <w:spacing w:after="0"/>
              <w:rPr>
                <w:sz w:val="20"/>
                <w:szCs w:val="20"/>
                <w:color w:val="auto"/>
              </w:rPr>
            </w:pPr>
            <w:r>
              <w:rPr>
                <w:rFonts w:ascii="Arial" w:cs="Arial" w:eastAsia="Arial" w:hAnsi="Arial"/>
                <w:sz w:val="16"/>
                <w:szCs w:val="16"/>
                <w:color w:val="auto"/>
              </w:rPr>
              <w:t>(d) Exhibits.</w:t>
            </w:r>
          </w:p>
        </w:tc>
      </w:tr>
      <w:tr>
        <w:trPr>
          <w:trHeight w:val="366"/>
        </w:trPr>
        <w:tc>
          <w:tcPr>
            <w:tcW w:w="56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Number</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120" w:type="dxa"/>
            <w:vAlign w:val="bottom"/>
            <w:tcBorders>
              <w:bottom w:val="single" w:sz="8" w:color="auto"/>
            </w:tcBorders>
            <w:gridSpan w:val="15"/>
          </w:tcPr>
          <w:p>
            <w:pPr>
              <w:spacing w:after="0"/>
              <w:rPr>
                <w:sz w:val="20"/>
                <w:szCs w:val="20"/>
                <w:color w:val="auto"/>
              </w:rPr>
            </w:pPr>
            <w:r>
              <w:rPr>
                <w:rFonts w:ascii="Arial" w:cs="Arial" w:eastAsia="Arial" w:hAnsi="Arial"/>
                <w:sz w:val="16"/>
                <w:szCs w:val="16"/>
                <w:b w:val="1"/>
                <w:bCs w:val="1"/>
                <w:color w:val="auto"/>
              </w:rPr>
              <w:t>Description</w:t>
            </w:r>
          </w:p>
        </w:tc>
      </w:tr>
      <w:tr>
        <w:trPr>
          <w:trHeight w:val="207"/>
        </w:trPr>
        <w:tc>
          <w:tcPr>
            <w:tcW w:w="560" w:type="dxa"/>
            <w:vAlign w:val="bottom"/>
            <w:tcBorders>
              <w:bottom w:val="single" w:sz="8" w:color="CCEEFF"/>
            </w:tcBorders>
            <w:shd w:val="clear" w:color="auto" w:fill="CCEEFF"/>
          </w:tcPr>
          <w:p>
            <w:pPr>
              <w:spacing w:after="0" w:line="191" w:lineRule="exact"/>
              <w:rPr>
                <w:sz w:val="20"/>
                <w:szCs w:val="20"/>
                <w:color w:val="auto"/>
              </w:rPr>
            </w:pPr>
            <w:r>
              <w:rPr>
                <w:rFonts w:ascii="Arial" w:cs="Arial" w:eastAsia="Arial" w:hAnsi="Arial"/>
                <w:sz w:val="14"/>
                <w:szCs w:val="14"/>
                <w:color w:val="auto"/>
              </w:rPr>
              <w:t>2.1</w:t>
            </w:r>
            <w:r>
              <w:rPr>
                <w:rFonts w:ascii="Arial" w:cs="Arial" w:eastAsia="Arial" w:hAnsi="Arial"/>
                <w:sz w:val="22"/>
                <w:szCs w:val="22"/>
                <w:color w:val="auto"/>
                <w:vertAlign w:val="superscript"/>
              </w:rPr>
              <w:t>†</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100" w:type="dxa"/>
            <w:vAlign w:val="bottom"/>
            <w:tcBorders>
              <w:bottom w:val="single" w:sz="8" w:color="0000EE"/>
            </w:tcBorders>
            <w:gridSpan w:val="12"/>
            <w:shd w:val="clear" w:color="auto" w:fill="CCEEFF"/>
          </w:tcPr>
          <w:p>
            <w:pPr>
              <w:spacing w:after="0"/>
              <w:rPr>
                <w:rFonts w:ascii="Arial" w:cs="Arial" w:eastAsia="Arial" w:hAnsi="Arial"/>
                <w:sz w:val="16"/>
                <w:szCs w:val="16"/>
                <w:color w:val="0000EE"/>
                <w:w w:val="90"/>
              </w:rPr>
            </w:pPr>
            <w:hyperlink w:anchor="page12">
              <w:r>
                <w:rPr>
                  <w:rFonts w:ascii="Arial" w:cs="Arial" w:eastAsia="Arial" w:hAnsi="Arial"/>
                  <w:sz w:val="16"/>
                  <w:szCs w:val="16"/>
                  <w:color w:val="0000EE"/>
                  <w:w w:val="90"/>
                </w:rPr>
                <w:t>Merger Agreement, dated as of November 10, 2021, by and among VTAQ, Ventoux Merger Sub Inc., Ventoux Merger Sub II, LLC and Presto.</w:t>
              </w:r>
            </w:hyperlink>
          </w:p>
        </w:tc>
        <w:tc>
          <w:tcPr>
            <w:tcW w:w="1020" w:type="dxa"/>
            <w:vAlign w:val="bottom"/>
            <w:tcBorders>
              <w:bottom w:val="single" w:sz="8" w:color="CCEEFF"/>
            </w:tcBorders>
            <w:gridSpan w:val="3"/>
            <w:shd w:val="clear" w:color="auto" w:fill="CCEEFF"/>
          </w:tcPr>
          <w:p>
            <w:pPr>
              <w:spacing w:after="0"/>
              <w:rPr>
                <w:sz w:val="18"/>
                <w:szCs w:val="18"/>
                <w:color w:val="auto"/>
              </w:rPr>
            </w:pPr>
          </w:p>
        </w:tc>
      </w:tr>
      <w:tr>
        <w:trPr>
          <w:trHeight w:val="163"/>
        </w:trPr>
        <w:tc>
          <w:tcPr>
            <w:tcW w:w="560" w:type="dxa"/>
            <w:vAlign w:val="bottom"/>
          </w:tcPr>
          <w:p>
            <w:pPr>
              <w:spacing w:after="0" w:line="155" w:lineRule="exact"/>
              <w:rPr>
                <w:sz w:val="20"/>
                <w:szCs w:val="20"/>
                <w:color w:val="auto"/>
              </w:rPr>
            </w:pPr>
            <w:r>
              <w:rPr>
                <w:rFonts w:ascii="Arial" w:cs="Arial" w:eastAsia="Arial" w:hAnsi="Arial"/>
                <w:sz w:val="16"/>
                <w:szCs w:val="16"/>
                <w:color w:val="auto"/>
              </w:rPr>
              <w:t>4.1*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20" w:type="dxa"/>
            <w:vAlign w:val="bottom"/>
            <w:gridSpan w:val="15"/>
          </w:tcPr>
          <w:p>
            <w:pPr>
              <w:spacing w:after="0" w:line="155" w:lineRule="exact"/>
              <w:rPr>
                <w:rFonts w:ascii="Arial" w:cs="Arial" w:eastAsia="Arial" w:hAnsi="Arial"/>
                <w:sz w:val="16"/>
                <w:szCs w:val="16"/>
                <w:color w:val="0000EE"/>
              </w:rPr>
            </w:pPr>
            <w:hyperlink w:anchor="page104">
              <w:r>
                <w:rPr>
                  <w:rFonts w:ascii="Arial" w:cs="Arial" w:eastAsia="Arial" w:hAnsi="Arial"/>
                  <w:sz w:val="16"/>
                  <w:szCs w:val="16"/>
                  <w:color w:val="0000EE"/>
                </w:rPr>
                <w:t>Form of Indenture, by and among VTAQ, the guarantors from time to time party thereto and U.S. Bank, National Association, as trustee.</w:t>
              </w:r>
            </w:hyperlink>
          </w:p>
        </w:tc>
      </w:tr>
      <w:tr>
        <w:trPr>
          <w:trHeight w:val="179"/>
        </w:trPr>
        <w:tc>
          <w:tcPr>
            <w:tcW w:w="56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4.2</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700" w:type="dxa"/>
            <w:vAlign w:val="bottom"/>
            <w:tcBorders>
              <w:top w:val="single" w:sz="8" w:color="0000EE"/>
            </w:tcBorders>
            <w:gridSpan w:val="11"/>
            <w:shd w:val="clear" w:color="auto" w:fill="CCEEFF"/>
          </w:tcPr>
          <w:p>
            <w:pPr>
              <w:spacing w:after="0" w:line="163" w:lineRule="exact"/>
              <w:rPr>
                <w:rFonts w:ascii="Arial" w:cs="Arial" w:eastAsia="Arial" w:hAnsi="Arial"/>
                <w:sz w:val="16"/>
                <w:szCs w:val="16"/>
                <w:color w:val="0000EE"/>
              </w:rPr>
            </w:pPr>
            <w:hyperlink w:anchor="page104">
              <w:r>
                <w:rPr>
                  <w:rFonts w:ascii="Arial" w:cs="Arial" w:eastAsia="Arial" w:hAnsi="Arial"/>
                  <w:sz w:val="16"/>
                  <w:szCs w:val="16"/>
                  <w:color w:val="0000EE"/>
                </w:rPr>
                <w:t>Form of 9.0%/11.0% Convertible Senior PIK Toggle Note due 2026 (included as Exhibit A to Exhibit 4.1 of this Form 8-K).</w:t>
              </w:r>
            </w:hyperlink>
          </w:p>
        </w:tc>
        <w:tc>
          <w:tcPr>
            <w:tcW w:w="1420" w:type="dxa"/>
            <w:vAlign w:val="bottom"/>
            <w:gridSpan w:val="4"/>
            <w:shd w:val="clear" w:color="auto" w:fill="CCEEFF"/>
          </w:tcPr>
          <w:p>
            <w:pPr>
              <w:spacing w:after="0"/>
              <w:rPr>
                <w:sz w:val="15"/>
                <w:szCs w:val="15"/>
                <w:color w:val="auto"/>
              </w:rPr>
            </w:pPr>
          </w:p>
        </w:tc>
      </w:tr>
      <w:tr>
        <w:trPr>
          <w:trHeight w:val="155"/>
        </w:trPr>
        <w:tc>
          <w:tcPr>
            <w:tcW w:w="560" w:type="dxa"/>
            <w:vAlign w:val="bottom"/>
            <w:tcBorders>
              <w:top w:val="single" w:sz="8" w:color="CCEEFF"/>
            </w:tcBorders>
          </w:tcPr>
          <w:p>
            <w:pPr>
              <w:spacing w:after="0" w:line="155" w:lineRule="exact"/>
              <w:rPr>
                <w:sz w:val="20"/>
                <w:szCs w:val="20"/>
                <w:color w:val="auto"/>
              </w:rPr>
            </w:pPr>
            <w:r>
              <w:rPr>
                <w:rFonts w:ascii="Arial" w:cs="Arial" w:eastAsia="Arial" w:hAnsi="Arial"/>
                <w:sz w:val="16"/>
                <w:szCs w:val="16"/>
                <w:color w:val="auto"/>
              </w:rPr>
              <w:t>10.1*</w:t>
            </w:r>
          </w:p>
        </w:tc>
        <w:tc>
          <w:tcPr>
            <w:tcW w:w="4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920" w:type="dxa"/>
            <w:vAlign w:val="bottom"/>
            <w:tcBorders>
              <w:top w:val="single" w:sz="8" w:color="0000EE"/>
            </w:tcBorders>
            <w:gridSpan w:val="10"/>
          </w:tcPr>
          <w:p>
            <w:pPr>
              <w:spacing w:after="0" w:line="155" w:lineRule="exact"/>
              <w:rPr>
                <w:rFonts w:ascii="Arial" w:cs="Arial" w:eastAsia="Arial" w:hAnsi="Arial"/>
                <w:sz w:val="16"/>
                <w:szCs w:val="16"/>
                <w:color w:val="0000EE"/>
              </w:rPr>
            </w:pPr>
            <w:hyperlink w:anchor="page204">
              <w:r>
                <w:rPr>
                  <w:rFonts w:ascii="Arial" w:cs="Arial" w:eastAsia="Arial" w:hAnsi="Arial"/>
                  <w:sz w:val="16"/>
                  <w:szCs w:val="16"/>
                  <w:color w:val="0000EE"/>
                </w:rPr>
                <w:t>Form of Equity Subscription Agreement.</w:t>
              </w:r>
            </w:hyperlink>
          </w:p>
        </w:tc>
        <w:tc>
          <w:tcPr>
            <w:tcW w:w="2200" w:type="dxa"/>
            <w:vAlign w:val="bottom"/>
            <w:tcBorders>
              <w:top w:val="single" w:sz="8" w:color="CCEEFF"/>
            </w:tcBorders>
            <w:gridSpan w:val="5"/>
          </w:tcPr>
          <w:p>
            <w:pPr>
              <w:spacing w:after="0"/>
              <w:rPr>
                <w:sz w:val="13"/>
                <w:szCs w:val="13"/>
                <w:color w:val="auto"/>
              </w:rPr>
            </w:pPr>
          </w:p>
        </w:tc>
      </w:tr>
      <w:tr>
        <w:trPr>
          <w:trHeight w:val="28"/>
        </w:trPr>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56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10.2*</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15"/>
            <w:shd w:val="clear" w:color="auto" w:fill="CCEEFF"/>
          </w:tcPr>
          <w:p>
            <w:pPr>
              <w:spacing w:after="0" w:line="163" w:lineRule="exact"/>
              <w:rPr>
                <w:rFonts w:ascii="Arial" w:cs="Arial" w:eastAsia="Arial" w:hAnsi="Arial"/>
                <w:sz w:val="16"/>
                <w:szCs w:val="16"/>
                <w:color w:val="0000EE"/>
              </w:rPr>
            </w:pPr>
            <w:hyperlink w:anchor="page225">
              <w:r>
                <w:rPr>
                  <w:rFonts w:ascii="Arial" w:cs="Arial" w:eastAsia="Arial" w:hAnsi="Arial"/>
                  <w:sz w:val="16"/>
                  <w:szCs w:val="16"/>
                  <w:color w:val="0000EE"/>
                </w:rPr>
                <w:t>Form of Convertible Note Subscription Agreement.</w:t>
              </w:r>
            </w:hyperlink>
          </w:p>
        </w:tc>
      </w:tr>
      <w:tr>
        <w:trPr>
          <w:trHeight w:val="36"/>
        </w:trPr>
        <w:tc>
          <w:tcPr>
            <w:tcW w:w="5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560" w:type="dxa"/>
            <w:vAlign w:val="bottom"/>
          </w:tcPr>
          <w:p>
            <w:pPr>
              <w:spacing w:after="0" w:line="155" w:lineRule="exact"/>
              <w:rPr>
                <w:sz w:val="20"/>
                <w:szCs w:val="20"/>
                <w:color w:val="auto"/>
              </w:rPr>
            </w:pPr>
            <w:r>
              <w:rPr>
                <w:rFonts w:ascii="Arial" w:cs="Arial" w:eastAsia="Arial" w:hAnsi="Arial"/>
                <w:sz w:val="16"/>
                <w:szCs w:val="16"/>
                <w:color w:val="auto"/>
              </w:rPr>
              <w:t>10.3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20" w:type="dxa"/>
            <w:vAlign w:val="bottom"/>
            <w:gridSpan w:val="15"/>
          </w:tcPr>
          <w:p>
            <w:pPr>
              <w:spacing w:after="0" w:line="155" w:lineRule="exact"/>
              <w:rPr>
                <w:rFonts w:ascii="Arial" w:cs="Arial" w:eastAsia="Arial" w:hAnsi="Arial"/>
                <w:sz w:val="16"/>
                <w:szCs w:val="16"/>
                <w:color w:val="0000EE"/>
              </w:rPr>
            </w:pPr>
            <w:hyperlink w:anchor="page251">
              <w:r>
                <w:rPr>
                  <w:rFonts w:ascii="Arial" w:cs="Arial" w:eastAsia="Arial" w:hAnsi="Arial"/>
                  <w:sz w:val="16"/>
                  <w:szCs w:val="16"/>
                  <w:color w:val="0000EE"/>
                </w:rPr>
                <w:t>Form of Amended and Restated Warrant Agreement.</w:t>
              </w:r>
            </w:hyperlink>
          </w:p>
        </w:tc>
      </w:tr>
      <w:tr>
        <w:trPr>
          <w:trHeight w:val="28"/>
        </w:trPr>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56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10.4*</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15"/>
            <w:shd w:val="clear" w:color="auto" w:fill="CCEEFF"/>
          </w:tcPr>
          <w:p>
            <w:pPr>
              <w:spacing w:after="0" w:line="163" w:lineRule="exact"/>
              <w:rPr>
                <w:rFonts w:ascii="Arial" w:cs="Arial" w:eastAsia="Arial" w:hAnsi="Arial"/>
                <w:sz w:val="16"/>
                <w:szCs w:val="16"/>
                <w:color w:val="0000EE"/>
              </w:rPr>
            </w:pPr>
            <w:hyperlink w:anchor="page270">
              <w:r>
                <w:rPr>
                  <w:rFonts w:ascii="Arial" w:cs="Arial" w:eastAsia="Arial" w:hAnsi="Arial"/>
                  <w:sz w:val="16"/>
                  <w:szCs w:val="16"/>
                  <w:color w:val="0000EE"/>
                </w:rPr>
                <w:t>Form of Amended and Restated Registration Rights Agreement.</w:t>
              </w:r>
            </w:hyperlink>
          </w:p>
        </w:tc>
      </w:tr>
      <w:tr>
        <w:trPr>
          <w:trHeight w:val="36"/>
        </w:trPr>
        <w:tc>
          <w:tcPr>
            <w:tcW w:w="5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38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560" w:type="dxa"/>
            <w:vAlign w:val="bottom"/>
          </w:tcPr>
          <w:p>
            <w:pPr>
              <w:spacing w:after="0" w:line="155" w:lineRule="exact"/>
              <w:rPr>
                <w:sz w:val="20"/>
                <w:szCs w:val="20"/>
                <w:color w:val="auto"/>
              </w:rPr>
            </w:pPr>
            <w:r>
              <w:rPr>
                <w:rFonts w:ascii="Arial" w:cs="Arial" w:eastAsia="Arial" w:hAnsi="Arial"/>
                <w:sz w:val="16"/>
                <w:szCs w:val="16"/>
                <w:color w:val="auto"/>
              </w:rPr>
              <w:t>10.5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20" w:type="dxa"/>
            <w:vAlign w:val="bottom"/>
            <w:gridSpan w:val="15"/>
          </w:tcPr>
          <w:p>
            <w:pPr>
              <w:spacing w:after="0" w:line="155" w:lineRule="exact"/>
              <w:rPr>
                <w:rFonts w:ascii="Arial" w:cs="Arial" w:eastAsia="Arial" w:hAnsi="Arial"/>
                <w:sz w:val="16"/>
                <w:szCs w:val="16"/>
                <w:color w:val="0000EE"/>
                <w:w w:val="92"/>
              </w:rPr>
            </w:pPr>
            <w:hyperlink w:anchor="page303">
              <w:r>
                <w:rPr>
                  <w:rFonts w:ascii="Arial" w:cs="Arial" w:eastAsia="Arial" w:hAnsi="Arial"/>
                  <w:sz w:val="16"/>
                  <w:szCs w:val="16"/>
                  <w:color w:val="0000EE"/>
                  <w:w w:val="92"/>
                </w:rPr>
                <w:t>Sponsor Support Agreement, dated as of November 10, 2021, by and among Ventoux CCM Sponsor LLC, Chardan International Investments, LLC, VTAQ</w:t>
              </w:r>
            </w:hyperlink>
          </w:p>
        </w:tc>
      </w:tr>
      <w:tr>
        <w:trPr>
          <w:trHeight w:val="179"/>
        </w:trPr>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0000EE"/>
              <w:bottom w:val="single" w:sz="8" w:color="0000EE"/>
            </w:tcBorders>
          </w:tcPr>
          <w:p>
            <w:pPr>
              <w:spacing w:after="0" w:line="171" w:lineRule="exact"/>
              <w:rPr>
                <w:rFonts w:ascii="Arial" w:cs="Arial" w:eastAsia="Arial" w:hAnsi="Arial"/>
                <w:sz w:val="16"/>
                <w:szCs w:val="16"/>
                <w:color w:val="0000EE"/>
                <w:w w:val="83"/>
              </w:rPr>
            </w:pPr>
            <w:hyperlink w:anchor="page303">
              <w:r>
                <w:rPr>
                  <w:rFonts w:ascii="Arial" w:cs="Arial" w:eastAsia="Arial" w:hAnsi="Arial"/>
                  <w:sz w:val="16"/>
                  <w:szCs w:val="16"/>
                  <w:color w:val="0000EE"/>
                  <w:w w:val="83"/>
                </w:rPr>
                <w:t>and Presto.</w:t>
              </w:r>
            </w:hyperlink>
          </w:p>
        </w:tc>
        <w:tc>
          <w:tcPr>
            <w:tcW w:w="940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56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10.6</w:t>
            </w: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300" w:type="dxa"/>
            <w:vAlign w:val="bottom"/>
            <w:tcBorders>
              <w:bottom w:val="single" w:sz="8" w:color="0000EE"/>
            </w:tcBorders>
            <w:gridSpan w:val="13"/>
            <w:shd w:val="clear" w:color="auto" w:fill="CCEEFF"/>
          </w:tcPr>
          <w:p>
            <w:pPr>
              <w:spacing w:after="0" w:line="163" w:lineRule="exact"/>
              <w:rPr>
                <w:rFonts w:ascii="Arial" w:cs="Arial" w:eastAsia="Arial" w:hAnsi="Arial"/>
                <w:sz w:val="16"/>
                <w:szCs w:val="16"/>
                <w:color w:val="0000EE"/>
                <w:w w:val="89"/>
              </w:rPr>
            </w:pPr>
            <w:hyperlink w:anchor="page320">
              <w:r>
                <w:rPr>
                  <w:rFonts w:ascii="Arial" w:cs="Arial" w:eastAsia="Arial" w:hAnsi="Arial"/>
                  <w:sz w:val="16"/>
                  <w:szCs w:val="16"/>
                  <w:color w:val="0000EE"/>
                  <w:w w:val="89"/>
                </w:rPr>
                <w:t>Form of Presto Stockholder Support Agreement, dated as of November 10, 2021, by and among certain stockholders of Presto, VTAQ and Presto.</w:t>
              </w:r>
            </w:hyperlink>
          </w:p>
        </w:tc>
        <w:tc>
          <w:tcPr>
            <w:tcW w:w="820" w:type="dxa"/>
            <w:vAlign w:val="bottom"/>
            <w:tcBorders>
              <w:bottom w:val="single" w:sz="8" w:color="CCEEFF"/>
            </w:tcBorders>
            <w:gridSpan w:val="2"/>
            <w:shd w:val="clear" w:color="auto" w:fill="CCEEFF"/>
          </w:tcPr>
          <w:p>
            <w:pPr>
              <w:spacing w:after="0"/>
              <w:rPr>
                <w:sz w:val="15"/>
                <w:szCs w:val="15"/>
                <w:color w:val="auto"/>
              </w:rPr>
            </w:pPr>
          </w:p>
        </w:tc>
      </w:tr>
      <w:tr>
        <w:trPr>
          <w:trHeight w:val="155"/>
        </w:trPr>
        <w:tc>
          <w:tcPr>
            <w:tcW w:w="560" w:type="dxa"/>
            <w:vAlign w:val="bottom"/>
          </w:tcPr>
          <w:p>
            <w:pPr>
              <w:spacing w:after="0" w:line="155" w:lineRule="exact"/>
              <w:rPr>
                <w:sz w:val="20"/>
                <w:szCs w:val="20"/>
                <w:color w:val="auto"/>
              </w:rPr>
            </w:pPr>
            <w:r>
              <w:rPr>
                <w:rFonts w:ascii="Arial" w:cs="Arial" w:eastAsia="Arial" w:hAnsi="Arial"/>
                <w:sz w:val="16"/>
                <w:szCs w:val="16"/>
                <w:color w:val="auto"/>
              </w:rPr>
              <w:t>10.7</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20" w:type="dxa"/>
            <w:vAlign w:val="bottom"/>
            <w:gridSpan w:val="15"/>
          </w:tcPr>
          <w:p>
            <w:pPr>
              <w:spacing w:after="0" w:line="155" w:lineRule="exact"/>
              <w:rPr>
                <w:rFonts w:ascii="Arial" w:cs="Arial" w:eastAsia="Arial" w:hAnsi="Arial"/>
                <w:sz w:val="16"/>
                <w:szCs w:val="16"/>
                <w:color w:val="0000EE"/>
              </w:rPr>
            </w:pPr>
            <w:hyperlink w:anchor="page337">
              <w:r>
                <w:rPr>
                  <w:rFonts w:ascii="Arial" w:cs="Arial" w:eastAsia="Arial" w:hAnsi="Arial"/>
                  <w:sz w:val="16"/>
                  <w:szCs w:val="16"/>
                  <w:color w:val="0000EE"/>
                </w:rPr>
                <w:t>Form of Governance Agreement.</w:t>
              </w:r>
            </w:hyperlink>
          </w:p>
        </w:tc>
      </w:tr>
      <w:tr>
        <w:trPr>
          <w:trHeight w:val="28"/>
        </w:trPr>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56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99.1</w:t>
            </w: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0000EE"/>
            </w:tcBorders>
            <w:gridSpan w:val="4"/>
            <w:shd w:val="clear" w:color="auto" w:fill="CCEEFF"/>
          </w:tcPr>
          <w:p>
            <w:pPr>
              <w:spacing w:after="0" w:line="163" w:lineRule="exact"/>
              <w:rPr>
                <w:rFonts w:ascii="Arial" w:cs="Arial" w:eastAsia="Arial" w:hAnsi="Arial"/>
                <w:sz w:val="16"/>
                <w:szCs w:val="16"/>
                <w:color w:val="0000EE"/>
                <w:w w:val="86"/>
              </w:rPr>
            </w:pPr>
            <w:hyperlink w:anchor="page348">
              <w:r>
                <w:rPr>
                  <w:rFonts w:ascii="Arial" w:cs="Arial" w:eastAsia="Arial" w:hAnsi="Arial"/>
                  <w:sz w:val="16"/>
                  <w:szCs w:val="16"/>
                  <w:color w:val="0000EE"/>
                  <w:w w:val="86"/>
                </w:rPr>
                <w:t>Press Release, dated November 10, 2021.</w:t>
              </w:r>
            </w:hyperlink>
          </w:p>
        </w:tc>
        <w:tc>
          <w:tcPr>
            <w:tcW w:w="7480" w:type="dxa"/>
            <w:vAlign w:val="bottom"/>
            <w:tcBorders>
              <w:bottom w:val="single" w:sz="8" w:color="CCEEFF"/>
            </w:tcBorders>
            <w:gridSpan w:val="11"/>
            <w:shd w:val="clear" w:color="auto" w:fill="CCEEFF"/>
          </w:tcPr>
          <w:p>
            <w:pPr>
              <w:spacing w:after="0"/>
              <w:rPr>
                <w:sz w:val="15"/>
                <w:szCs w:val="15"/>
                <w:color w:val="auto"/>
              </w:rPr>
            </w:pPr>
          </w:p>
        </w:tc>
      </w:tr>
      <w:tr>
        <w:trPr>
          <w:trHeight w:val="163"/>
        </w:trPr>
        <w:tc>
          <w:tcPr>
            <w:tcW w:w="560" w:type="dxa"/>
            <w:vAlign w:val="bottom"/>
          </w:tcPr>
          <w:p>
            <w:pPr>
              <w:spacing w:after="0" w:line="155" w:lineRule="exact"/>
              <w:rPr>
                <w:sz w:val="20"/>
                <w:szCs w:val="20"/>
                <w:color w:val="auto"/>
              </w:rPr>
            </w:pPr>
            <w:r>
              <w:rPr>
                <w:rFonts w:ascii="Arial" w:cs="Arial" w:eastAsia="Arial" w:hAnsi="Arial"/>
                <w:sz w:val="16"/>
                <w:szCs w:val="16"/>
                <w:color w:val="auto"/>
              </w:rPr>
              <w:t>99.2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Borders>
              <w:bottom w:val="single" w:sz="8" w:color="0000EE"/>
            </w:tcBorders>
            <w:gridSpan w:val="5"/>
          </w:tcPr>
          <w:p>
            <w:pPr>
              <w:spacing w:after="0" w:line="155" w:lineRule="exact"/>
              <w:rPr>
                <w:rFonts w:ascii="Arial" w:cs="Arial" w:eastAsia="Arial" w:hAnsi="Arial"/>
                <w:sz w:val="16"/>
                <w:szCs w:val="16"/>
                <w:color w:val="0000EE"/>
                <w:w w:val="88"/>
              </w:rPr>
            </w:pPr>
            <w:hyperlink w:anchor="page354">
              <w:r>
                <w:rPr>
                  <w:rFonts w:ascii="Arial" w:cs="Arial" w:eastAsia="Arial" w:hAnsi="Arial"/>
                  <w:sz w:val="16"/>
                  <w:szCs w:val="16"/>
                  <w:color w:val="0000EE"/>
                  <w:w w:val="88"/>
                </w:rPr>
                <w:t>Investor Presentation, dated November 2021.</w:t>
              </w:r>
            </w:hyperlink>
          </w:p>
        </w:tc>
        <w:tc>
          <w:tcPr>
            <w:tcW w:w="7240" w:type="dxa"/>
            <w:vAlign w:val="bottom"/>
            <w:gridSpan w:val="10"/>
          </w:tcPr>
          <w:p>
            <w:pPr>
              <w:spacing w:after="0"/>
              <w:rPr>
                <w:sz w:val="14"/>
                <w:szCs w:val="14"/>
                <w:color w:val="auto"/>
              </w:rPr>
            </w:pPr>
          </w:p>
        </w:tc>
      </w:tr>
      <w:tr>
        <w:trPr>
          <w:trHeight w:val="163"/>
        </w:trPr>
        <w:tc>
          <w:tcPr>
            <w:tcW w:w="56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99.3</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15"/>
            <w:shd w:val="clear" w:color="auto" w:fill="CCEEFF"/>
          </w:tcPr>
          <w:p>
            <w:pPr>
              <w:spacing w:after="0" w:line="163" w:lineRule="exact"/>
              <w:rPr>
                <w:rFonts w:ascii="Arial" w:cs="Arial" w:eastAsia="Arial" w:hAnsi="Arial"/>
                <w:sz w:val="16"/>
                <w:szCs w:val="16"/>
                <w:color w:val="0000EE"/>
              </w:rPr>
            </w:pPr>
            <w:hyperlink w:anchor="page396">
              <w:r>
                <w:rPr>
                  <w:rFonts w:ascii="Arial" w:cs="Arial" w:eastAsia="Arial" w:hAnsi="Arial"/>
                  <w:sz w:val="16"/>
                  <w:szCs w:val="16"/>
                  <w:color w:val="0000EE"/>
                </w:rPr>
                <w:t>Transcript of Webcast, dated November 10, 2021.</w:t>
              </w:r>
            </w:hyperlink>
          </w:p>
        </w:tc>
      </w:tr>
      <w:tr>
        <w:trPr>
          <w:trHeight w:val="36"/>
        </w:trPr>
        <w:tc>
          <w:tcPr>
            <w:tcW w:w="5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104</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pacing w:after="0" w:line="166" w:lineRule="exact"/>
        <w:rPr>
          <w:sz w:val="20"/>
          <w:szCs w:val="20"/>
          <w:color w:val="auto"/>
        </w:rPr>
      </w:pPr>
    </w:p>
    <w:p>
      <w:pPr>
        <w:ind w:left="340" w:right="20" w:hanging="297"/>
        <w:spacing w:after="0" w:line="191" w:lineRule="auto"/>
        <w:tabs>
          <w:tab w:leader="none" w:pos="340"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rFonts w:ascii="Arial" w:cs="Arial" w:eastAsia="Arial" w:hAnsi="Arial"/>
          <w:sz w:val="27"/>
          <w:szCs w:val="27"/>
          <w:color w:val="auto"/>
          <w:vertAlign w:val="superscript"/>
        </w:rPr>
      </w:pPr>
    </w:p>
    <w:p>
      <w:pPr>
        <w:ind w:left="80"/>
        <w:spacing w:after="0"/>
        <w:rPr>
          <w:rFonts w:ascii="Arial" w:cs="Arial" w:eastAsia="Arial" w:hAnsi="Arial"/>
          <w:sz w:val="27"/>
          <w:szCs w:val="27"/>
          <w:color w:val="auto"/>
          <w:vertAlign w:val="superscript"/>
        </w:rPr>
      </w:pPr>
      <w:r>
        <w:rPr>
          <w:rFonts w:ascii="Arial" w:cs="Arial" w:eastAsia="Arial" w:hAnsi="Arial"/>
          <w:sz w:val="16"/>
          <w:szCs w:val="16"/>
          <w:color w:val="auto"/>
        </w:rPr>
        <w:t>*  Portions of this exhibit (indicated by asterisks) have been omitted under rules of the SEC permitting the confidential treatment of select information.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requirements of the Securities Exchange Act of 1934, Ventoux CCM Acquisition Corp. has duly caused this report to be signed on its behalf by the undersigned hereunto duly authorized.</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6"/>
          <w:szCs w:val="16"/>
          <w:color w:val="auto"/>
        </w:rPr>
        <w:t>Date: November 10,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20320</wp:posOffset>
            </wp:positionV>
            <wp:extent cx="257238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Edward Scheetz</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Chief Executive Officer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color w:val="auto"/>
        </w:rPr>
        <w:t>Exhibit 2.1</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EXECUTION VERSION</w:t>
      </w:r>
    </w:p>
    <w:p>
      <w:pPr>
        <w:spacing w:after="0" w:line="194"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DATED NOVEMBER 10, 2021</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AGREEMENT AND PLAN OF MERGER</w:t>
      </w:r>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AMONG</w:t>
      </w:r>
    </w:p>
    <w:p>
      <w:pPr>
        <w:spacing w:after="0" w:line="194"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VENTOUX CCM ACQUISITION CORP.,</w:t>
      </w:r>
    </w:p>
    <w:p>
      <w:pPr>
        <w:spacing w:after="0" w:line="24"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AS ACQUIROR</w:t>
      </w:r>
    </w:p>
    <w:p>
      <w:pPr>
        <w:spacing w:after="0" w:line="182"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VENTOUX MERGER SUB I INC.</w:t>
      </w:r>
    </w:p>
    <w:p>
      <w:pPr>
        <w:spacing w:after="0" w:line="24"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AS FIRST MERGER SUB</w:t>
      </w:r>
    </w:p>
    <w:p>
      <w:pPr>
        <w:spacing w:after="0" w:line="182"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VENTOUX MERGER SUB II LLC</w:t>
      </w:r>
    </w:p>
    <w:p>
      <w:pPr>
        <w:spacing w:after="0" w:line="24"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AS SECOND MERGER SUB</w:t>
      </w:r>
    </w:p>
    <w:p>
      <w:pPr>
        <w:spacing w:after="0" w:line="186"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E LA CARTE, INC.</w:t>
      </w:r>
    </w:p>
    <w:p>
      <w:pPr>
        <w:spacing w:after="0" w:line="24"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384175</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9360" w:type="dxa"/>
            <w:vAlign w:val="bottom"/>
          </w:tcPr>
          <w:p>
            <w:pPr>
              <w:ind w:left="3900"/>
              <w:spacing w:after="0"/>
              <w:rPr>
                <w:sz w:val="20"/>
                <w:szCs w:val="20"/>
                <w:color w:val="auto"/>
              </w:rPr>
            </w:pPr>
            <w:r>
              <w:rPr>
                <w:rFonts w:ascii="Arial" w:cs="Arial" w:eastAsia="Arial" w:hAnsi="Arial"/>
                <w:sz w:val="16"/>
                <w:szCs w:val="16"/>
                <w:b w:val="1"/>
                <w:bCs w:val="1"/>
                <w:color w:val="auto"/>
              </w:rPr>
              <w:t>Table of Contents</w:t>
            </w:r>
          </w:p>
        </w:tc>
        <w:tc>
          <w:tcPr>
            <w:tcW w:w="780" w:type="dxa"/>
            <w:vAlign w:val="bottom"/>
          </w:tcPr>
          <w:p>
            <w:pPr>
              <w:spacing w:after="0"/>
              <w:rPr>
                <w:sz w:val="18"/>
                <w:szCs w:val="18"/>
                <w:color w:val="auto"/>
              </w:rPr>
            </w:pPr>
          </w:p>
        </w:tc>
      </w:tr>
      <w:tr>
        <w:trPr>
          <w:trHeight w:val="386"/>
        </w:trPr>
        <w:tc>
          <w:tcPr>
            <w:tcW w:w="1120" w:type="dxa"/>
            <w:vAlign w:val="bottom"/>
            <w:tcBorders>
              <w:bottom w:val="single" w:sz="8" w:color="CCEEFF"/>
            </w:tcBorders>
          </w:tcPr>
          <w:p>
            <w:pPr>
              <w:spacing w:after="0"/>
              <w:rPr>
                <w:sz w:val="24"/>
                <w:szCs w:val="24"/>
                <w:color w:val="auto"/>
              </w:rPr>
            </w:pPr>
          </w:p>
        </w:tc>
        <w:tc>
          <w:tcPr>
            <w:tcW w:w="936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Page</w:t>
            </w:r>
          </w:p>
        </w:tc>
      </w:tr>
      <w:tr>
        <w:trPr>
          <w:trHeight w:val="191"/>
        </w:trPr>
        <w:tc>
          <w:tcPr>
            <w:tcW w:w="10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 CERTAIN DEFINITIONS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120" w:type="dxa"/>
            <w:vAlign w:val="bottom"/>
          </w:tcPr>
          <w:p>
            <w:pPr>
              <w:spacing w:after="0"/>
              <w:rPr>
                <w:sz w:val="16"/>
                <w:szCs w:val="16"/>
                <w:color w:val="auto"/>
              </w:rPr>
            </w:pPr>
          </w:p>
        </w:tc>
        <w:tc>
          <w:tcPr>
            <w:tcW w:w="9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1.01</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Definitions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1.02</w:t>
            </w:r>
          </w:p>
        </w:tc>
        <w:tc>
          <w:tcPr>
            <w:tcW w:w="9360" w:type="dxa"/>
            <w:vAlign w:val="bottom"/>
          </w:tcPr>
          <w:p>
            <w:pPr>
              <w:ind w:left="340"/>
              <w:spacing w:after="0"/>
              <w:rPr>
                <w:sz w:val="20"/>
                <w:szCs w:val="20"/>
                <w:color w:val="auto"/>
              </w:rPr>
            </w:pPr>
            <w:r>
              <w:rPr>
                <w:rFonts w:ascii="Arial" w:cs="Arial" w:eastAsia="Arial" w:hAnsi="Arial"/>
                <w:sz w:val="16"/>
                <w:szCs w:val="16"/>
                <w:color w:val="auto"/>
              </w:rPr>
              <w:t>Construction</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17</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1.03</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Knowledge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1048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II THE MERGER; CLOSING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1120" w:type="dxa"/>
            <w:vAlign w:val="bottom"/>
          </w:tcPr>
          <w:p>
            <w:pPr>
              <w:spacing w:after="0"/>
              <w:rPr>
                <w:sz w:val="16"/>
                <w:szCs w:val="16"/>
                <w:color w:val="auto"/>
              </w:rPr>
            </w:pPr>
          </w:p>
        </w:tc>
        <w:tc>
          <w:tcPr>
            <w:tcW w:w="9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2.01</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Effective Times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2.02</w:t>
            </w:r>
          </w:p>
        </w:tc>
        <w:tc>
          <w:tcPr>
            <w:tcW w:w="9360" w:type="dxa"/>
            <w:vAlign w:val="bottom"/>
          </w:tcPr>
          <w:p>
            <w:pPr>
              <w:ind w:left="340"/>
              <w:spacing w:after="0"/>
              <w:rPr>
                <w:sz w:val="20"/>
                <w:szCs w:val="20"/>
                <w:color w:val="auto"/>
              </w:rPr>
            </w:pPr>
            <w:r>
              <w:rPr>
                <w:rFonts w:ascii="Arial" w:cs="Arial" w:eastAsia="Arial" w:hAnsi="Arial"/>
                <w:sz w:val="16"/>
                <w:szCs w:val="16"/>
                <w:color w:val="auto"/>
              </w:rPr>
              <w:t>The Merger</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2.03</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Effects of the Merger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2.04</w:t>
            </w:r>
          </w:p>
        </w:tc>
        <w:tc>
          <w:tcPr>
            <w:tcW w:w="9360" w:type="dxa"/>
            <w:vAlign w:val="bottom"/>
          </w:tcPr>
          <w:p>
            <w:pPr>
              <w:ind w:left="340"/>
              <w:spacing w:after="0"/>
              <w:rPr>
                <w:sz w:val="20"/>
                <w:szCs w:val="20"/>
                <w:color w:val="auto"/>
              </w:rPr>
            </w:pPr>
            <w:r>
              <w:rPr>
                <w:rFonts w:ascii="Arial" w:cs="Arial" w:eastAsia="Arial" w:hAnsi="Arial"/>
                <w:sz w:val="16"/>
                <w:szCs w:val="16"/>
                <w:color w:val="auto"/>
              </w:rPr>
              <w:t>Closing</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2.05</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Registration Rights Agreement.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2.06</w:t>
            </w:r>
          </w:p>
        </w:tc>
        <w:tc>
          <w:tcPr>
            <w:tcW w:w="9360" w:type="dxa"/>
            <w:vAlign w:val="bottom"/>
          </w:tcPr>
          <w:p>
            <w:pPr>
              <w:ind w:left="340"/>
              <w:spacing w:after="0"/>
              <w:rPr>
                <w:sz w:val="20"/>
                <w:szCs w:val="20"/>
                <w:color w:val="auto"/>
              </w:rPr>
            </w:pPr>
            <w:r>
              <w:rPr>
                <w:rFonts w:ascii="Arial" w:cs="Arial" w:eastAsia="Arial" w:hAnsi="Arial"/>
                <w:sz w:val="16"/>
                <w:szCs w:val="16"/>
                <w:color w:val="auto"/>
              </w:rPr>
              <w:t>Certificate of Incorporation and Bylaws of the Surviving Entity</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2.07</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Directors and Officers of the Surviving Entity and the Surviving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048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III EFFECTS OF THE MERGERs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120" w:type="dxa"/>
            <w:vAlign w:val="bottom"/>
          </w:tcPr>
          <w:p>
            <w:pPr>
              <w:spacing w:after="0"/>
              <w:rPr>
                <w:sz w:val="16"/>
                <w:szCs w:val="16"/>
                <w:color w:val="auto"/>
              </w:rPr>
            </w:pPr>
          </w:p>
        </w:tc>
        <w:tc>
          <w:tcPr>
            <w:tcW w:w="9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3.01</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Conversion of Securities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3.02</w:t>
            </w:r>
          </w:p>
        </w:tc>
        <w:tc>
          <w:tcPr>
            <w:tcW w:w="9360" w:type="dxa"/>
            <w:vAlign w:val="bottom"/>
          </w:tcPr>
          <w:p>
            <w:pPr>
              <w:ind w:left="340"/>
              <w:spacing w:after="0"/>
              <w:rPr>
                <w:sz w:val="20"/>
                <w:szCs w:val="20"/>
                <w:color w:val="auto"/>
              </w:rPr>
            </w:pPr>
            <w:r>
              <w:rPr>
                <w:rFonts w:ascii="Arial" w:cs="Arial" w:eastAsia="Arial" w:hAnsi="Arial"/>
                <w:sz w:val="16"/>
                <w:szCs w:val="16"/>
                <w:color w:val="auto"/>
              </w:rPr>
              <w:t>Treatment of Company Options and Warrants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22</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3.03</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the Second Merger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3.04</w:t>
            </w:r>
          </w:p>
        </w:tc>
        <w:tc>
          <w:tcPr>
            <w:tcW w:w="9360" w:type="dxa"/>
            <w:vAlign w:val="bottom"/>
          </w:tcPr>
          <w:p>
            <w:pPr>
              <w:ind w:left="340"/>
              <w:spacing w:after="0"/>
              <w:rPr>
                <w:sz w:val="20"/>
                <w:szCs w:val="20"/>
                <w:color w:val="auto"/>
              </w:rPr>
            </w:pPr>
            <w:r>
              <w:rPr>
                <w:rFonts w:ascii="Arial" w:cs="Arial" w:eastAsia="Arial" w:hAnsi="Arial"/>
                <w:sz w:val="16"/>
                <w:szCs w:val="16"/>
                <w:color w:val="auto"/>
              </w:rPr>
              <w:t>Equitable Adjustments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3.05</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Delivery of Company Merger Shares.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3.06</w:t>
            </w:r>
          </w:p>
        </w:tc>
        <w:tc>
          <w:tcPr>
            <w:tcW w:w="9360" w:type="dxa"/>
            <w:vAlign w:val="bottom"/>
          </w:tcPr>
          <w:p>
            <w:pPr>
              <w:ind w:left="340"/>
              <w:spacing w:after="0"/>
              <w:rPr>
                <w:sz w:val="20"/>
                <w:szCs w:val="20"/>
                <w:color w:val="auto"/>
              </w:rPr>
            </w:pPr>
            <w:r>
              <w:rPr>
                <w:rFonts w:ascii="Arial" w:cs="Arial" w:eastAsia="Arial" w:hAnsi="Arial"/>
                <w:sz w:val="16"/>
                <w:szCs w:val="16"/>
                <w:color w:val="auto"/>
              </w:rPr>
              <w:t>Lost Certificate</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3.07</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Earnout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3.08</w:t>
            </w:r>
          </w:p>
        </w:tc>
        <w:tc>
          <w:tcPr>
            <w:tcW w:w="9360" w:type="dxa"/>
            <w:vAlign w:val="bottom"/>
          </w:tcPr>
          <w:p>
            <w:pPr>
              <w:ind w:left="340"/>
              <w:spacing w:after="0"/>
              <w:rPr>
                <w:sz w:val="20"/>
                <w:szCs w:val="20"/>
                <w:color w:val="auto"/>
              </w:rPr>
            </w:pPr>
            <w:r>
              <w:rPr>
                <w:rFonts w:ascii="Arial" w:cs="Arial" w:eastAsia="Arial" w:hAnsi="Arial"/>
                <w:sz w:val="16"/>
                <w:szCs w:val="16"/>
                <w:color w:val="auto"/>
              </w:rPr>
              <w:t>Withholding</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24</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3.09</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in Lieu of Fractional Shares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3.10</w:t>
            </w:r>
          </w:p>
        </w:tc>
        <w:tc>
          <w:tcPr>
            <w:tcW w:w="9360" w:type="dxa"/>
            <w:vAlign w:val="bottom"/>
          </w:tcPr>
          <w:p>
            <w:pPr>
              <w:ind w:left="340"/>
              <w:spacing w:after="0"/>
              <w:rPr>
                <w:sz w:val="20"/>
                <w:szCs w:val="20"/>
                <w:color w:val="auto"/>
              </w:rPr>
            </w:pPr>
            <w:r>
              <w:rPr>
                <w:rFonts w:ascii="Arial" w:cs="Arial" w:eastAsia="Arial" w:hAnsi="Arial"/>
                <w:sz w:val="16"/>
                <w:szCs w:val="16"/>
                <w:color w:val="auto"/>
              </w:rPr>
              <w:t>Payment of Expenses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3.11</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Dissenting Shares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1048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IV REPRESENTATIONS AND WARRANTIES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1120" w:type="dxa"/>
            <w:vAlign w:val="bottom"/>
          </w:tcPr>
          <w:p>
            <w:pPr>
              <w:spacing w:after="0"/>
              <w:rPr>
                <w:sz w:val="16"/>
                <w:szCs w:val="16"/>
                <w:color w:val="auto"/>
              </w:rPr>
            </w:pPr>
          </w:p>
        </w:tc>
        <w:tc>
          <w:tcPr>
            <w:tcW w:w="9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4.01</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Organization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4.02</w:t>
            </w:r>
          </w:p>
        </w:tc>
        <w:tc>
          <w:tcPr>
            <w:tcW w:w="9360" w:type="dxa"/>
            <w:vAlign w:val="bottom"/>
          </w:tcPr>
          <w:p>
            <w:pPr>
              <w:ind w:left="340"/>
              <w:spacing w:after="0"/>
              <w:rPr>
                <w:sz w:val="20"/>
                <w:szCs w:val="20"/>
                <w:color w:val="auto"/>
              </w:rPr>
            </w:pPr>
            <w:r>
              <w:rPr>
                <w:rFonts w:ascii="Arial" w:cs="Arial" w:eastAsia="Arial" w:hAnsi="Arial"/>
                <w:sz w:val="16"/>
                <w:szCs w:val="16"/>
                <w:color w:val="auto"/>
              </w:rPr>
              <w:t>Subsidiaries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4.03</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Due Authorization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4.04</w:t>
            </w:r>
          </w:p>
        </w:tc>
        <w:tc>
          <w:tcPr>
            <w:tcW w:w="9360" w:type="dxa"/>
            <w:vAlign w:val="bottom"/>
          </w:tcPr>
          <w:p>
            <w:pPr>
              <w:ind w:left="340"/>
              <w:spacing w:after="0"/>
              <w:rPr>
                <w:sz w:val="20"/>
                <w:szCs w:val="20"/>
                <w:color w:val="auto"/>
              </w:rPr>
            </w:pPr>
            <w:r>
              <w:rPr>
                <w:rFonts w:ascii="Arial" w:cs="Arial" w:eastAsia="Arial" w:hAnsi="Arial"/>
                <w:sz w:val="16"/>
                <w:szCs w:val="16"/>
                <w:color w:val="auto"/>
              </w:rPr>
              <w:t>No Conflict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4.05</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Governmental Authorities; Consents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4.06</w:t>
            </w:r>
          </w:p>
        </w:tc>
        <w:tc>
          <w:tcPr>
            <w:tcW w:w="9360" w:type="dxa"/>
            <w:vAlign w:val="bottom"/>
          </w:tcPr>
          <w:p>
            <w:pPr>
              <w:ind w:left="340"/>
              <w:spacing w:after="0"/>
              <w:rPr>
                <w:sz w:val="20"/>
                <w:szCs w:val="20"/>
                <w:color w:val="auto"/>
              </w:rPr>
            </w:pPr>
            <w:r>
              <w:rPr>
                <w:rFonts w:ascii="Arial" w:cs="Arial" w:eastAsia="Arial" w:hAnsi="Arial"/>
                <w:sz w:val="16"/>
                <w:szCs w:val="16"/>
                <w:color w:val="auto"/>
              </w:rPr>
              <w:t>Capitalization</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4.07</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Financial Statements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4.08</w:t>
            </w:r>
          </w:p>
        </w:tc>
        <w:tc>
          <w:tcPr>
            <w:tcW w:w="9360" w:type="dxa"/>
            <w:vAlign w:val="bottom"/>
          </w:tcPr>
          <w:p>
            <w:pPr>
              <w:ind w:left="340"/>
              <w:spacing w:after="0"/>
              <w:rPr>
                <w:sz w:val="20"/>
                <w:szCs w:val="20"/>
                <w:color w:val="auto"/>
              </w:rPr>
            </w:pPr>
            <w:r>
              <w:rPr>
                <w:rFonts w:ascii="Arial" w:cs="Arial" w:eastAsia="Arial" w:hAnsi="Arial"/>
                <w:sz w:val="16"/>
                <w:szCs w:val="16"/>
                <w:color w:val="auto"/>
              </w:rPr>
              <w:t>Undisclosed Liabilities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4.09</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Litigation and Proceedings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4.10</w:t>
            </w:r>
          </w:p>
        </w:tc>
        <w:tc>
          <w:tcPr>
            <w:tcW w:w="9360" w:type="dxa"/>
            <w:vAlign w:val="bottom"/>
          </w:tcPr>
          <w:p>
            <w:pPr>
              <w:ind w:left="340"/>
              <w:spacing w:after="0"/>
              <w:rPr>
                <w:sz w:val="20"/>
                <w:szCs w:val="20"/>
                <w:color w:val="auto"/>
              </w:rPr>
            </w:pPr>
            <w:r>
              <w:rPr>
                <w:rFonts w:ascii="Arial" w:cs="Arial" w:eastAsia="Arial" w:hAnsi="Arial"/>
                <w:sz w:val="16"/>
                <w:szCs w:val="16"/>
                <w:color w:val="auto"/>
              </w:rPr>
              <w:t>Compliance with Laws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4.11</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Intellectual Property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4.12</w:t>
            </w:r>
          </w:p>
        </w:tc>
        <w:tc>
          <w:tcPr>
            <w:tcW w:w="9360" w:type="dxa"/>
            <w:vAlign w:val="bottom"/>
          </w:tcPr>
          <w:p>
            <w:pPr>
              <w:ind w:left="340"/>
              <w:spacing w:after="0"/>
              <w:rPr>
                <w:sz w:val="20"/>
                <w:szCs w:val="20"/>
                <w:color w:val="auto"/>
              </w:rPr>
            </w:pPr>
            <w:r>
              <w:rPr>
                <w:rFonts w:ascii="Arial" w:cs="Arial" w:eastAsia="Arial" w:hAnsi="Arial"/>
                <w:sz w:val="16"/>
                <w:szCs w:val="16"/>
                <w:color w:val="auto"/>
              </w:rPr>
              <w:t>Contracts; No Defaults.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4.13</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Company Benefit Plans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4.14</w:t>
            </w:r>
          </w:p>
        </w:tc>
        <w:tc>
          <w:tcPr>
            <w:tcW w:w="9360" w:type="dxa"/>
            <w:vAlign w:val="bottom"/>
          </w:tcPr>
          <w:p>
            <w:pPr>
              <w:ind w:left="340"/>
              <w:spacing w:after="0"/>
              <w:rPr>
                <w:sz w:val="20"/>
                <w:szCs w:val="20"/>
                <w:color w:val="auto"/>
              </w:rPr>
            </w:pPr>
            <w:r>
              <w:rPr>
                <w:rFonts w:ascii="Arial" w:cs="Arial" w:eastAsia="Arial" w:hAnsi="Arial"/>
                <w:sz w:val="16"/>
                <w:szCs w:val="16"/>
                <w:color w:val="auto"/>
              </w:rPr>
              <w:t>Labor Matters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37</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4.15</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4.16</w:t>
            </w:r>
          </w:p>
        </w:tc>
        <w:tc>
          <w:tcPr>
            <w:tcW w:w="9360" w:type="dxa"/>
            <w:vAlign w:val="bottom"/>
          </w:tcPr>
          <w:p>
            <w:pPr>
              <w:ind w:left="340"/>
              <w:spacing w:after="0"/>
              <w:rPr>
                <w:sz w:val="20"/>
                <w:szCs w:val="20"/>
                <w:color w:val="auto"/>
              </w:rPr>
            </w:pPr>
            <w:r>
              <w:rPr>
                <w:rFonts w:ascii="Arial" w:cs="Arial" w:eastAsia="Arial" w:hAnsi="Arial"/>
                <w:sz w:val="16"/>
                <w:szCs w:val="16"/>
                <w:color w:val="auto"/>
              </w:rPr>
              <w:t>Brokers’ Fees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4.17</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Insurance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4.18</w:t>
            </w:r>
          </w:p>
        </w:tc>
        <w:tc>
          <w:tcPr>
            <w:tcW w:w="9360" w:type="dxa"/>
            <w:vAlign w:val="bottom"/>
          </w:tcPr>
          <w:p>
            <w:pPr>
              <w:ind w:left="340"/>
              <w:spacing w:after="0"/>
              <w:rPr>
                <w:sz w:val="20"/>
                <w:szCs w:val="20"/>
                <w:color w:val="auto"/>
              </w:rPr>
            </w:pPr>
            <w:r>
              <w:rPr>
                <w:rFonts w:ascii="Arial" w:cs="Arial" w:eastAsia="Arial" w:hAnsi="Arial"/>
                <w:sz w:val="16"/>
                <w:szCs w:val="16"/>
                <w:color w:val="auto"/>
              </w:rPr>
              <w:t>Real Property; Assets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4.19</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Environmental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Section 4.20</w:t>
            </w:r>
          </w:p>
        </w:tc>
        <w:tc>
          <w:tcPr>
            <w:tcW w:w="9360" w:type="dxa"/>
            <w:vAlign w:val="bottom"/>
          </w:tcPr>
          <w:p>
            <w:pPr>
              <w:ind w:left="340"/>
              <w:spacing w:after="0"/>
              <w:rPr>
                <w:sz w:val="20"/>
                <w:szCs w:val="20"/>
                <w:color w:val="auto"/>
              </w:rPr>
            </w:pPr>
            <w:r>
              <w:rPr>
                <w:rFonts w:ascii="Arial" w:cs="Arial" w:eastAsia="Arial" w:hAnsi="Arial"/>
                <w:sz w:val="16"/>
                <w:szCs w:val="16"/>
                <w:color w:val="auto"/>
              </w:rPr>
              <w:t>Absence of Changes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42</w:t>
            </w: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4.21</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Affiliate Agreements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42</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4.22</w:t>
            </w:r>
          </w:p>
        </w:tc>
        <w:tc>
          <w:tcPr>
            <w:tcW w:w="8440" w:type="dxa"/>
            <w:vAlign w:val="bottom"/>
          </w:tcPr>
          <w:p>
            <w:pPr>
              <w:ind w:left="340"/>
              <w:spacing w:after="0"/>
              <w:rPr>
                <w:sz w:val="20"/>
                <w:szCs w:val="20"/>
                <w:color w:val="auto"/>
              </w:rPr>
            </w:pPr>
            <w:r>
              <w:rPr>
                <w:rFonts w:ascii="Arial" w:cs="Arial" w:eastAsia="Arial" w:hAnsi="Arial"/>
                <w:sz w:val="16"/>
                <w:szCs w:val="16"/>
                <w:color w:val="auto"/>
              </w:rPr>
              <w:t>Internal Controls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43</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4.23</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Permits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43</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4.24</w:t>
            </w:r>
          </w:p>
        </w:tc>
        <w:tc>
          <w:tcPr>
            <w:tcW w:w="8440" w:type="dxa"/>
            <w:vAlign w:val="bottom"/>
          </w:tcPr>
          <w:p>
            <w:pPr>
              <w:ind w:left="340"/>
              <w:spacing w:after="0"/>
              <w:rPr>
                <w:sz w:val="20"/>
                <w:szCs w:val="20"/>
                <w:color w:val="auto"/>
              </w:rPr>
            </w:pPr>
            <w:r>
              <w:rPr>
                <w:rFonts w:ascii="Arial" w:cs="Arial" w:eastAsia="Arial" w:hAnsi="Arial"/>
                <w:sz w:val="16"/>
                <w:szCs w:val="16"/>
                <w:color w:val="auto"/>
              </w:rPr>
              <w:t>Proxy Statement</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43</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4.25</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 Additional Representations and Warranties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43</w:t>
            </w:r>
          </w:p>
        </w:tc>
      </w:tr>
      <w:tr>
        <w:trPr>
          <w:trHeight w:val="191"/>
        </w:trPr>
        <w:tc>
          <w:tcPr>
            <w:tcW w:w="9560" w:type="dxa"/>
            <w:vAlign w:val="bottom"/>
            <w:gridSpan w:val="2"/>
          </w:tcPr>
          <w:p>
            <w:pPr>
              <w:spacing w:after="0"/>
              <w:rPr>
                <w:sz w:val="16"/>
                <w:szCs w:val="16"/>
                <w:color w:val="auto"/>
              </w:rPr>
            </w:pPr>
          </w:p>
        </w:tc>
        <w:tc>
          <w:tcPr>
            <w:tcW w:w="1700" w:type="dxa"/>
            <w:vAlign w:val="bottom"/>
          </w:tcPr>
          <w:p>
            <w:pPr>
              <w:spacing w:after="0"/>
              <w:rPr>
                <w:sz w:val="16"/>
                <w:szCs w:val="16"/>
                <w:color w:val="auto"/>
              </w:rPr>
            </w:pPr>
          </w:p>
        </w:tc>
      </w:tr>
      <w:tr>
        <w:trPr>
          <w:trHeight w:val="191"/>
        </w:trPr>
        <w:tc>
          <w:tcPr>
            <w:tcW w:w="9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 REPRESENTATIONS AND WARRANTIES OF ACQUIROR, FIRST MERGER SUB AND SECOND MERGER SUB</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44</w:t>
            </w:r>
          </w:p>
        </w:tc>
      </w:tr>
      <w:tr>
        <w:trPr>
          <w:trHeight w:val="191"/>
        </w:trPr>
        <w:tc>
          <w:tcPr>
            <w:tcW w:w="112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5.01</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Organization.</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44</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5.02</w:t>
            </w:r>
          </w:p>
        </w:tc>
        <w:tc>
          <w:tcPr>
            <w:tcW w:w="8440" w:type="dxa"/>
            <w:vAlign w:val="bottom"/>
          </w:tcPr>
          <w:p>
            <w:pPr>
              <w:ind w:left="340"/>
              <w:spacing w:after="0"/>
              <w:rPr>
                <w:sz w:val="20"/>
                <w:szCs w:val="20"/>
                <w:color w:val="auto"/>
              </w:rPr>
            </w:pPr>
            <w:r>
              <w:rPr>
                <w:rFonts w:ascii="Arial" w:cs="Arial" w:eastAsia="Arial" w:hAnsi="Arial"/>
                <w:sz w:val="16"/>
                <w:szCs w:val="16"/>
                <w:color w:val="auto"/>
              </w:rPr>
              <w:t>Due Authorization</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44</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5.03</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 Conflict</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45</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5.04</w:t>
            </w:r>
          </w:p>
        </w:tc>
        <w:tc>
          <w:tcPr>
            <w:tcW w:w="8440" w:type="dxa"/>
            <w:vAlign w:val="bottom"/>
          </w:tcPr>
          <w:p>
            <w:pPr>
              <w:ind w:left="340"/>
              <w:spacing w:after="0"/>
              <w:rPr>
                <w:sz w:val="20"/>
                <w:szCs w:val="20"/>
                <w:color w:val="auto"/>
              </w:rPr>
            </w:pPr>
            <w:r>
              <w:rPr>
                <w:rFonts w:ascii="Arial" w:cs="Arial" w:eastAsia="Arial" w:hAnsi="Arial"/>
                <w:sz w:val="16"/>
                <w:szCs w:val="16"/>
                <w:color w:val="auto"/>
              </w:rPr>
              <w:t>Litigation and Proceedings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46</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5.05</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Compliance with Laws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46</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5.06</w:t>
            </w:r>
          </w:p>
        </w:tc>
        <w:tc>
          <w:tcPr>
            <w:tcW w:w="8440" w:type="dxa"/>
            <w:vAlign w:val="bottom"/>
          </w:tcPr>
          <w:p>
            <w:pPr>
              <w:ind w:left="340"/>
              <w:spacing w:after="0"/>
              <w:rPr>
                <w:sz w:val="20"/>
                <w:szCs w:val="20"/>
                <w:color w:val="auto"/>
              </w:rPr>
            </w:pPr>
            <w:r>
              <w:rPr>
                <w:rFonts w:ascii="Arial" w:cs="Arial" w:eastAsia="Arial" w:hAnsi="Arial"/>
                <w:sz w:val="16"/>
                <w:szCs w:val="16"/>
                <w:color w:val="auto"/>
              </w:rPr>
              <w:t>Governmental Authorities; Consents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46</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5.07</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Financial Ability; Trust Account</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47</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5.08</w:t>
            </w:r>
          </w:p>
        </w:tc>
        <w:tc>
          <w:tcPr>
            <w:tcW w:w="8440" w:type="dxa"/>
            <w:vAlign w:val="bottom"/>
          </w:tcPr>
          <w:p>
            <w:pPr>
              <w:ind w:left="340"/>
              <w:spacing w:after="0"/>
              <w:rPr>
                <w:sz w:val="20"/>
                <w:szCs w:val="20"/>
                <w:color w:val="auto"/>
              </w:rPr>
            </w:pPr>
            <w:r>
              <w:rPr>
                <w:rFonts w:ascii="Arial" w:cs="Arial" w:eastAsia="Arial" w:hAnsi="Arial"/>
                <w:sz w:val="16"/>
                <w:szCs w:val="16"/>
                <w:color w:val="auto"/>
              </w:rPr>
              <w:t>Taxes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48</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5.09</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Brokers’ Fees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49</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5.10</w:t>
            </w:r>
          </w:p>
        </w:tc>
        <w:tc>
          <w:tcPr>
            <w:tcW w:w="8440" w:type="dxa"/>
            <w:vAlign w:val="bottom"/>
          </w:tcPr>
          <w:p>
            <w:pPr>
              <w:ind w:left="340"/>
              <w:spacing w:after="0"/>
              <w:rPr>
                <w:sz w:val="20"/>
                <w:szCs w:val="20"/>
                <w:color w:val="auto"/>
              </w:rPr>
            </w:pPr>
            <w:r>
              <w:rPr>
                <w:rFonts w:ascii="Arial" w:cs="Arial" w:eastAsia="Arial" w:hAnsi="Arial"/>
                <w:sz w:val="16"/>
                <w:szCs w:val="16"/>
                <w:color w:val="auto"/>
              </w:rPr>
              <w:t>Acquiror SEC Reports; Financial Statements; Sarbanes-Oxley Act</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49</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5.11</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Business Activities; Undisclosed Liabilities; Absence of Changes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50</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5.12</w:t>
            </w:r>
          </w:p>
        </w:tc>
        <w:tc>
          <w:tcPr>
            <w:tcW w:w="8440" w:type="dxa"/>
            <w:vAlign w:val="bottom"/>
          </w:tcPr>
          <w:p>
            <w:pPr>
              <w:ind w:left="340"/>
              <w:spacing w:after="0"/>
              <w:rPr>
                <w:sz w:val="20"/>
                <w:szCs w:val="20"/>
                <w:color w:val="auto"/>
              </w:rPr>
            </w:pPr>
            <w:r>
              <w:rPr>
                <w:rFonts w:ascii="Arial" w:cs="Arial" w:eastAsia="Arial" w:hAnsi="Arial"/>
                <w:sz w:val="16"/>
                <w:szCs w:val="16"/>
                <w:color w:val="auto"/>
              </w:rPr>
              <w:t>Proxy Statement</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51</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5.13</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 Outside Reliance</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51</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5.14</w:t>
            </w:r>
          </w:p>
        </w:tc>
        <w:tc>
          <w:tcPr>
            <w:tcW w:w="8440" w:type="dxa"/>
            <w:vAlign w:val="bottom"/>
          </w:tcPr>
          <w:p>
            <w:pPr>
              <w:ind w:left="340"/>
              <w:spacing w:after="0"/>
              <w:rPr>
                <w:sz w:val="20"/>
                <w:szCs w:val="20"/>
                <w:color w:val="auto"/>
              </w:rPr>
            </w:pPr>
            <w:r>
              <w:rPr>
                <w:rFonts w:ascii="Arial" w:cs="Arial" w:eastAsia="Arial" w:hAnsi="Arial"/>
                <w:sz w:val="16"/>
                <w:szCs w:val="16"/>
                <w:color w:val="auto"/>
              </w:rPr>
              <w:t>Capitalization</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52</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5.15</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Nasdaq Stock Market Quotation</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53</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5.16</w:t>
            </w:r>
          </w:p>
        </w:tc>
        <w:tc>
          <w:tcPr>
            <w:tcW w:w="8440" w:type="dxa"/>
            <w:vAlign w:val="bottom"/>
          </w:tcPr>
          <w:p>
            <w:pPr>
              <w:ind w:left="340"/>
              <w:spacing w:after="0"/>
              <w:rPr>
                <w:sz w:val="20"/>
                <w:szCs w:val="20"/>
                <w:color w:val="auto"/>
              </w:rPr>
            </w:pPr>
            <w:r>
              <w:rPr>
                <w:rFonts w:ascii="Arial" w:cs="Arial" w:eastAsia="Arial" w:hAnsi="Arial"/>
                <w:sz w:val="16"/>
                <w:szCs w:val="16"/>
                <w:color w:val="auto"/>
              </w:rPr>
              <w:t>Contracts; No Defaults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53</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5.17</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Title to Property</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53</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5.18</w:t>
            </w:r>
          </w:p>
        </w:tc>
        <w:tc>
          <w:tcPr>
            <w:tcW w:w="8440" w:type="dxa"/>
            <w:vAlign w:val="bottom"/>
          </w:tcPr>
          <w:p>
            <w:pPr>
              <w:ind w:left="340"/>
              <w:spacing w:after="0"/>
              <w:rPr>
                <w:sz w:val="20"/>
                <w:szCs w:val="20"/>
                <w:color w:val="auto"/>
              </w:rPr>
            </w:pPr>
            <w:r>
              <w:rPr>
                <w:rFonts w:ascii="Arial" w:cs="Arial" w:eastAsia="Arial" w:hAnsi="Arial"/>
                <w:sz w:val="16"/>
                <w:szCs w:val="16"/>
                <w:color w:val="auto"/>
              </w:rPr>
              <w:t>Investment Company Act</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54</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5.19</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Affiliate Agreements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54</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5.20</w:t>
            </w:r>
          </w:p>
        </w:tc>
        <w:tc>
          <w:tcPr>
            <w:tcW w:w="8440" w:type="dxa"/>
            <w:vAlign w:val="bottom"/>
          </w:tcPr>
          <w:p>
            <w:pPr>
              <w:ind w:left="340"/>
              <w:spacing w:after="0"/>
              <w:rPr>
                <w:sz w:val="20"/>
                <w:szCs w:val="20"/>
                <w:color w:val="auto"/>
              </w:rPr>
            </w:pPr>
            <w:r>
              <w:rPr>
                <w:rFonts w:ascii="Arial" w:cs="Arial" w:eastAsia="Arial" w:hAnsi="Arial"/>
                <w:sz w:val="16"/>
                <w:szCs w:val="16"/>
                <w:color w:val="auto"/>
              </w:rPr>
              <w:t>Subscription Agreements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54</w:t>
            </w:r>
          </w:p>
        </w:tc>
      </w:tr>
      <w:tr>
        <w:trPr>
          <w:trHeight w:val="191"/>
        </w:trPr>
        <w:tc>
          <w:tcPr>
            <w:tcW w:w="9560" w:type="dxa"/>
            <w:vAlign w:val="bottom"/>
            <w:gridSpan w:val="2"/>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91"/>
        </w:trPr>
        <w:tc>
          <w:tcPr>
            <w:tcW w:w="9560" w:type="dxa"/>
            <w:vAlign w:val="bottom"/>
            <w:gridSpan w:val="2"/>
          </w:tcPr>
          <w:p>
            <w:pPr>
              <w:spacing w:after="0"/>
              <w:rPr>
                <w:sz w:val="20"/>
                <w:szCs w:val="20"/>
                <w:color w:val="auto"/>
              </w:rPr>
            </w:pPr>
            <w:r>
              <w:rPr>
                <w:rFonts w:ascii="Arial" w:cs="Arial" w:eastAsia="Arial" w:hAnsi="Arial"/>
                <w:sz w:val="16"/>
                <w:szCs w:val="16"/>
                <w:color w:val="auto"/>
              </w:rPr>
              <w:t>Article VI COVENANTS OF THE COMPANY</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55</w:t>
            </w:r>
          </w:p>
        </w:tc>
      </w:tr>
      <w:tr>
        <w:trPr>
          <w:trHeight w:val="191"/>
        </w:trPr>
        <w:tc>
          <w:tcPr>
            <w:tcW w:w="1120" w:type="dxa"/>
            <w:vAlign w:val="bottom"/>
            <w:shd w:val="clear" w:color="auto" w:fill="CCEEFF"/>
          </w:tcPr>
          <w:p>
            <w:pPr>
              <w:spacing w:after="0"/>
              <w:rPr>
                <w:sz w:val="16"/>
                <w:szCs w:val="16"/>
                <w:color w:val="auto"/>
              </w:rPr>
            </w:pPr>
          </w:p>
        </w:tc>
        <w:tc>
          <w:tcPr>
            <w:tcW w:w="84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6.01</w:t>
            </w:r>
          </w:p>
        </w:tc>
        <w:tc>
          <w:tcPr>
            <w:tcW w:w="8440" w:type="dxa"/>
            <w:vAlign w:val="bottom"/>
          </w:tcPr>
          <w:p>
            <w:pPr>
              <w:ind w:left="340"/>
              <w:spacing w:after="0"/>
              <w:rPr>
                <w:sz w:val="20"/>
                <w:szCs w:val="20"/>
                <w:color w:val="auto"/>
              </w:rPr>
            </w:pPr>
            <w:r>
              <w:rPr>
                <w:rFonts w:ascii="Arial" w:cs="Arial" w:eastAsia="Arial" w:hAnsi="Arial"/>
                <w:sz w:val="16"/>
                <w:szCs w:val="16"/>
                <w:color w:val="auto"/>
              </w:rPr>
              <w:t>Conduct of Business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55</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6.02</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Inspection</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58</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6.03</w:t>
            </w:r>
          </w:p>
        </w:tc>
        <w:tc>
          <w:tcPr>
            <w:tcW w:w="8440" w:type="dxa"/>
            <w:vAlign w:val="bottom"/>
          </w:tcPr>
          <w:p>
            <w:pPr>
              <w:ind w:left="340"/>
              <w:spacing w:after="0"/>
              <w:rPr>
                <w:sz w:val="20"/>
                <w:szCs w:val="20"/>
                <w:color w:val="auto"/>
              </w:rPr>
            </w:pPr>
            <w:r>
              <w:rPr>
                <w:rFonts w:ascii="Arial" w:cs="Arial" w:eastAsia="Arial" w:hAnsi="Arial"/>
                <w:sz w:val="16"/>
                <w:szCs w:val="16"/>
                <w:color w:val="auto"/>
              </w:rPr>
              <w:t>HSR Act and Regulatory Approvals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59</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6.04</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 Acquiror Common Stock Transactions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60</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6.05</w:t>
            </w:r>
          </w:p>
        </w:tc>
        <w:tc>
          <w:tcPr>
            <w:tcW w:w="8440" w:type="dxa"/>
            <w:vAlign w:val="bottom"/>
          </w:tcPr>
          <w:p>
            <w:pPr>
              <w:ind w:left="340"/>
              <w:spacing w:after="0"/>
              <w:rPr>
                <w:sz w:val="20"/>
                <w:szCs w:val="20"/>
                <w:color w:val="auto"/>
              </w:rPr>
            </w:pPr>
            <w:r>
              <w:rPr>
                <w:rFonts w:ascii="Arial" w:cs="Arial" w:eastAsia="Arial" w:hAnsi="Arial"/>
                <w:sz w:val="16"/>
                <w:szCs w:val="16"/>
                <w:color w:val="auto"/>
              </w:rPr>
              <w:t>No Claim Against the Trust Account</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60</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6.06</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No-Solicitation</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60</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6.07</w:t>
            </w:r>
          </w:p>
        </w:tc>
        <w:tc>
          <w:tcPr>
            <w:tcW w:w="8440" w:type="dxa"/>
            <w:vAlign w:val="bottom"/>
          </w:tcPr>
          <w:p>
            <w:pPr>
              <w:ind w:left="340"/>
              <w:spacing w:after="0"/>
              <w:rPr>
                <w:sz w:val="20"/>
                <w:szCs w:val="20"/>
                <w:color w:val="auto"/>
              </w:rPr>
            </w:pPr>
            <w:r>
              <w:rPr>
                <w:rFonts w:ascii="Arial" w:cs="Arial" w:eastAsia="Arial" w:hAnsi="Arial"/>
                <w:sz w:val="16"/>
                <w:szCs w:val="16"/>
                <w:color w:val="auto"/>
              </w:rPr>
              <w:t>Section 280G</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61</w:t>
            </w:r>
          </w:p>
        </w:tc>
      </w:tr>
      <w:tr>
        <w:trPr>
          <w:trHeight w:val="191"/>
        </w:trPr>
        <w:tc>
          <w:tcPr>
            <w:tcW w:w="9560" w:type="dxa"/>
            <w:vAlign w:val="bottom"/>
            <w:gridSpan w:val="2"/>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91"/>
        </w:trPr>
        <w:tc>
          <w:tcPr>
            <w:tcW w:w="9560" w:type="dxa"/>
            <w:vAlign w:val="bottom"/>
            <w:gridSpan w:val="2"/>
          </w:tcPr>
          <w:p>
            <w:pPr>
              <w:spacing w:after="0"/>
              <w:rPr>
                <w:sz w:val="20"/>
                <w:szCs w:val="20"/>
                <w:color w:val="auto"/>
              </w:rPr>
            </w:pPr>
            <w:r>
              <w:rPr>
                <w:rFonts w:ascii="Arial" w:cs="Arial" w:eastAsia="Arial" w:hAnsi="Arial"/>
                <w:sz w:val="16"/>
                <w:szCs w:val="16"/>
                <w:color w:val="auto"/>
              </w:rPr>
              <w:t>Article VII COVENANTS OF ACQUIROR</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62</w:t>
            </w:r>
          </w:p>
        </w:tc>
      </w:tr>
      <w:tr>
        <w:trPr>
          <w:trHeight w:val="191"/>
        </w:trPr>
        <w:tc>
          <w:tcPr>
            <w:tcW w:w="1120" w:type="dxa"/>
            <w:vAlign w:val="bottom"/>
            <w:shd w:val="clear" w:color="auto" w:fill="CCEEFF"/>
          </w:tcPr>
          <w:p>
            <w:pPr>
              <w:spacing w:after="0"/>
              <w:rPr>
                <w:sz w:val="16"/>
                <w:szCs w:val="16"/>
                <w:color w:val="auto"/>
              </w:rPr>
            </w:pPr>
          </w:p>
        </w:tc>
        <w:tc>
          <w:tcPr>
            <w:tcW w:w="84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7.01</w:t>
            </w:r>
          </w:p>
        </w:tc>
        <w:tc>
          <w:tcPr>
            <w:tcW w:w="8440" w:type="dxa"/>
            <w:vAlign w:val="bottom"/>
          </w:tcPr>
          <w:p>
            <w:pPr>
              <w:ind w:left="340"/>
              <w:spacing w:after="0"/>
              <w:rPr>
                <w:sz w:val="20"/>
                <w:szCs w:val="20"/>
                <w:color w:val="auto"/>
              </w:rPr>
            </w:pPr>
            <w:r>
              <w:rPr>
                <w:rFonts w:ascii="Arial" w:cs="Arial" w:eastAsia="Arial" w:hAnsi="Arial"/>
                <w:sz w:val="16"/>
                <w:szCs w:val="16"/>
                <w:color w:val="auto"/>
              </w:rPr>
              <w:t>HSR Act and Regulatory Approvals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62</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7.02</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Indemnification and Insurance</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64</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7.03</w:t>
            </w:r>
          </w:p>
        </w:tc>
        <w:tc>
          <w:tcPr>
            <w:tcW w:w="8440" w:type="dxa"/>
            <w:vAlign w:val="bottom"/>
          </w:tcPr>
          <w:p>
            <w:pPr>
              <w:ind w:left="340"/>
              <w:spacing w:after="0"/>
              <w:rPr>
                <w:sz w:val="20"/>
                <w:szCs w:val="20"/>
                <w:color w:val="auto"/>
              </w:rPr>
            </w:pPr>
            <w:r>
              <w:rPr>
                <w:rFonts w:ascii="Arial" w:cs="Arial" w:eastAsia="Arial" w:hAnsi="Arial"/>
                <w:sz w:val="16"/>
                <w:szCs w:val="16"/>
                <w:color w:val="auto"/>
              </w:rPr>
              <w:t>Conduct of Acquiror During the Interim Period</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65</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7.04</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Trust Account</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66</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7.05</w:t>
            </w:r>
          </w:p>
        </w:tc>
        <w:tc>
          <w:tcPr>
            <w:tcW w:w="8440" w:type="dxa"/>
            <w:vAlign w:val="bottom"/>
          </w:tcPr>
          <w:p>
            <w:pPr>
              <w:ind w:left="340"/>
              <w:spacing w:after="0"/>
              <w:rPr>
                <w:sz w:val="20"/>
                <w:szCs w:val="20"/>
                <w:color w:val="auto"/>
              </w:rPr>
            </w:pPr>
            <w:r>
              <w:rPr>
                <w:rFonts w:ascii="Arial" w:cs="Arial" w:eastAsia="Arial" w:hAnsi="Arial"/>
                <w:sz w:val="16"/>
                <w:szCs w:val="16"/>
                <w:color w:val="auto"/>
              </w:rPr>
              <w:t>Inspection</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67</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7.06</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Acquiror Nasdaq Listing</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67</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7.07</w:t>
            </w:r>
          </w:p>
        </w:tc>
        <w:tc>
          <w:tcPr>
            <w:tcW w:w="8440" w:type="dxa"/>
            <w:vAlign w:val="bottom"/>
          </w:tcPr>
          <w:p>
            <w:pPr>
              <w:ind w:left="340"/>
              <w:spacing w:after="0"/>
              <w:rPr>
                <w:sz w:val="20"/>
                <w:szCs w:val="20"/>
                <w:color w:val="auto"/>
              </w:rPr>
            </w:pPr>
            <w:r>
              <w:rPr>
                <w:rFonts w:ascii="Arial" w:cs="Arial" w:eastAsia="Arial" w:hAnsi="Arial"/>
                <w:sz w:val="16"/>
                <w:szCs w:val="16"/>
                <w:color w:val="auto"/>
              </w:rPr>
              <w:t>Acquiror Public Filings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67</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7.08</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Financing</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67</w:t>
            </w:r>
          </w:p>
        </w:tc>
      </w:t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Section 7.09</w:t>
            </w:r>
          </w:p>
        </w:tc>
        <w:tc>
          <w:tcPr>
            <w:tcW w:w="8440" w:type="dxa"/>
            <w:vAlign w:val="bottom"/>
          </w:tcPr>
          <w:p>
            <w:pPr>
              <w:ind w:left="340"/>
              <w:spacing w:after="0"/>
              <w:rPr>
                <w:sz w:val="20"/>
                <w:szCs w:val="20"/>
                <w:color w:val="auto"/>
              </w:rPr>
            </w:pPr>
            <w:r>
              <w:rPr>
                <w:rFonts w:ascii="Arial" w:cs="Arial" w:eastAsia="Arial" w:hAnsi="Arial"/>
                <w:sz w:val="16"/>
                <w:szCs w:val="16"/>
                <w:color w:val="auto"/>
              </w:rPr>
              <w:t>Additional Insurance Matters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68</w:t>
            </w: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7.10</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Section 16 Matters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68</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7.11</w:t>
            </w:r>
          </w:p>
        </w:tc>
        <w:tc>
          <w:tcPr>
            <w:tcW w:w="8000" w:type="dxa"/>
            <w:vAlign w:val="bottom"/>
          </w:tcPr>
          <w:p>
            <w:pPr>
              <w:ind w:left="300"/>
              <w:spacing w:after="0"/>
              <w:rPr>
                <w:sz w:val="20"/>
                <w:szCs w:val="20"/>
                <w:color w:val="auto"/>
              </w:rPr>
            </w:pPr>
            <w:r>
              <w:rPr>
                <w:rFonts w:ascii="Arial" w:cs="Arial" w:eastAsia="Arial" w:hAnsi="Arial"/>
                <w:sz w:val="16"/>
                <w:szCs w:val="16"/>
                <w:color w:val="auto"/>
              </w:rPr>
              <w:t>No Solicitation.</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68</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7.12</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Bylaws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69</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7.13</w:t>
            </w:r>
          </w:p>
        </w:tc>
        <w:tc>
          <w:tcPr>
            <w:tcW w:w="8000" w:type="dxa"/>
            <w:vAlign w:val="bottom"/>
          </w:tcPr>
          <w:p>
            <w:pPr>
              <w:ind w:left="300"/>
              <w:spacing w:after="0"/>
              <w:rPr>
                <w:sz w:val="20"/>
                <w:szCs w:val="20"/>
                <w:color w:val="auto"/>
              </w:rPr>
            </w:pPr>
            <w:r>
              <w:rPr>
                <w:rFonts w:ascii="Arial" w:cs="Arial" w:eastAsia="Arial" w:hAnsi="Arial"/>
                <w:sz w:val="16"/>
                <w:szCs w:val="16"/>
                <w:color w:val="auto"/>
              </w:rPr>
              <w:t>Director Appointments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69</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7.14</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Employee Matters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70</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7.15</w:t>
            </w:r>
          </w:p>
        </w:tc>
        <w:tc>
          <w:tcPr>
            <w:tcW w:w="8000" w:type="dxa"/>
            <w:vAlign w:val="bottom"/>
          </w:tcPr>
          <w:p>
            <w:pPr>
              <w:ind w:left="300"/>
              <w:spacing w:after="0"/>
              <w:rPr>
                <w:sz w:val="20"/>
                <w:szCs w:val="20"/>
                <w:color w:val="auto"/>
              </w:rPr>
            </w:pPr>
            <w:r>
              <w:rPr>
                <w:rFonts w:ascii="Arial" w:cs="Arial" w:eastAsia="Arial" w:hAnsi="Arial"/>
                <w:sz w:val="16"/>
                <w:szCs w:val="16"/>
                <w:color w:val="auto"/>
              </w:rPr>
              <w:t>Transaction Litigation</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70</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7.16</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Termination of Acquiror Affiliate Agreements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70</w:t>
            </w:r>
          </w:p>
        </w:tc>
      </w:tr>
      <w:tr>
        <w:trPr>
          <w:trHeight w:val="191"/>
        </w:trPr>
        <w:tc>
          <w:tcPr>
            <w:tcW w:w="9160" w:type="dxa"/>
            <w:vAlign w:val="bottom"/>
            <w:gridSpan w:val="2"/>
          </w:tcPr>
          <w:p>
            <w:pPr>
              <w:spacing w:after="0"/>
              <w:rPr>
                <w:sz w:val="16"/>
                <w:szCs w:val="16"/>
                <w:color w:val="auto"/>
              </w:rPr>
            </w:pPr>
          </w:p>
        </w:tc>
        <w:tc>
          <w:tcPr>
            <w:tcW w:w="2100" w:type="dxa"/>
            <w:vAlign w:val="bottom"/>
          </w:tcPr>
          <w:p>
            <w:pPr>
              <w:spacing w:after="0"/>
              <w:rPr>
                <w:sz w:val="16"/>
                <w:szCs w:val="16"/>
                <w:color w:val="auto"/>
              </w:rPr>
            </w:pPr>
          </w:p>
        </w:tc>
      </w:tr>
      <w:tr>
        <w:trPr>
          <w:trHeight w:val="191"/>
        </w:trPr>
        <w:tc>
          <w:tcPr>
            <w:tcW w:w="9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VIII JOINT COVENANTS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71</w:t>
            </w:r>
          </w:p>
        </w:tc>
      </w:tr>
      <w:tr>
        <w:trPr>
          <w:trHeight w:val="191"/>
        </w:trPr>
        <w:tc>
          <w:tcPr>
            <w:tcW w:w="116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8.01</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Support of Transaction</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71</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8.02</w:t>
            </w:r>
          </w:p>
        </w:tc>
        <w:tc>
          <w:tcPr>
            <w:tcW w:w="8000" w:type="dxa"/>
            <w:vAlign w:val="bottom"/>
          </w:tcPr>
          <w:p>
            <w:pPr>
              <w:ind w:left="300"/>
              <w:spacing w:after="0"/>
              <w:rPr>
                <w:sz w:val="20"/>
                <w:szCs w:val="20"/>
                <w:color w:val="auto"/>
              </w:rPr>
            </w:pPr>
            <w:r>
              <w:rPr>
                <w:rFonts w:ascii="Arial" w:cs="Arial" w:eastAsia="Arial" w:hAnsi="Arial"/>
                <w:sz w:val="16"/>
                <w:szCs w:val="16"/>
                <w:color w:val="auto"/>
              </w:rPr>
              <w:t>Preparation of Proxy Statement/Registration Statement; Shareholders’ Meeting and Approvals.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71</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8.03</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Company Requisite Approval.</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74</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8.04</w:t>
            </w:r>
          </w:p>
        </w:tc>
        <w:tc>
          <w:tcPr>
            <w:tcW w:w="8000" w:type="dxa"/>
            <w:vAlign w:val="bottom"/>
          </w:tcPr>
          <w:p>
            <w:pPr>
              <w:ind w:left="300"/>
              <w:spacing w:after="0"/>
              <w:rPr>
                <w:sz w:val="20"/>
                <w:szCs w:val="20"/>
                <w:color w:val="auto"/>
              </w:rPr>
            </w:pPr>
            <w:r>
              <w:rPr>
                <w:rFonts w:ascii="Arial" w:cs="Arial" w:eastAsia="Arial" w:hAnsi="Arial"/>
                <w:sz w:val="16"/>
                <w:szCs w:val="16"/>
                <w:color w:val="auto"/>
              </w:rPr>
              <w:t>Tax Matters.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74</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8.05</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Confidentiality; Publicity</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75</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8.06</w:t>
            </w:r>
          </w:p>
        </w:tc>
        <w:tc>
          <w:tcPr>
            <w:tcW w:w="8000" w:type="dxa"/>
            <w:vAlign w:val="bottom"/>
          </w:tcPr>
          <w:p>
            <w:pPr>
              <w:ind w:left="300"/>
              <w:spacing w:after="0"/>
              <w:rPr>
                <w:sz w:val="20"/>
                <w:szCs w:val="20"/>
                <w:color w:val="auto"/>
              </w:rPr>
            </w:pPr>
            <w:r>
              <w:rPr>
                <w:rFonts w:ascii="Arial" w:cs="Arial" w:eastAsia="Arial" w:hAnsi="Arial"/>
                <w:sz w:val="16"/>
                <w:szCs w:val="16"/>
                <w:color w:val="auto"/>
              </w:rPr>
              <w:t>Post-Closing Cooperation; Further Assurances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75</w:t>
            </w:r>
          </w:p>
        </w:tc>
      </w:tr>
      <w:tr>
        <w:trPr>
          <w:trHeight w:val="191"/>
        </w:trPr>
        <w:tc>
          <w:tcPr>
            <w:tcW w:w="9160" w:type="dxa"/>
            <w:vAlign w:val="bottom"/>
            <w:gridSpan w:val="2"/>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91"/>
        </w:trPr>
        <w:tc>
          <w:tcPr>
            <w:tcW w:w="9160" w:type="dxa"/>
            <w:vAlign w:val="bottom"/>
            <w:gridSpan w:val="2"/>
          </w:tcPr>
          <w:p>
            <w:pPr>
              <w:spacing w:after="0"/>
              <w:rPr>
                <w:sz w:val="20"/>
                <w:szCs w:val="20"/>
                <w:color w:val="auto"/>
              </w:rPr>
            </w:pPr>
            <w:r>
              <w:rPr>
                <w:rFonts w:ascii="Arial" w:cs="Arial" w:eastAsia="Arial" w:hAnsi="Arial"/>
                <w:sz w:val="16"/>
                <w:szCs w:val="16"/>
                <w:color w:val="auto"/>
              </w:rPr>
              <w:t>Article IX CONDITIONS TO OBLIGATIONS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76</w:t>
            </w:r>
          </w:p>
        </w:tc>
      </w:tr>
      <w:tr>
        <w:trPr>
          <w:trHeight w:val="191"/>
        </w:trPr>
        <w:tc>
          <w:tcPr>
            <w:tcW w:w="1160" w:type="dxa"/>
            <w:vAlign w:val="bottom"/>
            <w:shd w:val="clear" w:color="auto" w:fill="CCEEFF"/>
          </w:tcPr>
          <w:p>
            <w:pPr>
              <w:spacing w:after="0"/>
              <w:rPr>
                <w:sz w:val="16"/>
                <w:szCs w:val="16"/>
                <w:color w:val="auto"/>
              </w:rPr>
            </w:pPr>
          </w:p>
        </w:tc>
        <w:tc>
          <w:tcPr>
            <w:tcW w:w="80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9.01</w:t>
            </w:r>
          </w:p>
        </w:tc>
        <w:tc>
          <w:tcPr>
            <w:tcW w:w="8000" w:type="dxa"/>
            <w:vAlign w:val="bottom"/>
          </w:tcPr>
          <w:p>
            <w:pPr>
              <w:ind w:left="300"/>
              <w:spacing w:after="0"/>
              <w:rPr>
                <w:sz w:val="20"/>
                <w:szCs w:val="20"/>
                <w:color w:val="auto"/>
              </w:rPr>
            </w:pPr>
            <w:r>
              <w:rPr>
                <w:rFonts w:ascii="Arial" w:cs="Arial" w:eastAsia="Arial" w:hAnsi="Arial"/>
                <w:sz w:val="16"/>
                <w:szCs w:val="16"/>
                <w:color w:val="auto"/>
              </w:rPr>
              <w:t>Conditions to Obligations of All Parties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76</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9.02</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Additional Conditions to Obligations of Acquiror</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76</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9.03</w:t>
            </w:r>
          </w:p>
        </w:tc>
        <w:tc>
          <w:tcPr>
            <w:tcW w:w="8000" w:type="dxa"/>
            <w:vAlign w:val="bottom"/>
          </w:tcPr>
          <w:p>
            <w:pPr>
              <w:ind w:left="300"/>
              <w:spacing w:after="0"/>
              <w:rPr>
                <w:sz w:val="20"/>
                <w:szCs w:val="20"/>
                <w:color w:val="auto"/>
              </w:rPr>
            </w:pPr>
            <w:r>
              <w:rPr>
                <w:rFonts w:ascii="Arial" w:cs="Arial" w:eastAsia="Arial" w:hAnsi="Arial"/>
                <w:sz w:val="16"/>
                <w:szCs w:val="16"/>
                <w:color w:val="auto"/>
              </w:rPr>
              <w:t>Additional Conditions to the Obligations of the Company</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77</w:t>
            </w:r>
          </w:p>
        </w:tc>
      </w:tr>
      <w:tr>
        <w:trPr>
          <w:trHeight w:val="191"/>
        </w:trPr>
        <w:tc>
          <w:tcPr>
            <w:tcW w:w="9160" w:type="dxa"/>
            <w:vAlign w:val="bottom"/>
            <w:gridSpan w:val="2"/>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91"/>
        </w:trPr>
        <w:tc>
          <w:tcPr>
            <w:tcW w:w="9160" w:type="dxa"/>
            <w:vAlign w:val="bottom"/>
            <w:gridSpan w:val="2"/>
          </w:tcPr>
          <w:p>
            <w:pPr>
              <w:spacing w:after="0"/>
              <w:rPr>
                <w:sz w:val="20"/>
                <w:szCs w:val="20"/>
                <w:color w:val="auto"/>
              </w:rPr>
            </w:pPr>
            <w:r>
              <w:rPr>
                <w:rFonts w:ascii="Arial" w:cs="Arial" w:eastAsia="Arial" w:hAnsi="Arial"/>
                <w:sz w:val="16"/>
                <w:szCs w:val="16"/>
                <w:color w:val="auto"/>
              </w:rPr>
              <w:t>Article X TERMINATION/EFFECTIVENESS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79</w:t>
            </w:r>
          </w:p>
        </w:tc>
      </w:tr>
      <w:tr>
        <w:trPr>
          <w:trHeight w:val="191"/>
        </w:trPr>
        <w:tc>
          <w:tcPr>
            <w:tcW w:w="1160" w:type="dxa"/>
            <w:vAlign w:val="bottom"/>
            <w:shd w:val="clear" w:color="auto" w:fill="CCEEFF"/>
          </w:tcPr>
          <w:p>
            <w:pPr>
              <w:spacing w:after="0"/>
              <w:rPr>
                <w:sz w:val="16"/>
                <w:szCs w:val="16"/>
                <w:color w:val="auto"/>
              </w:rPr>
            </w:pPr>
          </w:p>
        </w:tc>
        <w:tc>
          <w:tcPr>
            <w:tcW w:w="80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10.01</w:t>
            </w:r>
          </w:p>
        </w:tc>
        <w:tc>
          <w:tcPr>
            <w:tcW w:w="8000" w:type="dxa"/>
            <w:vAlign w:val="bottom"/>
          </w:tcPr>
          <w:p>
            <w:pPr>
              <w:ind w:left="300"/>
              <w:spacing w:after="0"/>
              <w:rPr>
                <w:sz w:val="20"/>
                <w:szCs w:val="20"/>
                <w:color w:val="auto"/>
              </w:rPr>
            </w:pPr>
            <w:r>
              <w:rPr>
                <w:rFonts w:ascii="Arial" w:cs="Arial" w:eastAsia="Arial" w:hAnsi="Arial"/>
                <w:sz w:val="16"/>
                <w:szCs w:val="16"/>
                <w:color w:val="auto"/>
              </w:rPr>
              <w:t>Termination</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79</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10.02</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Effect of Termination</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79</w:t>
            </w:r>
          </w:p>
        </w:tc>
      </w:tr>
      <w:tr>
        <w:trPr>
          <w:trHeight w:val="191"/>
        </w:trPr>
        <w:tc>
          <w:tcPr>
            <w:tcW w:w="9160" w:type="dxa"/>
            <w:vAlign w:val="bottom"/>
            <w:gridSpan w:val="2"/>
          </w:tcPr>
          <w:p>
            <w:pPr>
              <w:spacing w:after="0"/>
              <w:rPr>
                <w:sz w:val="16"/>
                <w:szCs w:val="16"/>
                <w:color w:val="auto"/>
              </w:rPr>
            </w:pPr>
          </w:p>
        </w:tc>
        <w:tc>
          <w:tcPr>
            <w:tcW w:w="2100" w:type="dxa"/>
            <w:vAlign w:val="bottom"/>
          </w:tcPr>
          <w:p>
            <w:pPr>
              <w:spacing w:after="0"/>
              <w:rPr>
                <w:sz w:val="16"/>
                <w:szCs w:val="16"/>
                <w:color w:val="auto"/>
              </w:rPr>
            </w:pPr>
          </w:p>
        </w:tc>
      </w:tr>
      <w:tr>
        <w:trPr>
          <w:trHeight w:val="191"/>
        </w:trPr>
        <w:tc>
          <w:tcPr>
            <w:tcW w:w="9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XI MISCELLANEOUS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80</w:t>
            </w:r>
          </w:p>
        </w:tc>
      </w:tr>
      <w:tr>
        <w:trPr>
          <w:trHeight w:val="191"/>
        </w:trPr>
        <w:tc>
          <w:tcPr>
            <w:tcW w:w="116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11.01</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Waiver</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80</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11.02</w:t>
            </w:r>
          </w:p>
        </w:tc>
        <w:tc>
          <w:tcPr>
            <w:tcW w:w="8000" w:type="dxa"/>
            <w:vAlign w:val="bottom"/>
          </w:tcPr>
          <w:p>
            <w:pPr>
              <w:ind w:left="300"/>
              <w:spacing w:after="0"/>
              <w:rPr>
                <w:sz w:val="20"/>
                <w:szCs w:val="20"/>
                <w:color w:val="auto"/>
              </w:rPr>
            </w:pPr>
            <w:r>
              <w:rPr>
                <w:rFonts w:ascii="Arial" w:cs="Arial" w:eastAsia="Arial" w:hAnsi="Arial"/>
                <w:sz w:val="16"/>
                <w:szCs w:val="16"/>
                <w:color w:val="auto"/>
              </w:rPr>
              <w:t>Notices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80</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11.03</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Assignment</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81</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11.04</w:t>
            </w:r>
          </w:p>
        </w:tc>
        <w:tc>
          <w:tcPr>
            <w:tcW w:w="8000" w:type="dxa"/>
            <w:vAlign w:val="bottom"/>
          </w:tcPr>
          <w:p>
            <w:pPr>
              <w:ind w:left="300"/>
              <w:spacing w:after="0"/>
              <w:rPr>
                <w:sz w:val="20"/>
                <w:szCs w:val="20"/>
                <w:color w:val="auto"/>
              </w:rPr>
            </w:pPr>
            <w:r>
              <w:rPr>
                <w:rFonts w:ascii="Arial" w:cs="Arial" w:eastAsia="Arial" w:hAnsi="Arial"/>
                <w:sz w:val="16"/>
                <w:szCs w:val="16"/>
                <w:color w:val="auto"/>
              </w:rPr>
              <w:t>Rights of Third Parties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81</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11.05</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Expenses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81</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11.06</w:t>
            </w:r>
          </w:p>
        </w:tc>
        <w:tc>
          <w:tcPr>
            <w:tcW w:w="8000" w:type="dxa"/>
            <w:vAlign w:val="bottom"/>
          </w:tcPr>
          <w:p>
            <w:pPr>
              <w:ind w:left="300"/>
              <w:spacing w:after="0"/>
              <w:rPr>
                <w:sz w:val="20"/>
                <w:szCs w:val="20"/>
                <w:color w:val="auto"/>
              </w:rPr>
            </w:pPr>
            <w:r>
              <w:rPr>
                <w:rFonts w:ascii="Arial" w:cs="Arial" w:eastAsia="Arial" w:hAnsi="Arial"/>
                <w:sz w:val="16"/>
                <w:szCs w:val="16"/>
                <w:color w:val="auto"/>
              </w:rPr>
              <w:t>Governing Law</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81</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11.07</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Captions; Counterparts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81</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11.08</w:t>
            </w:r>
          </w:p>
        </w:tc>
        <w:tc>
          <w:tcPr>
            <w:tcW w:w="8000" w:type="dxa"/>
            <w:vAlign w:val="bottom"/>
          </w:tcPr>
          <w:p>
            <w:pPr>
              <w:ind w:left="300"/>
              <w:spacing w:after="0"/>
              <w:rPr>
                <w:sz w:val="20"/>
                <w:szCs w:val="20"/>
                <w:color w:val="auto"/>
              </w:rPr>
            </w:pPr>
            <w:r>
              <w:rPr>
                <w:rFonts w:ascii="Arial" w:cs="Arial" w:eastAsia="Arial" w:hAnsi="Arial"/>
                <w:sz w:val="16"/>
                <w:szCs w:val="16"/>
                <w:color w:val="auto"/>
              </w:rPr>
              <w:t>Schedules and Exhibits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82</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11.09</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Entire Agreement</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82</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11.10</w:t>
            </w:r>
          </w:p>
        </w:tc>
        <w:tc>
          <w:tcPr>
            <w:tcW w:w="8000" w:type="dxa"/>
            <w:vAlign w:val="bottom"/>
          </w:tcPr>
          <w:p>
            <w:pPr>
              <w:ind w:left="300"/>
              <w:spacing w:after="0"/>
              <w:rPr>
                <w:sz w:val="20"/>
                <w:szCs w:val="20"/>
                <w:color w:val="auto"/>
              </w:rPr>
            </w:pPr>
            <w:r>
              <w:rPr>
                <w:rFonts w:ascii="Arial" w:cs="Arial" w:eastAsia="Arial" w:hAnsi="Arial"/>
                <w:sz w:val="16"/>
                <w:szCs w:val="16"/>
                <w:color w:val="auto"/>
              </w:rPr>
              <w:t>Amendments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82</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11.11</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Severability</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82</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11.12</w:t>
            </w:r>
          </w:p>
        </w:tc>
        <w:tc>
          <w:tcPr>
            <w:tcW w:w="8000" w:type="dxa"/>
            <w:vAlign w:val="bottom"/>
          </w:tcPr>
          <w:p>
            <w:pPr>
              <w:ind w:left="300"/>
              <w:spacing w:after="0"/>
              <w:rPr>
                <w:sz w:val="20"/>
                <w:szCs w:val="20"/>
                <w:color w:val="auto"/>
              </w:rPr>
            </w:pPr>
            <w:r>
              <w:rPr>
                <w:rFonts w:ascii="Arial" w:cs="Arial" w:eastAsia="Arial" w:hAnsi="Arial"/>
                <w:sz w:val="16"/>
                <w:szCs w:val="16"/>
                <w:color w:val="auto"/>
              </w:rPr>
              <w:t>Jurisdiction; WAIVER OF TRIAL BY JURY</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82</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11.13</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Enforcement</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83</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11.14</w:t>
            </w:r>
          </w:p>
        </w:tc>
        <w:tc>
          <w:tcPr>
            <w:tcW w:w="8000" w:type="dxa"/>
            <w:vAlign w:val="bottom"/>
          </w:tcPr>
          <w:p>
            <w:pPr>
              <w:ind w:left="300"/>
              <w:spacing w:after="0"/>
              <w:rPr>
                <w:sz w:val="20"/>
                <w:szCs w:val="20"/>
                <w:color w:val="auto"/>
              </w:rPr>
            </w:pPr>
            <w:r>
              <w:rPr>
                <w:rFonts w:ascii="Arial" w:cs="Arial" w:eastAsia="Arial" w:hAnsi="Arial"/>
                <w:sz w:val="16"/>
                <w:szCs w:val="16"/>
                <w:color w:val="auto"/>
              </w:rPr>
              <w:t>Non-Recourse</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83</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11.15</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Nonsurvival of Representations, Warranties and Covenants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83</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11.16</w:t>
            </w:r>
          </w:p>
        </w:tc>
        <w:tc>
          <w:tcPr>
            <w:tcW w:w="8000" w:type="dxa"/>
            <w:vAlign w:val="bottom"/>
          </w:tcPr>
          <w:p>
            <w:pPr>
              <w:ind w:left="300"/>
              <w:spacing w:after="0"/>
              <w:rPr>
                <w:sz w:val="20"/>
                <w:szCs w:val="20"/>
                <w:color w:val="auto"/>
              </w:rPr>
            </w:pPr>
            <w:r>
              <w:rPr>
                <w:rFonts w:ascii="Arial" w:cs="Arial" w:eastAsia="Arial" w:hAnsi="Arial"/>
                <w:sz w:val="16"/>
                <w:szCs w:val="16"/>
                <w:color w:val="auto"/>
              </w:rPr>
              <w:t>Acknowledgements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84</w:t>
            </w:r>
          </w:p>
        </w:tc>
      </w:tr>
      <w:tr>
        <w:trPr>
          <w:trHeight w:val="191"/>
        </w:trPr>
        <w:tc>
          <w:tcPr>
            <w:tcW w:w="9160" w:type="dxa"/>
            <w:vAlign w:val="bottom"/>
            <w:gridSpan w:val="2"/>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91"/>
        </w:trPr>
        <w:tc>
          <w:tcPr>
            <w:tcW w:w="9160" w:type="dxa"/>
            <w:vAlign w:val="bottom"/>
            <w:gridSpan w:val="2"/>
          </w:tcPr>
          <w:p>
            <w:pPr>
              <w:spacing w:after="0"/>
              <w:rPr>
                <w:sz w:val="20"/>
                <w:szCs w:val="20"/>
                <w:color w:val="auto"/>
              </w:rPr>
            </w:pPr>
            <w:r>
              <w:rPr>
                <w:rFonts w:ascii="Arial" w:cs="Arial" w:eastAsia="Arial" w:hAnsi="Arial"/>
                <w:sz w:val="16"/>
                <w:szCs w:val="16"/>
                <w:b w:val="1"/>
                <w:bCs w:val="1"/>
                <w:color w:val="auto"/>
              </w:rPr>
              <w:t>EXHIBIT A Form of Amended and Restated Certificate of Incorporation of Acquiror</w:t>
            </w:r>
          </w:p>
        </w:tc>
        <w:tc>
          <w:tcPr>
            <w:tcW w:w="2100" w:type="dxa"/>
            <w:vAlign w:val="bottom"/>
          </w:tcPr>
          <w:p>
            <w:pPr>
              <w:jc w:val="right"/>
              <w:ind w:right="240"/>
              <w:spacing w:after="0"/>
              <w:rPr>
                <w:sz w:val="20"/>
                <w:szCs w:val="20"/>
                <w:color w:val="auto"/>
              </w:rPr>
            </w:pPr>
            <w:r>
              <w:rPr>
                <w:rFonts w:ascii="Arial" w:cs="Arial" w:eastAsia="Arial" w:hAnsi="Arial"/>
                <w:sz w:val="16"/>
                <w:szCs w:val="16"/>
                <w:b w:val="1"/>
                <w:bCs w:val="1"/>
                <w:color w:val="auto"/>
              </w:rPr>
              <w:t>86</w:t>
            </w:r>
          </w:p>
        </w:tc>
      </w:tr>
      <w:tr>
        <w:trPr>
          <w:trHeight w:val="191"/>
        </w:trPr>
        <w:tc>
          <w:tcPr>
            <w:tcW w:w="9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EXHIBIT B Form of Amended and Restated Bylaws of Acquiror</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87</w:t>
            </w:r>
          </w:p>
        </w:tc>
      </w:tr>
      <w:tr>
        <w:trPr>
          <w:trHeight w:val="208"/>
        </w:trPr>
        <w:tc>
          <w:tcPr>
            <w:tcW w:w="9160" w:type="dxa"/>
            <w:vAlign w:val="bottom"/>
            <w:gridSpan w:val="2"/>
          </w:tcPr>
          <w:p>
            <w:pPr>
              <w:spacing w:after="0"/>
              <w:rPr>
                <w:sz w:val="20"/>
                <w:szCs w:val="20"/>
                <w:color w:val="auto"/>
              </w:rPr>
            </w:pPr>
            <w:r>
              <w:rPr>
                <w:rFonts w:ascii="Arial" w:cs="Arial" w:eastAsia="Arial" w:hAnsi="Arial"/>
                <w:sz w:val="16"/>
                <w:szCs w:val="16"/>
                <w:b w:val="1"/>
                <w:bCs w:val="1"/>
                <w:color w:val="auto"/>
              </w:rPr>
              <w:t>EXHIBIT C Form of Registration Rights Agreement</w:t>
            </w:r>
          </w:p>
        </w:tc>
        <w:tc>
          <w:tcPr>
            <w:tcW w:w="2100" w:type="dxa"/>
            <w:vAlign w:val="bottom"/>
          </w:tcPr>
          <w:p>
            <w:pPr>
              <w:jc w:val="right"/>
              <w:ind w:right="240"/>
              <w:spacing w:after="0"/>
              <w:rPr>
                <w:sz w:val="20"/>
                <w:szCs w:val="20"/>
                <w:color w:val="auto"/>
              </w:rPr>
            </w:pPr>
            <w:r>
              <w:rPr>
                <w:rFonts w:ascii="Arial" w:cs="Arial" w:eastAsia="Arial" w:hAnsi="Arial"/>
                <w:sz w:val="16"/>
                <w:szCs w:val="16"/>
                <w:b w:val="1"/>
                <w:bCs w:val="1"/>
                <w:color w:val="auto"/>
              </w:rPr>
              <w:t>88</w:t>
            </w:r>
          </w:p>
        </w:tc>
      </w:tr>
    </w:tbl>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AGREEMENT AND PLAN OF MERGER</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November 10, 2021, is entered into by and among Ventoux CCM Acquisition Corp., a Delaware corporation (“</w:t>
      </w:r>
      <w:r>
        <w:rPr>
          <w:rFonts w:ascii="Arial" w:cs="Arial" w:eastAsia="Arial" w:hAnsi="Arial"/>
          <w:sz w:val="16"/>
          <w:szCs w:val="16"/>
          <w:u w:val="single" w:color="auto"/>
          <w:color w:val="auto"/>
        </w:rPr>
        <w:t>Acquiror</w:t>
      </w:r>
      <w:r>
        <w:rPr>
          <w:rFonts w:ascii="Arial" w:cs="Arial" w:eastAsia="Arial" w:hAnsi="Arial"/>
          <w:sz w:val="16"/>
          <w:szCs w:val="16"/>
          <w:color w:val="auto"/>
        </w:rPr>
        <w:t>”), Ventoux Merger Sub I Inc., a Delaware corporation (“</w:t>
      </w:r>
      <w:r>
        <w:rPr>
          <w:rFonts w:ascii="Arial" w:cs="Arial" w:eastAsia="Arial" w:hAnsi="Arial"/>
          <w:sz w:val="16"/>
          <w:szCs w:val="16"/>
          <w:u w:val="single" w:color="auto"/>
          <w:color w:val="auto"/>
        </w:rPr>
        <w:t>First Merger Sub</w:t>
      </w:r>
      <w:r>
        <w:rPr>
          <w:rFonts w:ascii="Arial" w:cs="Arial" w:eastAsia="Arial" w:hAnsi="Arial"/>
          <w:sz w:val="16"/>
          <w:szCs w:val="16"/>
          <w:color w:val="auto"/>
        </w:rPr>
        <w:t>”), Ventoux Merger Sub II LLC, a Delaware limited liability company (“</w:t>
      </w:r>
      <w:r>
        <w:rPr>
          <w:rFonts w:ascii="Arial" w:cs="Arial" w:eastAsia="Arial" w:hAnsi="Arial"/>
          <w:sz w:val="16"/>
          <w:szCs w:val="16"/>
          <w:u w:val="single" w:color="auto"/>
          <w:color w:val="auto"/>
        </w:rPr>
        <w:t>Second Merger Sub</w:t>
      </w:r>
      <w:r>
        <w:rPr>
          <w:rFonts w:ascii="Arial" w:cs="Arial" w:eastAsia="Arial" w:hAnsi="Arial"/>
          <w:sz w:val="16"/>
          <w:szCs w:val="16"/>
          <w:color w:val="auto"/>
        </w:rPr>
        <w:t>”) and E La Carte,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Except as otherwise indicated, capitalized terms used but not defined herein shall have the meanings set forth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of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Acquiror is a blank check company incorporated to acquire one or more operating businesses through a Business Combination;</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WHEREAS, each of First Merger Sub and Second Merger Sub is a newly formed, wholly owned, direct subsidiary of Acquiror, and was formed for the sole purpose of the Mergers;</w:t>
      </w:r>
    </w:p>
    <w:p>
      <w:pPr>
        <w:spacing w:after="0" w:line="15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WHEREAS, subject to the terms and conditions hereof, at the Closing: (a) First Merger Sub is to merge with and into the Company pursuant to the First Merger, with the Company surviving as the Surviving Entity; and (b) immediately following the First Merger and as part of the same overall transaction as the First Merger, the Surviving Entity will merge with and into Second Merger Sub pursuant to the Second Merger, with Second Merger Sub surviving as the Surviving Company;</w:t>
      </w:r>
    </w:p>
    <w:p>
      <w:pPr>
        <w:spacing w:after="0" w:line="14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WHEREAS, the respective boards of directors or similar governing bodies of each of Acquiror, First Merger Sub, Second Merger Sub and the Company have each approved and declared advisable the Transactions upon the terms and subject to the conditions of this Agreement and in accordance with the Delaware General Corporation Law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62"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WHEREAS, in connection with the Transactions, Acquiror has entered into subscription agreements (each, as amended or modified from time to time, a “</w:t>
      </w:r>
      <w:r>
        <w:rPr>
          <w:rFonts w:ascii="Arial" w:cs="Arial" w:eastAsia="Arial" w:hAnsi="Arial"/>
          <w:sz w:val="14"/>
          <w:szCs w:val="14"/>
          <w:u w:val="single" w:color="auto"/>
          <w:color w:val="auto"/>
        </w:rPr>
        <w:t>Subscription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with the Investors pursuant to which, and on the terms and subject to the conditions of which, such Investors agreed to purchase from Acquiror, as applicable, (i) shares of Acquiror Common Stock and (ii) convertible debt securities of Acquiror and warrants to purchase shares of Acquiror Common Stock, for a total $70,000,000 (the “</w:t>
      </w:r>
      <w:r>
        <w:rPr>
          <w:rFonts w:ascii="Arial" w:cs="Arial" w:eastAsia="Arial" w:hAnsi="Arial"/>
          <w:sz w:val="14"/>
          <w:szCs w:val="14"/>
          <w:u w:val="single" w:color="auto"/>
          <w:color w:val="auto"/>
        </w:rPr>
        <w:t>Base Subscription Amount</w:t>
      </w:r>
      <w:r>
        <w:rPr>
          <w:rFonts w:ascii="Arial" w:cs="Arial" w:eastAsia="Arial" w:hAnsi="Arial"/>
          <w:sz w:val="14"/>
          <w:szCs w:val="14"/>
          <w:color w:val="auto"/>
        </w:rPr>
        <w:t>”) in gross proceeds to Acquiror, such purchases to be consummated prior to or substantially concurrently with the Closing;</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WHEREAS, the Company shall have the right hereunder to elect to approve new Subscription Agreements in amounts in excess of the Base Subscription Amount;</w:t>
      </w:r>
    </w:p>
    <w:p>
      <w:pPr>
        <w:spacing w:after="0" w:line="221"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WHEREAS, contemporaneously with the execution and delivery of this Agreement, in connection with the Transactions, the Sponsor Parties (as defined therein) have entered into that certain Sponsor Agreement with Acquiror and the Company, dated as of the date hereof (the “</w:t>
      </w:r>
      <w:r>
        <w:rPr>
          <w:rFonts w:ascii="Arial" w:cs="Arial" w:eastAsia="Arial" w:hAnsi="Arial"/>
          <w:sz w:val="16"/>
          <w:szCs w:val="16"/>
          <w:u w:val="single" w:color="auto"/>
          <w:color w:val="auto"/>
        </w:rPr>
        <w:t>Sponsor Agreement</w:t>
      </w:r>
      <w:r>
        <w:rPr>
          <w:rFonts w:ascii="Arial" w:cs="Arial" w:eastAsia="Arial" w:hAnsi="Arial"/>
          <w:sz w:val="16"/>
          <w:szCs w:val="16"/>
          <w:color w:val="auto"/>
        </w:rPr>
        <w:t>”), pursuant to which, among other things, the Sponsor Parties have agreed, on the terms and subject to the conditions set forth therein, to (i) vote all of their shares of Acquiror Common Stock in favor of the approval and (to the extent applicable) adoption of this Agreement and the transactions contemplated hereby; (ii) the transfer restrictions contained therein; (iii) not effect any sale or distribution of any Acquiror Common Stock held by such stockholders; and (iv) subject a portion of their shares of Acquiror Common Stock to certain vesting and forfeiture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 w:name="page17"/>
    <w:bookmarkEnd w:id="16"/>
    <w:p>
      <w:pPr>
        <w:jc w:val="both"/>
        <w:ind w:right="20" w:firstLine="574"/>
        <w:spacing w:after="0" w:line="275" w:lineRule="auto"/>
        <w:rPr>
          <w:sz w:val="20"/>
          <w:szCs w:val="20"/>
          <w:color w:val="auto"/>
        </w:rPr>
      </w:pPr>
      <w:r>
        <w:rPr>
          <w:rFonts w:ascii="Arial" w:cs="Arial" w:eastAsia="Arial" w:hAnsi="Arial"/>
          <w:sz w:val="16"/>
          <w:szCs w:val="16"/>
          <w:color w:val="auto"/>
        </w:rPr>
        <w:t>WHEREAS, contemporaneously with the execution and delivery of this Agreement, in connection with the Transactions, certain stockholders of the Company have entered into that certain Support Agreement, dated as of the date hereof (the “</w:t>
      </w:r>
      <w:r>
        <w:rPr>
          <w:rFonts w:ascii="Arial" w:cs="Arial" w:eastAsia="Arial" w:hAnsi="Arial"/>
          <w:sz w:val="16"/>
          <w:szCs w:val="16"/>
          <w:u w:val="single" w:color="auto"/>
          <w:color w:val="auto"/>
        </w:rPr>
        <w:t>Support Agreement</w:t>
      </w:r>
      <w:r>
        <w:rPr>
          <w:rFonts w:ascii="Arial" w:cs="Arial" w:eastAsia="Arial" w:hAnsi="Arial"/>
          <w:sz w:val="16"/>
          <w:szCs w:val="16"/>
          <w:color w:val="auto"/>
        </w:rPr>
        <w:t>”), with Acquiror and the Company;</w:t>
      </w:r>
    </w:p>
    <w:p>
      <w:pPr>
        <w:spacing w:after="0" w:line="15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WHEREAS, pursuant to the Acquiror Organizational Documents, Acquiror shall provide an opportunity to its stockholders to have their Acquiror Common Stock redeemed for the consideration, and on the terms and subject to the conditions and limitations, set forth in this Agreement, the Acquiror Organizational Documents, the Trust Agreement, and the Proxy Statement in conjunction with, inter alia, obtaining approval from the stockholders of Acquiror for the Business Combination (the “</w:t>
      </w:r>
      <w:r>
        <w:rPr>
          <w:rFonts w:ascii="Arial" w:cs="Arial" w:eastAsia="Arial" w:hAnsi="Arial"/>
          <w:sz w:val="15"/>
          <w:szCs w:val="15"/>
          <w:u w:val="single" w:color="auto"/>
          <w:color w:val="auto"/>
        </w:rPr>
        <w:t>Offer</w:t>
      </w:r>
      <w:r>
        <w:rPr>
          <w:rFonts w:ascii="Arial" w:cs="Arial" w:eastAsia="Arial" w:hAnsi="Arial"/>
          <w:sz w:val="15"/>
          <w:szCs w:val="15"/>
          <w:color w:val="auto"/>
        </w:rPr>
        <w:t>”);</w:t>
      </w:r>
    </w:p>
    <w:p>
      <w:pPr>
        <w:spacing w:after="0" w:line="14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prior to the consummation of the Transactions, the Acquiror shall, subject to obtaining the Acquiror Stockholder Approval, adopt the amended and restated certificate of incorporation (the “</w:t>
      </w:r>
      <w:r>
        <w:rPr>
          <w:rFonts w:ascii="Arial" w:cs="Arial" w:eastAsia="Arial" w:hAnsi="Arial"/>
          <w:sz w:val="16"/>
          <w:szCs w:val="16"/>
          <w:u w:val="single" w:color="auto"/>
          <w:color w:val="auto"/>
        </w:rPr>
        <w:t>Acquiror A&amp;R Charter</w:t>
      </w:r>
      <w:r>
        <w:rPr>
          <w:rFonts w:ascii="Arial" w:cs="Arial" w:eastAsia="Arial" w:hAnsi="Arial"/>
          <w:sz w:val="16"/>
          <w:szCs w:val="16"/>
          <w:color w:val="auto"/>
        </w:rPr>
        <w:t>”) in the form set forth on Exhibit A, to provide for, among other things, an increase to the number of Acquiror’s authorized shares of Acquiror Common Stock in connection with the Transactions;</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prior to the consummation of the Transactions, the Acquiror shall adopt the amended and restated bylaws (the “</w:t>
      </w:r>
      <w:r>
        <w:rPr>
          <w:rFonts w:ascii="Arial" w:cs="Arial" w:eastAsia="Arial" w:hAnsi="Arial"/>
          <w:sz w:val="16"/>
          <w:szCs w:val="16"/>
          <w:u w:val="single" w:color="auto"/>
          <w:color w:val="auto"/>
        </w:rPr>
        <w:t>Acquiror A&amp;R Bylaws</w:t>
      </w:r>
      <w:r>
        <w:rPr>
          <w:rFonts w:ascii="Arial" w:cs="Arial" w:eastAsia="Arial" w:hAnsi="Arial"/>
          <w:sz w:val="16"/>
          <w:szCs w:val="16"/>
          <w:color w:val="auto"/>
        </w:rPr>
        <w:t>”) in the form set forth on Exhibit B;</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prior to the consummation of the Transactions, the Acquiror shall, subject to obtaining the Acquiror Stockholder Approval, adopt an equity incentive plan in a form mutually agreed to by Acquiror and the Company (the “</w:t>
      </w:r>
      <w:r>
        <w:rPr>
          <w:rFonts w:ascii="Arial" w:cs="Arial" w:eastAsia="Arial" w:hAnsi="Arial"/>
          <w:sz w:val="16"/>
          <w:szCs w:val="16"/>
          <w:u w:val="single" w:color="auto"/>
          <w:color w:val="auto"/>
        </w:rPr>
        <w:t>Acquiror Incentive Plan</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prior to the consummation of the Transactions, the Acquiror shall, subject to obtaining the Acquiror Stockholder Approval, adopt an employee stock purchase plan in a form mutually agreed to by Acquiror and the Company (the “</w:t>
      </w:r>
      <w:r>
        <w:rPr>
          <w:rFonts w:ascii="Arial" w:cs="Arial" w:eastAsia="Arial" w:hAnsi="Arial"/>
          <w:sz w:val="16"/>
          <w:szCs w:val="16"/>
          <w:u w:val="single" w:color="auto"/>
          <w:color w:val="auto"/>
        </w:rPr>
        <w:t>Acquiror ESPP</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WHEREAS, prior to the consummation of the Transactions, the Acquiror, the Sponsors, certain of the members of the Sponsors and certain former stockholders of the Company shall enter into an Amended and Restated Registration Rights Agreement in substantially the form set forth on Exhibit C (the “</w:t>
      </w:r>
      <w:r>
        <w:rPr>
          <w:rFonts w:ascii="Arial" w:cs="Arial" w:eastAsia="Arial" w:hAnsi="Arial"/>
          <w:sz w:val="14"/>
          <w:szCs w:val="14"/>
          <w:u w:val="single" w:color="auto"/>
          <w:color w:val="auto"/>
        </w:rPr>
        <w:t>Registration Rights Agreement</w:t>
      </w:r>
      <w:r>
        <w:rPr>
          <w:rFonts w:ascii="Arial" w:cs="Arial" w:eastAsia="Arial" w:hAnsi="Arial"/>
          <w:sz w:val="14"/>
          <w:szCs w:val="14"/>
          <w:color w:val="auto"/>
        </w:rPr>
        <w:t>”); and</w:t>
      </w:r>
    </w:p>
    <w:p>
      <w:pPr>
        <w:spacing w:after="0" w:line="105"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WHEREAS, each of the parties intends that, for U.S. federal income tax purposes, (i) this Agreement shall constitute a “plan of reorganization” within the meaning of Section 368 of the Internal Revenue Code of 1986 (the “</w:t>
      </w:r>
      <w:r>
        <w:rPr>
          <w:rFonts w:ascii="Arial" w:cs="Arial" w:eastAsia="Arial" w:hAnsi="Arial"/>
          <w:sz w:val="14"/>
          <w:szCs w:val="14"/>
          <w:u w:val="single" w:color="auto"/>
          <w:color w:val="auto"/>
        </w:rPr>
        <w:t>Code</w:t>
      </w:r>
      <w:r>
        <w:rPr>
          <w:rFonts w:ascii="Arial" w:cs="Arial" w:eastAsia="Arial" w:hAnsi="Arial"/>
          <w:sz w:val="14"/>
          <w:szCs w:val="14"/>
          <w:color w:val="auto"/>
        </w:rPr>
        <w:t>”) and the Treasury Regulations promulgated thereunder and (ii) the First Merger and the Second Merger, taken together, shall constitute an integrated transaction that qualifies as a “reorganization” within the meaning of Section 368(a) of the Code (the “</w:t>
      </w:r>
      <w:r>
        <w:rPr>
          <w:rFonts w:ascii="Arial" w:cs="Arial" w:eastAsia="Arial" w:hAnsi="Arial"/>
          <w:sz w:val="14"/>
          <w:szCs w:val="14"/>
          <w:u w:val="single" w:color="auto"/>
          <w:color w:val="auto"/>
        </w:rPr>
        <w:t>Intended Tax Treatment</w:t>
      </w:r>
      <w:r>
        <w:rPr>
          <w:rFonts w:ascii="Arial" w:cs="Arial" w:eastAsia="Arial" w:hAnsi="Arial"/>
          <w:sz w:val="14"/>
          <w:szCs w:val="14"/>
          <w:color w:val="auto"/>
        </w:rPr>
        <w:t>”).</w:t>
      </w:r>
    </w:p>
    <w:p>
      <w:pPr>
        <w:spacing w:after="0" w:line="12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 Agreement, and intending to be legally bound hereby, Acquiror, First Merger Sub, Second Merger Sub and the Company agree as follows: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DEFINITIONS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1.01 </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herein, the following terms shall have the following meanings: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w:t>
      </w:r>
      <w:r>
        <w:rPr>
          <w:rFonts w:ascii="Arial" w:cs="Arial" w:eastAsia="Arial" w:hAnsi="Arial"/>
          <w:sz w:val="16"/>
          <w:szCs w:val="16"/>
          <w:color w:val="auto"/>
        </w:rPr>
        <w:t>” has the meaning specified in the preamble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A&amp;R Charter</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Affiliate Agreement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5.19</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Acquiror and Merger Sub Representations</w:t>
      </w:r>
      <w:r>
        <w:rPr>
          <w:rFonts w:ascii="Arial" w:cs="Arial" w:eastAsia="Arial" w:hAnsi="Arial"/>
          <w:sz w:val="15"/>
          <w:szCs w:val="15"/>
          <w:color w:val="auto"/>
        </w:rPr>
        <w:t xml:space="preserve">” means the representations and warranties of each of Acquiror, First Merger Sub and Second Merger Sub expressly and specifically set forth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of this Agreement, and the certificates delivered by Acquiror at Closing hereunder, in each case, as qualified by the Schedules. For the avoidance of doubt, the Acquiror and Merger Sub Representations are solely made by Acquiror, First Merger Sub and Second Merger Sub.</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Board</w:t>
      </w:r>
      <w:r>
        <w:rPr>
          <w:rFonts w:ascii="Arial" w:cs="Arial" w:eastAsia="Arial" w:hAnsi="Arial"/>
          <w:sz w:val="16"/>
          <w:szCs w:val="16"/>
          <w:color w:val="auto"/>
        </w:rPr>
        <w:t>” means the board of directors of Acquiror.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Common Stock</w:t>
      </w:r>
      <w:r>
        <w:rPr>
          <w:rFonts w:ascii="Arial" w:cs="Arial" w:eastAsia="Arial" w:hAnsi="Arial"/>
          <w:sz w:val="16"/>
          <w:szCs w:val="16"/>
          <w:color w:val="auto"/>
        </w:rPr>
        <w:t>” means Acquiror’s Common Stock, par value $0.0001 per share.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Cure Period</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10.01(c)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ESPP</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Incentive Plan</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Acquiror Material Adverse Effect</w:t>
      </w:r>
      <w:r>
        <w:rPr>
          <w:rFonts w:ascii="Arial" w:cs="Arial" w:eastAsia="Arial" w:hAnsi="Arial"/>
          <w:sz w:val="15"/>
          <w:szCs w:val="15"/>
          <w:color w:val="auto"/>
        </w:rPr>
        <w:t>” means any change, event or effect that would have a material adverse effect: on the ability of Acquiror, First Merger Sub or Second Merger Sub to enter into and perform its obligations under this Agreement and the other agreements, certificates and documents referenced herein and consummate the Transactions and the other transactions contemplated by such other agreements, certificates and documents; provided, however, that in no event would any redemption of Acquiror Common Stock made in accordance with the Certificate of Incorporation, alone or in combination, be deemed to constitute, or be taken into account in determining whether there has been or will be, an “Acquiror Material Adverse Effect”, in each case, solely with respect to such redemption.</w:t>
      </w:r>
    </w:p>
    <w:p>
      <w:pPr>
        <w:spacing w:after="0" w:line="15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Organizational Documents</w:t>
      </w:r>
      <w:r>
        <w:rPr>
          <w:rFonts w:ascii="Arial" w:cs="Arial" w:eastAsia="Arial" w:hAnsi="Arial"/>
          <w:sz w:val="16"/>
          <w:szCs w:val="16"/>
          <w:color w:val="auto"/>
        </w:rPr>
        <w:t>” means the Certificate of Incorporation and Acquiror’s bylaws, in each case as may be amended from time to time in accordance with the terms of this Agreement.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Preferred Stock</w:t>
      </w:r>
      <w:r>
        <w:rPr>
          <w:rFonts w:ascii="Arial" w:cs="Arial" w:eastAsia="Arial" w:hAnsi="Arial"/>
          <w:sz w:val="16"/>
          <w:szCs w:val="16"/>
          <w:color w:val="auto"/>
        </w:rPr>
        <w:t>” means the preferred stock, par value $0.0001 per share, of the Acquiror.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Private Placement Warrant</w:t>
      </w:r>
      <w:r>
        <w:rPr>
          <w:rFonts w:ascii="Arial" w:cs="Arial" w:eastAsia="Arial" w:hAnsi="Arial"/>
          <w:sz w:val="16"/>
          <w:szCs w:val="16"/>
          <w:color w:val="auto"/>
        </w:rPr>
        <w:t>” means a warrant entitling the holder to purchase one share of Acquiror Common Stock per warrant.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Right</w:t>
      </w:r>
      <w:r>
        <w:rPr>
          <w:rFonts w:ascii="Arial" w:cs="Arial" w:eastAsia="Arial" w:hAnsi="Arial"/>
          <w:sz w:val="16"/>
          <w:szCs w:val="16"/>
          <w:color w:val="auto"/>
        </w:rPr>
        <w:t>” means a right entitling the holder to receive one twentieth (1/20</w:t>
      </w:r>
      <w:r>
        <w:rPr>
          <w:rFonts w:ascii="Arial" w:cs="Arial" w:eastAsia="Arial" w:hAnsi="Arial"/>
          <w:sz w:val="26"/>
          <w:szCs w:val="26"/>
          <w:color w:val="auto"/>
          <w:vertAlign w:val="superscript"/>
        </w:rPr>
        <w:t>th</w:t>
      </w:r>
      <w:r>
        <w:rPr>
          <w:rFonts w:ascii="Arial" w:cs="Arial" w:eastAsia="Arial" w:hAnsi="Arial"/>
          <w:sz w:val="16"/>
          <w:szCs w:val="16"/>
          <w:color w:val="auto"/>
        </w:rPr>
        <w:t>) of a share of Acquiror Common Stock per right.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 w:name="page19"/>
    <w:bookmarkEnd w:id="18"/>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SEC Reports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5.10(a)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Stockholder</w:t>
      </w:r>
      <w:r>
        <w:rPr>
          <w:rFonts w:ascii="Arial" w:cs="Arial" w:eastAsia="Arial" w:hAnsi="Arial"/>
          <w:sz w:val="16"/>
          <w:szCs w:val="16"/>
          <w:color w:val="auto"/>
        </w:rPr>
        <w:t>” means a holder of Acquiror Common Stock.</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Stockholder Approval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Unit</w:t>
      </w:r>
      <w:r>
        <w:rPr>
          <w:rFonts w:ascii="Arial" w:cs="Arial" w:eastAsia="Arial" w:hAnsi="Arial"/>
          <w:sz w:val="16"/>
          <w:szCs w:val="16"/>
          <w:color w:val="auto"/>
        </w:rPr>
        <w:t>” means one share of Acquiror Common Stock and one Acquiror Warrant.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Warrant</w:t>
      </w:r>
      <w:r>
        <w:rPr>
          <w:rFonts w:ascii="Arial" w:cs="Arial" w:eastAsia="Arial" w:hAnsi="Arial"/>
          <w:sz w:val="16"/>
          <w:szCs w:val="16"/>
          <w:color w:val="auto"/>
        </w:rPr>
        <w:t>” means a warrant entitling the holder to purchase one-half of one share of Acquiror Common Stock per warrant.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Action</w:t>
      </w:r>
      <w:r>
        <w:rPr>
          <w:rFonts w:ascii="Arial" w:cs="Arial" w:eastAsia="Arial" w:hAnsi="Arial"/>
          <w:sz w:val="16"/>
          <w:szCs w:val="16"/>
          <w:color w:val="auto"/>
        </w:rPr>
        <w:t>” means any claim, action, suit, assessment, arbitration or proceeding, in each case that is by or before any Governmental Authority.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Proposal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specified Person, any Person that, directly or indirectly, controls, is controlled by, or is under common control with, such specified Person, through one or more intermediaries or otherwise.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specified in the preamble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 Proposal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Anti-Corruption Laws</w:t>
      </w:r>
      <w:r>
        <w:rPr>
          <w:rFonts w:ascii="Arial" w:cs="Arial" w:eastAsia="Arial" w:hAnsi="Arial"/>
          <w:sz w:val="14"/>
          <w:szCs w:val="14"/>
          <w:color w:val="auto"/>
        </w:rPr>
        <w:t>” means any applicable Laws relating to anti-bribery or anti-corruption (governmental or commercial), including Laws that prohibit the corrupt payment, offer, promise, or authorization of the payment or transfer of anything of value (including gifts or entertainment), directly or indirectly, to any representative of a foreign Governmental Authority or commercial entity to obtain a business advantage, including the U.S. Foreign Corrupt Practices Act of 1977, as amended from time to time, and all national and international Laws enacted to implement the OECD Convention on Combating Bribery of Foreign Officials in International Business Transactions.</w:t>
      </w:r>
    </w:p>
    <w:p>
      <w:pPr>
        <w:spacing w:after="0" w:line="13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Antitrust Law</w:t>
      </w:r>
      <w:r>
        <w:rPr>
          <w:rFonts w:ascii="Arial" w:cs="Arial" w:eastAsia="Arial" w:hAnsi="Arial"/>
          <w:sz w:val="16"/>
          <w:szCs w:val="16"/>
          <w:color w:val="auto"/>
        </w:rPr>
        <w:t>” means the HSR Act, the Federal Trade Commission Act, as amended, the Sherman Act, as amended, the Clayton Act, as amended, and all other applicable Laws that are designed or intended to prohibit, restrict or regulate actions having the purpose or effect of monopolization or restraint of trade or lessening of competition through merger or acquisition.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has the meaning ascribed to such term in the Certificate of Incorporation.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other than a Saturday, Sunday or other day on which commercial banks in New York, New York or San Francisco, California are authorized or required by Law to close.</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means the Amended and Restated Certificate of Incorporation of Acquiror, filed with the Secretary of State of the State of Delaware on December 23, 2020, and as subsequently amended from time to time.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Certificates of Merger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 w:name="page20"/>
    <w:bookmarkEnd w:id="19"/>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Recommendation</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8.02(f)</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Claim</w:t>
      </w:r>
      <w:r>
        <w:rPr>
          <w:rFonts w:ascii="Arial" w:cs="Arial" w:eastAsia="Arial" w:hAnsi="Arial"/>
          <w:sz w:val="16"/>
          <w:szCs w:val="16"/>
          <w:color w:val="auto"/>
        </w:rPr>
        <w:t>” means any demand, claim, action, legal, judicial or administrative proceeding (whether at law or in equity) or arbitration.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specified in the preamble hereto.</w:t>
      </w:r>
    </w:p>
    <w:p>
      <w:pPr>
        <w:spacing w:after="0" w:line="198"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Acquisition Proposal</w:t>
      </w:r>
      <w:r>
        <w:rPr>
          <w:rFonts w:ascii="Arial" w:cs="Arial" w:eastAsia="Arial" w:hAnsi="Arial"/>
          <w:sz w:val="15"/>
          <w:szCs w:val="15"/>
          <w:color w:val="auto"/>
        </w:rPr>
        <w:t>” means any written or bona fide oral inquiry, indication of interest, proposal or offer (other than an offer, indication of interest or proposal made or submitted by or on behalf of Acquiror or any of its Affiliates) contemplating or otherwise relating to any Company Acquisition Transaction.</w:t>
      </w:r>
    </w:p>
    <w:p>
      <w:pPr>
        <w:spacing w:after="0" w:line="129"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Acquisition Transaction</w:t>
      </w:r>
      <w:r>
        <w:rPr>
          <w:rFonts w:ascii="Arial" w:cs="Arial" w:eastAsia="Arial" w:hAnsi="Arial"/>
          <w:sz w:val="14"/>
          <w:szCs w:val="14"/>
          <w:color w:val="auto"/>
        </w:rPr>
        <w:t xml:space="preserve">” means any transaction or series of related transactions (other than the Transactions or other transactions in the ordinary course of business) involving, directly or indirectly: (i) any merger, consolidation, amalgamation, share exchange, business combination, acquisition, recapitalization, dissolution, liquidation, reorganization or other similar transaction involving the sale or disposition of (A) the Company or (B) any of its Subsidiaries holding assets constituting, individually or in the aggregate, 20% or more of the consolidated assets of the Company and its Subsidiaries; (ii) any issuance, sale, pledge, disposal of, transfer or encumbrance of any securities (or instruments convertible into or exercisable or exchangeable for, such securities) of the Company or any of its Subsidiaries, other than issuances, sales, pledges, disposals, transfers or encumbrances of securities (or instruments convertible into or exercisable or exchangeable for, such securities) expressly permitted by </w:t>
      </w:r>
      <w:r>
        <w:rPr>
          <w:rFonts w:ascii="Arial" w:cs="Arial" w:eastAsia="Arial" w:hAnsi="Arial"/>
          <w:sz w:val="14"/>
          <w:szCs w:val="14"/>
          <w:u w:val="single" w:color="auto"/>
          <w:color w:val="auto"/>
        </w:rPr>
        <w:t>Section 6.01</w:t>
      </w:r>
      <w:r>
        <w:rPr>
          <w:rFonts w:ascii="Arial" w:cs="Arial" w:eastAsia="Arial" w:hAnsi="Arial"/>
          <w:sz w:val="14"/>
          <w:szCs w:val="14"/>
          <w:color w:val="auto"/>
        </w:rPr>
        <w:t>; (iii) any transaction (x) in which any Person or “group” (as defined in the Exchange Act and the rules thereunder) of Persons acquires beneficial or record ownership of securities (or instruments convertible into or exercisable or exchangeable for, such securities) representing 20% or more of the outstanding voting power of the Company or any of its Subsidiaries; or (y) in which the Company or any of its Subsidiaries issues, transfers, sells or pledges securities (or instruments convertible into or exercisable or exchangeable for, such securities) representing 20% or more of the outstanding voting power of the Company or any of its Subsidiaries (after giving effect to such transaction); (iv) 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20% or more of the outstanding voting power of the Company or any of its Subsidiaries; or (v) any combination of the foregoing types of transaction if the sum of the percentage of the voting power of the Company or any of its Subsidiaries or of the revenues, income or assets of the Company or any of its Subsidiaries involved is 20% or more.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Affiliate Agreement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4.21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Benefit Plan</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Board</w:t>
      </w:r>
      <w:r>
        <w:rPr>
          <w:rFonts w:ascii="Arial" w:cs="Arial" w:eastAsia="Arial" w:hAnsi="Arial"/>
          <w:sz w:val="16"/>
          <w:szCs w:val="16"/>
          <w:color w:val="auto"/>
        </w:rPr>
        <w:t>” means the board of directors of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 w:name="page21"/>
    <w:bookmarkEnd w:id="20"/>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Certificate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3.05(a)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4.06</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Convertible Notes</w:t>
      </w:r>
      <w:r>
        <w:rPr>
          <w:rFonts w:ascii="Arial" w:cs="Arial" w:eastAsia="Arial" w:hAnsi="Arial"/>
          <w:sz w:val="16"/>
          <w:szCs w:val="16"/>
          <w:color w:val="auto"/>
        </w:rPr>
        <w:t>” means the convertible debt securities issued by the Company in favor of certain investors, the terms of which provide for the conversion into, or exchange for, Company Common Stock or Company Preferred Stock.</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Cure Period</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10.01(b)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Equity Awards</w:t>
      </w:r>
      <w:r>
        <w:rPr>
          <w:rFonts w:ascii="Arial" w:cs="Arial" w:eastAsia="Arial" w:hAnsi="Arial"/>
          <w:sz w:val="16"/>
          <w:szCs w:val="16"/>
          <w:color w:val="auto"/>
        </w:rPr>
        <w:t>” means Company Options and any other awards granted under the Company Stock Plans.</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Intellectual Property</w:t>
      </w:r>
      <w:r>
        <w:rPr>
          <w:rFonts w:ascii="Arial" w:cs="Arial" w:eastAsia="Arial" w:hAnsi="Arial"/>
          <w:sz w:val="16"/>
          <w:szCs w:val="16"/>
          <w:color w:val="auto"/>
        </w:rPr>
        <w:t>” means all Owned Intellectual Property and all Intellectual Property used in or necessary for the conduct of the businesses of the Company and its Subsidiaries, as currently conducted.</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Merger Shares</w:t>
      </w:r>
      <w:r>
        <w:rPr>
          <w:rFonts w:ascii="Arial" w:cs="Arial" w:eastAsia="Arial" w:hAnsi="Arial"/>
          <w:sz w:val="14"/>
          <w:szCs w:val="14"/>
          <w:color w:val="auto"/>
        </w:rPr>
        <w:t>” means the number of shares of Acquiror Common Stock equal to the quotient determined by dividing (a) the Company Valuation by (b)</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$10.00.</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Non-Voting Common Stock</w:t>
      </w:r>
      <w:r>
        <w:rPr>
          <w:rFonts w:ascii="Arial" w:cs="Arial" w:eastAsia="Arial" w:hAnsi="Arial"/>
          <w:sz w:val="16"/>
          <w:szCs w:val="16"/>
          <w:color w:val="auto"/>
        </w:rPr>
        <w:t>” means a share of the Company’s non-voting common stock, par value $0.001 per share.</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Option</w:t>
      </w:r>
      <w:r>
        <w:rPr>
          <w:rFonts w:ascii="Arial" w:cs="Arial" w:eastAsia="Arial" w:hAnsi="Arial"/>
          <w:sz w:val="16"/>
          <w:szCs w:val="16"/>
          <w:color w:val="auto"/>
        </w:rPr>
        <w:t>” means each option to purchase shares of Company Common Stock issued under any agreement with the Company, including the Company Stock Plans, whether vested or unvested, outstanding and unexercised immediately prior to Closing.</w:t>
      </w:r>
    </w:p>
    <w:p>
      <w:pPr>
        <w:spacing w:after="0" w:line="15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Outstanding Shares</w:t>
      </w:r>
      <w:r>
        <w:rPr>
          <w:rFonts w:ascii="Arial" w:cs="Arial" w:eastAsia="Arial" w:hAnsi="Arial"/>
          <w:sz w:val="15"/>
          <w:szCs w:val="15"/>
          <w:color w:val="auto"/>
        </w:rPr>
        <w:t xml:space="preserve">” means, without duplication, (a) the total number of shares of Company Common Stock outstanding immediately prior to the Effective Time, expressed on a fully-diluted and as-converted to Company Common Stock basis, and including, without limitation, (i) the number of shares of Company Common Stock issuable upon conversion of the Company Preferred Stock and Company Convertible Notes pursuant to </w:t>
      </w:r>
      <w:r>
        <w:rPr>
          <w:rFonts w:ascii="Arial" w:cs="Arial" w:eastAsia="Arial" w:hAnsi="Arial"/>
          <w:sz w:val="15"/>
          <w:szCs w:val="15"/>
          <w:u w:val="single" w:color="auto"/>
          <w:color w:val="auto"/>
        </w:rPr>
        <w:t>Section 3.01(a)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3.01(b)</w:t>
      </w:r>
      <w:r>
        <w:rPr>
          <w:rFonts w:ascii="Arial" w:cs="Arial" w:eastAsia="Arial" w:hAnsi="Arial"/>
          <w:sz w:val="15"/>
          <w:szCs w:val="15"/>
          <w:color w:val="auto"/>
        </w:rPr>
        <w:t xml:space="preserve">, and the exercise of Company Warrants, respectively, and (ii) the number of shares of Company Common Stock subject to unexpired, issued and outstanding Company Options as of immediately prior to the Effective Time, </w:t>
      </w:r>
      <w:r>
        <w:rPr>
          <w:rFonts w:ascii="Arial" w:cs="Arial" w:eastAsia="Arial" w:hAnsi="Arial"/>
          <w:sz w:val="15"/>
          <w:szCs w:val="15"/>
          <w:i w:val="1"/>
          <w:iCs w:val="1"/>
          <w:color w:val="auto"/>
        </w:rPr>
        <w:t>minus</w:t>
      </w:r>
      <w:r>
        <w:rPr>
          <w:rFonts w:ascii="Arial" w:cs="Arial" w:eastAsia="Arial" w:hAnsi="Arial"/>
          <w:sz w:val="15"/>
          <w:szCs w:val="15"/>
          <w:color w:val="auto"/>
        </w:rPr>
        <w:t xml:space="preserve"> (b) (i) the total number of shares of Company Common Stock, issued or issuable in connection with the Permitted Acquisitions, (ii) Excluded Shares outstanding immediately prior to the Effective Time and (iii) the Dissenting Shares.</w:t>
      </w:r>
    </w:p>
    <w:p>
      <w:pPr>
        <w:spacing w:after="0" w:line="15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means the shares of (a) Company Series A Preferred Stock, (b) Company Series AA-1 Preferred Stock, (c) Company Series AA-2 Preferred Stock, (d) Company Series B Preferred Stock, (e) Company Series B-1 Preferred Stock, (f) Company Series C Preferred Stock and (g) Company Series C-1 Preferred Stock.</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Representations</w:t>
      </w:r>
      <w:r>
        <w:rPr>
          <w:rFonts w:ascii="Arial" w:cs="Arial" w:eastAsia="Arial" w:hAnsi="Arial"/>
          <w:sz w:val="16"/>
          <w:szCs w:val="16"/>
          <w:color w:val="auto"/>
        </w:rPr>
        <w:t xml:space="preserve">” means the representations and warranties of the Company expressly and specifically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this Agreement, and the certificates delivered by the Company at Closing hereunder, in each case, as qualified by the Schedules. For the avoidance of doubt, the Company Representations are solely made by the Company.</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Requisite Approval</w:t>
      </w:r>
      <w:r>
        <w:rPr>
          <w:rFonts w:ascii="Arial" w:cs="Arial" w:eastAsia="Arial" w:hAnsi="Arial"/>
          <w:sz w:val="16"/>
          <w:szCs w:val="16"/>
          <w:color w:val="auto"/>
        </w:rPr>
        <w:t>” means the vote of holders of Company Stock required to approve the adoption of this Agreement and approval of the transactions contemplated hereby, including the authorization of the Mergers, the Proposals, and all other transactions contemplated hereby, as determined in accordance with applicable Law and the organizational documents of the Company.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 w:name="page22"/>
    <w:bookmarkEnd w:id="21"/>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A Preferred Stock</w:t>
      </w:r>
      <w:r>
        <w:rPr>
          <w:rFonts w:ascii="Arial" w:cs="Arial" w:eastAsia="Arial" w:hAnsi="Arial"/>
          <w:sz w:val="16"/>
          <w:szCs w:val="16"/>
          <w:color w:val="auto"/>
        </w:rPr>
        <w:t>” means the shares of Series A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AA-1 Preferred Stock</w:t>
      </w:r>
      <w:r>
        <w:rPr>
          <w:rFonts w:ascii="Arial" w:cs="Arial" w:eastAsia="Arial" w:hAnsi="Arial"/>
          <w:sz w:val="16"/>
          <w:szCs w:val="16"/>
          <w:color w:val="auto"/>
        </w:rPr>
        <w:t>” means the shares of Series AA-1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AA-2 Preferred Stock</w:t>
      </w:r>
      <w:r>
        <w:rPr>
          <w:rFonts w:ascii="Arial" w:cs="Arial" w:eastAsia="Arial" w:hAnsi="Arial"/>
          <w:sz w:val="16"/>
          <w:szCs w:val="16"/>
          <w:color w:val="auto"/>
        </w:rPr>
        <w:t>” means the shares of Series AA-2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B Preferred Stock</w:t>
      </w:r>
      <w:r>
        <w:rPr>
          <w:rFonts w:ascii="Arial" w:cs="Arial" w:eastAsia="Arial" w:hAnsi="Arial"/>
          <w:sz w:val="16"/>
          <w:szCs w:val="16"/>
          <w:color w:val="auto"/>
        </w:rPr>
        <w:t>” means the shares of Series B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B-1 Preferred Stock</w:t>
      </w:r>
      <w:r>
        <w:rPr>
          <w:rFonts w:ascii="Arial" w:cs="Arial" w:eastAsia="Arial" w:hAnsi="Arial"/>
          <w:sz w:val="16"/>
          <w:szCs w:val="16"/>
          <w:color w:val="auto"/>
        </w:rPr>
        <w:t>” means the shares of Series B-1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C Preferred Stock</w:t>
      </w:r>
      <w:r>
        <w:rPr>
          <w:rFonts w:ascii="Arial" w:cs="Arial" w:eastAsia="Arial" w:hAnsi="Arial"/>
          <w:sz w:val="16"/>
          <w:szCs w:val="16"/>
          <w:color w:val="auto"/>
        </w:rPr>
        <w:t>” means the shares of Series C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C-1 Preferred Stock</w:t>
      </w:r>
      <w:r>
        <w:rPr>
          <w:rFonts w:ascii="Arial" w:cs="Arial" w:eastAsia="Arial" w:hAnsi="Arial"/>
          <w:sz w:val="16"/>
          <w:szCs w:val="16"/>
          <w:color w:val="auto"/>
        </w:rPr>
        <w:t>” means the shares of Series C-1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Software</w:t>
      </w:r>
      <w:r>
        <w:rPr>
          <w:rFonts w:ascii="Arial" w:cs="Arial" w:eastAsia="Arial" w:hAnsi="Arial"/>
          <w:sz w:val="15"/>
          <w:szCs w:val="15"/>
          <w:color w:val="auto"/>
        </w:rPr>
        <w:t>” means all Software used in or necessary for conduct of the businesses of the Company and its Subsidiaries, as currently conducted.</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w:t>
      </w:r>
      <w:r>
        <w:rPr>
          <w:rFonts w:ascii="Arial" w:cs="Arial" w:eastAsia="Arial" w:hAnsi="Arial"/>
          <w:sz w:val="16"/>
          <w:szCs w:val="16"/>
          <w:color w:val="auto"/>
        </w:rPr>
        <w:t>” means, collectively, the Company Common Stock and the Company Preferred Stock.</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Plans</w:t>
      </w:r>
      <w:r>
        <w:rPr>
          <w:rFonts w:ascii="Arial" w:cs="Arial" w:eastAsia="Arial" w:hAnsi="Arial"/>
          <w:sz w:val="16"/>
          <w:szCs w:val="16"/>
          <w:color w:val="auto"/>
        </w:rPr>
        <w:t>” means the Company’s 2008 Stock Incentive Plan and the Company’s 2018 Equity Incentive Plan.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w:t>
      </w:r>
      <w:r>
        <w:rPr>
          <w:rFonts w:ascii="Arial" w:cs="Arial" w:eastAsia="Arial" w:hAnsi="Arial"/>
          <w:sz w:val="16"/>
          <w:szCs w:val="16"/>
          <w:color w:val="auto"/>
        </w:rPr>
        <w:t>” means the holder of either a share of Company Common Stock or a share of Company Preferred Stock.</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Stockholders Meeting</w:t>
      </w:r>
      <w:r>
        <w:rPr>
          <w:rFonts w:ascii="Arial" w:cs="Arial" w:eastAsia="Arial" w:hAnsi="Arial"/>
          <w:sz w:val="14"/>
          <w:szCs w:val="14"/>
          <w:color w:val="auto"/>
        </w:rPr>
        <w:t xml:space="preserve">” means a special meeting of the Company Stockholders to be held to consider the adoption of this Agreement pursuant to </w:t>
      </w:r>
      <w:r>
        <w:rPr>
          <w:rFonts w:ascii="Arial" w:cs="Arial" w:eastAsia="Arial" w:hAnsi="Arial"/>
          <w:sz w:val="14"/>
          <w:szCs w:val="14"/>
          <w:u w:val="single" w:color="auto"/>
          <w:color w:val="auto"/>
        </w:rPr>
        <w:t>Section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8.03(b)</w:t>
      </w:r>
      <w:r>
        <w:rPr>
          <w:rFonts w:ascii="Arial" w:cs="Arial" w:eastAsia="Arial" w:hAnsi="Arial"/>
          <w:sz w:val="16"/>
          <w:szCs w:val="16"/>
          <w:color w:val="auto"/>
        </w:rPr>
        <w:t>.</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Valuation</w:t>
      </w:r>
      <w:r>
        <w:rPr>
          <w:rFonts w:ascii="Arial" w:cs="Arial" w:eastAsia="Arial" w:hAnsi="Arial"/>
          <w:sz w:val="16"/>
          <w:szCs w:val="16"/>
          <w:color w:val="auto"/>
        </w:rPr>
        <w:t>” means $800,000,000.</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Voting Common Stock</w:t>
      </w:r>
      <w:r>
        <w:rPr>
          <w:rFonts w:ascii="Arial" w:cs="Arial" w:eastAsia="Arial" w:hAnsi="Arial"/>
          <w:sz w:val="16"/>
          <w:szCs w:val="16"/>
          <w:color w:val="auto"/>
        </w:rPr>
        <w:t>” means a share of the Company’s voting common stock, par value $0.001 per share.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Warrants</w:t>
      </w:r>
      <w:r>
        <w:rPr>
          <w:rFonts w:ascii="Arial" w:cs="Arial" w:eastAsia="Arial" w:hAnsi="Arial"/>
          <w:sz w:val="16"/>
          <w:szCs w:val="16"/>
          <w:color w:val="auto"/>
        </w:rPr>
        <w:t>” means the warrants of the Company to purchase Company Common Stock or Company Preferred Stock.</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11.09</w:t>
      </w:r>
      <w:r>
        <w:rPr>
          <w:rFonts w:ascii="Arial" w:cs="Arial" w:eastAsia="Arial" w:hAnsi="Arial"/>
          <w:sz w:val="16"/>
          <w:szCs w:val="16"/>
          <w:color w:val="auto"/>
        </w:rPr>
        <w: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Consent Solicitation Statement</w:t>
      </w:r>
      <w:r>
        <w:rPr>
          <w:rFonts w:ascii="Arial" w:cs="Arial" w:eastAsia="Arial" w:hAnsi="Arial"/>
          <w:sz w:val="16"/>
          <w:szCs w:val="16"/>
          <w:color w:val="auto"/>
        </w:rPr>
        <w:t>” means the consent solicitation statement with respect to the solicitation by the Company of the Company Requisite Approval.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2" w:name="page23"/>
    <w:bookmarkEnd w:id="22"/>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means any legally binding contracts, agreements, subcontracts, leases, and purchase orders (other than any Company Benefit Plans).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Copyleft Terms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4.11(h)</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D&amp;O Tail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7.02(b)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DGCL</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3.11</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Earnout Participants</w:t>
      </w:r>
      <w:r>
        <w:rPr>
          <w:rFonts w:ascii="Arial" w:cs="Arial" w:eastAsia="Arial" w:hAnsi="Arial"/>
          <w:sz w:val="14"/>
          <w:szCs w:val="14"/>
          <w:color w:val="auto"/>
        </w:rPr>
        <w:t xml:space="preserve">” means holders of (i) shares of Company Common Stock outstanding immediately prior to the Effective Time, after giving effect to the conversion of Company Preferred Stock in accordance with </w:t>
      </w:r>
      <w:r>
        <w:rPr>
          <w:rFonts w:ascii="Arial" w:cs="Arial" w:eastAsia="Arial" w:hAnsi="Arial"/>
          <w:sz w:val="14"/>
          <w:szCs w:val="14"/>
          <w:u w:val="single" w:color="auto"/>
          <w:color w:val="auto"/>
        </w:rPr>
        <w:t>Section 3.01(a)</w:t>
      </w:r>
      <w:r>
        <w:rPr>
          <w:rFonts w:ascii="Arial" w:cs="Arial" w:eastAsia="Arial" w:hAnsi="Arial"/>
          <w:sz w:val="14"/>
          <w:szCs w:val="14"/>
          <w:color w:val="auto"/>
        </w:rPr>
        <w:t xml:space="preserve"> and each share of Company Stock delivered in satisfaction of Company Warrants exercised prior to the Effective Time and in connection with the conversion of the Company Convertible Notes, and (ii) Company Equity Awards outstanding immediately prior to the Effective Time and held by any active employee of the Company as of immediately prior to the Closing, in each case with an Earnout Pro Rata Portion in excess of zero (0).</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Earnout Pro Rata Portion</w:t>
      </w:r>
      <w:r>
        <w:rPr>
          <w:rFonts w:ascii="Arial" w:cs="Arial" w:eastAsia="Arial" w:hAnsi="Arial"/>
          <w:sz w:val="16"/>
          <w:szCs w:val="16"/>
          <w:color w:val="auto"/>
        </w:rPr>
        <w:t>” means, with respect to each Earnout Participant:</w:t>
      </w:r>
    </w:p>
    <w:p>
      <w:pPr>
        <w:spacing w:after="0" w:line="198" w:lineRule="exact"/>
        <w:rPr>
          <w:sz w:val="20"/>
          <w:szCs w:val="20"/>
          <w:color w:val="auto"/>
        </w:rPr>
      </w:pPr>
    </w:p>
    <w:p>
      <w:pPr>
        <w:jc w:val="both"/>
        <w:ind w:left="560" w:firstLine="583"/>
        <w:spacing w:after="0" w:line="253" w:lineRule="auto"/>
        <w:tabs>
          <w:tab w:leader="none" w:pos="1437"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the case of a holder of outstanding shares of Company Common Stock as of immediately prior to the Effective Time, a fraction expressed as a percentage equal to (i) the number of shares of Acquiror Common Stock into which such holder’s shares of Company Common Stock are converted into in accordance with </w:t>
      </w:r>
      <w:r>
        <w:rPr>
          <w:rFonts w:ascii="Arial" w:cs="Arial" w:eastAsia="Arial" w:hAnsi="Arial"/>
          <w:sz w:val="16"/>
          <w:szCs w:val="16"/>
          <w:u w:val="single" w:color="auto"/>
          <w:color w:val="auto"/>
        </w:rPr>
        <w:t>Section 3.01(c)(i)</w:t>
      </w:r>
      <w:r>
        <w:rPr>
          <w:rFonts w:ascii="Arial" w:cs="Arial" w:eastAsia="Arial" w:hAnsi="Arial"/>
          <w:sz w:val="16"/>
          <w:szCs w:val="16"/>
          <w:color w:val="auto"/>
        </w:rPr>
        <w:t xml:space="preserve"> (including shares issued in connection with the conversion of the Company Convertible Notes)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sum of (x) the total number of shares of Acquiror Common Stock into which all outstanding shares of Company Common Stock are converted in accordance with </w:t>
      </w:r>
      <w:r>
        <w:rPr>
          <w:rFonts w:ascii="Arial" w:cs="Arial" w:eastAsia="Arial" w:hAnsi="Arial"/>
          <w:sz w:val="16"/>
          <w:szCs w:val="16"/>
          <w:u w:val="single" w:color="auto"/>
          <w:color w:val="auto"/>
        </w:rPr>
        <w:t>Section 3.01(c)(i)</w:t>
      </w:r>
      <w:r>
        <w:rPr>
          <w:rFonts w:ascii="Arial" w:cs="Arial" w:eastAsia="Arial" w:hAnsi="Arial"/>
          <w:sz w:val="16"/>
          <w:szCs w:val="16"/>
          <w:color w:val="auto"/>
        </w:rPr>
        <w:t xml:space="preserve"> (including shares issued in connection with the conversion of the Company Convertible Notes),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total number of shares of Acquiror Common Stock issued or issuable upon the exercise of the Exchanged Warrants and the Exchanged Options as of immediately following the Effective Time (whether vested or unvested, and on a cash exercise basis) (the “</w:t>
      </w:r>
      <w:r>
        <w:rPr>
          <w:rFonts w:ascii="Arial" w:cs="Arial" w:eastAsia="Arial" w:hAnsi="Arial"/>
          <w:sz w:val="16"/>
          <w:szCs w:val="16"/>
          <w:u w:val="single" w:color="auto"/>
          <w:color w:val="auto"/>
        </w:rPr>
        <w:t>Earnout Denominator</w:t>
      </w:r>
      <w:r>
        <w:rPr>
          <w:rFonts w:ascii="Arial" w:cs="Arial" w:eastAsia="Arial" w:hAnsi="Arial"/>
          <w:sz w:val="16"/>
          <w:szCs w:val="16"/>
          <w:color w:val="auto"/>
        </w:rPr>
        <w:t>”); and</w:t>
      </w:r>
    </w:p>
    <w:p>
      <w:pPr>
        <w:spacing w:after="0" w:line="171" w:lineRule="exact"/>
        <w:rPr>
          <w:rFonts w:ascii="Arial" w:cs="Arial" w:eastAsia="Arial" w:hAnsi="Arial"/>
          <w:sz w:val="16"/>
          <w:szCs w:val="16"/>
          <w:color w:val="auto"/>
        </w:rPr>
      </w:pPr>
    </w:p>
    <w:p>
      <w:pPr>
        <w:jc w:val="both"/>
        <w:ind w:left="560" w:firstLine="583"/>
        <w:spacing w:after="0" w:line="255" w:lineRule="auto"/>
        <w:tabs>
          <w:tab w:leader="none" w:pos="139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the case of a holder of outstanding Company Warrants or Company Options (whether vested or unvested) as of immediately prior to the Effective Time, a fraction expressed as a percentage equal to (i) the number of shares of Company Common Stock issued or issuable upon the exercise of such holder’s Exchanged Warrants or Exchanged Options, as applicable (whether vested or unvested, on a cash exercise basis),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Earnout Denominator, in each case, with such adjustments to give effect to rounding as the Company may determine in its sole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aggregate Earnout Pro Rata Portion exceed 100%.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Earnout Shares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3.07</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Time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Stock Purchase Plan Proposal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 w:name="page24"/>
    <w:bookmarkEnd w:id="23"/>
    <w:p>
      <w:pPr>
        <w:jc w:val="both"/>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applicable Laws relating to pollution, the protection of the environment (including natural resources), and the protection of human health or safety (to the extent related to exposure to Hazardous Materials), including any requiring the registration, testing, evaluation, classification or labelling of, or which prohibit or restrict in commerce, any Hazardous Material.</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4.13(a)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4.13(e)</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Ratio</w:t>
      </w:r>
      <w:r>
        <w:rPr>
          <w:rFonts w:ascii="Arial" w:cs="Arial" w:eastAsia="Arial" w:hAnsi="Arial"/>
          <w:sz w:val="16"/>
          <w:szCs w:val="16"/>
          <w:color w:val="auto"/>
        </w:rPr>
        <w:t>” means the following ratio (rounded to four decimal places): the quotient obtained by dividing (i) the Company Merger Shares by (ii) the Company Outstanding Shares.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Exchanged Option</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3.02(a)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Exchanged Warrant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Share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3.01(c)(ii)</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Derivative/Hedging Arrangement</w:t>
      </w:r>
      <w:r>
        <w:rPr>
          <w:rFonts w:ascii="Arial" w:cs="Arial" w:eastAsia="Arial" w:hAnsi="Arial"/>
          <w:sz w:val="16"/>
          <w:szCs w:val="16"/>
          <w:color w:val="auto"/>
        </w:rPr>
        <w:t>” means any transaction (including an agreement with respect thereto) which is a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combination of these transactions.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4.07</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Certificate of Merger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Earnout Shares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3.07</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Merger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Merger Sub</w:t>
      </w:r>
      <w:r>
        <w:rPr>
          <w:rFonts w:ascii="Arial" w:cs="Arial" w:eastAsia="Arial" w:hAnsi="Arial"/>
          <w:sz w:val="16"/>
          <w:szCs w:val="16"/>
          <w:color w:val="auto"/>
        </w:rPr>
        <w:t>” has the meaning specified in the preamble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United States generally accepted accounting principles, consistently applied.</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federal, state, provincial, municipal, local or foreign government, governmental authority, regulatory or administrative agency, governmental commission, department, board, bureau, agency or instrumentality, arbitrator, court or tribunal.</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Order</w:t>
      </w:r>
      <w:r>
        <w:rPr>
          <w:rFonts w:ascii="Arial" w:cs="Arial" w:eastAsia="Arial" w:hAnsi="Arial"/>
          <w:sz w:val="16"/>
          <w:szCs w:val="16"/>
          <w:color w:val="auto"/>
        </w:rPr>
        <w:t>” means any order, judgment, injunction, decree, writ, stipulation, determination or award, in each case, entered by or with any Governmental Authority.</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Hazardous Material</w:t>
      </w:r>
      <w:r>
        <w:rPr>
          <w:rFonts w:ascii="Arial" w:cs="Arial" w:eastAsia="Arial" w:hAnsi="Arial"/>
          <w:sz w:val="14"/>
          <w:szCs w:val="14"/>
          <w:color w:val="auto"/>
        </w:rPr>
        <w:t>” means any material, substance or waste that is listed, regulated, designated, classified or defined as “hazardous,” “toxic,” or “radioactive,” or a “pollutant” or “contaminant” (or words of similar intent or meaning) under applicable Environmental Laws, including but not limited to petroleum, petroleum by-products, petroleum products and all derivatives thereof, asbestos or asbestos-containing material, polychlorinated biphenyls, flammable or explosive substances or toxic mold.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 w:name="page25"/>
    <w:bookmarkEnd w:id="24"/>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means the Hart-Scott-Rodino Antitrust Improvements Act of 1976 and the rules and regulations promulgated thereunder.</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Plan Proposal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jc w:val="both"/>
        <w:ind w:left="4" w:firstLine="57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Indebtedness</w:t>
      </w:r>
      <w:r>
        <w:rPr>
          <w:rFonts w:ascii="Arial" w:cs="Arial" w:eastAsia="Arial" w:hAnsi="Arial"/>
          <w:sz w:val="14"/>
          <w:szCs w:val="14"/>
          <w:color w:val="auto"/>
        </w:rPr>
        <w:t>” means, with respect to any Person, without duplication, any obligations (whether or not contingent) consisting of (a) the outstanding principal amount of and accrued and unpaid interest on, and other payment obligations for, borrowed money, or payment obligations issued or incurred in substitution or exchange for payment obligations for borrowed money, (b) amounts owing as deferred purchase price for property or services, including “earnout” payments, (c) payment obligations evidenced by any promissory note, bond, debenture, mortgage or other debt instrument or debt security, (d) contingent reimbursement obligations with respect to letters of credit, bankers’ acceptance or similar facilities (in each case to the extent drawn), (e) payment obligations of a third party secured by (or for which the holder of such payment obligations has an existing right, contingent or otherwise, to be secured by) any Lien, other than a Permitted Lien, on assets or properties of such Person, whether or not the obligations secured thereby have been assumed, (f) obligations under capitalized leases, (g) obligations under any Financial Derivative/Hedging Arrangement, (h) guarantees, make-whole agreements, hold harmless agreements or other similar arrangements with respect to any amounts of a type described in clauses (a) through (g) above and (i) with respect to each of the foregoing, any unpaid interest, breakage costs, prepayment or redemption penalties or premiums, or other unpaid fees or obligations; provided, however, that Indebtedness shall not include (w) accounts payable to trade creditors and accrued expenses arising in the ordinary course of business consistent with past practice, (x) any obligations relating to the Permitted Acquisitions and (y) expenses incurred in connection with this Agreement and the Transactions.</w:t>
      </w:r>
    </w:p>
    <w:p>
      <w:pPr>
        <w:spacing w:after="0" w:line="147" w:lineRule="exact"/>
        <w:rPr>
          <w:sz w:val="20"/>
          <w:szCs w:val="20"/>
          <w:color w:val="auto"/>
        </w:rPr>
      </w:pPr>
    </w:p>
    <w:p>
      <w:pPr>
        <w:jc w:val="both"/>
        <w:ind w:left="4"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 or Document Request</w:t>
      </w:r>
      <w:r>
        <w:rPr>
          <w:rFonts w:ascii="Arial" w:cs="Arial" w:eastAsia="Arial" w:hAnsi="Arial"/>
          <w:sz w:val="16"/>
          <w:szCs w:val="16"/>
          <w:color w:val="auto"/>
        </w:rPr>
        <w:t>” means any request or demand for the production, delivery or disclosure of documents or other evidence, or any request or demand for the production of witnesses for interviews or depositions or other oral or written testimony, by any Regulatory Consent Authority relating to the transactions contemplated hereby or by any third party challenging the transactions contemplated hereby, including any so called “second request” for additional information or documentary material or any civil investigative demand made or issued by the Antitrust Division of the United States Department of Justice or the United States Federal Trade Commission or any subpoena, interrogatory or deposition.</w:t>
      </w:r>
    </w:p>
    <w:p>
      <w:pPr>
        <w:spacing w:after="0" w:line="170" w:lineRule="exact"/>
        <w:rPr>
          <w:sz w:val="20"/>
          <w:szCs w:val="20"/>
          <w:color w:val="auto"/>
        </w:rPr>
      </w:pPr>
    </w:p>
    <w:p>
      <w:pPr>
        <w:jc w:val="both"/>
        <w:ind w:left="4" w:firstLine="57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means all intellectual or industrial property rights created, arising, or protected under applicable Law, in any jurisdiction, including all rights, title, and interest in and to any and all: (i) patents, patent applications, patentable inventions, invention disclosures and other patent rights (including any provisionals, extensions, divisionals, continuations, continuations-in-part, reissues, reexaminations and interferences thereof) (collectively, “</w:t>
      </w:r>
      <w:r>
        <w:rPr>
          <w:rFonts w:ascii="Arial" w:cs="Arial" w:eastAsia="Arial" w:hAnsi="Arial"/>
          <w:sz w:val="14"/>
          <w:szCs w:val="14"/>
          <w:u w:val="single" w:color="auto"/>
          <w:color w:val="auto"/>
        </w:rPr>
        <w:t>Patents</w:t>
      </w:r>
      <w:r>
        <w:rPr>
          <w:rFonts w:ascii="Arial" w:cs="Arial" w:eastAsia="Arial" w:hAnsi="Arial"/>
          <w:sz w:val="14"/>
          <w:szCs w:val="14"/>
          <w:color w:val="auto"/>
        </w:rPr>
        <w:t>”); (ii) trademarks, service marks, certification marks, trade dress, trade names, taglines, social media identifiers (such as a Twitter® Handle), brand names, logos, slogans and corporate names and all other indicia of source or origin, together with all goodwill related to any of the foregoing (collectively, “</w:t>
      </w:r>
      <w:r>
        <w:rPr>
          <w:rFonts w:ascii="Arial" w:cs="Arial" w:eastAsia="Arial" w:hAnsi="Arial"/>
          <w:sz w:val="14"/>
          <w:szCs w:val="14"/>
          <w:u w:val="single" w:color="auto"/>
          <w:color w:val="auto"/>
        </w:rPr>
        <w:t>Trademarks</w:t>
      </w:r>
      <w:r>
        <w:rPr>
          <w:rFonts w:ascii="Arial" w:cs="Arial" w:eastAsia="Arial" w:hAnsi="Arial"/>
          <w:sz w:val="14"/>
          <w:szCs w:val="14"/>
          <w:color w:val="auto"/>
        </w:rPr>
        <w:t>”); (iii) works of authorship (including Software, websites, and content), copyrights, mask work rights, database and design rights and all moral rights or similar attribution rights (collectively, “</w:t>
      </w:r>
      <w:r>
        <w:rPr>
          <w:rFonts w:ascii="Arial" w:cs="Arial" w:eastAsia="Arial" w:hAnsi="Arial"/>
          <w:sz w:val="14"/>
          <w:szCs w:val="14"/>
          <w:u w:val="single" w:color="auto"/>
          <w:color w:val="auto"/>
        </w:rPr>
        <w:t>Copyrights</w:t>
      </w:r>
      <w:r>
        <w:rPr>
          <w:rFonts w:ascii="Arial" w:cs="Arial" w:eastAsia="Arial" w:hAnsi="Arial"/>
          <w:sz w:val="14"/>
          <w:szCs w:val="14"/>
          <w:color w:val="auto"/>
        </w:rPr>
        <w:t>”); (iv) internet domain names and internet protocol addresses; (v) trade secrets, including know-how, inventions, processes, procedures, database rights, Personal Information, customer lists, supplier lists, business plans, formulae, discoveries, methods, techniques, algorithms, source code, object code, data, databases, data analytics, ideas, designs, models, concepts, creations, confidential business information and other proprietary information and rights, in each case, to the extent it constitutes a trade secret under applicable Law (collectively, “</w:t>
      </w:r>
      <w:r>
        <w:rPr>
          <w:rFonts w:ascii="Arial" w:cs="Arial" w:eastAsia="Arial" w:hAnsi="Arial"/>
          <w:sz w:val="14"/>
          <w:szCs w:val="14"/>
          <w:u w:val="single" w:color="auto"/>
          <w:color w:val="auto"/>
        </w:rPr>
        <w:t>Trade</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Secrets</w:t>
      </w:r>
      <w:r>
        <w:rPr>
          <w:rFonts w:ascii="Arial" w:cs="Arial" w:eastAsia="Arial" w:hAnsi="Arial"/>
          <w:sz w:val="14"/>
          <w:szCs w:val="14"/>
          <w:color w:val="auto"/>
        </w:rPr>
        <w:t>”), (vi) rights in Software; (vii) rights of publicity and privacy; (viii) rights recognized under applicable Law that are equivalent or similar to any of the foregoing; and</w:t>
      </w:r>
    </w:p>
    <w:p>
      <w:pPr>
        <w:spacing w:after="0" w:line="6" w:lineRule="exact"/>
        <w:rPr>
          <w:sz w:val="20"/>
          <w:szCs w:val="20"/>
          <w:color w:val="auto"/>
        </w:rPr>
      </w:pPr>
    </w:p>
    <w:p>
      <w:pPr>
        <w:ind w:left="5544" w:right="1160" w:hanging="5544"/>
        <w:spacing w:after="0" w:line="757" w:lineRule="auto"/>
        <w:tabs>
          <w:tab w:leader="none" w:pos="266"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applications, registrations, issuances, renewals, extensions or equivalents or foreign equivalents or counterparts of any of the foregoing in any jurisdiction.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5" w:name="page26"/>
    <w:bookmarkEnd w:id="25"/>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Intended Tax Treatment</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Interim Period</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98" w:lineRule="exact"/>
        <w:rPr>
          <w:sz w:val="20"/>
          <w:szCs w:val="20"/>
          <w:color w:val="auto"/>
        </w:rPr>
      </w:pPr>
    </w:p>
    <w:p>
      <w:pPr>
        <w:jc w:val="both"/>
        <w:ind w:left="4"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Investor</w:t>
      </w:r>
      <w:r>
        <w:rPr>
          <w:rFonts w:ascii="Arial" w:cs="Arial" w:eastAsia="Arial" w:hAnsi="Arial"/>
          <w:sz w:val="16"/>
          <w:szCs w:val="16"/>
          <w:color w:val="auto"/>
        </w:rPr>
        <w:t>” means each Person that has committed or will commit to purchasing Acquiror Common Stock, convertible debt securities of Acquiror or warrants to purchase shares or Acquiror Common Stock pursuant to a Subscription Agreement in connection with the Transactions prior to the Closing.</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Issuance Proposal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IT Systems</w:t>
      </w:r>
      <w:r>
        <w:rPr>
          <w:rFonts w:ascii="Arial" w:cs="Arial" w:eastAsia="Arial" w:hAnsi="Arial"/>
          <w:sz w:val="16"/>
          <w:szCs w:val="16"/>
          <w:color w:val="auto"/>
        </w:rPr>
        <w:t>” means all software, systems, servers, computers, hardware, firmware, middleware, networks, data communications lines, routers, hubs, switches, operational technology, automated processes, information technology, and other technology equipment owned, leased, or licensed by the Company or its Subsidiaries and used in the operation of the business of the Company and its Subsidiaries as currently conducted.</w:t>
      </w:r>
    </w:p>
    <w:p>
      <w:pPr>
        <w:spacing w:after="0" w:line="162" w:lineRule="exact"/>
        <w:rPr>
          <w:sz w:val="20"/>
          <w:szCs w:val="20"/>
          <w:color w:val="auto"/>
        </w:rPr>
      </w:pPr>
    </w:p>
    <w:p>
      <w:pPr>
        <w:jc w:val="both"/>
        <w:ind w:left="4" w:right="20" w:firstLine="574"/>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Joint Fees</w:t>
      </w:r>
      <w:r>
        <w:rPr>
          <w:rFonts w:ascii="Arial" w:cs="Arial" w:eastAsia="Arial" w:hAnsi="Arial"/>
          <w:sz w:val="14"/>
          <w:szCs w:val="14"/>
          <w:color w:val="auto"/>
        </w:rPr>
        <w:t>” means the fees incurred by Acquiror, First Merger Sub, Second Merger Sub, the Sponsors, the Company and the Company Stockholders in connection with the Transactions (i) relating to obtaining any required regulatory or governmental approvals of the Transactions (including filing fees and printer costs and expenses</w:t>
      </w:r>
      <w:r>
        <w:rPr>
          <w:rFonts w:ascii="Arial" w:cs="Arial" w:eastAsia="Arial" w:hAnsi="Arial"/>
          <w:sz w:val="14"/>
          <w:szCs w:val="14"/>
          <w:b w:val="1"/>
          <w:bCs w:val="1"/>
          <w:color w:val="auto"/>
        </w:rPr>
        <w:t>)</w:t>
      </w:r>
      <w:r>
        <w:rPr>
          <w:rFonts w:ascii="Arial" w:cs="Arial" w:eastAsia="Arial" w:hAnsi="Arial"/>
          <w:sz w:val="14"/>
          <w:szCs w:val="14"/>
          <w:color w:val="auto"/>
        </w:rPr>
        <w:t>, and</w:t>
      </w:r>
    </w:p>
    <w:p>
      <w:pPr>
        <w:spacing w:after="0" w:line="1" w:lineRule="exact"/>
        <w:rPr>
          <w:sz w:val="20"/>
          <w:szCs w:val="20"/>
          <w:color w:val="auto"/>
        </w:rPr>
      </w:pPr>
    </w:p>
    <w:p>
      <w:pPr>
        <w:ind w:left="4" w:right="20" w:hanging="4"/>
        <w:spacing w:after="0" w:line="258" w:lineRule="auto"/>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the extent the parties hereto mutually agree to procure such report, the costs of any independent market research report that has been, or will be, obtained in connection with the Transactions.</w:t>
      </w:r>
    </w:p>
    <w:p>
      <w:pPr>
        <w:spacing w:after="0" w:line="165"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statute, law, ordinance, rule, regulation or Governmental Order, in each case, of any Governmental Authority, including guidance issued by Treasury and the U.S. Small Business Administration.</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means all real property leased, subleased, licensed or otherwise occupied by the Company or its Subsidiaries.</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3.05(a)</w:t>
      </w:r>
      <w:r>
        <w:rPr>
          <w:rFonts w:ascii="Arial" w:cs="Arial" w:eastAsia="Arial" w:hAnsi="Arial"/>
          <w:sz w:val="16"/>
          <w:szCs w:val="16"/>
          <w:color w:val="auto"/>
        </w:rPr>
        <w:t>.</w:t>
      </w:r>
    </w:p>
    <w:p>
      <w:pPr>
        <w:spacing w:after="0" w:line="198" w:lineRule="exact"/>
        <w:rPr>
          <w:sz w:val="20"/>
          <w:szCs w:val="20"/>
          <w:color w:val="auto"/>
        </w:rPr>
      </w:pPr>
    </w:p>
    <w:p>
      <w:pPr>
        <w:jc w:val="both"/>
        <w:ind w:left="4" w:firstLine="574"/>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Lien</w:t>
      </w:r>
      <w:r>
        <w:rPr>
          <w:rFonts w:ascii="Arial" w:cs="Arial" w:eastAsia="Arial" w:hAnsi="Arial"/>
          <w:sz w:val="14"/>
          <w:szCs w:val="14"/>
          <w:color w:val="auto"/>
        </w:rPr>
        <w:t>” means any mortgage, deed of trust, pledge, hypothecation, easement, right of way, purchase option, right of first refusal, covenant, restriction, security interest, title defect, encroachment or other survey defect, or other lien or encumbrance of any kind, except: (a) for any restrictions arising under any applicable Securities Laws, and (b) immaterial easements, rights of way, covenants, encumbrances or restrictions that do not materially detract the value of the underlying asset or the use of the asset.</w:t>
      </w: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6" w:name="page27"/>
    <w:bookmarkEnd w:id="26"/>
    <w:p>
      <w:pPr>
        <w:jc w:val="both"/>
        <w:ind w:firstLine="574"/>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Adverse Effect</w:t>
      </w:r>
      <w:r>
        <w:rPr>
          <w:rFonts w:ascii="Arial" w:cs="Arial" w:eastAsia="Arial" w:hAnsi="Arial"/>
          <w:sz w:val="14"/>
          <w:szCs w:val="14"/>
          <w:color w:val="auto"/>
        </w:rPr>
        <w:t xml:space="preserve">” means any event, change or circumstance that has had a material adverse effect on (i) the assets, business, results of operations or financial condition of the Company and its Subsidiaries, taken as a whole; provided, however, that in no event would any of the following (or the effect of any of the following), alone or in combination, be deemed to constitute, or be taken into account in determining whether there has been or will be, a “Material Adverse Effect”: (a) any change in applicable Laws or GAAP or any official interpretation thereof, (b) any change in interest rates or economic, political, business, financial, commodity, currency or market conditions generally, (c) the announcement or the execution of this Agreement, the pendency or consummation of the Mergers (provided, that the exceptions in this clause (c) shall not be deemed to apply to references to “Material Adverse Effect” in the representations and warranties set forth in Section 4.04 and, to the extent related thereto, the condition in </w:t>
      </w:r>
      <w:r>
        <w:rPr>
          <w:rFonts w:ascii="Arial" w:cs="Arial" w:eastAsia="Arial" w:hAnsi="Arial"/>
          <w:sz w:val="14"/>
          <w:szCs w:val="14"/>
          <w:u w:val="single" w:color="auto"/>
          <w:color w:val="auto"/>
        </w:rPr>
        <w:t>Section 9.02(a)</w:t>
      </w:r>
      <w:r>
        <w:rPr>
          <w:rFonts w:ascii="Arial" w:cs="Arial" w:eastAsia="Arial" w:hAnsi="Arial"/>
          <w:sz w:val="14"/>
          <w:szCs w:val="14"/>
          <w:color w:val="auto"/>
        </w:rPr>
        <w:t xml:space="preserve">), (d) any change generally affecting any of the industries or markets in which the Company or its Subsidiaries operate or the economy as a whole, (e) any earthquake, hurricane, tsunami, tornado, flood, mudslide, wild fire or other natural disaster, epidemic, disease outbreak, pandemic (including the Covid-19 pandemic), weather condition, explosion fire, act of God or other force majeure event, (f) any national or international political or social conditions (including social unrest) in countries in which, or in the proximate geographic region of which, the Company operates, including the engagement by the United States or such other countries in hostilities or the escalation thereof, whether or not pursuant to the declaration of a national emergency or war, or the occurrence or the escalation of any military or terrorist attack (including any internet or “cyber” attack or hacking) upon the United States or such other country, or any territories, possessions, or diplomatic or consular offices of the United States or such other countries or upon any United States or such other country military installation, equipment or personnel, (g) any failure of the Company and its Subsidiaries, taken as a whole, to meet any projections, forecasts or budgets, (h) any actions (I) required to be taken, or required not to be taken, pursuant to the terms of this Agreement, other than as a result of compliance with the first sentence of Section 6.01 or (II) taken with the prior written consent of or at the prior written request of Acquiror, First Merger Sub or Second Merger Sub; </w:t>
      </w:r>
      <w:r>
        <w:rPr>
          <w:rFonts w:ascii="Arial" w:cs="Arial" w:eastAsia="Arial" w:hAnsi="Arial"/>
          <w:sz w:val="14"/>
          <w:szCs w:val="14"/>
          <w:i w:val="1"/>
          <w:iCs w:val="1"/>
          <w:color w:val="auto"/>
        </w:rPr>
        <w:t>provided</w:t>
      </w:r>
      <w:r>
        <w:rPr>
          <w:rFonts w:ascii="Arial" w:cs="Arial" w:eastAsia="Arial" w:hAnsi="Arial"/>
          <w:sz w:val="14"/>
          <w:szCs w:val="14"/>
          <w:color w:val="auto"/>
        </w:rPr>
        <w:t>, that clause (g) shall not prevent or otherwise affect a determination that any change or effect underlying such failure to meet projections or forecasts has resulted in, or contributed to, a Material Adverse Effect (to the extent such change or effect is not otherwise excluded from this definition of Material Adverse Effect), except in the case of clause (a), (b), and (d), to the extent that such change does not have a disproportionate impact on the Company and its Subsidiaries, taken as a whole, as compared to other industry participants (or, in the case of clauses (e) and (f), as compared to other industry participants in the same geographic areas in which the Company operates) or (ii) the ability of the Company to consummate the Transactions.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Permits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4.23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4.13(e)</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Nasdaq</w:t>
      </w:r>
      <w:r>
        <w:rPr>
          <w:rFonts w:ascii="Arial" w:cs="Arial" w:eastAsia="Arial" w:hAnsi="Arial"/>
          <w:sz w:val="16"/>
          <w:szCs w:val="16"/>
          <w:color w:val="auto"/>
        </w:rPr>
        <w:t>” means the Nasdaq Capital Market.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Source Materials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4.11(f)</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 w:name="page28"/>
    <w:bookmarkEnd w:id="27"/>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Earnout Shares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3.02(a)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Acquiror Expenses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3.10(b)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Company Expenses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3.10(a)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Owned Company Software</w:t>
      </w:r>
      <w:r>
        <w:rPr>
          <w:rFonts w:ascii="Arial" w:cs="Arial" w:eastAsia="Arial" w:hAnsi="Arial"/>
          <w:sz w:val="14"/>
          <w:szCs w:val="14"/>
          <w:color w:val="auto"/>
        </w:rPr>
        <w:t>” means all Software owned or purported by the Company to be owned, in whole or in part, by the Company or any of its Subsidiaries.</w:t>
      </w:r>
    </w:p>
    <w:p>
      <w:pPr>
        <w:spacing w:after="0" w:line="221"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Owned Intellectual Property</w:t>
      </w:r>
      <w:r>
        <w:rPr>
          <w:rFonts w:ascii="Arial" w:cs="Arial" w:eastAsia="Arial" w:hAnsi="Arial"/>
          <w:sz w:val="16"/>
          <w:szCs w:val="16"/>
          <w:color w:val="auto"/>
        </w:rPr>
        <w:t>” means all Intellectual Property owned or purported by the Company to be owned, in whole or in part, by the Company or any of its Subsidiaries and includes the Registered Intellectual Property.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PCAOB Financial Statements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Merger Consideration</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3.01(c)(i)</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Permits</w:t>
      </w:r>
      <w:r>
        <w:rPr>
          <w:rFonts w:ascii="Arial" w:cs="Arial" w:eastAsia="Arial" w:hAnsi="Arial"/>
          <w:sz w:val="16"/>
          <w:szCs w:val="16"/>
          <w:color w:val="auto"/>
        </w:rPr>
        <w:t>” means all permits, licenses, certificates of authority, authorizations, approvals, registrations, identification numbers and other similar consents issued by or obtained from a Governmental Authority.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Acquisitions</w:t>
      </w:r>
      <w:r>
        <w:rPr>
          <w:rFonts w:ascii="Arial" w:cs="Arial" w:eastAsia="Arial" w:hAnsi="Arial"/>
          <w:sz w:val="16"/>
          <w:szCs w:val="16"/>
          <w:color w:val="auto"/>
        </w:rPr>
        <w:t xml:space="preserve">” means, collectively, the transactions described on </w:t>
      </w:r>
      <w:r>
        <w:rPr>
          <w:rFonts w:ascii="Arial" w:cs="Arial" w:eastAsia="Arial" w:hAnsi="Arial"/>
          <w:sz w:val="16"/>
          <w:szCs w:val="16"/>
          <w:u w:val="single" w:color="auto"/>
          <w:color w:val="auto"/>
        </w:rPr>
        <w:t>Schedule 1.01</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xml:space="preserve">” means (i) statutory or common law Liens of mechanics, materialmen, warehousemen, landlords, carriers, repairmen, construction contractors and other similar Liens (A) that arise in the ordinary course of business, (B) that relate to amounts not yet delinquent or (C) that are being contested in good faith through appropriate Actions and either are not material or appropriate reserves for the amount being contested have been established in accordance with GAAP, (ii) Liens arising under original purchase price conditional sales contracts and equipment leases with third parties entered into in the ordinary course of business, (iii) Liens for Taxes not yet due and payable or which are being contested in good faith through appropriate Actions to the extent appropriate reserves have been established in accordance with GAAP, (iv) non-monetary Liens, encumbrances and restrictions on real property (including easements, covenants, rights of way and similar restrictions of record) that do not materially interfere with the present uses of such real property, (v) Standard Licenses, (vi) Liens that secure obligations that are reflected as liabilities on the balance sheet included in the Financial Statements or Liens the existence of which is referred to in the notes to the balance sheet included in the Financial Statements, (vii) in the case of Leased Real Property, matters that would be disclosed by an accurate survey or inspection of such Leased Real Property, which do not materially interfere with the current use or occupancy of any Leased Real Property, (viii) requirements and restrictions of zoning, building and other applicable Laws and municipal by-laws, and development, site plan, subdivision or other agreements with municipalities, which do not materially interfere with the current use or occupancy of any Leased Real Property, (ix) statutory Liens of landlords for amounts that (A) are not due and payable, (B) are being contested in good faith by appropriate proceedings and either are not material or appropriate reserves for the amount being contested have been established in accordance with GAAP or (C) may thereafter be paid without penalty, (x) Liens against any landlord’s interest in any Leased Real Property and (xi) Liens described on </w:t>
      </w:r>
      <w:r>
        <w:rPr>
          <w:rFonts w:ascii="Arial" w:cs="Arial" w:eastAsia="Arial" w:hAnsi="Arial"/>
          <w:sz w:val="15"/>
          <w:szCs w:val="15"/>
          <w:u w:val="single" w:color="auto"/>
          <w:color w:val="auto"/>
        </w:rPr>
        <w:t>Schedule 1.01(a)</w:t>
      </w:r>
      <w:r>
        <w:rPr>
          <w:rFonts w:ascii="Arial" w:cs="Arial" w:eastAsia="Arial" w:hAnsi="Arial"/>
          <w:sz w:val="15"/>
          <w:szCs w:val="15"/>
          <w:color w:val="auto"/>
        </w:rPr>
        <w:t xml:space="preserve"> or incurred in connection with activities permitted under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hereof (including, for the avoidance of doubt, any refinancings of existing indebtedness of the Company and its subsidiaries).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 w:name="page29"/>
    <w:bookmarkEnd w:id="28"/>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firm, corporation, partnership, limited liability company, incorporated or unincorporated association, joint venture, joint stock company, governmental agency or instrumentality or other entity of any kind.</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means any information relating to an identified or identifiable natural person.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PPP</w:t>
      </w:r>
      <w:r>
        <w:rPr>
          <w:rFonts w:ascii="Arial" w:cs="Arial" w:eastAsia="Arial" w:hAnsi="Arial"/>
          <w:sz w:val="16"/>
          <w:szCs w:val="16"/>
          <w:color w:val="auto"/>
        </w:rPr>
        <w:t>” means the Paycheck Protection Program from the U.S. Small Business Administration.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PPP Loan</w:t>
      </w:r>
      <w:r>
        <w:rPr>
          <w:rFonts w:ascii="Arial" w:cs="Arial" w:eastAsia="Arial" w:hAnsi="Arial"/>
          <w:sz w:val="16"/>
          <w:szCs w:val="16"/>
          <w:color w:val="auto"/>
        </w:rPr>
        <w:t>” means the loan received by the Company under the PPP on March 4, 2021.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Proposals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Proxy Statement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Estate Documents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4.18(b)</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Redeeming Stockholder</w:t>
      </w:r>
      <w:r>
        <w:rPr>
          <w:rFonts w:ascii="Arial" w:cs="Arial" w:eastAsia="Arial" w:hAnsi="Arial"/>
          <w:sz w:val="16"/>
          <w:szCs w:val="16"/>
          <w:color w:val="auto"/>
        </w:rPr>
        <w:t>” means an Acquiror Stockholder who demands that Acquiror redeem its Acquiror Common Stock for cash in connection with the transactions contemplated hereby and in accordance with the Acquiror Organizational Documents.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Intellectual Property</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4.11(a)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 Effective Date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8.02(c)</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Consent Authorities</w:t>
      </w:r>
      <w:r>
        <w:rPr>
          <w:rFonts w:ascii="Arial" w:cs="Arial" w:eastAsia="Arial" w:hAnsi="Arial"/>
          <w:sz w:val="16"/>
          <w:szCs w:val="16"/>
          <w:color w:val="auto"/>
        </w:rPr>
        <w:t>” means the Antitrust Division of the United States Department of Justice or the United States Federal Trade Commission, as applicable.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as to any Person, any of the officers, directors, managers, employees, counsel, accountants, financial advisors, lenders, debt financing sources and consultants of such Person.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Schedules</w:t>
      </w:r>
      <w:r>
        <w:rPr>
          <w:rFonts w:ascii="Arial" w:cs="Arial" w:eastAsia="Arial" w:hAnsi="Arial"/>
          <w:sz w:val="15"/>
          <w:szCs w:val="15"/>
          <w:color w:val="auto"/>
        </w:rPr>
        <w:t>” means the disclosure schedules of the Company and its Subsidiaries and/or the disclosure schedules of the Acquiror and its Subsidiaries, as context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requires.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Certificate of Merger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Earnout Shares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3.07</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Merger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Merger Sub</w:t>
      </w:r>
      <w:r>
        <w:rPr>
          <w:rFonts w:ascii="Arial" w:cs="Arial" w:eastAsia="Arial" w:hAnsi="Arial"/>
          <w:sz w:val="16"/>
          <w:szCs w:val="16"/>
          <w:color w:val="auto"/>
        </w:rPr>
        <w:t>” has the meaning specified in the preamble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9" w:name="page30"/>
    <w:bookmarkEnd w:id="29"/>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Laws</w:t>
      </w:r>
      <w:r>
        <w:rPr>
          <w:rFonts w:ascii="Arial" w:cs="Arial" w:eastAsia="Arial" w:hAnsi="Arial"/>
          <w:sz w:val="16"/>
          <w:szCs w:val="16"/>
          <w:color w:val="auto"/>
        </w:rPr>
        <w:t>” means the securities laws of any state, federal or foreign entity and the rules and regulations promulgated thereunder.</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Software</w:t>
      </w:r>
      <w:r>
        <w:rPr>
          <w:rFonts w:ascii="Arial" w:cs="Arial" w:eastAsia="Arial" w:hAnsi="Arial"/>
          <w:sz w:val="16"/>
          <w:szCs w:val="16"/>
          <w:color w:val="auto"/>
        </w:rPr>
        <w:t>” means any and all (a) computer programs, including any and all software implementation of algorithms, models and methodologies, whether in source code, object code, human readable form or other form, including compilers, middleware, tools, firmware, operating systems, platforms, algorithms, interfaces, APIs, architecture, modules, test specifications, scripts, executables, libraries, and other components thereof, and (b) databases, database rights and compilations, including any and all collections of data, whether machine readable or otherwise.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Solicitation Documents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Meeting</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8.02(f)</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 Agreement</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Sponsors</w:t>
      </w:r>
      <w:r>
        <w:rPr>
          <w:rFonts w:ascii="Arial" w:cs="Arial" w:eastAsia="Arial" w:hAnsi="Arial"/>
          <w:sz w:val="16"/>
          <w:szCs w:val="16"/>
          <w:color w:val="auto"/>
        </w:rPr>
        <w:t>” means Ventoux Acquisition Holdings LLC, a Delaware limited liability company, and Chardan International Investments, LLC, a Delaware limited liability company.</w:t>
      </w:r>
    </w:p>
    <w:p>
      <w:pPr>
        <w:spacing w:after="0" w:line="152"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Inbound License</w:t>
      </w:r>
      <w:r>
        <w:rPr>
          <w:rFonts w:ascii="Arial" w:cs="Arial" w:eastAsia="Arial" w:hAnsi="Arial"/>
          <w:sz w:val="16"/>
          <w:szCs w:val="16"/>
          <w:color w:val="auto"/>
        </w:rPr>
        <w:t>” means any nonexclusive license (or software-as-a-service agreement) granted to the Company or any of its Subsidiaries (a) for uncustomized Software that is generally commercially available on generally standard terms and conditions for less than $500,000 annually, (b) for Open Source Materials, (c) to Intellectual Property that is not material to the business of the Company and its Subsidiaries pursuant to employee, contractor, service provider, or consulting agreements, (d) in the ordinary course of business for the use of a name, logo or feedback for marketing or similar purposes, (e) in nondisclosure agreements for use in evaluation and negotiation permitted by such agreements, (f) pursuant to a perpetual, irrevocable, fully paid up, royalty-free license agreement, or (g) implied by or incidental to the purchase or sale of goods or services.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Licenses</w:t>
      </w:r>
      <w:r>
        <w:rPr>
          <w:rFonts w:ascii="Arial" w:cs="Arial" w:eastAsia="Arial" w:hAnsi="Arial"/>
          <w:sz w:val="16"/>
          <w:szCs w:val="16"/>
          <w:color w:val="auto"/>
        </w:rPr>
        <w:t>” means, collectively, Standard Inbound Licenses and Standard Outbound Licenses.</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Outbound License</w:t>
      </w:r>
      <w:r>
        <w:rPr>
          <w:rFonts w:ascii="Arial" w:cs="Arial" w:eastAsia="Arial" w:hAnsi="Arial"/>
          <w:sz w:val="16"/>
          <w:szCs w:val="16"/>
          <w:color w:val="auto"/>
        </w:rPr>
        <w:t>” means any nonexclusive license granted by the Company or any of its Subsidiaries (a) to its customers or distributors in the ordinary course of business, (b) to vendors and service providers for the purpose of providing the applicable services to the Company or any of its Subsidiaries, (c) in nondisclosure agreements for use in evaluation and negotiation permitted by such agreements, (d) in the ordinary course of business for the use of the Company’s or its Subsidiary’s name, or logo (or feedback that is not material to the business of the Company and its Subsidiaries) for marketing or similar purposes, or (e) implied by or incidental to the purchase or sale of goods or services.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Proposals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 Person, any corporation or other organization (including a limited liability company or a partnership), whether incorporated or unincorporated, of which such Person directly or indirectly owns or controls a majority of the securities or other interests having by their terms ordinary voting power to elect a majority of the board of directors or others performing similar functions with respect to such corporation or other organization or any organization of which such Person or any of its Subsidiaries is, directly or indirectly, a general partner or managing member.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 w:name="page31"/>
    <w:bookmarkEnd w:id="30"/>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Support Agreement</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Surviving Company</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Surviving Entity</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Surviving Provisions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10.02</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w:t>
      </w:r>
      <w:r>
        <w:rPr>
          <w:rFonts w:ascii="Arial" w:cs="Arial" w:eastAsia="Arial" w:hAnsi="Arial"/>
          <w:sz w:val="15"/>
          <w:szCs w:val="15"/>
          <w:color w:val="auto"/>
        </w:rPr>
        <w:t>” means any federal, state, provincial, territorial, local, foreign and other net income, alternative or add-on minimum, franchise, gross income, adjusted gross income or gross receipts, employment, withholding, payroll, ad valorem, transfer, franchise, license, excise, severance, stamp, occupation, premium, personal property, real property, capital stock, profits, disability, registration, value added, estimated, customs duties, escheat, sales, use, or other tax, governmental fee or other like assessment, together with any interest, penalty, addition to tax or additional amount imposed with respect thereto by a Governmental Authority.</w:t>
      </w:r>
    </w:p>
    <w:p>
      <w:pPr>
        <w:spacing w:after="0" w:line="15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means any return, report, statement, refund, claim, declaration, information return, statement, estimate or other document filed or required to be filed with a Governmental Authority respect to Taxes, including any schedule or attachment thereto and including any amendments thereof.</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Acquiror Breach</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10.01(c)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Company Breach</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10.01(b)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10.01(b)</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Trade Control Laws</w:t>
      </w:r>
      <w:r>
        <w:rPr>
          <w:rFonts w:ascii="Arial" w:cs="Arial" w:eastAsia="Arial" w:hAnsi="Arial"/>
          <w:sz w:val="15"/>
          <w:szCs w:val="15"/>
          <w:color w:val="auto"/>
        </w:rPr>
        <w:t>” means any Laws related to any economic or financial sanctions or the export, import, re-export, or transfer of products, software, technical data, services or technologies, which may be imposed and enforced from time to time by the U.S. Government, including the Office of Foreign Assets Control of the U.S. Department of the Treasury, the U.S. Department of State, or the U.S. Department of Commerce, or any other relevant sanctions or export control authority.</w:t>
      </w:r>
    </w:p>
    <w:p>
      <w:pPr>
        <w:spacing w:after="0" w:line="14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any day on which shares of Acquiror Common Stock are actually traded on the principal securities exchange or securities market on which shares of Acquiror Common Stock are then traded.</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the transactions contemplated by this Agreement to occur at or immediately prior to the Closing, including the Merger.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Regulations</w:t>
      </w:r>
      <w:r>
        <w:rPr>
          <w:rFonts w:ascii="Arial" w:cs="Arial" w:eastAsia="Arial" w:hAnsi="Arial"/>
          <w:sz w:val="16"/>
          <w:szCs w:val="16"/>
          <w:color w:val="auto"/>
        </w:rPr>
        <w:t>” means the regulations promulgated under the Code.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5.07(a)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Agreement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5.07(a)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5.07(a)</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1" w:name="page32"/>
    <w:bookmarkEnd w:id="31"/>
    <w:p>
      <w:pPr>
        <w:jc w:val="both"/>
        <w:ind w:firstLine="574"/>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VWAP</w:t>
      </w:r>
      <w:r>
        <w:rPr>
          <w:rFonts w:ascii="Arial" w:cs="Arial" w:eastAsia="Arial" w:hAnsi="Arial"/>
          <w:sz w:val="14"/>
          <w:szCs w:val="14"/>
          <w:color w:val="auto"/>
        </w:rPr>
        <w:t>” means, for any security as of any date(s), the dollar volume-weighted average price for such security on the principal securities exchange or securities market on which such security is then traded during the period beginning at 9:30:01 a.m., New York time, and ending at 4:00:00 p.m., New York time,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If the VWAP cannot be calculated for such security on such date(s) on any of the foregoing bases, the VWAP of such security on such date(s) shall be the fair market value per share on such date(s) as reasonably determined by the Acquiror.</w:t>
      </w:r>
    </w:p>
    <w:p>
      <w:pPr>
        <w:spacing w:after="0" w:line="144"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Agreement</w:t>
      </w:r>
      <w:r>
        <w:rPr>
          <w:rFonts w:ascii="Arial" w:cs="Arial" w:eastAsia="Arial" w:hAnsi="Arial"/>
          <w:sz w:val="16"/>
          <w:szCs w:val="16"/>
          <w:color w:val="auto"/>
        </w:rPr>
        <w:t>” means that certain Warrant Agreement, dated as of December 23, 2020, between Acquiror and Continental Stock Transfer &amp; Trust Company, a New York corporation, as warrant agent.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Earnout Shares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3.02(b)</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Willful Breach</w:t>
      </w:r>
      <w:r>
        <w:rPr>
          <w:rFonts w:ascii="Arial" w:cs="Arial" w:eastAsia="Arial" w:hAnsi="Arial"/>
          <w:sz w:val="14"/>
          <w:szCs w:val="14"/>
          <w:color w:val="auto"/>
        </w:rPr>
        <w:t>” means, with respect to any agreement, a party’s knowing and intentional material breach of any of its representations or warranties as set forth in such agreement, or such party’s material breach of any of its covenants or other agreements set forth in such agreement, which material breach constitutes, or is a consequence of, a purposeful act or failure to act by such party with the knowledge that the taking of such act or failure to take such act would cause a material breach of such agreement.</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1.02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w:t>
      </w:r>
    </w:p>
    <w:p>
      <w:pPr>
        <w:spacing w:after="0" w:line="202" w:lineRule="exact"/>
        <w:rPr>
          <w:sz w:val="20"/>
          <w:szCs w:val="20"/>
          <w:color w:val="auto"/>
        </w:rPr>
      </w:pPr>
    </w:p>
    <w:p>
      <w:pPr>
        <w:jc w:val="both"/>
        <w:ind w:right="20" w:firstLine="1143"/>
        <w:spacing w:after="0" w:line="280" w:lineRule="auto"/>
        <w:tabs>
          <w:tab w:leader="none" w:pos="1364" w:val="left"/>
        </w:tabs>
        <w:numPr>
          <w:ilvl w:val="0"/>
          <w:numId w:val="10"/>
        </w:numPr>
        <w:rPr>
          <w:rFonts w:ascii="Arial" w:cs="Arial" w:eastAsia="Arial" w:hAnsi="Arial"/>
          <w:sz w:val="15"/>
          <w:szCs w:val="15"/>
          <w:color w:val="auto"/>
        </w:rPr>
      </w:pPr>
      <w:r>
        <w:rPr>
          <w:rFonts w:ascii="Arial" w:cs="Arial" w:eastAsia="Arial" w:hAnsi="Arial"/>
          <w:sz w:val="15"/>
          <w:szCs w:val="15"/>
          <w:color w:val="auto"/>
        </w:rPr>
        <w:t>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“Section”, “Schedule”, “Exhibit” and “Annex” refer to the specified Article, Section, Schedule, Exhibit or Annex of or to this Agreement unless otherwise specified, (v) the word “including” shall mean “including without limitation” and (vi) the word “or” shall be disjunctive but not exclusive.</w:t>
      </w:r>
    </w:p>
    <w:p>
      <w:pPr>
        <w:spacing w:after="0" w:line="151" w:lineRule="exact"/>
        <w:rPr>
          <w:rFonts w:ascii="Arial" w:cs="Arial" w:eastAsia="Arial" w:hAnsi="Arial"/>
          <w:sz w:val="15"/>
          <w:szCs w:val="15"/>
          <w:color w:val="auto"/>
        </w:rPr>
      </w:pPr>
    </w:p>
    <w:p>
      <w:pPr>
        <w:ind w:right="20" w:firstLine="1143"/>
        <w:spacing w:after="0" w:line="275" w:lineRule="auto"/>
        <w:tabs>
          <w:tab w:leader="none" w:pos="13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Unless the context of this Agreement otherwise requires, references to agreements and other documents shall be deemed to include all subsequent amendments and other modifications thereto.</w:t>
      </w:r>
    </w:p>
    <w:p>
      <w:pPr>
        <w:spacing w:after="0" w:line="151" w:lineRule="exact"/>
        <w:rPr>
          <w:rFonts w:ascii="Arial" w:cs="Arial" w:eastAsia="Arial" w:hAnsi="Arial"/>
          <w:sz w:val="16"/>
          <w:szCs w:val="16"/>
          <w:color w:val="auto"/>
        </w:rPr>
      </w:pPr>
    </w:p>
    <w:p>
      <w:pPr>
        <w:ind w:right="20" w:firstLine="1143"/>
        <w:spacing w:after="0" w:line="309" w:lineRule="auto"/>
        <w:tabs>
          <w:tab w:leader="none" w:pos="1376" w:val="left"/>
        </w:tabs>
        <w:numPr>
          <w:ilvl w:val="0"/>
          <w:numId w:val="10"/>
        </w:numPr>
        <w:rPr>
          <w:rFonts w:ascii="Arial" w:cs="Arial" w:eastAsia="Arial" w:hAnsi="Arial"/>
          <w:sz w:val="15"/>
          <w:szCs w:val="15"/>
          <w:color w:val="auto"/>
        </w:rPr>
      </w:pPr>
      <w:r>
        <w:rPr>
          <w:rFonts w:ascii="Arial" w:cs="Arial" w:eastAsia="Arial" w:hAnsi="Arial"/>
          <w:sz w:val="15"/>
          <w:szCs w:val="15"/>
          <w:color w:val="auto"/>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29" w:lineRule="exact"/>
        <w:rPr>
          <w:rFonts w:ascii="Arial" w:cs="Arial" w:eastAsia="Arial" w:hAnsi="Arial"/>
          <w:sz w:val="15"/>
          <w:szCs w:val="15"/>
          <w:color w:val="auto"/>
        </w:rPr>
      </w:pPr>
    </w:p>
    <w:p>
      <w:pPr>
        <w:ind w:right="20" w:firstLine="1143"/>
        <w:spacing w:after="0" w:line="275" w:lineRule="auto"/>
        <w:tabs>
          <w:tab w:leader="none" w:pos="13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language used in this Agreement shall be deemed to be the language chosen by the parties to express their mutual intent and no rule of strict construction shall be applied against any party.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2" w:name="page33"/>
    <w:bookmarkEnd w:id="32"/>
    <w:p>
      <w:pPr>
        <w:ind w:firstLine="1143"/>
        <w:spacing w:after="0" w:line="309" w:lineRule="auto"/>
        <w:tabs>
          <w:tab w:leader="none" w:pos="1364" w:val="left"/>
        </w:tabs>
        <w:numPr>
          <w:ilvl w:val="0"/>
          <w:numId w:val="11"/>
        </w:numPr>
        <w:rPr>
          <w:rFonts w:ascii="Arial" w:cs="Arial" w:eastAsia="Arial" w:hAnsi="Arial"/>
          <w:sz w:val="15"/>
          <w:szCs w:val="15"/>
          <w:color w:val="auto"/>
        </w:rPr>
      </w:pPr>
      <w:r>
        <w:rPr>
          <w:rFonts w:ascii="Arial" w:cs="Arial" w:eastAsia="Arial" w:hAnsi="Arial"/>
          <w:sz w:val="15"/>
          <w:szCs w:val="15"/>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29" w:lineRule="exact"/>
        <w:rPr>
          <w:rFonts w:ascii="Arial" w:cs="Arial" w:eastAsia="Arial" w:hAnsi="Arial"/>
          <w:sz w:val="15"/>
          <w:szCs w:val="15"/>
          <w:color w:val="auto"/>
        </w:rPr>
      </w:pPr>
    </w:p>
    <w:p>
      <w:pPr>
        <w:ind w:left="1420" w:hanging="277"/>
        <w:spacing w:after="0"/>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accounting terms used herein and not expressly defined herein shall have the meanings given to them under GAAP.</w:t>
      </w:r>
    </w:p>
    <w:p>
      <w:pPr>
        <w:spacing w:after="0" w:line="198" w:lineRule="exact"/>
        <w:rPr>
          <w:rFonts w:ascii="Arial" w:cs="Arial" w:eastAsia="Arial" w:hAnsi="Arial"/>
          <w:sz w:val="16"/>
          <w:szCs w:val="16"/>
          <w:color w:val="auto"/>
        </w:rPr>
      </w:pPr>
    </w:p>
    <w:p>
      <w:pPr>
        <w:jc w:val="both"/>
        <w:ind w:firstLine="1143"/>
        <w:spacing w:after="0" w:line="258" w:lineRule="auto"/>
        <w:tabs>
          <w:tab w:leader="none" w:pos="13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phrases “delivered,” “provided to,” “furnished to,” “made available” and phrases of similar import when used herein, unless the context otherwise requires, means that a copy of the information or material referred to has been provided no later than one calendar day prior to the date of this Agreement to the party to which such information or material is to be (i) provided or furnished in the virtual “data room” set up by the Company in connection with this Agreement, (ii) delivered to such party or its legal counsel via electronic mail or hard copy form or (iii) filed or furnished with the SEC by Acquiror.</w:t>
      </w:r>
    </w:p>
    <w:p>
      <w:pPr>
        <w:spacing w:after="0" w:line="161" w:lineRule="exact"/>
        <w:rPr>
          <w:sz w:val="20"/>
          <w:szCs w:val="20"/>
          <w:color w:val="auto"/>
        </w:rPr>
      </w:pPr>
    </w:p>
    <w:p>
      <w:pPr>
        <w:jc w:val="both"/>
        <w:ind w:right="20" w:firstLine="574"/>
        <w:spacing w:after="0" w:line="315" w:lineRule="auto"/>
        <w:rPr>
          <w:sz w:val="20"/>
          <w:szCs w:val="20"/>
          <w:color w:val="auto"/>
        </w:rPr>
      </w:pPr>
      <w:r>
        <w:rPr>
          <w:rFonts w:ascii="Arial" w:cs="Arial" w:eastAsia="Arial" w:hAnsi="Arial"/>
          <w:sz w:val="15"/>
          <w:szCs w:val="15"/>
          <w:b w:val="1"/>
          <w:bCs w:val="1"/>
          <w:color w:val="auto"/>
        </w:rPr>
        <w:t xml:space="preserve">Section 1.03 </w:t>
      </w:r>
      <w:r>
        <w:rPr>
          <w:rFonts w:ascii="Arial" w:cs="Arial" w:eastAsia="Arial" w:hAnsi="Arial"/>
          <w:sz w:val="15"/>
          <w:szCs w:val="15"/>
          <w:b w:val="1"/>
          <w:bCs w:val="1"/>
          <w:u w:val="single" w:color="auto"/>
          <w:color w:val="auto"/>
        </w:rPr>
        <w:t>Knowledge</w:t>
      </w:r>
      <w:r>
        <w:rPr>
          <w:rFonts w:ascii="Arial" w:cs="Arial" w:eastAsia="Arial" w:hAnsi="Arial"/>
          <w:sz w:val="15"/>
          <w:szCs w:val="15"/>
          <w:color w:val="auto"/>
        </w:rPr>
        <w:t>. As used herein, the phrase “</w:t>
      </w:r>
      <w:r>
        <w:rPr>
          <w:rFonts w:ascii="Arial" w:cs="Arial" w:eastAsia="Arial" w:hAnsi="Arial"/>
          <w:sz w:val="15"/>
          <w:szCs w:val="15"/>
          <w:u w:val="single" w:color="auto"/>
          <w:color w:val="auto"/>
        </w:rPr>
        <w:t>to the knowledge</w:t>
      </w:r>
      <w:r>
        <w:rPr>
          <w:rFonts w:ascii="Arial" w:cs="Arial" w:eastAsia="Arial" w:hAnsi="Arial"/>
          <w:sz w:val="15"/>
          <w:szCs w:val="15"/>
          <w:color w:val="auto"/>
        </w:rPr>
        <w:t>” shall mean the actual knowledge of, in the case of the Company, Rajat Suri, Ashish Gupta,</w:t>
      </w:r>
      <w:r>
        <w:rPr>
          <w:rFonts w:ascii="Arial" w:cs="Arial" w:eastAsia="Arial" w:hAnsi="Arial"/>
          <w:sz w:val="15"/>
          <w:szCs w:val="15"/>
          <w:b w:val="1"/>
          <w:bCs w:val="1"/>
          <w:color w:val="auto"/>
        </w:rPr>
        <w:t xml:space="preserve"> </w:t>
      </w:r>
      <w:r>
        <w:rPr>
          <w:rFonts w:ascii="Arial" w:cs="Arial" w:eastAsia="Arial" w:hAnsi="Arial"/>
          <w:sz w:val="15"/>
          <w:szCs w:val="15"/>
          <w:color w:val="auto"/>
        </w:rPr>
        <w:t>Dan Mosher, Daniel Dreymann and Bill Healey, and, in the case of Acquiror, Edward Scheetz, Matthew MacDonald, Prasad Phatak and Brock Strasbourger.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MERGER; CLOSING</w:t>
      </w:r>
    </w:p>
    <w:p>
      <w:pPr>
        <w:spacing w:after="0" w:line="19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color w:val="auto"/>
        </w:rPr>
        <w:t xml:space="preserve">Section 2.01 </w:t>
      </w:r>
      <w:r>
        <w:rPr>
          <w:rFonts w:ascii="Arial" w:cs="Arial" w:eastAsia="Arial" w:hAnsi="Arial"/>
          <w:sz w:val="16"/>
          <w:szCs w:val="16"/>
          <w:b w:val="1"/>
          <w:bCs w:val="1"/>
          <w:u w:val="single" w:color="auto"/>
          <w:color w:val="auto"/>
        </w:rPr>
        <w:t>Effective Times</w:t>
      </w:r>
      <w:r>
        <w:rPr>
          <w:rFonts w:ascii="Arial" w:cs="Arial" w:eastAsia="Arial" w:hAnsi="Arial"/>
          <w:sz w:val="16"/>
          <w:szCs w:val="16"/>
          <w:color w:val="auto"/>
        </w:rPr>
        <w:t>. Subject to the terms and conditions set forth in this Agreement, on the Closing Date the Company and First Merger Sub will cause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Merger to be consummated by filing the First Certificate of Merger with the Secretary of State of the State of Delaware, in accordance with the applicable provisions of the DGCL (the time of such filing, or such later time as may be agreed in writing by the Company and Parent and specified in the First Certificate of Merger, being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Time</w:t>
      </w:r>
      <w:r>
        <w:rPr>
          <w:rFonts w:ascii="Arial" w:cs="Arial" w:eastAsia="Arial" w:hAnsi="Arial"/>
          <w:sz w:val="16"/>
          <w:szCs w:val="16"/>
          <w:color w:val="auto"/>
        </w:rPr>
        <w:t>”). As soon as practicable following the Effective Time and in any case on the same day as the Effective Time, the Surviving Entity and Second Merger Sub will cause the Second Merger to be consummated by filing the Second Certificate of Merger with the Secretary of State of the State of Delaware, in accordance with the applicable provisions of the DLLCA (the time of such filing, or such later time as may be agreed in writing by the Company and Parent and specified in the Second Certificate of Merger, being the “</w:t>
      </w:r>
      <w:r>
        <w:rPr>
          <w:rFonts w:ascii="Arial" w:cs="Arial" w:eastAsia="Arial" w:hAnsi="Arial"/>
          <w:sz w:val="16"/>
          <w:szCs w:val="16"/>
          <w:u w:val="single" w:color="auto"/>
          <w:color w:val="auto"/>
        </w:rPr>
        <w:t>Second Effective Time</w:t>
      </w:r>
      <w:r>
        <w:rPr>
          <w:rFonts w:ascii="Arial" w:cs="Arial" w:eastAsia="Arial" w:hAnsi="Arial"/>
          <w:sz w:val="16"/>
          <w:szCs w:val="16"/>
          <w:color w:val="auto"/>
        </w:rPr>
        <w:t>”).</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2.02 </w:t>
      </w:r>
      <w:r>
        <w:rPr>
          <w:rFonts w:ascii="Arial" w:cs="Arial" w:eastAsia="Arial" w:hAnsi="Arial"/>
          <w:sz w:val="16"/>
          <w:szCs w:val="16"/>
          <w:b w:val="1"/>
          <w:bCs w:val="1"/>
          <w:u w:val="single" w:color="auto"/>
          <w:color w:val="auto"/>
        </w:rPr>
        <w:t>The Merger</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62" w:lineRule="auto"/>
        <w:tabs>
          <w:tab w:leader="none" w:pos="13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Agreement, at the Effective Time, First Merger Sub shall be merged with and into the Company (the “</w:t>
      </w:r>
      <w:r>
        <w:rPr>
          <w:rFonts w:ascii="Arial" w:cs="Arial" w:eastAsia="Arial" w:hAnsi="Arial"/>
          <w:sz w:val="16"/>
          <w:szCs w:val="16"/>
          <w:u w:val="single" w:color="auto"/>
          <w:color w:val="auto"/>
        </w:rPr>
        <w:t>First Merger</w:t>
      </w:r>
      <w:r>
        <w:rPr>
          <w:rFonts w:ascii="Arial" w:cs="Arial" w:eastAsia="Arial" w:hAnsi="Arial"/>
          <w:sz w:val="16"/>
          <w:szCs w:val="16"/>
          <w:color w:val="auto"/>
        </w:rPr>
        <w:t>”), with the Company being the surviving corporation (which is sometimes hereinafter referred to for the periods at and after the Effective Time as the “</w:t>
      </w:r>
      <w:r>
        <w:rPr>
          <w:rFonts w:ascii="Arial" w:cs="Arial" w:eastAsia="Arial" w:hAnsi="Arial"/>
          <w:sz w:val="16"/>
          <w:szCs w:val="16"/>
          <w:u w:val="single" w:color="auto"/>
          <w:color w:val="auto"/>
        </w:rPr>
        <w:t>Surviving Entity</w:t>
      </w:r>
      <w:r>
        <w:rPr>
          <w:rFonts w:ascii="Arial" w:cs="Arial" w:eastAsia="Arial" w:hAnsi="Arial"/>
          <w:sz w:val="16"/>
          <w:szCs w:val="16"/>
          <w:color w:val="auto"/>
        </w:rPr>
        <w:t>”) following the First Merger and the separate corporate existence of First Merger Sub shall cease.</w:t>
      </w:r>
    </w:p>
    <w:p>
      <w:pPr>
        <w:spacing w:after="0" w:line="162" w:lineRule="exact"/>
        <w:rPr>
          <w:rFonts w:ascii="Arial" w:cs="Arial" w:eastAsia="Arial" w:hAnsi="Arial"/>
          <w:sz w:val="16"/>
          <w:szCs w:val="16"/>
          <w:color w:val="auto"/>
        </w:rPr>
      </w:pPr>
    </w:p>
    <w:p>
      <w:pPr>
        <w:jc w:val="both"/>
        <w:ind w:right="20" w:firstLine="1143"/>
        <w:spacing w:after="0" w:line="262" w:lineRule="auto"/>
        <w:tabs>
          <w:tab w:leader="none" w:pos="13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Agreement, at the Second Effective Time, the Surviving Entity shall be merged with and into the Second Merger Sub (the “</w:t>
      </w:r>
      <w:r>
        <w:rPr>
          <w:rFonts w:ascii="Arial" w:cs="Arial" w:eastAsia="Arial" w:hAnsi="Arial"/>
          <w:sz w:val="16"/>
          <w:szCs w:val="16"/>
          <w:u w:val="single" w:color="auto"/>
          <w:color w:val="auto"/>
        </w:rPr>
        <w:t>Second Merger</w:t>
      </w:r>
      <w:r>
        <w:rPr>
          <w:rFonts w:ascii="Arial" w:cs="Arial" w:eastAsia="Arial" w:hAnsi="Arial"/>
          <w:sz w:val="16"/>
          <w:szCs w:val="16"/>
          <w:color w:val="auto"/>
        </w:rPr>
        <w:t>”, and, together with the First Merger, the “</w:t>
      </w:r>
      <w:r>
        <w:rPr>
          <w:rFonts w:ascii="Arial" w:cs="Arial" w:eastAsia="Arial" w:hAnsi="Arial"/>
          <w:sz w:val="16"/>
          <w:szCs w:val="16"/>
          <w:u w:val="single" w:color="auto"/>
          <w:color w:val="auto"/>
        </w:rPr>
        <w:t>Mergers</w:t>
      </w:r>
      <w:r>
        <w:rPr>
          <w:rFonts w:ascii="Arial" w:cs="Arial" w:eastAsia="Arial" w:hAnsi="Arial"/>
          <w:sz w:val="16"/>
          <w:szCs w:val="16"/>
          <w:color w:val="auto"/>
        </w:rPr>
        <w:t>”), with the Second Merger Sub being the surviving company (which is sometimes hereinafter referred to for the periods at and after the Second Effective Time as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3" w:name="page34"/>
    <w:bookmarkEnd w:id="33"/>
    <w:p>
      <w:pPr>
        <w:ind w:left="560"/>
        <w:spacing w:after="0"/>
        <w:rPr>
          <w:sz w:val="20"/>
          <w:szCs w:val="20"/>
          <w:color w:val="auto"/>
        </w:rPr>
      </w:pPr>
      <w:r>
        <w:rPr>
          <w:rFonts w:ascii="Arial" w:cs="Arial" w:eastAsia="Arial" w:hAnsi="Arial"/>
          <w:sz w:val="16"/>
          <w:szCs w:val="16"/>
          <w:b w:val="1"/>
          <w:bCs w:val="1"/>
          <w:color w:val="auto"/>
        </w:rPr>
        <w:t xml:space="preserve">Section 2.03 </w:t>
      </w:r>
      <w:r>
        <w:rPr>
          <w:rFonts w:ascii="Arial" w:cs="Arial" w:eastAsia="Arial" w:hAnsi="Arial"/>
          <w:sz w:val="16"/>
          <w:szCs w:val="16"/>
          <w:b w:val="1"/>
          <w:bCs w:val="1"/>
          <w:u w:val="single" w:color="auto"/>
          <w:color w:val="auto"/>
        </w:rPr>
        <w:t>Effects of the Merger</w:t>
      </w:r>
      <w:r>
        <w:rPr>
          <w:rFonts w:ascii="Arial" w:cs="Arial" w:eastAsia="Arial" w:hAnsi="Arial"/>
          <w:sz w:val="16"/>
          <w:szCs w:val="16"/>
          <w:u w:val="single" w:color="auto"/>
          <w:color w:val="auto"/>
        </w:rPr>
        <w:t>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58" w:lineRule="auto"/>
        <w:tabs>
          <w:tab w:leader="none" w:pos="13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First Merger shall have the effects set forth in this Agreement and the DGCL. Without limiting the generality of the foregoing and subject thereto, by virtue of the First Merger and without further act or deed, at the Effective Time, all of the property, rights, privileges, powers and franchises of the Company and First Merger Sub shall vest in the Surviving Entity and all of the debts, liabilities and duties of the Company and First Merger Sub shall become the debts, liabilities and duties of the Surviving Entity.</w:t>
      </w:r>
    </w:p>
    <w:p>
      <w:pPr>
        <w:spacing w:after="0" w:line="164" w:lineRule="exact"/>
        <w:rPr>
          <w:rFonts w:ascii="Arial" w:cs="Arial" w:eastAsia="Arial" w:hAnsi="Arial"/>
          <w:sz w:val="16"/>
          <w:szCs w:val="16"/>
          <w:color w:val="auto"/>
        </w:rPr>
      </w:pPr>
    </w:p>
    <w:p>
      <w:pPr>
        <w:jc w:val="both"/>
        <w:ind w:firstLine="1143"/>
        <w:spacing w:after="0" w:line="258" w:lineRule="auto"/>
        <w:tabs>
          <w:tab w:leader="none" w:pos="137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Second Merger shall have the effects set forth in this Agreement and the DGCL. Without limiting the generality of the foregoing and subject thereto, by virtue of the Second Merger and without further act or deed, at the Second Effective Time, all of the property, rights, privileges, powers and franchises of the Surviving Entity and Second Merger Sub shall vest in the Surviving Company and all of the debts, liabilities and duties of the Surviving Entity and Second Merger Sub shall become the debts, liabilities and duties of the Surviving Company.</w:t>
      </w:r>
    </w:p>
    <w:p>
      <w:pPr>
        <w:spacing w:after="0" w:line="161"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b w:val="1"/>
          <w:bCs w:val="1"/>
          <w:color w:val="auto"/>
        </w:rPr>
        <w:t xml:space="preserve">Section 2.04 </w:t>
      </w:r>
      <w:r>
        <w:rPr>
          <w:rFonts w:ascii="Arial" w:cs="Arial" w:eastAsia="Arial" w:hAnsi="Arial"/>
          <w:sz w:val="14"/>
          <w:szCs w:val="14"/>
          <w:b w:val="1"/>
          <w:bCs w:val="1"/>
          <w:u w:val="single" w:color="auto"/>
          <w:color w:val="auto"/>
        </w:rPr>
        <w:t>Closing</w:t>
      </w:r>
      <w:r>
        <w:rPr>
          <w:rFonts w:ascii="Arial" w:cs="Arial" w:eastAsia="Arial" w:hAnsi="Arial"/>
          <w:sz w:val="14"/>
          <w:szCs w:val="14"/>
          <w:color w:val="auto"/>
        </w:rPr>
        <w:t>. Subject to the terms and conditions of this Agreement, the closing of the Mergers (the “</w:t>
      </w:r>
      <w:r>
        <w:rPr>
          <w:rFonts w:ascii="Arial" w:cs="Arial" w:eastAsia="Arial" w:hAnsi="Arial"/>
          <w:sz w:val="14"/>
          <w:szCs w:val="14"/>
          <w:u w:val="single" w:color="auto"/>
          <w:color w:val="auto"/>
        </w:rPr>
        <w:t>Closing</w:t>
      </w:r>
      <w:r>
        <w:rPr>
          <w:rFonts w:ascii="Arial" w:cs="Arial" w:eastAsia="Arial" w:hAnsi="Arial"/>
          <w:sz w:val="14"/>
          <w:szCs w:val="14"/>
          <w:color w:val="auto"/>
        </w:rPr>
        <w:t>”) shall take place electronically through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exchange of documents via e-mail or facsimile on the date which is three (3) Business Days after the date on which all conditions set forth in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shall have been satisfied or waived (other than those conditions that by their terms are to be satisfied at the Closing, but subject to the satisfaction or waiver thereof) or such other time and place as Acquiror and the Company may mutually agree in writing. The date on which the Closing actually occurs is referred to in this Agreement as the “Closing Date.” Subject to the satisfaction or waiver of all of the conditions set forth in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of this Agreement, and provided this Agreement has not theretofore been terminated pursuant to its terms, on the Closing Date: (a) the Company and First Merger Sub shall cause the First Certificate of Merger to be executed, acknowledged and filed with the Secretary of State of the State of Delaware as provided in Sections 251 and 103 of the DGCL; and (b) the Surviving Entity and Second Merger Sub shall cause the Second Certificate of Merger to be executed, acknowledged and filed with the Secretary of State of the State of Delaware as provided in Sections 251 and 103 of the DGCL.</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2.05 </w:t>
      </w:r>
      <w:r>
        <w:rPr>
          <w:rFonts w:ascii="Arial" w:cs="Arial" w:eastAsia="Arial" w:hAnsi="Arial"/>
          <w:sz w:val="16"/>
          <w:szCs w:val="16"/>
          <w:b w:val="1"/>
          <w:bCs w:val="1"/>
          <w:u w:val="single" w:color="auto"/>
          <w:color w:val="auto"/>
        </w:rPr>
        <w:t>Registration Rights Agreement</w:t>
      </w:r>
      <w:r>
        <w:rPr>
          <w:rFonts w:ascii="Arial" w:cs="Arial" w:eastAsia="Arial" w:hAnsi="Arial"/>
          <w:sz w:val="16"/>
          <w:szCs w:val="16"/>
          <w:b w:val="1"/>
          <w:bCs w:val="1"/>
          <w:color w:val="auto"/>
        </w:rPr>
        <w:t>.</w:t>
      </w:r>
    </w:p>
    <w:p>
      <w:pPr>
        <w:spacing w:after="0" w:line="202" w:lineRule="exact"/>
        <w:rPr>
          <w:sz w:val="20"/>
          <w:szCs w:val="20"/>
          <w:color w:val="auto"/>
        </w:rPr>
      </w:pPr>
    </w:p>
    <w:p>
      <w:pPr>
        <w:ind w:right="20" w:firstLine="1143"/>
        <w:spacing w:after="0" w:line="275" w:lineRule="auto"/>
        <w:tabs>
          <w:tab w:leader="none" w:pos="13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At the Closing, the Company will deliver or cause to be delivered to Acquiror, the Registration Rights Agreement, duly executed by the stockholders of the Company set forth in </w:t>
      </w:r>
      <w:r>
        <w:rPr>
          <w:rFonts w:ascii="Arial" w:cs="Arial" w:eastAsia="Arial" w:hAnsi="Arial"/>
          <w:sz w:val="16"/>
          <w:szCs w:val="16"/>
          <w:u w:val="single" w:color="auto"/>
          <w:color w:val="auto"/>
        </w:rPr>
        <w:t>Schedule 2.05(a)</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right="20" w:firstLine="1143"/>
        <w:spacing w:after="0" w:line="275" w:lineRule="auto"/>
        <w:tabs>
          <w:tab w:leader="none" w:pos="13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the Closing, Acquiror will deliver or cause to be delivered to the Company, the Registration Rights Agreement, duly executed by duly authorized representatives of the Acquiror and each of the Sponsors.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2.06 </w:t>
      </w:r>
      <w:r>
        <w:rPr>
          <w:rFonts w:ascii="Arial" w:cs="Arial" w:eastAsia="Arial" w:hAnsi="Arial"/>
          <w:sz w:val="16"/>
          <w:szCs w:val="16"/>
          <w:b w:val="1"/>
          <w:bCs w:val="1"/>
          <w:u w:val="single" w:color="auto"/>
          <w:color w:val="auto"/>
        </w:rPr>
        <w:t>Certificate of Incorporation and Bylaws of the Surviving Entity, Surviving Company and Acquiror.</w:t>
      </w:r>
    </w:p>
    <w:p>
      <w:pPr>
        <w:spacing w:after="0" w:line="202" w:lineRule="exact"/>
        <w:rPr>
          <w:sz w:val="20"/>
          <w:szCs w:val="20"/>
          <w:color w:val="auto"/>
        </w:rPr>
      </w:pPr>
    </w:p>
    <w:p>
      <w:pPr>
        <w:ind w:right="20" w:firstLine="1143"/>
        <w:spacing w:after="0" w:line="275" w:lineRule="auto"/>
        <w:tabs>
          <w:tab w:leader="none" w:pos="13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the Effective Time, the certificate of incorporation and bylaws of the Company, as in effect immediately prior to the Effective Time, shall be the certificate of incorporation of the Surviving Entity, until thereafter supplemented or amended in accordance with its terms and the DGCL.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4" w:name="page35"/>
    <w:bookmarkEnd w:id="34"/>
    <w:p>
      <w:pPr>
        <w:jc w:val="both"/>
        <w:ind w:right="20" w:firstLine="1143"/>
        <w:spacing w:after="0" w:line="262" w:lineRule="auto"/>
        <w:tabs>
          <w:tab w:leader="none" w:pos="13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the Second Effective Time, the certificate of formation and operating agreement of Second Merger Sub shall be the certificate of formation and operating agreement of the Surviving Company, until thereafter supplemented or amended in accordance with its terms and as provided by applicable Law, except that the name of the Surviving Company shall be a name reasonably determined by the Company.</w:t>
      </w:r>
    </w:p>
    <w:p>
      <w:pPr>
        <w:spacing w:after="0" w:line="162" w:lineRule="exact"/>
        <w:rPr>
          <w:rFonts w:ascii="Arial" w:cs="Arial" w:eastAsia="Arial" w:hAnsi="Arial"/>
          <w:sz w:val="16"/>
          <w:szCs w:val="16"/>
          <w:color w:val="auto"/>
        </w:rPr>
      </w:pPr>
    </w:p>
    <w:p>
      <w:pPr>
        <w:jc w:val="both"/>
        <w:ind w:firstLine="1143"/>
        <w:spacing w:after="0" w:line="262" w:lineRule="auto"/>
        <w:tabs>
          <w:tab w:leader="none" w:pos="136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certificate of incorporation and bylaws of Acquiror from and after the Effective Time shall be in the form attached as Exhibit A and Exhibit B hereto, respectively (with such changes as may be agreed in writing by Acquiror and the Company), until thereafter supplemented or amended in accordance with its terms and the DGCL.</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2.07 </w:t>
      </w:r>
      <w:r>
        <w:rPr>
          <w:rFonts w:ascii="Arial" w:cs="Arial" w:eastAsia="Arial" w:hAnsi="Arial"/>
          <w:sz w:val="16"/>
          <w:szCs w:val="16"/>
          <w:b w:val="1"/>
          <w:bCs w:val="1"/>
          <w:u w:val="single" w:color="auto"/>
          <w:color w:val="auto"/>
        </w:rPr>
        <w:t>Directors and Officers of the Surviving Entity and the Surviving Company.</w:t>
      </w:r>
    </w:p>
    <w:p>
      <w:pPr>
        <w:spacing w:after="0" w:line="202" w:lineRule="exact"/>
        <w:rPr>
          <w:sz w:val="20"/>
          <w:szCs w:val="20"/>
          <w:color w:val="auto"/>
        </w:rPr>
      </w:pPr>
    </w:p>
    <w:p>
      <w:pPr>
        <w:jc w:val="both"/>
        <w:ind w:firstLine="1143"/>
        <w:spacing w:after="0" w:line="293" w:lineRule="auto"/>
        <w:tabs>
          <w:tab w:leader="none" w:pos="13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Immediately after the Effective Time, the board of directors and executive officers of the Surviving Entity will be the board of directors and executive officers of the Company immediately prior to the Effective Time. The Company shall take all necessary action prior to the Second Effective Time such that (i) each director of the Company in office immediately prior to the Second Effective Time shall cease to be a director immediately following the Second Effective Time (including by causing each such director to tender an irrevocable resignation as a director, effective as of the Second Effective Time) and (ii) each person set forth on </w:t>
      </w:r>
      <w:r>
        <w:rPr>
          <w:rFonts w:ascii="Arial" w:cs="Arial" w:eastAsia="Arial" w:hAnsi="Arial"/>
          <w:sz w:val="14"/>
          <w:szCs w:val="14"/>
          <w:u w:val="single" w:color="auto"/>
          <w:color w:val="auto"/>
        </w:rPr>
        <w:t>Schedule 2.07</w:t>
      </w:r>
      <w:r>
        <w:rPr>
          <w:rFonts w:ascii="Arial" w:cs="Arial" w:eastAsia="Arial" w:hAnsi="Arial"/>
          <w:sz w:val="14"/>
          <w:szCs w:val="14"/>
          <w:color w:val="auto"/>
        </w:rPr>
        <w:t xml:space="preserve"> shall be appointed to the board of directors of the Surviving Company, effective as of immediately following the Second Effective Time, and, as of such time, shall be the only directors of the Surviving Company (including by causing the Company Board to adopt resolutions prior to the Second Effective Time that expand or decrease the size of the Company Board, as necessary, and appoint such persons to the vacancies resulting from the incumbent directors’ respective resignations or, if applicable, the newly created directorships upon any expansion of the size of the Company Board). Each person appointed as a director of the Surviving Company pursuant to the preceding sentence shall remain in office as a director of the Surviving Company until his or her successor is elected and qualified or until his or her earlier resignation or removal.</w:t>
      </w:r>
    </w:p>
    <w:p>
      <w:pPr>
        <w:spacing w:after="0" w:line="143" w:lineRule="exact"/>
        <w:rPr>
          <w:rFonts w:ascii="Arial" w:cs="Arial" w:eastAsia="Arial" w:hAnsi="Arial"/>
          <w:sz w:val="14"/>
          <w:szCs w:val="14"/>
          <w:color w:val="auto"/>
        </w:rPr>
      </w:pPr>
    </w:p>
    <w:p>
      <w:pPr>
        <w:ind w:right="20" w:firstLine="1143"/>
        <w:spacing w:after="0" w:line="275" w:lineRule="auto"/>
        <w:tabs>
          <w:tab w:leader="none" w:pos="1373"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Persons constituting the officers of the Company prior to the Effective Time shall continue to be the officers of the Surviving Entity until the earlier of their resignation or removal or until their respective successors are duly appointed.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EFFECTS OF THE MERGERS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3.01 </w:t>
      </w:r>
      <w:r>
        <w:rPr>
          <w:rFonts w:ascii="Arial" w:cs="Arial" w:eastAsia="Arial" w:hAnsi="Arial"/>
          <w:sz w:val="16"/>
          <w:szCs w:val="16"/>
          <w:b w:val="1"/>
          <w:bCs w:val="1"/>
          <w:u w:val="single" w:color="auto"/>
          <w:color w:val="auto"/>
        </w:rPr>
        <w:t>Conversion of Securities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right="20" w:firstLine="1143"/>
        <w:spacing w:after="0" w:line="273" w:lineRule="auto"/>
        <w:tabs>
          <w:tab w:leader="none" w:pos="1371" w:val="left"/>
        </w:tabs>
        <w:numPr>
          <w:ilvl w:val="0"/>
          <w:numId w:val="18"/>
        </w:numPr>
        <w:rPr>
          <w:rFonts w:ascii="Arial" w:cs="Arial" w:eastAsia="Arial" w:hAnsi="Arial"/>
          <w:sz w:val="15"/>
          <w:szCs w:val="15"/>
          <w:color w:val="auto"/>
        </w:rPr>
      </w:pPr>
      <w:r>
        <w:rPr>
          <w:rFonts w:ascii="Arial" w:cs="Arial" w:eastAsia="Arial" w:hAnsi="Arial"/>
          <w:sz w:val="15"/>
          <w:szCs w:val="15"/>
          <w:color w:val="auto"/>
        </w:rPr>
        <w:t>Immediately prior to the Effective Time, the Company shall cause (i) each share of Company Preferred Stock that is issued and outstanding immediately prior to the Effective Time to be automatically converted into a number of shares of Company Common Stock at the then-effective conversion rate as calculated pursuant to Section 4.1.1 of the Certificate of Incorporation and (ii) each share of Company Non-Voting Common Stock that is issued and outstanding immediately prior to the Effective Time to be automatically converted into one share of Company Common Stock. All of the shares of Company Preferred Stock and Company Non-Voting Common Stock converted into shares of Company Common Stock shall no longer be outstanding and shall cease to exist, and each holder of Company Preferred Stock and Company Non-Voting Common Stock, as applicable, shall thereafter cease to have any rights with respect to such securities, except the right to receive the number of Company Merger Shares and Earnout Shares into which such shares shall have been converted in the Mergers.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 w:name="page36"/>
    <w:bookmarkEnd w:id="35"/>
    <w:p>
      <w:pPr>
        <w:jc w:val="both"/>
        <w:ind w:firstLine="1143"/>
        <w:spacing w:after="0" w:line="255" w:lineRule="auto"/>
        <w:tabs>
          <w:tab w:leader="none" w:pos="13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At the Effective Time, by virtue of the First Merger and without any action on the part of any holder of a Company Convertible Note, each Company Convertible Note that is issued and outstanding immediately prior to the Effective Time shall be canceled and converted into (i) the right to receive the applicable portion of the Company Merger Shares equal to (A) the Exchange Ratio, multiplied by (B) the number of Company Common Stock or the number of Company Common Stock into which the Company Preferred Stock converts issuable pursuant to such Company Convertible Note immediately prior to the Effective Time and (ii) its Earnout Pro Rata Portion of any Earnout Shares in accordance with </w:t>
      </w:r>
      <w:r>
        <w:rPr>
          <w:rFonts w:ascii="Arial" w:cs="Arial" w:eastAsia="Arial" w:hAnsi="Arial"/>
          <w:sz w:val="16"/>
          <w:szCs w:val="16"/>
          <w:u w:val="single" w:color="auto"/>
          <w:color w:val="auto"/>
        </w:rPr>
        <w:t>Section 3.07</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right="20" w:firstLine="1143"/>
        <w:spacing w:after="0" w:line="275" w:lineRule="auto"/>
        <w:tabs>
          <w:tab w:leader="none" w:pos="13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the Effective Time, by virtue of the First Merger and without any action on the part of Acquiror, First Merger Sub, Second Merger Sub, the Company or the holders of any of the following securities:</w:t>
      </w:r>
    </w:p>
    <w:p>
      <w:pPr>
        <w:spacing w:after="0" w:line="151" w:lineRule="exact"/>
        <w:rPr>
          <w:rFonts w:ascii="Arial" w:cs="Arial" w:eastAsia="Arial" w:hAnsi="Arial"/>
          <w:sz w:val="16"/>
          <w:szCs w:val="16"/>
          <w:color w:val="auto"/>
        </w:rPr>
      </w:pPr>
    </w:p>
    <w:p>
      <w:pPr>
        <w:jc w:val="both"/>
        <w:ind w:right="20" w:firstLine="1716"/>
        <w:spacing w:after="0" w:line="306" w:lineRule="auto"/>
        <w:tabs>
          <w:tab w:leader="none" w:pos="1911" w:val="left"/>
        </w:tabs>
        <w:numPr>
          <w:ilvl w:val="1"/>
          <w:numId w:val="19"/>
        </w:numPr>
        <w:rPr>
          <w:rFonts w:ascii="Arial" w:cs="Arial" w:eastAsia="Arial" w:hAnsi="Arial"/>
          <w:sz w:val="14"/>
          <w:szCs w:val="14"/>
          <w:color w:val="auto"/>
        </w:rPr>
      </w:pPr>
      <w:r>
        <w:rPr>
          <w:rFonts w:ascii="Arial" w:cs="Arial" w:eastAsia="Arial" w:hAnsi="Arial"/>
          <w:sz w:val="14"/>
          <w:szCs w:val="14"/>
          <w:color w:val="auto"/>
        </w:rPr>
        <w:t xml:space="preserve">each share of Company Common Stock issued and outstanding immediately prior to the Effective Time (including shares of Company Common Stock resulting from the conversion of Company Preferred Stock and Company Convertible Notes described in </w:t>
      </w:r>
      <w:r>
        <w:rPr>
          <w:rFonts w:ascii="Arial" w:cs="Arial" w:eastAsia="Arial" w:hAnsi="Arial"/>
          <w:sz w:val="14"/>
          <w:szCs w:val="14"/>
          <w:u w:val="single" w:color="auto"/>
          <w:color w:val="auto"/>
        </w:rPr>
        <w:t>Section 3.01(a)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3.01(b)</w:t>
      </w:r>
      <w:r>
        <w:rPr>
          <w:rFonts w:ascii="Arial" w:cs="Arial" w:eastAsia="Arial" w:hAnsi="Arial"/>
          <w:sz w:val="14"/>
          <w:szCs w:val="14"/>
          <w:color w:val="auto"/>
        </w:rPr>
        <w:t>, respectively, and all Company Common Stock issued or issuable in connection with the Permitted Acquisitions but excluding Dissenting Shares and Excluded Shares) shall be canceled and converted into the right to receive the number of shares of Acquiror Common Stock equal to the Exchange Ratio (the “</w:t>
      </w:r>
      <w:r>
        <w:rPr>
          <w:rFonts w:ascii="Arial" w:cs="Arial" w:eastAsia="Arial" w:hAnsi="Arial"/>
          <w:sz w:val="14"/>
          <w:szCs w:val="14"/>
          <w:u w:val="single" w:color="auto"/>
          <w:color w:val="auto"/>
        </w:rPr>
        <w:t>Per Share Merger Consideration</w:t>
      </w:r>
      <w:r>
        <w:rPr>
          <w:rFonts w:ascii="Arial" w:cs="Arial" w:eastAsia="Arial" w:hAnsi="Arial"/>
          <w:sz w:val="14"/>
          <w:szCs w:val="14"/>
          <w:color w:val="auto"/>
        </w:rPr>
        <w:t>”);</w:t>
      </w:r>
    </w:p>
    <w:p>
      <w:pPr>
        <w:spacing w:after="0" w:line="134" w:lineRule="exact"/>
        <w:rPr>
          <w:rFonts w:ascii="Arial" w:cs="Arial" w:eastAsia="Arial" w:hAnsi="Arial"/>
          <w:sz w:val="14"/>
          <w:szCs w:val="14"/>
          <w:color w:val="auto"/>
        </w:rPr>
      </w:pPr>
    </w:p>
    <w:p>
      <w:pPr>
        <w:jc w:val="both"/>
        <w:ind w:right="20" w:firstLine="1716"/>
        <w:spacing w:after="0" w:line="262" w:lineRule="auto"/>
        <w:tabs>
          <w:tab w:leader="none" w:pos="1955" w:val="left"/>
        </w:tabs>
        <w:numPr>
          <w:ilvl w:val="1"/>
          <w:numId w:val="19"/>
        </w:numPr>
        <w:rPr>
          <w:rFonts w:ascii="Arial" w:cs="Arial" w:eastAsia="Arial" w:hAnsi="Arial"/>
          <w:sz w:val="16"/>
          <w:szCs w:val="16"/>
          <w:color w:val="auto"/>
        </w:rPr>
      </w:pPr>
      <w:r>
        <w:rPr>
          <w:rFonts w:ascii="Arial" w:cs="Arial" w:eastAsia="Arial" w:hAnsi="Arial"/>
          <w:sz w:val="16"/>
          <w:szCs w:val="16"/>
          <w:color w:val="auto"/>
        </w:rPr>
        <w:t>each share of Company Stock held in the treasury of the Company or owned by Acquiror, First Merger Sub, Second Merger Sub or the Company immediately prior to the Effective Time (each, an “</w:t>
      </w:r>
      <w:r>
        <w:rPr>
          <w:rFonts w:ascii="Arial" w:cs="Arial" w:eastAsia="Arial" w:hAnsi="Arial"/>
          <w:sz w:val="16"/>
          <w:szCs w:val="16"/>
          <w:u w:val="single" w:color="auto"/>
          <w:color w:val="auto"/>
        </w:rPr>
        <w:t>Excluded Share</w:t>
      </w:r>
      <w:r>
        <w:rPr>
          <w:rFonts w:ascii="Arial" w:cs="Arial" w:eastAsia="Arial" w:hAnsi="Arial"/>
          <w:sz w:val="16"/>
          <w:szCs w:val="16"/>
          <w:color w:val="auto"/>
        </w:rPr>
        <w:t>”) shall be canceled without any conversion thereof and no payment or distribution shall be made with respect thereto; and</w:t>
      </w:r>
    </w:p>
    <w:p>
      <w:pPr>
        <w:spacing w:after="0" w:line="162" w:lineRule="exact"/>
        <w:rPr>
          <w:rFonts w:ascii="Arial" w:cs="Arial" w:eastAsia="Arial" w:hAnsi="Arial"/>
          <w:sz w:val="16"/>
          <w:szCs w:val="16"/>
          <w:color w:val="auto"/>
        </w:rPr>
      </w:pPr>
    </w:p>
    <w:p>
      <w:pPr>
        <w:jc w:val="both"/>
        <w:ind w:right="20" w:firstLine="1716"/>
        <w:spacing w:after="0" w:line="258" w:lineRule="auto"/>
        <w:tabs>
          <w:tab w:leader="none" w:pos="199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each share of common stock, par value $0.0001 per share, of First Merger Sub issued and outstanding immediately prior to the Effective Time shall no longer be outstanding and shall thereupon be converted into and become one validly issued fully paid and non-assessable share of common stock, par value $0.0001 per share, of the Surviving Entity and all such shares shall constitute the only outstanding shares of capital stock of the Surviving Entity as of immediately following the Effective Time.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6" w:name="page37"/>
    <w:bookmarkEnd w:id="36"/>
    <w:p>
      <w:pPr>
        <w:ind w:left="560"/>
        <w:spacing w:after="0"/>
        <w:rPr>
          <w:sz w:val="20"/>
          <w:szCs w:val="20"/>
          <w:color w:val="auto"/>
        </w:rPr>
      </w:pPr>
      <w:r>
        <w:rPr>
          <w:rFonts w:ascii="Arial" w:cs="Arial" w:eastAsia="Arial" w:hAnsi="Arial"/>
          <w:sz w:val="16"/>
          <w:szCs w:val="16"/>
          <w:b w:val="1"/>
          <w:bCs w:val="1"/>
          <w:color w:val="auto"/>
        </w:rPr>
        <w:t xml:space="preserve">Section 3.02 </w:t>
      </w:r>
      <w:r>
        <w:rPr>
          <w:rFonts w:ascii="Arial" w:cs="Arial" w:eastAsia="Arial" w:hAnsi="Arial"/>
          <w:sz w:val="16"/>
          <w:szCs w:val="16"/>
          <w:b w:val="1"/>
          <w:bCs w:val="1"/>
          <w:u w:val="single" w:color="auto"/>
          <w:color w:val="auto"/>
        </w:rPr>
        <w:t>Treatment of Company Options and Warrants</w:t>
      </w:r>
    </w:p>
    <w:p>
      <w:pPr>
        <w:spacing w:after="0" w:line="202" w:lineRule="exact"/>
        <w:rPr>
          <w:sz w:val="20"/>
          <w:szCs w:val="20"/>
          <w:color w:val="auto"/>
        </w:rPr>
      </w:pPr>
    </w:p>
    <w:p>
      <w:pPr>
        <w:jc w:val="both"/>
        <w:ind w:firstLine="1143"/>
        <w:spacing w:after="0" w:line="269" w:lineRule="auto"/>
        <w:tabs>
          <w:tab w:leader="none" w:pos="1378" w:val="left"/>
        </w:tabs>
        <w:numPr>
          <w:ilvl w:val="0"/>
          <w:numId w:val="20"/>
        </w:numPr>
        <w:rPr>
          <w:rFonts w:ascii="Arial" w:cs="Arial" w:eastAsia="Arial" w:hAnsi="Arial"/>
          <w:sz w:val="15"/>
          <w:szCs w:val="15"/>
          <w:color w:val="auto"/>
        </w:rPr>
      </w:pPr>
      <w:r>
        <w:rPr>
          <w:rFonts w:ascii="Arial" w:cs="Arial" w:eastAsia="Arial" w:hAnsi="Arial"/>
          <w:sz w:val="15"/>
          <w:szCs w:val="15"/>
          <w:color w:val="auto"/>
        </w:rPr>
        <w:t>At the Effective Time, by virtue of the First Merger and without any further action on the part of any party, each Company Option that is outstanding immediately prior to the Effective Time, whether vested or unvested, shall be assumed and converted into (i) an option to purchase a number of shares of Acquiror Common Stock (such option, an “</w:t>
      </w:r>
      <w:r>
        <w:rPr>
          <w:rFonts w:ascii="Arial" w:cs="Arial" w:eastAsia="Arial" w:hAnsi="Arial"/>
          <w:sz w:val="15"/>
          <w:szCs w:val="15"/>
          <w:u w:val="single" w:color="auto"/>
          <w:color w:val="auto"/>
        </w:rPr>
        <w:t>Exchanged Option</w:t>
      </w:r>
      <w:r>
        <w:rPr>
          <w:rFonts w:ascii="Arial" w:cs="Arial" w:eastAsia="Arial" w:hAnsi="Arial"/>
          <w:sz w:val="15"/>
          <w:szCs w:val="15"/>
          <w:color w:val="auto"/>
        </w:rPr>
        <w:t xml:space="preserve">”) and (ii) the contingent right to receive the applicable Earnout Pro Rata Portion of Earnout Shares (which may be zero (0)) following the Closing in accordance with </w:t>
      </w:r>
      <w:r>
        <w:rPr>
          <w:rFonts w:ascii="Arial" w:cs="Arial" w:eastAsia="Arial" w:hAnsi="Arial"/>
          <w:sz w:val="15"/>
          <w:szCs w:val="15"/>
          <w:u w:val="single" w:color="auto"/>
          <w:color w:val="auto"/>
        </w:rPr>
        <w:t>Section 3.07</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Option Earnout Shares</w:t>
      </w:r>
      <w:r>
        <w:rPr>
          <w:rFonts w:ascii="Arial" w:cs="Arial" w:eastAsia="Arial" w:hAnsi="Arial"/>
          <w:sz w:val="15"/>
          <w:szCs w:val="15"/>
          <w:color w:val="auto"/>
        </w:rPr>
        <w:t>”). As of the Effective Time, each such Exchanged Option as so assumed and converted shall be exercisable for that number of shares of Acquiror Common Stock equal to the product (rounded down to the nearest whole number) of (x) the number of shares of Company Common Stock issuable pursuant to such Company Option immediately prior to the Effective Time and (y) the Exchange Ratio, at an exercise price per share (rounded down to the nearest whole cent) equal to (A) the exercise price per share of such Company Option immediately prior to the Effective Time divided by (B) the Exchange Ratio; provided, however, that the exercise price and the number of shares of Acquiror Common Stock purchasable pursuant to the Exchanged Options shall be determined in a manner consistent with the requirements of Section 409A of the Code; provided, further, that in the case of any Exchanged Option to which Section 422 of the Code applies, the exercise price and the number of shares of Acquiror Common Stock purchasable pursuant to such option shall be determined in accordance with the foregoing, subject to such adjustments as are necessary in order to satisfy the requirements of Section 424(a) of the Code. Except as specifically provided above, following the Effective Time, each Exchanged Option shall continue to be governed by the same terms and conditions (including vesting and exercisability terms) as were applicable to the corresponding former Company Option immediately prior to the Effective Time.</w:t>
      </w:r>
    </w:p>
    <w:p>
      <w:pPr>
        <w:spacing w:after="0" w:line="163" w:lineRule="exact"/>
        <w:rPr>
          <w:rFonts w:ascii="Arial" w:cs="Arial" w:eastAsia="Arial" w:hAnsi="Arial"/>
          <w:sz w:val="15"/>
          <w:szCs w:val="15"/>
          <w:color w:val="auto"/>
        </w:rPr>
      </w:pPr>
    </w:p>
    <w:p>
      <w:pPr>
        <w:jc w:val="both"/>
        <w:ind w:firstLine="1143"/>
        <w:spacing w:after="0" w:line="289" w:lineRule="auto"/>
        <w:tabs>
          <w:tab w:leader="none" w:pos="1385" w:val="left"/>
        </w:tabs>
        <w:numPr>
          <w:ilvl w:val="0"/>
          <w:numId w:val="20"/>
        </w:numPr>
        <w:rPr>
          <w:rFonts w:ascii="Arial" w:cs="Arial" w:eastAsia="Arial" w:hAnsi="Arial"/>
          <w:sz w:val="14"/>
          <w:szCs w:val="14"/>
          <w:color w:val="auto"/>
        </w:rPr>
      </w:pPr>
      <w:r>
        <w:rPr>
          <w:rFonts w:ascii="Arial" w:cs="Arial" w:eastAsia="Arial" w:hAnsi="Arial"/>
          <w:sz w:val="14"/>
          <w:szCs w:val="14"/>
          <w:color w:val="auto"/>
        </w:rPr>
        <w:t>At the Effective Time, each Company Warrant that is issued and outstanding immediately prior to the Effective Time and not exercised pursuant to its terms at or immediately prior to the Effective Time, shall, in accordance with its terms, either (i) be automatically converted into a number of shares of Company Common Stock or Company Preferred Stock, as applicable, in accordance with its terms, or (ii) be assumed and converted into (A) a warrant to purchase a number of shares of Acquiror Common Stock (such warrant, an “</w:t>
      </w:r>
      <w:r>
        <w:rPr>
          <w:rFonts w:ascii="Arial" w:cs="Arial" w:eastAsia="Arial" w:hAnsi="Arial"/>
          <w:sz w:val="14"/>
          <w:szCs w:val="14"/>
          <w:u w:val="single" w:color="auto"/>
          <w:color w:val="auto"/>
        </w:rPr>
        <w:t>Exchanged Warrant</w:t>
      </w:r>
      <w:r>
        <w:rPr>
          <w:rFonts w:ascii="Arial" w:cs="Arial" w:eastAsia="Arial" w:hAnsi="Arial"/>
          <w:sz w:val="14"/>
          <w:szCs w:val="14"/>
          <w:color w:val="auto"/>
        </w:rPr>
        <w:t>”) and (B) the contingent right to receive the applicable Earnout Pro Rata Portion of Earnout Shares (which may be zero</w:t>
      </w:r>
    </w:p>
    <w:p>
      <w:pPr>
        <w:spacing w:after="0" w:line="2" w:lineRule="exact"/>
        <w:rPr>
          <w:rFonts w:ascii="Arial" w:cs="Arial" w:eastAsia="Arial" w:hAnsi="Arial"/>
          <w:sz w:val="14"/>
          <w:szCs w:val="14"/>
          <w:color w:val="auto"/>
        </w:rPr>
      </w:pPr>
    </w:p>
    <w:p>
      <w:pPr>
        <w:jc w:val="both"/>
        <w:ind w:right="20"/>
        <w:spacing w:after="0" w:line="251" w:lineRule="auto"/>
        <w:rPr>
          <w:rFonts w:ascii="Arial" w:cs="Arial" w:eastAsia="Arial" w:hAnsi="Arial"/>
          <w:sz w:val="14"/>
          <w:szCs w:val="14"/>
          <w:color w:val="auto"/>
        </w:rPr>
      </w:pPr>
      <w:r>
        <w:rPr>
          <w:rFonts w:ascii="Arial" w:cs="Arial" w:eastAsia="Arial" w:hAnsi="Arial"/>
          <w:sz w:val="16"/>
          <w:szCs w:val="16"/>
          <w:color w:val="auto"/>
        </w:rPr>
        <w:t xml:space="preserve">(0)) following the Closing in accordance with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Warrant Earnout Shares</w:t>
      </w:r>
      <w:r>
        <w:rPr>
          <w:rFonts w:ascii="Arial" w:cs="Arial" w:eastAsia="Arial" w:hAnsi="Arial"/>
          <w:sz w:val="16"/>
          <w:szCs w:val="16"/>
          <w:color w:val="auto"/>
        </w:rPr>
        <w:t>”). As of the Effective Time, each such Exchanged Warrant as so assumed and converted shall be exercisable for that number of shares of Acquiror Common Stock equal to the product (rounded down to the nearest whole number) of (x) the number of shares of Company Stock issuable pursuant to such Company Warrant immediately prior to the Effective Time and (y) the Exchange Ratio, at an exercise price per share (rounded up to the nearest whole cent) equal to (A) the exercise price per share of such Company Warrant immediately prior to the Effective Time divided by (B) the Exchange Ratio.</w:t>
      </w:r>
    </w:p>
    <w:p>
      <w:pPr>
        <w:spacing w:after="0" w:line="168"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b w:val="1"/>
          <w:bCs w:val="1"/>
          <w:color w:val="auto"/>
        </w:rPr>
        <w:t xml:space="preserve">Section 3.03 </w:t>
      </w:r>
      <w:r>
        <w:rPr>
          <w:rFonts w:ascii="Arial" w:cs="Arial" w:eastAsia="Arial" w:hAnsi="Arial"/>
          <w:sz w:val="15"/>
          <w:szCs w:val="15"/>
          <w:b w:val="1"/>
          <w:bCs w:val="1"/>
          <w:u w:val="single" w:color="auto"/>
          <w:color w:val="auto"/>
        </w:rPr>
        <w:t>Effect of the Second Merger</w:t>
      </w:r>
      <w:r>
        <w:rPr>
          <w:rFonts w:ascii="Arial" w:cs="Arial" w:eastAsia="Arial" w:hAnsi="Arial"/>
          <w:sz w:val="15"/>
          <w:szCs w:val="15"/>
          <w:color w:val="auto"/>
        </w:rPr>
        <w:t>. Upon the terms and subject to the conditions of this Agreement, at the Second Effective Time, by virtue of the Second</w:t>
      </w:r>
      <w:r>
        <w:rPr>
          <w:rFonts w:ascii="Arial" w:cs="Arial" w:eastAsia="Arial" w:hAnsi="Arial"/>
          <w:sz w:val="15"/>
          <w:szCs w:val="15"/>
          <w:b w:val="1"/>
          <w:bCs w:val="1"/>
          <w:color w:val="auto"/>
        </w:rPr>
        <w:t xml:space="preserve"> </w:t>
      </w:r>
      <w:r>
        <w:rPr>
          <w:rFonts w:ascii="Arial" w:cs="Arial" w:eastAsia="Arial" w:hAnsi="Arial"/>
          <w:sz w:val="15"/>
          <w:szCs w:val="15"/>
          <w:color w:val="auto"/>
        </w:rPr>
        <w:t>Merger and without any action on the part of any party, any Company Stockholder, or the holders of any shares of capital stock of Acquiror, the Surviving Entity or Second Merger Sub: (a) each share of common stock of the Surviving Entity issued and outstanding immediately prior to the Second Effective Time will be cancelled and will cease to exist without any conversion thereof or payment therefor; and (b) the membership interests of Second Merger Sub outstanding immediately prior to the Second Effective Time will be converted into and become the membership interests of the Surviving Company, which will constitute all of the outstanding equity of the Surviving Company. From and after the Second Effective Time, the membership interests of the Second Merger Sub will be deemed for all purposes to represent the number of membership interests into which they were converted in accordance with the immediately preceding sentence.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7" w:name="page38"/>
    <w:bookmarkEnd w:id="37"/>
    <w:p>
      <w:pPr>
        <w:jc w:val="both"/>
        <w:ind w:firstLine="574"/>
        <w:spacing w:after="0" w:line="274" w:lineRule="auto"/>
        <w:rPr>
          <w:sz w:val="20"/>
          <w:szCs w:val="20"/>
          <w:color w:val="auto"/>
        </w:rPr>
      </w:pPr>
      <w:r>
        <w:rPr>
          <w:rFonts w:ascii="Arial" w:cs="Arial" w:eastAsia="Arial" w:hAnsi="Arial"/>
          <w:sz w:val="15"/>
          <w:szCs w:val="15"/>
          <w:b w:val="1"/>
          <w:bCs w:val="1"/>
          <w:color w:val="auto"/>
        </w:rPr>
        <w:t xml:space="preserve">Section 3.04 </w:t>
      </w:r>
      <w:r>
        <w:rPr>
          <w:rFonts w:ascii="Arial" w:cs="Arial" w:eastAsia="Arial" w:hAnsi="Arial"/>
          <w:sz w:val="15"/>
          <w:szCs w:val="15"/>
          <w:b w:val="1"/>
          <w:bCs w:val="1"/>
          <w:u w:val="single" w:color="auto"/>
          <w:color w:val="auto"/>
        </w:rPr>
        <w:t>Equitable Adjustments</w:t>
      </w:r>
      <w:r>
        <w:rPr>
          <w:rFonts w:ascii="Arial" w:cs="Arial" w:eastAsia="Arial" w:hAnsi="Arial"/>
          <w:sz w:val="15"/>
          <w:szCs w:val="15"/>
          <w:b w:val="1"/>
          <w:bCs w:val="1"/>
          <w:color w:val="auto"/>
        </w:rPr>
        <w:t xml:space="preserve">. </w:t>
      </w:r>
      <w:r>
        <w:rPr>
          <w:rFonts w:ascii="Arial" w:cs="Arial" w:eastAsia="Arial" w:hAnsi="Arial"/>
          <w:sz w:val="15"/>
          <w:szCs w:val="15"/>
          <w:color w:val="auto"/>
        </w:rPr>
        <w:t>If, between the date of this Agreement and the Closing, the outstanding shares of Company Common Stock, Company Preferred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Stock or shares of Acquiror Common Stock shall have been changed into a different number of shares or a different class, by reason of any stock dividend, subdivision, reclassification, recapitalization, split, combination or exchange of shares, or any similar event shall have occurred, then any number, value (including dollar value) or amount contained herein which is based upon the number of shares of Company Common Stock, Company Preferred Stock or shares of Acquiror Common Stock will be appropriately adjusted to provide to the holders of Company Common Stock, Company Preferred Stock and the holders of Acquiror Common Stock the same economic effect as contemplated by this Agreement; provided, however, that this </w:t>
      </w:r>
      <w:r>
        <w:rPr>
          <w:rFonts w:ascii="Arial" w:cs="Arial" w:eastAsia="Arial" w:hAnsi="Arial"/>
          <w:sz w:val="15"/>
          <w:szCs w:val="15"/>
          <w:u w:val="single" w:color="auto"/>
          <w:color w:val="auto"/>
        </w:rPr>
        <w:t>Section 3.04</w:t>
      </w:r>
      <w:r>
        <w:rPr>
          <w:rFonts w:ascii="Arial" w:cs="Arial" w:eastAsia="Arial" w:hAnsi="Arial"/>
          <w:sz w:val="15"/>
          <w:szCs w:val="15"/>
          <w:color w:val="auto"/>
        </w:rPr>
        <w:t xml:space="preserve"> shall not be construed to permit Acquiror, the Company, First Merger Sub or Second Merger Sub to take any action with respect to their respective securities that is prohibited by the terms and conditions of this Agreement.</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3.05 </w:t>
      </w:r>
      <w:r>
        <w:rPr>
          <w:rFonts w:ascii="Arial" w:cs="Arial" w:eastAsia="Arial" w:hAnsi="Arial"/>
          <w:sz w:val="16"/>
          <w:szCs w:val="16"/>
          <w:b w:val="1"/>
          <w:bCs w:val="1"/>
          <w:u w:val="single" w:color="auto"/>
          <w:color w:val="auto"/>
        </w:rPr>
        <w:t>Delivery of Company Merger Shares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53" w:lineRule="auto"/>
        <w:tabs>
          <w:tab w:leader="none" w:pos="1364"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Concurrently with the mailing of the Consent Solicitation Statement, Acquiror shall cause to be mailed to each holder of record of Company Stock (for the avoidance of doubt, including holders of shares of Company Common Stock resulting from the conversion of Company Preferred Stock and Company Convertible Notes described in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3.01(b)</w:t>
      </w:r>
      <w:r>
        <w:rPr>
          <w:rFonts w:ascii="Arial" w:cs="Arial" w:eastAsia="Arial" w:hAnsi="Arial"/>
          <w:sz w:val="16"/>
          <w:szCs w:val="16"/>
          <w:color w:val="auto"/>
        </w:rPr>
        <w:t>, respectively, and the exercise of any Company Warrants but excluding holders of Excluded Shares), a letter of transmittal in customary form to be approved by the Company (such approval not to be unreasonably withheld, conditioned or delayed) prior to the Closing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which shall (i) have customary representations and warranties as to title, authorization, execution and delivery and (ii) specify that delivery shall be effected, and risk of loss and title to the shares of Company Stock, shall pass, only upon delivery of the shares of Company Stock, to Acquiror (including all certificates representing shares of Company Stock (each, a “</w:t>
      </w:r>
      <w:r>
        <w:rPr>
          <w:rFonts w:ascii="Arial" w:cs="Arial" w:eastAsia="Arial" w:hAnsi="Arial"/>
          <w:sz w:val="16"/>
          <w:szCs w:val="16"/>
          <w:u w:val="single" w:color="auto"/>
          <w:color w:val="auto"/>
        </w:rPr>
        <w:t>Company Certificate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Company Certificates</w:t>
      </w:r>
      <w:r>
        <w:rPr>
          <w:rFonts w:ascii="Arial" w:cs="Arial" w:eastAsia="Arial" w:hAnsi="Arial"/>
          <w:sz w:val="16"/>
          <w:szCs w:val="16"/>
          <w:color w:val="auto"/>
        </w:rPr>
        <w:t>”), to the extent such shares of Company Stock are certificated), together with instructions thereto.</w:t>
      </w:r>
    </w:p>
    <w:p>
      <w:pPr>
        <w:spacing w:after="0" w:line="169" w:lineRule="exact"/>
        <w:rPr>
          <w:rFonts w:ascii="Arial" w:cs="Arial" w:eastAsia="Arial" w:hAnsi="Arial"/>
          <w:sz w:val="16"/>
          <w:szCs w:val="16"/>
          <w:color w:val="auto"/>
        </w:rPr>
      </w:pPr>
    </w:p>
    <w:p>
      <w:pPr>
        <w:jc w:val="both"/>
        <w:ind w:firstLine="1143"/>
        <w:spacing w:after="0" w:line="297" w:lineRule="auto"/>
        <w:tabs>
          <w:tab w:leader="none" w:pos="1385"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Upon the receipt of a Letter of Transmittal (accompanied with all Company Certificates representing shares of Company Stock and the holder of such shares of Company Stock, to the extent such shares of Company Stock are certificated) duly, completely and validly executed in accordance with the instructions thereto, and such other documents as may reasonably be required by Acquiror, the holder of such shares of Company Stock, as applicable, shall be entitled to receive in exchange therefor, and Acquiror shall cause the delivery of, the applicable Per Share Merger Consideration in accordance with the provisions of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Until surrendered as contemplated by this </w:t>
      </w:r>
      <w:r>
        <w:rPr>
          <w:rFonts w:ascii="Arial" w:cs="Arial" w:eastAsia="Arial" w:hAnsi="Arial"/>
          <w:sz w:val="14"/>
          <w:szCs w:val="14"/>
          <w:u w:val="single" w:color="auto"/>
          <w:color w:val="auto"/>
        </w:rPr>
        <w:t>Section 3.05(b)</w:t>
      </w:r>
      <w:r>
        <w:rPr>
          <w:rFonts w:ascii="Arial" w:cs="Arial" w:eastAsia="Arial" w:hAnsi="Arial"/>
          <w:sz w:val="14"/>
          <w:szCs w:val="14"/>
          <w:color w:val="auto"/>
        </w:rPr>
        <w:t xml:space="preserve">, each share of Company Stock shall be deemed at any time from and after the Effective Time to represent only the right to receive upon such surrender the applicable Per Share Merger Consideration that such holder is entitled to receive in accordance with the provisions of </w:t>
      </w:r>
      <w:r>
        <w:rPr>
          <w:rFonts w:ascii="Arial" w:cs="Arial" w:eastAsia="Arial" w:hAnsi="Arial"/>
          <w:sz w:val="14"/>
          <w:szCs w:val="14"/>
          <w:u w:val="single" w:color="auto"/>
          <w:color w:val="auto"/>
        </w:rPr>
        <w:t>Section 3.01</w:t>
      </w:r>
      <w:r>
        <w:rPr>
          <w:rFonts w:ascii="Arial" w:cs="Arial" w:eastAsia="Arial" w:hAnsi="Arial"/>
          <w:sz w:val="14"/>
          <w:szCs w:val="14"/>
          <w:color w:val="auto"/>
        </w:rPr>
        <w:t>.</w:t>
      </w:r>
    </w:p>
    <w:p>
      <w:pPr>
        <w:spacing w:after="0" w:line="139"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6"/>
          <w:szCs w:val="16"/>
          <w:b w:val="1"/>
          <w:bCs w:val="1"/>
          <w:color w:val="auto"/>
        </w:rPr>
        <w:t xml:space="preserve">Section 3.06 </w:t>
      </w:r>
      <w:r>
        <w:rPr>
          <w:rFonts w:ascii="Arial" w:cs="Arial" w:eastAsia="Arial" w:hAnsi="Arial"/>
          <w:sz w:val="16"/>
          <w:szCs w:val="16"/>
          <w:b w:val="1"/>
          <w:bCs w:val="1"/>
          <w:u w:val="single" w:color="auto"/>
          <w:color w:val="auto"/>
        </w:rPr>
        <w:t>Lost Certificate</w:t>
      </w:r>
      <w:r>
        <w:rPr>
          <w:rFonts w:ascii="Arial" w:cs="Arial" w:eastAsia="Arial" w:hAnsi="Arial"/>
          <w:sz w:val="16"/>
          <w:szCs w:val="16"/>
          <w:color w:val="auto"/>
        </w:rPr>
        <w:t>. In the event any Company Certificate has been lost, stolen or destroyed, upon the making of an affidavit of that fact by the Person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claiming such Company Certificate to be lost, stolen or destroyed and, if required by Acquiror, the provision by such Person of a customary indemnity against any claim that may be made against Acquiror with respect to such Company Certificate, Acquiror shall issue in exchange for such lost, stolen or destroyed Company Certificate the Per Share Merger Consideration, deliverable in respect thereof as determined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8" w:name="page39"/>
    <w:bookmarkEnd w:id="38"/>
    <w:p>
      <w:pPr>
        <w:ind w:left="560"/>
        <w:spacing w:after="0"/>
        <w:rPr>
          <w:sz w:val="20"/>
          <w:szCs w:val="20"/>
          <w:color w:val="auto"/>
        </w:rPr>
      </w:pPr>
      <w:r>
        <w:rPr>
          <w:rFonts w:ascii="Arial" w:cs="Arial" w:eastAsia="Arial" w:hAnsi="Arial"/>
          <w:sz w:val="16"/>
          <w:szCs w:val="16"/>
          <w:b w:val="1"/>
          <w:bCs w:val="1"/>
          <w:color w:val="auto"/>
        </w:rPr>
        <w:t xml:space="preserve">Section 3.07 </w:t>
      </w:r>
      <w:r>
        <w:rPr>
          <w:rFonts w:ascii="Arial" w:cs="Arial" w:eastAsia="Arial" w:hAnsi="Arial"/>
          <w:sz w:val="16"/>
          <w:szCs w:val="16"/>
          <w:b w:val="1"/>
          <w:bCs w:val="1"/>
          <w:u w:val="single" w:color="auto"/>
          <w:color w:val="auto"/>
        </w:rPr>
        <w:t>Earnout</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87" w:lineRule="auto"/>
        <w:tabs>
          <w:tab w:leader="none" w:pos="1364"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at any time from the Closing Date until the three-year anniversary of the Closing, the VWAP of Acquiror Common Stock quoted on Nasdaq is greater than or equal to $12.50 for any twenty (20) Trading Days within any thirty (30) Trading Day period, Acquiror shall promptly issue to the Earnout Participants an aggregate amount of 7,500,000 shares of Acquiror Common Stock (the “</w:t>
      </w:r>
      <w:r>
        <w:rPr>
          <w:rFonts w:ascii="Arial" w:cs="Arial" w:eastAsia="Arial" w:hAnsi="Arial"/>
          <w:sz w:val="15"/>
          <w:szCs w:val="15"/>
          <w:u w:val="single" w:color="auto"/>
          <w:color w:val="auto"/>
        </w:rPr>
        <w:t>First Earnout Shares</w:t>
      </w:r>
      <w:r>
        <w:rPr>
          <w:rFonts w:ascii="Arial" w:cs="Arial" w:eastAsia="Arial" w:hAnsi="Arial"/>
          <w:sz w:val="15"/>
          <w:szCs w:val="15"/>
          <w:color w:val="auto"/>
        </w:rPr>
        <w:t>”) in accordance with their Earnout Pro Rata Portion.</w:t>
      </w:r>
    </w:p>
    <w:p>
      <w:pPr>
        <w:spacing w:after="0" w:line="146" w:lineRule="exact"/>
        <w:rPr>
          <w:rFonts w:ascii="Arial" w:cs="Arial" w:eastAsia="Arial" w:hAnsi="Arial"/>
          <w:sz w:val="15"/>
          <w:szCs w:val="15"/>
          <w:color w:val="auto"/>
        </w:rPr>
      </w:pPr>
    </w:p>
    <w:p>
      <w:pPr>
        <w:jc w:val="both"/>
        <w:ind w:firstLine="1143"/>
        <w:spacing w:after="0" w:line="258" w:lineRule="auto"/>
        <w:tabs>
          <w:tab w:leader="none" w:pos="1373"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at any time from the Closing Date until the five-year anniversary of the Closing, the VWAP of Acquiror Common Stock quoted on Nasdaq is greater than or equal to $15.00 for any twenty (20) Trading Days within any thirty (30) Trading Day period, Acquiror shall promptly issue to the Earnout Participants an aggregate amount of 7,500,000 shares of Acquiror Common Stock (the “</w:t>
      </w:r>
      <w:r>
        <w:rPr>
          <w:rFonts w:ascii="Arial" w:cs="Arial" w:eastAsia="Arial" w:hAnsi="Arial"/>
          <w:sz w:val="16"/>
          <w:szCs w:val="16"/>
          <w:u w:val="single" w:color="auto"/>
          <w:color w:val="auto"/>
        </w:rPr>
        <w:t>Second Earnout Shares</w:t>
      </w:r>
      <w:r>
        <w:rPr>
          <w:rFonts w:ascii="Arial" w:cs="Arial" w:eastAsia="Arial" w:hAnsi="Arial"/>
          <w:sz w:val="16"/>
          <w:szCs w:val="16"/>
          <w:color w:val="auto"/>
        </w:rPr>
        <w:t>”, and together with the First Earnout Shares, the “</w:t>
      </w:r>
      <w:r>
        <w:rPr>
          <w:rFonts w:ascii="Arial" w:cs="Arial" w:eastAsia="Arial" w:hAnsi="Arial"/>
          <w:sz w:val="16"/>
          <w:szCs w:val="16"/>
          <w:u w:val="single" w:color="auto"/>
          <w:color w:val="auto"/>
        </w:rPr>
        <w:t>Earnout Shares</w:t>
      </w:r>
      <w:r>
        <w:rPr>
          <w:rFonts w:ascii="Arial" w:cs="Arial" w:eastAsia="Arial" w:hAnsi="Arial"/>
          <w:sz w:val="16"/>
          <w:szCs w:val="16"/>
          <w:color w:val="auto"/>
        </w:rPr>
        <w:t>”), in accordance with their Earnout Pro Rata Portion.</w:t>
      </w:r>
    </w:p>
    <w:p>
      <w:pPr>
        <w:spacing w:after="0" w:line="164" w:lineRule="exact"/>
        <w:rPr>
          <w:rFonts w:ascii="Arial" w:cs="Arial" w:eastAsia="Arial" w:hAnsi="Arial"/>
          <w:sz w:val="16"/>
          <w:szCs w:val="16"/>
          <w:color w:val="auto"/>
        </w:rPr>
      </w:pPr>
    </w:p>
    <w:p>
      <w:pPr>
        <w:jc w:val="both"/>
        <w:ind w:firstLine="1143"/>
        <w:spacing w:after="0" w:line="262" w:lineRule="auto"/>
        <w:tabs>
          <w:tab w:leader="none" w:pos="13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Acquiror Common Stock price targets set forth in </w:t>
      </w:r>
      <w:r>
        <w:rPr>
          <w:rFonts w:ascii="Arial" w:cs="Arial" w:eastAsia="Arial" w:hAnsi="Arial"/>
          <w:sz w:val="16"/>
          <w:szCs w:val="16"/>
          <w:u w:val="single" w:color="auto"/>
          <w:color w:val="auto"/>
        </w:rPr>
        <w:t>Section 3.07(a)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3.07(b)</w:t>
      </w:r>
      <w:r>
        <w:rPr>
          <w:rFonts w:ascii="Arial" w:cs="Arial" w:eastAsia="Arial" w:hAnsi="Arial"/>
          <w:sz w:val="16"/>
          <w:szCs w:val="16"/>
          <w:color w:val="auto"/>
        </w:rPr>
        <w:t xml:space="preserve"> and the number of shares to be issued pursuant to the foregoing shall be equitably adjusted for any stock dividend, subdivision, reclassification, recapitalization, split, combination or exchange of shares, or any similar event affecting the Acquiror Common Stock after the date of this Agreement.</w:t>
      </w:r>
    </w:p>
    <w:p>
      <w:pPr>
        <w:spacing w:after="0" w:line="162" w:lineRule="exact"/>
        <w:rPr>
          <w:rFonts w:ascii="Arial" w:cs="Arial" w:eastAsia="Arial" w:hAnsi="Arial"/>
          <w:sz w:val="16"/>
          <w:szCs w:val="16"/>
          <w:color w:val="auto"/>
        </w:rPr>
      </w:pPr>
    </w:p>
    <w:p>
      <w:pPr>
        <w:jc w:val="both"/>
        <w:ind w:right="20" w:firstLine="1143"/>
        <w:spacing w:after="0" w:line="280" w:lineRule="auto"/>
        <w:tabs>
          <w:tab w:leader="none" w:pos="1385"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Any Option Earnout Shares payable to holders of unvested Exchanged Options shall be subject to terms and conditions that are substantially similar to those that applied to the award of such Company Option immediately prior to the Effective Time (including vesting and forfeiture conditions, but taking into account any changes thereto provided for in the Company Stock Plans, in any award agreement evidencing such Company Option or by reason of this Agreement or the Transactions). The issuance of the Option Earnout Shares will also be subject to any withholding required pursuant to applicable Law pursuant to </w:t>
      </w:r>
      <w:r>
        <w:rPr>
          <w:rFonts w:ascii="Arial" w:cs="Arial" w:eastAsia="Arial" w:hAnsi="Arial"/>
          <w:sz w:val="15"/>
          <w:szCs w:val="15"/>
          <w:u w:val="single" w:color="auto"/>
          <w:color w:val="auto"/>
        </w:rPr>
        <w:t>Section 3.08</w:t>
      </w:r>
      <w:r>
        <w:rPr>
          <w:rFonts w:ascii="Arial" w:cs="Arial" w:eastAsia="Arial" w:hAnsi="Arial"/>
          <w:sz w:val="15"/>
          <w:szCs w:val="15"/>
          <w:color w:val="auto"/>
        </w:rPr>
        <w:t>.</w:t>
      </w:r>
    </w:p>
    <w:p>
      <w:pPr>
        <w:spacing w:after="0" w:line="151" w:lineRule="exact"/>
        <w:rPr>
          <w:rFonts w:ascii="Arial" w:cs="Arial" w:eastAsia="Arial" w:hAnsi="Arial"/>
          <w:sz w:val="15"/>
          <w:szCs w:val="15"/>
          <w:color w:val="auto"/>
        </w:rPr>
      </w:pPr>
    </w:p>
    <w:p>
      <w:pPr>
        <w:jc w:val="both"/>
        <w:ind w:right="20" w:firstLine="1143"/>
        <w:spacing w:after="0" w:line="262" w:lineRule="auto"/>
        <w:tabs>
          <w:tab w:leader="none" w:pos="13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Any Warrant Earnout Shares payable to holders of Exchanged Warrants shall be subject to terms and conditions that are substantially similar to those that applied to the award of such Company Warrant immediately prior to the Effective Time. The issuance of the Warrant Earnout Shares will also be subject to any withholding required pursuant to applicable Law pursuant to </w:t>
      </w:r>
      <w:r>
        <w:rPr>
          <w:rFonts w:ascii="Arial" w:cs="Arial" w:eastAsia="Arial" w:hAnsi="Arial"/>
          <w:sz w:val="16"/>
          <w:szCs w:val="16"/>
          <w:u w:val="single" w:color="auto"/>
          <w:color w:val="auto"/>
        </w:rPr>
        <w:t>Section 3.08</w:t>
      </w:r>
      <w:r>
        <w:rPr>
          <w:rFonts w:ascii="Arial" w:cs="Arial" w:eastAsia="Arial" w:hAnsi="Arial"/>
          <w:sz w:val="16"/>
          <w:szCs w:val="16"/>
          <w:color w:val="auto"/>
        </w:rPr>
        <w:t>.</w:t>
      </w:r>
    </w:p>
    <w:p>
      <w:pPr>
        <w:spacing w:after="0" w:line="158"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b w:val="1"/>
          <w:bCs w:val="1"/>
          <w:color w:val="auto"/>
        </w:rPr>
        <w:t xml:space="preserve">Section 3.08 </w:t>
      </w:r>
      <w:r>
        <w:rPr>
          <w:rFonts w:ascii="Arial" w:cs="Arial" w:eastAsia="Arial" w:hAnsi="Arial"/>
          <w:sz w:val="14"/>
          <w:szCs w:val="14"/>
          <w:b w:val="1"/>
          <w:bCs w:val="1"/>
          <w:u w:val="single" w:color="auto"/>
          <w:color w:val="auto"/>
        </w:rPr>
        <w:t>Withholding</w:t>
      </w:r>
      <w:r>
        <w:rPr>
          <w:rFonts w:ascii="Arial" w:cs="Arial" w:eastAsia="Arial" w:hAnsi="Arial"/>
          <w:sz w:val="14"/>
          <w:szCs w:val="14"/>
          <w:color w:val="auto"/>
        </w:rPr>
        <w:t>. Each of Acquiror, First Merger Sub, Second Merger Sub, the Company, the Surviving Entity and the Surviving Company and their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respective Affiliates shall be entitled to deduct and withhold from any amounts otherwise deliverable or payable under this Agreement such amounts that any such Persons are required to deduct and withhold with respect to any of the deliveries and payments contemplated by this Agreement under the Code or any other applicable Law through the withholding of a number of such shares; provided that before making any deduction or withholding pursuant to this </w:t>
      </w:r>
      <w:r>
        <w:rPr>
          <w:rFonts w:ascii="Arial" w:cs="Arial" w:eastAsia="Arial" w:hAnsi="Arial"/>
          <w:sz w:val="14"/>
          <w:szCs w:val="14"/>
          <w:u w:val="single" w:color="auto"/>
          <w:color w:val="auto"/>
        </w:rPr>
        <w:t>Section 3.08</w:t>
      </w:r>
      <w:r>
        <w:rPr>
          <w:rFonts w:ascii="Arial" w:cs="Arial" w:eastAsia="Arial" w:hAnsi="Arial"/>
          <w:sz w:val="14"/>
          <w:szCs w:val="14"/>
          <w:color w:val="auto"/>
        </w:rPr>
        <w:t xml:space="preserve"> other than with respect to compensatory payments made pursuant to </w:t>
      </w:r>
      <w:r>
        <w:rPr>
          <w:rFonts w:ascii="Arial" w:cs="Arial" w:eastAsia="Arial" w:hAnsi="Arial"/>
          <w:sz w:val="14"/>
          <w:szCs w:val="14"/>
          <w:u w:val="single" w:color="auto"/>
          <w:color w:val="auto"/>
        </w:rPr>
        <w:t>Section 3.05</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3.07</w:t>
      </w:r>
      <w:r>
        <w:rPr>
          <w:rFonts w:ascii="Arial" w:cs="Arial" w:eastAsia="Arial" w:hAnsi="Arial"/>
          <w:sz w:val="14"/>
          <w:szCs w:val="14"/>
          <w:color w:val="auto"/>
        </w:rPr>
        <w:t xml:space="preserve">, Acquiror shall use commercially reasonable efforts to give the Company at least five days prior written notice of any anticipated deduction or withholding (together with any legal basis therefor) to provide the Company with sufficient opportunity to provide any forms or other documentation from the applicable equity holders or take such other steps in order to avoid such deduction or withholding and shall reasonably consult and cooperate with the Company in good faith to attempt to reduce or eliminate any amounts that would otherwise be deducted or withheld pursuant to this </w:t>
      </w:r>
      <w:r>
        <w:rPr>
          <w:rFonts w:ascii="Arial" w:cs="Arial" w:eastAsia="Arial" w:hAnsi="Arial"/>
          <w:sz w:val="14"/>
          <w:szCs w:val="14"/>
          <w:u w:val="single" w:color="auto"/>
          <w:color w:val="auto"/>
        </w:rPr>
        <w:t>Section 3.08</w:t>
      </w:r>
      <w:r>
        <w:rPr>
          <w:rFonts w:ascii="Arial" w:cs="Arial" w:eastAsia="Arial" w:hAnsi="Arial"/>
          <w:sz w:val="14"/>
          <w:szCs w:val="14"/>
          <w:color w:val="auto"/>
        </w:rPr>
        <w:t>. To the extent that Acquiror, First Merger Sub, Second Merger Sub, the Company, the Surviving Entity and the Surviving Company or any of their respective Affiliates withholds such amounts with respect to any Person and properly remits such withheld amounts to the applicable Governmental Authority, such withheld amounts shall be treated as having been paid to or on behalf of such Person for all purposes. In the case of any such payment payable to employees of the Company or its Affiliates in connection with the Mergers treated as compensation, the parties shall cooperate to pay such amounts through the Company’s or its Affiliate’s payroll to facilitate applicable withholding.</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jc w:val="both"/>
        <w:ind w:left="4" w:firstLine="574"/>
        <w:spacing w:after="0" w:line="299" w:lineRule="auto"/>
        <w:rPr>
          <w:sz w:val="20"/>
          <w:szCs w:val="20"/>
          <w:color w:val="auto"/>
        </w:rPr>
      </w:pPr>
      <w:r>
        <w:rPr>
          <w:rFonts w:ascii="Arial" w:cs="Arial" w:eastAsia="Arial" w:hAnsi="Arial"/>
          <w:sz w:val="14"/>
          <w:szCs w:val="14"/>
          <w:b w:val="1"/>
          <w:bCs w:val="1"/>
          <w:color w:val="auto"/>
        </w:rPr>
        <w:t xml:space="preserve">Section 3.09 </w:t>
      </w:r>
      <w:r>
        <w:rPr>
          <w:rFonts w:ascii="Arial" w:cs="Arial" w:eastAsia="Arial" w:hAnsi="Arial"/>
          <w:sz w:val="14"/>
          <w:szCs w:val="14"/>
          <w:b w:val="1"/>
          <w:bCs w:val="1"/>
          <w:u w:val="single" w:color="auto"/>
          <w:color w:val="auto"/>
        </w:rPr>
        <w:t>Cash in Lieu of Fractional Shares</w:t>
      </w:r>
      <w:r>
        <w:rPr>
          <w:rFonts w:ascii="Arial" w:cs="Arial" w:eastAsia="Arial" w:hAnsi="Arial"/>
          <w:sz w:val="14"/>
          <w:szCs w:val="14"/>
          <w:color w:val="auto"/>
        </w:rPr>
        <w:t>. Notwithstanding anything to the contrary contained herein, no certificates or scrip representing fractional shares of</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Acquiror Common Stock shall be issued upon the conversion of Company Common Stock pursuant to </w:t>
      </w:r>
      <w:r>
        <w:rPr>
          <w:rFonts w:ascii="Arial" w:cs="Arial" w:eastAsia="Arial" w:hAnsi="Arial"/>
          <w:sz w:val="14"/>
          <w:szCs w:val="14"/>
          <w:u w:val="single" w:color="auto"/>
          <w:color w:val="auto"/>
        </w:rPr>
        <w:t>Section 3.01(c)(i)</w:t>
      </w:r>
      <w:r>
        <w:rPr>
          <w:rFonts w:ascii="Arial" w:cs="Arial" w:eastAsia="Arial" w:hAnsi="Arial"/>
          <w:sz w:val="14"/>
          <w:szCs w:val="14"/>
          <w:color w:val="auto"/>
        </w:rPr>
        <w:t xml:space="preserve">, and such fractional share interests shall not entitle the owner thereof to vote or to any other rights of a holder of Acquiror Common Stock. In lieu of the issuance of any such fractional share, Acquiror shall pay to each former holder of Company Common Stock who otherwise would be entitled to receive such fractional share an amount in cash, without interest, equal to the product of (i) the amount of the fractional share interest in a share of Acquiror Common Stock to which such holder otherwise would have been entitled but for this </w:t>
      </w:r>
      <w:r>
        <w:rPr>
          <w:rFonts w:ascii="Arial" w:cs="Arial" w:eastAsia="Arial" w:hAnsi="Arial"/>
          <w:sz w:val="14"/>
          <w:szCs w:val="14"/>
          <w:u w:val="single" w:color="auto"/>
          <w:color w:val="auto"/>
        </w:rPr>
        <w:t>Section 3.09</w:t>
      </w:r>
      <w:r>
        <w:rPr>
          <w:rFonts w:ascii="Arial" w:cs="Arial" w:eastAsia="Arial" w:hAnsi="Arial"/>
          <w:sz w:val="14"/>
          <w:szCs w:val="14"/>
          <w:color w:val="auto"/>
        </w:rPr>
        <w:t xml:space="preserve"> multiplied by (ii) an amount equal to the VWAP of shares of Acquiror Common Stock for the twenty (20) Trading Days prior to the date that is three (3) Business Days prior to the Closing.</w:t>
      </w:r>
    </w:p>
    <w:p>
      <w:pPr>
        <w:spacing w:after="0" w:line="135" w:lineRule="exact"/>
        <w:rPr>
          <w:sz w:val="20"/>
          <w:szCs w:val="20"/>
          <w:color w:val="auto"/>
        </w:rPr>
      </w:pPr>
    </w:p>
    <w:p>
      <w:pPr>
        <w:ind w:left="564"/>
        <w:spacing w:after="0"/>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u w:val="single" w:color="auto"/>
          <w:color w:val="auto"/>
        </w:rPr>
        <w:t>Payment of Expenses</w:t>
      </w:r>
      <w:r>
        <w:rPr>
          <w:rFonts w:ascii="Arial" w:cs="Arial" w:eastAsia="Arial" w:hAnsi="Arial"/>
          <w:sz w:val="16"/>
          <w:szCs w:val="16"/>
          <w:color w:val="auto"/>
        </w:rPr>
        <w:t>.</w:t>
      </w:r>
    </w:p>
    <w:p>
      <w:pPr>
        <w:spacing w:after="0" w:line="202" w:lineRule="exact"/>
        <w:rPr>
          <w:sz w:val="20"/>
          <w:szCs w:val="20"/>
          <w:color w:val="auto"/>
        </w:rPr>
      </w:pPr>
    </w:p>
    <w:p>
      <w:pPr>
        <w:jc w:val="both"/>
        <w:ind w:left="4" w:right="20" w:firstLine="1143"/>
        <w:spacing w:after="0" w:line="292" w:lineRule="auto"/>
        <w:tabs>
          <w:tab w:leader="none" w:pos="1368" w:val="left"/>
        </w:tabs>
        <w:numPr>
          <w:ilvl w:val="1"/>
          <w:numId w:val="23"/>
        </w:numPr>
        <w:rPr>
          <w:rFonts w:ascii="Arial" w:cs="Arial" w:eastAsia="Arial" w:hAnsi="Arial"/>
          <w:sz w:val="14"/>
          <w:szCs w:val="14"/>
          <w:color w:val="auto"/>
        </w:rPr>
      </w:pPr>
      <w:r>
        <w:rPr>
          <w:rFonts w:ascii="Arial" w:cs="Arial" w:eastAsia="Arial" w:hAnsi="Arial"/>
          <w:sz w:val="14"/>
          <w:szCs w:val="14"/>
          <w:color w:val="auto"/>
        </w:rPr>
        <w:t>No sooner than five (5), or later than two (2), Business Days prior to the Closing Date, the Company shall provide to Acquiror a written report setting forth a list of the following fees and expenses incurred (or estimated to be incurred) by or on behalf of the Company or the Company Stockholders in connection with the preparation, negotiation and execution of this Agreement and the consummation of the transactions contemplated hereby (together with written invoices, wire transfer instructions for the payment thereof, and any other document reasonably requested by Acquiror in connection with the Outstanding Company Expenses), solely to the extent such fees and expenses are incurred and expected to remain unpaid as of the close of business on the Business Day immediately preceding the Closing Date: (i) the fees and disbursements of outside counsel to the Company or the Company Stockholders incurred in connection with the Transactions, (ii) the fees and expenses of any other agents, advisors, consultants, experts and financial advisors employed by the Company in connection with the Transactions (including, for the avoidance of doubt, audit and pre-audit consulting expenses) and (iii) fifty percent of the Joint Fees (collectively, the “</w:t>
      </w:r>
      <w:r>
        <w:rPr>
          <w:rFonts w:ascii="Arial" w:cs="Arial" w:eastAsia="Arial" w:hAnsi="Arial"/>
          <w:sz w:val="14"/>
          <w:szCs w:val="14"/>
          <w:u w:val="single" w:color="auto"/>
          <w:color w:val="auto"/>
        </w:rPr>
        <w:t>Outstanding Company Expenses</w:t>
      </w:r>
      <w:r>
        <w:rPr>
          <w:rFonts w:ascii="Arial" w:cs="Arial" w:eastAsia="Arial" w:hAnsi="Arial"/>
          <w:sz w:val="14"/>
          <w:szCs w:val="14"/>
          <w:color w:val="auto"/>
        </w:rPr>
        <w:t xml:space="preserve">”). On the Closing Date following the Closing, Acquiror shall pay or cause to be paid by wire transfer of immediately available funds all such Outstanding Company Expenses. A good faith estimate of the Outstanding Company Expenses is set forth on </w:t>
      </w:r>
      <w:r>
        <w:rPr>
          <w:rFonts w:ascii="Arial" w:cs="Arial" w:eastAsia="Arial" w:hAnsi="Arial"/>
          <w:sz w:val="14"/>
          <w:szCs w:val="14"/>
          <w:u w:val="single" w:color="auto"/>
          <w:color w:val="auto"/>
        </w:rPr>
        <w:t>Schedule</w:t>
      </w:r>
      <w:r>
        <w:rPr>
          <w:rFonts w:ascii="Arial" w:cs="Arial" w:eastAsia="Arial" w:hAnsi="Arial"/>
          <w:sz w:val="14"/>
          <w:szCs w:val="14"/>
          <w:color w:val="auto"/>
        </w:rPr>
        <w:t xml:space="preserve"> </w:t>
      </w:r>
      <w:r>
        <w:rPr>
          <w:rFonts w:ascii="Arial" w:cs="Arial" w:eastAsia="Arial" w:hAnsi="Arial"/>
          <w:sz w:val="14"/>
          <w:szCs w:val="14"/>
          <w:u w:val="single" w:color="auto"/>
          <w:color w:val="auto"/>
        </w:rPr>
        <w:t>3.10(a)</w:t>
      </w:r>
      <w:r>
        <w:rPr>
          <w:rFonts w:ascii="Arial" w:cs="Arial" w:eastAsia="Arial" w:hAnsi="Arial"/>
          <w:sz w:val="14"/>
          <w:szCs w:val="14"/>
          <w:color w:val="auto"/>
        </w:rPr>
        <w:t>. The Company shall promptly provide Acquiror with written notice of any expected changes to such estimate that exceeds $500,000.</w:t>
      </w:r>
    </w:p>
    <w:p>
      <w:pPr>
        <w:spacing w:after="0" w:line="144" w:lineRule="exact"/>
        <w:rPr>
          <w:rFonts w:ascii="Arial" w:cs="Arial" w:eastAsia="Arial" w:hAnsi="Arial"/>
          <w:sz w:val="14"/>
          <w:szCs w:val="14"/>
          <w:color w:val="auto"/>
        </w:rPr>
      </w:pPr>
    </w:p>
    <w:p>
      <w:pPr>
        <w:jc w:val="both"/>
        <w:ind w:left="4" w:firstLine="1143"/>
        <w:spacing w:after="0" w:line="288" w:lineRule="auto"/>
        <w:tabs>
          <w:tab w:leader="none" w:pos="1390" w:val="left"/>
        </w:tabs>
        <w:numPr>
          <w:ilvl w:val="1"/>
          <w:numId w:val="23"/>
        </w:numPr>
        <w:rPr>
          <w:rFonts w:ascii="Arial" w:cs="Arial" w:eastAsia="Arial" w:hAnsi="Arial"/>
          <w:sz w:val="14"/>
          <w:szCs w:val="14"/>
          <w:color w:val="auto"/>
        </w:rPr>
      </w:pPr>
      <w:r>
        <w:rPr>
          <w:rFonts w:ascii="Arial" w:cs="Arial" w:eastAsia="Arial" w:hAnsi="Arial"/>
          <w:sz w:val="14"/>
          <w:szCs w:val="14"/>
          <w:color w:val="auto"/>
        </w:rPr>
        <w:t>No sooner than five (5), or later than two (2), Business Days prior to the Closing Date, Acquiror shall provide to the Company a written report setting forth a list of the following fees and expenses incurred (or estimated to be incurred) by or on behalf of the Acquiror, First Merger Sub, Second Merger Sub or the Sponsors in connection with the preparation, negotiation and execution of this Agreement and the consummation of the transactions contemplated hereby (together with written invoices, wire transfer instructions for the payment thereof, and any other document reasonably requested by the Company in connection with the Outstanding Acquiror Expenses), solely to the extent such fees and expenses are incurred and expected to remain unpaid as of the close of business on the Business Day immediately preceding the Closing Date:</w:t>
      </w:r>
    </w:p>
    <w:p>
      <w:pPr>
        <w:spacing w:after="0" w:line="2" w:lineRule="exact"/>
        <w:rPr>
          <w:rFonts w:ascii="Arial" w:cs="Arial" w:eastAsia="Arial" w:hAnsi="Arial"/>
          <w:sz w:val="14"/>
          <w:szCs w:val="14"/>
          <w:color w:val="auto"/>
        </w:rPr>
      </w:pPr>
    </w:p>
    <w:p>
      <w:pPr>
        <w:jc w:val="both"/>
        <w:ind w:left="4" w:hanging="4"/>
        <w:spacing w:after="0" w:line="269" w:lineRule="auto"/>
        <w:tabs>
          <w:tab w:leader="none" w:pos="2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fees and disbursements of outside counsel to Acquiror, First Merger Sub, Second Merger Sub or the Sponsors incurred in connection with the Transactions, (ii) the fees and expenses of any other agents, advisors, experts and financial advisors employed by Acquiror, First Merger Sub, Second Merger Sub or the Sponsors in connection with the Transactions (which excludes, for the avoidance of any doubt, the fees payable pursuant to the business combination marketing agreement executed by Acquiror and Chardan Capital Markets, LLC on December 23, 2020), (iii) fifty percent of the Joint Fees, and (iv) the fees, premiums, costs, and expenses relating to the D&amp;O Tail (collectively, the “</w:t>
      </w:r>
      <w:r>
        <w:rPr>
          <w:rFonts w:ascii="Arial" w:cs="Arial" w:eastAsia="Arial" w:hAnsi="Arial"/>
          <w:sz w:val="15"/>
          <w:szCs w:val="15"/>
          <w:u w:val="single" w:color="auto"/>
          <w:color w:val="auto"/>
        </w:rPr>
        <w:t>Outstanding Acquiror Expenses</w:t>
      </w:r>
      <w:r>
        <w:rPr>
          <w:rFonts w:ascii="Arial" w:cs="Arial" w:eastAsia="Arial" w:hAnsi="Arial"/>
          <w:sz w:val="15"/>
          <w:szCs w:val="15"/>
          <w:color w:val="auto"/>
        </w:rPr>
        <w:t xml:space="preserve">”). On the Closing Date following the Closing, Acquiror shall pay or cause to be paid by wire transfer of immediately available funds all such Outstanding Acquiror Expenses. A good faith estimate of the Outstanding Acquiror Expenses is set forth on </w:t>
      </w:r>
      <w:r>
        <w:rPr>
          <w:rFonts w:ascii="Arial" w:cs="Arial" w:eastAsia="Arial" w:hAnsi="Arial"/>
          <w:sz w:val="15"/>
          <w:szCs w:val="15"/>
          <w:u w:val="single" w:color="auto"/>
          <w:color w:val="auto"/>
        </w:rPr>
        <w:t>Schedule 3.10(b)</w:t>
      </w:r>
      <w:r>
        <w:rPr>
          <w:rFonts w:ascii="Arial" w:cs="Arial" w:eastAsia="Arial" w:hAnsi="Arial"/>
          <w:sz w:val="15"/>
          <w:szCs w:val="15"/>
          <w:color w:val="auto"/>
        </w:rPr>
        <w:t>. Acquiror shall promptly provide the Company with written notice of any expected changes to such estimate that exceeds $500,000. If the Outstanding Acquiror Expenses exceed $12,000,000, the Sponsors will reimburse Acquiror for such excess amount pursuant to the terms of the Sponsor Agreement.</w:t>
      </w:r>
    </w:p>
    <w:p>
      <w:pPr>
        <w:spacing w:after="0" w:line="35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0" w:name="page41"/>
    <w:bookmarkEnd w:id="40"/>
    <w:p>
      <w:pPr>
        <w:jc w:val="both"/>
        <w:ind w:firstLine="574"/>
        <w:spacing w:after="0" w:line="269" w:lineRule="auto"/>
        <w:rPr>
          <w:sz w:val="20"/>
          <w:szCs w:val="20"/>
          <w:color w:val="auto"/>
        </w:rPr>
      </w:pPr>
      <w:r>
        <w:rPr>
          <w:rFonts w:ascii="Arial" w:cs="Arial" w:eastAsia="Arial" w:hAnsi="Arial"/>
          <w:sz w:val="15"/>
          <w:szCs w:val="15"/>
          <w:b w:val="1"/>
          <w:bCs w:val="1"/>
          <w:color w:val="auto"/>
        </w:rPr>
        <w:t xml:space="preserve">Section 3.11 </w:t>
      </w:r>
      <w:r>
        <w:rPr>
          <w:rFonts w:ascii="Arial" w:cs="Arial" w:eastAsia="Arial" w:hAnsi="Arial"/>
          <w:sz w:val="15"/>
          <w:szCs w:val="15"/>
          <w:b w:val="1"/>
          <w:bCs w:val="1"/>
          <w:u w:val="single" w:color="auto"/>
          <w:color w:val="auto"/>
        </w:rPr>
        <w:t>Dissenting Shares</w:t>
      </w:r>
      <w:r>
        <w:rPr>
          <w:rFonts w:ascii="Arial" w:cs="Arial" w:eastAsia="Arial" w:hAnsi="Arial"/>
          <w:sz w:val="15"/>
          <w:szCs w:val="15"/>
          <w:color w:val="auto"/>
        </w:rPr>
        <w:t>. Notwithstanding anything in this Agreement to the contrary, shares of Company Common Stock and Company Preferred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outstanding immediately prior to the Effective Time and owned by a holder who is entitled to: demand and has properly demanded appraisal for such shares in accordance with, and who complies in all respects with, Section 262 of the DGCL (such shares, “</w:t>
      </w:r>
      <w:r>
        <w:rPr>
          <w:rFonts w:ascii="Arial" w:cs="Arial" w:eastAsia="Arial" w:hAnsi="Arial"/>
          <w:sz w:val="15"/>
          <w:szCs w:val="15"/>
          <w:u w:val="single" w:color="auto"/>
          <w:color w:val="auto"/>
        </w:rPr>
        <w:t>Dissenting Shares</w:t>
      </w:r>
      <w:r>
        <w:rPr>
          <w:rFonts w:ascii="Arial" w:cs="Arial" w:eastAsia="Arial" w:hAnsi="Arial"/>
          <w:sz w:val="15"/>
          <w:szCs w:val="15"/>
          <w:color w:val="auto"/>
        </w:rPr>
        <w:t xml:space="preserve">”) shall not be converted into the right to receive the Per Share Merger Consideration, and shall instead represent the right to receive payment of the fair value of such Dissenting Shares in accordance with and to the extent provided by Section 262 of the DGCL. At the Effective Time, (i) all Dissenting Shares shall be cancelled, extinguished and cease to exist and (ii) the holders of Dissenting Shares shall be entitled only to such rights as may be granted to them under the DGCL. If any such holder fails to perfect or otherwise waives, withdraws or loses such holder’s right to appraisal under Section 262 of the DGCL or other applicable Law, then the right of such holder to be paid the fair value of such Dissenting Shares shall cease and such Dissenting Shares shall be deemed to have been converted, as of the Effective Time, into and shall be exchangeable solely for the right to receive the Per Share Merger Consideration in accordance with this </w:t>
      </w:r>
      <w:r>
        <w:rPr>
          <w:rFonts w:ascii="Arial" w:cs="Arial" w:eastAsia="Arial" w:hAnsi="Arial"/>
          <w:sz w:val="15"/>
          <w:szCs w:val="15"/>
          <w:u w:val="single" w:color="auto"/>
          <w:color w:val="auto"/>
        </w:rPr>
        <w:t>Article III</w:t>
      </w:r>
      <w:r>
        <w:rPr>
          <w:rFonts w:ascii="Arial" w:cs="Arial" w:eastAsia="Arial" w:hAnsi="Arial"/>
          <w:sz w:val="15"/>
          <w:szCs w:val="15"/>
          <w:color w:val="auto"/>
        </w:rPr>
        <w:t>. The Company shall give Acquiror prompt notice (and in any event within two (2) Business Days) of any demands or notice of exercise received by the Company for appraisal of shares of Company Common Stock and Company Preferred Stock or dissenters’ rights, attempted withdrawals of such demands, notices, and any other instruments served pursuant to the DGCL and received by the Company relating to rights to be paid the fair value of Dissenting Shares, and Acquiror shall have the right to participate in and direct all negotiations and proceedings with respect to such demands. Prior to the Effective Time, the Company shall not, except with the prior written consent of Acquiror (which shall not be unreasonably withheld, delayed, or denied), make any payment with respect to, or settle or compromise or offer to settle or compromise, any such demands or waive any failure to timely deliver a written demand for appraisal or dissenters’ rights or otherwise comply with the provisions under Section 262 of the DGCL, or agree or commit to do any of the foregoing.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THE COMPANY</w:t>
      </w:r>
    </w:p>
    <w:p>
      <w:pPr>
        <w:spacing w:after="0" w:line="20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Except as set forth in the Schedules to this Agreement (each of which qualifies (a) the correspondingly numbered representation, warranty or covenant if specified therein and (b) such other representations, warranties or covenants where its relevance as an exception to (or disclosure for purposes of) such other representation, warranty or covenant is reasonably apparent), the Company represents and warrants to Acquiror, First Merger Sub and Second Merger Sub as follows: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4.01 </w:t>
      </w:r>
      <w:r>
        <w:rPr>
          <w:rFonts w:ascii="Arial" w:cs="Arial" w:eastAsia="Arial" w:hAnsi="Arial"/>
          <w:sz w:val="16"/>
          <w:szCs w:val="16"/>
          <w:b w:val="1"/>
          <w:bCs w:val="1"/>
          <w:u w:val="single" w:color="auto"/>
          <w:color w:val="auto"/>
        </w:rPr>
        <w:t>Corporate Organization of the Company</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87" w:lineRule="auto"/>
        <w:tabs>
          <w:tab w:leader="none" w:pos="1364"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has been duly incorporated, is validly existing and in good standing under the Laws of the State of Delaware and has the requisite power and authority to own, lease and operate its assets and properties and to conduct its business as it is now being conducted. The certificate of incorporation and by-laws of the Company previously made available by the Company to Acquiror are true, correct and complete and are in effect as of the date of this Agreement.</w:t>
      </w:r>
    </w:p>
    <w:p>
      <w:pPr>
        <w:spacing w:after="0" w:line="146" w:lineRule="exact"/>
        <w:rPr>
          <w:rFonts w:ascii="Arial" w:cs="Arial" w:eastAsia="Arial" w:hAnsi="Arial"/>
          <w:sz w:val="15"/>
          <w:szCs w:val="15"/>
          <w:color w:val="auto"/>
        </w:rPr>
      </w:pPr>
    </w:p>
    <w:p>
      <w:pPr>
        <w:jc w:val="both"/>
        <w:ind w:right="20" w:firstLine="1143"/>
        <w:spacing w:after="0" w:line="262" w:lineRule="auto"/>
        <w:tabs>
          <w:tab w:leader="none" w:pos="137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is licensed or duly qualified and in good standing as a foreign company in each jurisdiction in which the ownership of its property or the character of its activities is such as to require it to be so licensed or qualified or in good standing, except where the failure to be so licensed or qualified has not had and would not, individually or in the aggregate, reasonably be expected to have a Material Adverse Effect.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1" w:name="page42"/>
    <w:bookmarkEnd w:id="41"/>
    <w:p>
      <w:pPr>
        <w:ind w:left="560"/>
        <w:spacing w:after="0"/>
        <w:rPr>
          <w:sz w:val="20"/>
          <w:szCs w:val="20"/>
          <w:color w:val="auto"/>
        </w:rPr>
      </w:pPr>
      <w:r>
        <w:rPr>
          <w:rFonts w:ascii="Arial" w:cs="Arial" w:eastAsia="Arial" w:hAnsi="Arial"/>
          <w:sz w:val="16"/>
          <w:szCs w:val="16"/>
          <w:b w:val="1"/>
          <w:bCs w:val="1"/>
          <w:color w:val="auto"/>
        </w:rPr>
        <w:t xml:space="preserve">Section 4.02 </w:t>
      </w:r>
      <w:r>
        <w:rPr>
          <w:rFonts w:ascii="Arial" w:cs="Arial" w:eastAsia="Arial" w:hAnsi="Arial"/>
          <w:sz w:val="16"/>
          <w:szCs w:val="16"/>
          <w:b w:val="1"/>
          <w:bCs w:val="1"/>
          <w:u w:val="single" w:color="auto"/>
          <w:color w:val="auto"/>
        </w:rPr>
        <w:t>Subsidiaries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89" w:lineRule="auto"/>
        <w:tabs>
          <w:tab w:leader="none" w:pos="1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The Subsidiaries of the Company as of the date hereof, together with their jurisdiction of incorporation or organization, as applicable, are set forth on </w:t>
      </w:r>
      <w:r>
        <w:rPr>
          <w:rFonts w:ascii="Arial" w:cs="Arial" w:eastAsia="Arial" w:hAnsi="Arial"/>
          <w:sz w:val="14"/>
          <w:szCs w:val="14"/>
          <w:u w:val="single" w:color="auto"/>
          <w:color w:val="auto"/>
        </w:rPr>
        <w:t>Schedule 4.02</w:t>
      </w:r>
      <w:r>
        <w:rPr>
          <w:rFonts w:ascii="Arial" w:cs="Arial" w:eastAsia="Arial" w:hAnsi="Arial"/>
          <w:sz w:val="14"/>
          <w:szCs w:val="14"/>
          <w:color w:val="auto"/>
        </w:rPr>
        <w:t xml:space="preserve">, including, as of such date, a description of the capitalization of each such Subsidiary and the names of the record owners of all securities and other equity interests in each Subsidiary. Each Subsidiary of the Company has been duly formed or organized and is validly existing under the Laws of its jurisdiction of incorporation or organization and has the organizational power and authority to own, lease and operate its assets and properties and to conduct its business as it is now being conducted, in each case, except where the failure to be so licensed or qualified has not had and would not, individually or in the aggregate, reasonably be expected to have a Material Adverse Effect. Each Subsidiary of the Company is duly licensed or qualified and in good standing as a foreign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would not, individually or in the aggregate, reasonably be expected to have a Material Adverse Effect. Complete and correct copies of the principal organizational documents of each Subsidiary listed on </w:t>
      </w:r>
      <w:r>
        <w:rPr>
          <w:rFonts w:ascii="Arial" w:cs="Arial" w:eastAsia="Arial" w:hAnsi="Arial"/>
          <w:sz w:val="14"/>
          <w:szCs w:val="14"/>
          <w:u w:val="single" w:color="auto"/>
          <w:color w:val="auto"/>
        </w:rPr>
        <w:t>Schedule 4.02</w:t>
      </w:r>
      <w:r>
        <w:rPr>
          <w:rFonts w:ascii="Arial" w:cs="Arial" w:eastAsia="Arial" w:hAnsi="Arial"/>
          <w:sz w:val="14"/>
          <w:szCs w:val="14"/>
          <w:color w:val="auto"/>
        </w:rPr>
        <w:t>, as amended and currently in effect, have been made available to Acquiror. No Subsidiary of the Company is in violation of any of the provisions pursuant to its organizational documents. (b) As of the date hereof, except for the Company’s or any of its Subsidiaries’ ownership interest in such Subsidiaries, neither the Company nor its Subsidiaries own any capital stock or any other equity interests in any other Person or has any right, option, warrant, conversion right, stock appreciation right, redemption right, repurchase right, agreement, arrangement or commitment of any character under which a Person is or may become obligated to issue or sell, or give any right to subscribe for or acquire, or in any way dispose of, any shares of the capital stock or other equity interests, or any securities or obligations exercisable or exchangeable for or convertible into any shares of the capital stock or other equity interests, of such Person.</w:t>
      </w:r>
    </w:p>
    <w:p>
      <w:pPr>
        <w:spacing w:after="0" w:line="150" w:lineRule="exact"/>
        <w:rPr>
          <w:sz w:val="20"/>
          <w:szCs w:val="20"/>
          <w:color w:val="auto"/>
        </w:rPr>
      </w:pPr>
    </w:p>
    <w:p>
      <w:pPr>
        <w:jc w:val="both"/>
        <w:ind w:right="20" w:firstLine="574"/>
        <w:spacing w:after="0" w:line="292" w:lineRule="auto"/>
        <w:rPr>
          <w:sz w:val="20"/>
          <w:szCs w:val="20"/>
          <w:color w:val="auto"/>
        </w:rPr>
      </w:pPr>
      <w:r>
        <w:rPr>
          <w:rFonts w:ascii="Arial" w:cs="Arial" w:eastAsia="Arial" w:hAnsi="Arial"/>
          <w:sz w:val="14"/>
          <w:szCs w:val="14"/>
          <w:b w:val="1"/>
          <w:bCs w:val="1"/>
          <w:color w:val="auto"/>
        </w:rPr>
        <w:t xml:space="preserve">Section 4.03 </w:t>
      </w:r>
      <w:r>
        <w:rPr>
          <w:rFonts w:ascii="Arial" w:cs="Arial" w:eastAsia="Arial" w:hAnsi="Arial"/>
          <w:sz w:val="14"/>
          <w:szCs w:val="14"/>
          <w:b w:val="1"/>
          <w:bCs w:val="1"/>
          <w:u w:val="single" w:color="auto"/>
          <w:color w:val="auto"/>
        </w:rPr>
        <w:t>Due Authorization</w:t>
      </w:r>
      <w:r>
        <w:rPr>
          <w:rFonts w:ascii="Arial" w:cs="Arial" w:eastAsia="Arial" w:hAnsi="Arial"/>
          <w:sz w:val="14"/>
          <w:szCs w:val="14"/>
          <w:color w:val="auto"/>
        </w:rPr>
        <w:t>. The Company has all requisite corporate power and authority to execute and deliver this Agreement and each ancillary agreement to</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to which it is a party and (subject to receipt of the Company Requisite Approval) to perform its obligations hereunder and thereunder and to consummate the transactions contemplated hereby and thereby. The execution, delivery and performance of this Agreement and such ancillary agreements and the consummation of the transactions contemplated hereby and thereby have been duly and validly authorized and approved by the Company Board and upon receipt of the Company Requisite Approval, no other company proceeding on the part of the Company is necessary to authorize this Agreement or such ancillary agreements or the Company’s performance hereunder or thereunder. This Agreement has been, and each such ancillary agreement will be, duly and validly executed and delivered by the Company and, assuming due authorization and execution by each other party hereto and thereto, constitutes, or will constitute, as applicable,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 The Company Requisite Approval is the only vote of the holders of any class or series of capital stock of the Company required to approve and adopt this Agreement and approve the transactions contemplated hereby.</w:t>
      </w:r>
    </w:p>
    <w:p>
      <w:pPr>
        <w:spacing w:after="0" w:line="144"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b w:val="1"/>
          <w:bCs w:val="1"/>
          <w:color w:val="auto"/>
        </w:rPr>
        <w:t xml:space="preserve">Section 4.04 </w:t>
      </w:r>
      <w:r>
        <w:rPr>
          <w:rFonts w:ascii="Arial" w:cs="Arial" w:eastAsia="Arial" w:hAnsi="Arial"/>
          <w:sz w:val="15"/>
          <w:szCs w:val="15"/>
          <w:b w:val="1"/>
          <w:bCs w:val="1"/>
          <w:u w:val="single" w:color="auto"/>
          <w:color w:val="auto"/>
        </w:rPr>
        <w:t>No Conflict</w:t>
      </w:r>
      <w:r>
        <w:rPr>
          <w:rFonts w:ascii="Arial" w:cs="Arial" w:eastAsia="Arial" w:hAnsi="Arial"/>
          <w:sz w:val="15"/>
          <w:szCs w:val="15"/>
          <w:color w:val="auto"/>
        </w:rPr>
        <w:t>. Subject to the receipt of the consents, approvals, authorizations and other requirements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4.05</w:t>
      </w:r>
      <w:r>
        <w:rPr>
          <w:rFonts w:ascii="Arial" w:cs="Arial" w:eastAsia="Arial" w:hAnsi="Arial"/>
          <w:sz w:val="15"/>
          <w:szCs w:val="15"/>
          <w:b w:val="1"/>
          <w:bCs w:val="1"/>
          <w:color w:val="auto"/>
        </w:rPr>
        <w:t xml:space="preserve"> </w:t>
      </w:r>
      <w:r>
        <w:rPr>
          <w:rFonts w:ascii="Arial" w:cs="Arial" w:eastAsia="Arial" w:hAnsi="Arial"/>
          <w:sz w:val="15"/>
          <w:szCs w:val="15"/>
          <w:color w:val="auto"/>
        </w:rPr>
        <w:t>or 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4.05</w:t>
      </w:r>
      <w:r>
        <w:rPr>
          <w:rFonts w:ascii="Arial" w:cs="Arial" w:eastAsia="Arial" w:hAnsi="Arial"/>
          <w:sz w:val="15"/>
          <w:szCs w:val="15"/>
          <w:color w:val="auto"/>
        </w:rPr>
        <w:t>,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execution, delivery and performance of this Agreement and each ancillary agreement to this Agreement to which it is a party by the Company and the consummation of the transactions contemplated hereby do not and will not (a) conflict with or violate any provision of, or result in the breach of, the certificate of formation, bylaws or other organizational documents of the Company or its Subsidiaries, (b) conflict with or result in any violation of any provision of any Law, Permit or Governmental Order applicable to the Company or its Subsidiaries, or any of their respective properties or assets, (c) violate, conflict with, result in a breach of any provision of or the loss of any benefit under, constitute a default (or an event which, with notice or lapse of time, or both, would constitute a default) under, or result in the termination or acceleration of, or a right of termination, cancellation, modification, acceleration or amendment under, accelerate the performance required by, or result in the acceleration or trigger of any payment, posting of collateral (or right to require the posting of collateral), time of payment, vesting or increase in the amount of any compensation or benefit payable pursuant to, any of the terms, conditions or provisions of any Contract set forth on </w:t>
      </w:r>
      <w:r>
        <w:rPr>
          <w:rFonts w:ascii="Arial" w:cs="Arial" w:eastAsia="Arial" w:hAnsi="Arial"/>
          <w:sz w:val="15"/>
          <w:szCs w:val="15"/>
          <w:u w:val="single" w:color="auto"/>
          <w:color w:val="auto"/>
        </w:rPr>
        <w:t>Schedule 4.12(a)</w:t>
      </w:r>
      <w:r>
        <w:rPr>
          <w:rFonts w:ascii="Arial" w:cs="Arial" w:eastAsia="Arial" w:hAnsi="Arial"/>
          <w:sz w:val="15"/>
          <w:szCs w:val="15"/>
          <w:color w:val="auto"/>
        </w:rPr>
        <w:t>, or any Real Estate Document, to which the Company or its Subsidiaries is a party or by which any of them or any of their respective assets or properties may be bound or affected or (d) result in the creation of any Lien upon any of the properties, equity interests or assets of the Company or its Subsidiaries, except (in the case of clauses (b), (c) or (d) above) for such violations, conflicts, breaches, defaults, terminations, accelerations, cancellations, modifications, amendments, payments, postings or Liens which would not, individually or in the aggregate, reasonably be expected to have a Material Adverse Effect.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2" w:name="page43"/>
    <w:bookmarkEnd w:id="42"/>
    <w:p>
      <w:pPr>
        <w:jc w:val="both"/>
        <w:ind w:right="20" w:firstLine="574"/>
        <w:spacing w:after="0" w:line="255" w:lineRule="auto"/>
        <w:rPr>
          <w:sz w:val="20"/>
          <w:szCs w:val="20"/>
          <w:color w:val="auto"/>
        </w:rPr>
      </w:pPr>
      <w:r>
        <w:rPr>
          <w:rFonts w:ascii="Arial" w:cs="Arial" w:eastAsia="Arial" w:hAnsi="Arial"/>
          <w:sz w:val="16"/>
          <w:szCs w:val="16"/>
          <w:b w:val="1"/>
          <w:bCs w:val="1"/>
          <w:color w:val="auto"/>
        </w:rPr>
        <w:t xml:space="preserve">Section 4.05 </w:t>
      </w:r>
      <w:r>
        <w:rPr>
          <w:rFonts w:ascii="Arial" w:cs="Arial" w:eastAsia="Arial" w:hAnsi="Arial"/>
          <w:sz w:val="16"/>
          <w:szCs w:val="16"/>
          <w:b w:val="1"/>
          <w:bCs w:val="1"/>
          <w:u w:val="single" w:color="auto"/>
          <w:color w:val="auto"/>
        </w:rPr>
        <w:t>Governmental Authorities; Consents</w:t>
      </w:r>
      <w:r>
        <w:rPr>
          <w:rFonts w:ascii="Arial" w:cs="Arial" w:eastAsia="Arial" w:hAnsi="Arial"/>
          <w:sz w:val="16"/>
          <w:szCs w:val="16"/>
          <w:color w:val="auto"/>
        </w:rPr>
        <w:t>. No consent, approval or authorization of, or designation, declaration or filing with, any Governmental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notice, approval, consent waiver or authorization from any Governmental Authority is required on the part of the Company with respect to the Company’s execution, delivery or performance of this Agreement or the consummation of the transactions contemplated hereby, except for (a) applicable requirements of the HSR Act and any other applicable Antitrust Law, (b) any consents, approvals, authorizations, designations, declarations, waivers or filings, the absence of which would not, individually or in the aggregate, reasonably be expected to have a material adverse effect on the ability of the Company to consummate the Transactions and (c) as otherwise disclosed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4.05</w:t>
      </w:r>
      <w:r>
        <w:rPr>
          <w:rFonts w:ascii="Arial" w:cs="Arial" w:eastAsia="Arial" w:hAnsi="Arial"/>
          <w:sz w:val="16"/>
          <w:szCs w:val="16"/>
          <w:color w:val="auto"/>
        </w:rPr>
        <w: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4.06 </w:t>
      </w:r>
      <w:r>
        <w:rPr>
          <w:rFonts w:ascii="Arial" w:cs="Arial" w:eastAsia="Arial" w:hAnsi="Arial"/>
          <w:sz w:val="16"/>
          <w:szCs w:val="16"/>
          <w:b w:val="1"/>
          <w:bCs w:val="1"/>
          <w:u w:val="single" w:color="auto"/>
          <w:color w:val="auto"/>
        </w:rPr>
        <w:t>Capitalization</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88" w:lineRule="auto"/>
        <w:tabs>
          <w:tab w:leader="none" w:pos="1381"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authorized capital stock of the Company consists of (i) 51,339,368 shares of common stock (“</w:t>
      </w:r>
      <w:r>
        <w:rPr>
          <w:rFonts w:ascii="Arial" w:cs="Arial" w:eastAsia="Arial" w:hAnsi="Arial"/>
          <w:sz w:val="14"/>
          <w:szCs w:val="14"/>
          <w:u w:val="single" w:color="auto"/>
          <w:color w:val="auto"/>
        </w:rPr>
        <w:t>Company Common Stock</w:t>
      </w:r>
      <w:r>
        <w:rPr>
          <w:rFonts w:ascii="Arial" w:cs="Arial" w:eastAsia="Arial" w:hAnsi="Arial"/>
          <w:sz w:val="14"/>
          <w:szCs w:val="14"/>
          <w:color w:val="auto"/>
        </w:rPr>
        <w:t xml:space="preserve">”), which consists of (A) 50,674,000 shares of Company Voting Common Stock, 5,064,423 of which are issued and outstanding as of the date of this Agreement, (B) 665,368 shares of Company Non-Voting Common Stock, 165,368 of which are issued and outstanding as of the date of this Agreement and (ii) 30,752,578 shares of the Company Preferred Stock, (A) 9,410,799 shares of which are designated Company Series A Preferred Stock, 8,621,800 of which are issued and outstanding at the date of this Agreement, (B) 1,131,190 shares of which are designated Company Series AA-1 Preferred Stock, 1,024,349 of which are issued and outstanding as of the date of this Agreement, (C) 169,083 shares of which are designated Company Series AA-2 Preferred Stock, 169,083 of which are issued and outstanding as of the date of this Agreement, (D) 10,364,829 shares of which are designated Company Series B Preferred Stock, 10,364,829 of which are issued and outstanding as of the date of this Agreement, (E) 4,619,282 shares of which are designated Company Series B-1 Preferred Stock, 4,619,282 of which are issued and outstanding as of the date of this Agreement, (F) 3,026,634 shares of which are designated Company Series C Preferred Stock, 1,513,316 of which are issued and outstanding as of the date of this Agreement and (G) 2,030,761 shares of which are designated Company Series C-1 Preferred Stock, 2,030,761 of which are issued and outstanding as of the date of this Agreement. All of the issued and outstanding shares of Company Common Stock and Company Preferred Stock (i) have been duly authorized and validly issued and are fully paid and nonassessable, (ii) were issued in compliance in all material respects with applicable Securities Law, (iii) were not issued in breach or violation of any preemptive rights or Contract, and (iv) are fully vested. Other than the Company Warrants set forth on </w:t>
      </w:r>
      <w:r>
        <w:rPr>
          <w:rFonts w:ascii="Arial" w:cs="Arial" w:eastAsia="Arial" w:hAnsi="Arial"/>
          <w:sz w:val="14"/>
          <w:szCs w:val="14"/>
          <w:u w:val="single" w:color="auto"/>
          <w:color w:val="auto"/>
        </w:rPr>
        <w:t>Schedule 4.06(a)</w:t>
      </w:r>
      <w:r>
        <w:rPr>
          <w:rFonts w:ascii="Arial" w:cs="Arial" w:eastAsia="Arial" w:hAnsi="Arial"/>
          <w:sz w:val="14"/>
          <w:szCs w:val="14"/>
          <w:color w:val="auto"/>
        </w:rPr>
        <w:t xml:space="preserve">, there are issued and outstanding Company Warrants to purchase an aggregate of (i) 367,360 shares of Company Voting Common Stock, (ii) 500,000 shares of Company Non-Voting Common Stock, (iii) 788,999 shares of Company Series A Preferred Stock, (iv) 106,841 shares of Company Series AA-1 Preferred Stock and (v) 224,909 shares of Company Series C Preferred Stock. All of the issued and outstanding Company Warrants (A) have been duly authorized and validly issued and constitute valid and binding obligations of the Company, enforceable against the Company in accordance with their terms, subject to applicable bankruptcy, insolvency, fraudulent conveyance, reorganization, moratorium and similar Laws affecting creditors’ rights generally and subject, as to enforceability, to general principles of equity and (B) have been offered, sold and issued in compliance with applicable Law, including federal and state securities Laws. Set forth on </w:t>
      </w:r>
      <w:r>
        <w:rPr>
          <w:rFonts w:ascii="Arial" w:cs="Arial" w:eastAsia="Arial" w:hAnsi="Arial"/>
          <w:sz w:val="14"/>
          <w:szCs w:val="14"/>
          <w:u w:val="single" w:color="auto"/>
          <w:color w:val="auto"/>
        </w:rPr>
        <w:t>Schedule 4.06(a)</w:t>
      </w:r>
      <w:r>
        <w:rPr>
          <w:rFonts w:ascii="Arial" w:cs="Arial" w:eastAsia="Arial" w:hAnsi="Arial"/>
          <w:sz w:val="14"/>
          <w:szCs w:val="14"/>
          <w:color w:val="auto"/>
        </w:rPr>
        <w:t xml:space="preserve"> is a true, correct and complete list of each holder of shares of Company Common Stock, Company Preferred Stock or other equity interests of the Company and the number of shares of Company Common Stock, Company Preferred Stock or other equity interests held by each such holder as of the date hereof. Except as set forth in this </w:t>
      </w:r>
      <w:r>
        <w:rPr>
          <w:rFonts w:ascii="Arial" w:cs="Arial" w:eastAsia="Arial" w:hAnsi="Arial"/>
          <w:sz w:val="14"/>
          <w:szCs w:val="14"/>
          <w:u w:val="single" w:color="auto"/>
          <w:color w:val="auto"/>
        </w:rPr>
        <w:t>Section 4.06,</w:t>
      </w:r>
      <w:r>
        <w:rPr>
          <w:rFonts w:ascii="Arial" w:cs="Arial" w:eastAsia="Arial" w:hAnsi="Arial"/>
          <w:sz w:val="14"/>
          <w:szCs w:val="14"/>
          <w:color w:val="auto"/>
        </w:rPr>
        <w:t xml:space="preserve"> set forth on </w:t>
      </w:r>
      <w:r>
        <w:rPr>
          <w:rFonts w:ascii="Arial" w:cs="Arial" w:eastAsia="Arial" w:hAnsi="Arial"/>
          <w:sz w:val="14"/>
          <w:szCs w:val="14"/>
          <w:u w:val="single" w:color="auto"/>
          <w:color w:val="auto"/>
        </w:rPr>
        <w:t>Schedule 4.06(a)</w:t>
      </w:r>
      <w:r>
        <w:rPr>
          <w:rFonts w:ascii="Arial" w:cs="Arial" w:eastAsia="Arial" w:hAnsi="Arial"/>
          <w:sz w:val="14"/>
          <w:szCs w:val="14"/>
          <w:color w:val="auto"/>
        </w:rPr>
        <w:t xml:space="preserve"> or Company Equity Awards, as of the date hereof there are no other shares of Company Common Stock, Company Preferred Stock, Company Warrants or other equity interests of the Company authorized, reserved, issued or outstanding.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3" w:name="page44"/>
    <w:bookmarkEnd w:id="43"/>
    <w:p>
      <w:pPr>
        <w:jc w:val="both"/>
        <w:ind w:left="4" w:right="20" w:firstLine="1143"/>
        <w:spacing w:after="0" w:line="287" w:lineRule="auto"/>
        <w:tabs>
          <w:tab w:leader="none" w:pos="1380" w:val="left"/>
        </w:tabs>
        <w:numPr>
          <w:ilvl w:val="1"/>
          <w:numId w:val="28"/>
        </w:numPr>
        <w:rPr>
          <w:rFonts w:ascii="Arial" w:cs="Arial" w:eastAsia="Arial" w:hAnsi="Arial"/>
          <w:sz w:val="15"/>
          <w:szCs w:val="15"/>
          <w:color w:val="auto"/>
        </w:rPr>
      </w:pPr>
      <w:r>
        <w:rPr>
          <w:rFonts w:ascii="Arial" w:cs="Arial" w:eastAsia="Arial" w:hAnsi="Arial"/>
          <w:sz w:val="15"/>
          <w:szCs w:val="15"/>
          <w:color w:val="auto"/>
        </w:rPr>
        <w:t xml:space="preserve">With respect to each Company Equity Award, </w:t>
      </w:r>
      <w:r>
        <w:rPr>
          <w:rFonts w:ascii="Arial" w:cs="Arial" w:eastAsia="Arial" w:hAnsi="Arial"/>
          <w:sz w:val="15"/>
          <w:szCs w:val="15"/>
          <w:u w:val="single" w:color="auto"/>
          <w:color w:val="auto"/>
        </w:rPr>
        <w:t>Schedule 4.06(b)</w:t>
      </w:r>
      <w:r>
        <w:rPr>
          <w:rFonts w:ascii="Arial" w:cs="Arial" w:eastAsia="Arial" w:hAnsi="Arial"/>
          <w:sz w:val="15"/>
          <w:szCs w:val="15"/>
          <w:color w:val="auto"/>
        </w:rPr>
        <w:t xml:space="preserve"> sets forth, as of the date hereof, each Company Equity Award, along with the name of the holder of such Company Equity Award, the type of security or property that such Company Equity Award covers, the number of vested and unvested shares covered by such Company Equity Award, the date of grant and the cash exercise price, and strike price per share of such Company Equity Award, as applicable.</w:t>
      </w:r>
    </w:p>
    <w:p>
      <w:pPr>
        <w:spacing w:after="0" w:line="146" w:lineRule="exact"/>
        <w:rPr>
          <w:rFonts w:ascii="Arial" w:cs="Arial" w:eastAsia="Arial" w:hAnsi="Arial"/>
          <w:sz w:val="15"/>
          <w:szCs w:val="15"/>
          <w:color w:val="auto"/>
        </w:rPr>
      </w:pPr>
    </w:p>
    <w:p>
      <w:pPr>
        <w:ind w:left="1364" w:hanging="217"/>
        <w:spacing w:after="0"/>
        <w:tabs>
          <w:tab w:leader="none" w:pos="1364" w:val="left"/>
        </w:tabs>
        <w:numPr>
          <w:ilvl w:val="1"/>
          <w:numId w:val="28"/>
        </w:numPr>
        <w:rPr>
          <w:rFonts w:ascii="Arial" w:cs="Arial" w:eastAsia="Arial" w:hAnsi="Arial"/>
          <w:sz w:val="14"/>
          <w:szCs w:val="14"/>
          <w:color w:val="auto"/>
        </w:rPr>
      </w:pPr>
      <w:r>
        <w:rPr>
          <w:rFonts w:ascii="Arial" w:cs="Arial" w:eastAsia="Arial" w:hAnsi="Arial"/>
          <w:sz w:val="14"/>
          <w:szCs w:val="14"/>
          <w:color w:val="auto"/>
        </w:rPr>
        <w:t>Except for the Company Preferred Stock, Company Equity Awards, Company Convertible Notes and Company Warrants, as of the date hereof there are</w:t>
      </w:r>
    </w:p>
    <w:p>
      <w:pPr>
        <w:spacing w:after="0" w:line="42" w:lineRule="exact"/>
        <w:rPr>
          <w:rFonts w:ascii="Arial" w:cs="Arial" w:eastAsia="Arial" w:hAnsi="Arial"/>
          <w:sz w:val="14"/>
          <w:szCs w:val="14"/>
          <w:color w:val="auto"/>
        </w:rPr>
      </w:pPr>
    </w:p>
    <w:p>
      <w:pPr>
        <w:jc w:val="both"/>
        <w:ind w:left="4" w:hanging="4"/>
        <w:spacing w:after="0" w:line="292" w:lineRule="auto"/>
        <w:tabs>
          <w:tab w:leader="none" w:pos="2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no subscriptions, calls, options, warrants, rights or other securities convertible into or exchangeable or exercisable for shares of Company Common Stock or the equity interests of the Company, or any other Contracts to which the Company is a party or by which the Company is bound obligating the Company to issue or sell any shares of capital stock of, other equity interests in or debt securities of, the Company and (y) no equity equivalents, stock appreciation rights, phantom stock ownership interests or similar rights in the Company. As of the date hereof, there are no outstanding contractual obligations of the Company to repurchase, redeem or otherwise acquire any securities or equity interests of the Company. Except as set forth on </w:t>
      </w:r>
      <w:r>
        <w:rPr>
          <w:rFonts w:ascii="Arial" w:cs="Arial" w:eastAsia="Arial" w:hAnsi="Arial"/>
          <w:sz w:val="14"/>
          <w:szCs w:val="14"/>
          <w:u w:val="single" w:color="auto"/>
          <w:color w:val="auto"/>
        </w:rPr>
        <w:t>Schedule 4.06(c)</w:t>
      </w:r>
      <w:r>
        <w:rPr>
          <w:rFonts w:ascii="Arial" w:cs="Arial" w:eastAsia="Arial" w:hAnsi="Arial"/>
          <w:sz w:val="14"/>
          <w:szCs w:val="14"/>
          <w:color w:val="auto"/>
        </w:rPr>
        <w:t xml:space="preserve">, there are no outstanding bonds, debentures, notes or other indebtedness of the Company having the right to vote (or convertible into, or exchangeable for, securities having the right to vote) on any matter for which the Company’s stockholders may vote. Except as set forth on </w:t>
      </w:r>
      <w:r>
        <w:rPr>
          <w:rFonts w:ascii="Arial" w:cs="Arial" w:eastAsia="Arial" w:hAnsi="Arial"/>
          <w:sz w:val="14"/>
          <w:szCs w:val="14"/>
          <w:u w:val="single" w:color="auto"/>
          <w:color w:val="auto"/>
        </w:rPr>
        <w:t>Schedule 4.06(c)</w:t>
      </w:r>
      <w:r>
        <w:rPr>
          <w:rFonts w:ascii="Arial" w:cs="Arial" w:eastAsia="Arial" w:hAnsi="Arial"/>
          <w:sz w:val="14"/>
          <w:szCs w:val="14"/>
          <w:color w:val="auto"/>
        </w:rPr>
        <w:t>, as of the date hereof the Company is not party to any shareholders agreement, voting agreement or registration rights agreement relating to its equity interests.</w:t>
      </w:r>
    </w:p>
    <w:p>
      <w:pPr>
        <w:spacing w:after="0" w:line="145" w:lineRule="exact"/>
        <w:rPr>
          <w:rFonts w:ascii="Arial" w:cs="Arial" w:eastAsia="Arial" w:hAnsi="Arial"/>
          <w:sz w:val="14"/>
          <w:szCs w:val="14"/>
          <w:color w:val="auto"/>
        </w:rPr>
      </w:pPr>
    </w:p>
    <w:p>
      <w:pPr>
        <w:jc w:val="both"/>
        <w:ind w:left="4" w:firstLine="1143"/>
        <w:spacing w:after="0" w:line="270" w:lineRule="auto"/>
        <w:tabs>
          <w:tab w:leader="none" w:pos="1390" w:val="left"/>
        </w:tabs>
        <w:numPr>
          <w:ilvl w:val="1"/>
          <w:numId w:val="29"/>
        </w:numPr>
        <w:rPr>
          <w:rFonts w:ascii="Arial" w:cs="Arial" w:eastAsia="Arial" w:hAnsi="Arial"/>
          <w:sz w:val="15"/>
          <w:szCs w:val="15"/>
          <w:color w:val="auto"/>
        </w:rPr>
      </w:pPr>
      <w:r>
        <w:rPr>
          <w:rFonts w:ascii="Arial" w:cs="Arial" w:eastAsia="Arial" w:hAnsi="Arial"/>
          <w:sz w:val="15"/>
          <w:szCs w:val="15"/>
          <w:color w:val="auto"/>
        </w:rPr>
        <w:t xml:space="preserve">As of the date hereof, the outstanding shares of capital stock or other equity interests of the Company’s Subsidiaries (i) have been duly authorized and validly issued and are fully paid and nonassessable, (ii) were issued in compliance in all material respects with applicable Law and (iii) were not issued in breach or violation of any preemptive rights or Contract. As of the date hereof, there are (A) no subscriptions, calls, rights or other securities convertible into or exchangeable or exercisable for the equity interests of the Company’s Subsidiaries (including any convertible preferred equity certificates), or any other Contracts to which any of the Company’s Subsidiaries is a party or by which any of the Company’s Subsidiaries is bound obligating such Subsidiaries to issue or sell any shares of capital stock of, other equity interests in or debt securities of, such Subsidiaries, and (B) no equity equivalents, stock appreciation rights, phantom stock ownership interests or similar rights in the Company’s Subsidiaries. As of the date hereof, there are no outstanding contractual obligations of the Company’s Subsidiaries to repurchase, redeem or otherwise acquire any securities or equity interests of the Company’s Subsidiaries. Except as set forth on </w:t>
      </w:r>
      <w:r>
        <w:rPr>
          <w:rFonts w:ascii="Arial" w:cs="Arial" w:eastAsia="Arial" w:hAnsi="Arial"/>
          <w:sz w:val="15"/>
          <w:szCs w:val="15"/>
          <w:u w:val="single" w:color="auto"/>
          <w:color w:val="auto"/>
        </w:rPr>
        <w:t>Schedule 4.06(d)</w:t>
      </w:r>
      <w:r>
        <w:rPr>
          <w:rFonts w:ascii="Arial" w:cs="Arial" w:eastAsia="Arial" w:hAnsi="Arial"/>
          <w:sz w:val="15"/>
          <w:szCs w:val="15"/>
          <w:color w:val="auto"/>
        </w:rPr>
        <w:t xml:space="preserve">, there are no outstanding bonds, debentures, notes or other indebtedness of the Company’s Subsidiaries having the right to vote (or convertible into, or exchangeable for, securities having the right to vote) on any matter for which the such Subsidiaries’ stockholders may vote. Except as forth on </w:t>
      </w:r>
      <w:r>
        <w:rPr>
          <w:rFonts w:ascii="Arial" w:cs="Arial" w:eastAsia="Arial" w:hAnsi="Arial"/>
          <w:sz w:val="15"/>
          <w:szCs w:val="15"/>
          <w:u w:val="single" w:color="auto"/>
          <w:color w:val="auto"/>
        </w:rPr>
        <w:t>Schedule 4.06(d)</w:t>
      </w:r>
      <w:r>
        <w:rPr>
          <w:rFonts w:ascii="Arial" w:cs="Arial" w:eastAsia="Arial" w:hAnsi="Arial"/>
          <w:sz w:val="15"/>
          <w:szCs w:val="15"/>
          <w:color w:val="auto"/>
        </w:rPr>
        <w:t>, the Company’s Subsidiaries are not party to any stockholders agreement, voting agreement or registration rights agreement relating to the equity interests of the Company’s Subsidiaries.</w:t>
      </w: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44" w:name="page45"/>
    <w:bookmarkEnd w:id="44"/>
    <w:p>
      <w:pPr>
        <w:jc w:val="both"/>
        <w:ind w:right="20" w:firstLine="1143"/>
        <w:spacing w:after="0" w:line="262" w:lineRule="auto"/>
        <w:tabs>
          <w:tab w:leader="none" w:pos="13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the date hereof, the Company is the direct or indirect owner of, and has good and marketable direct or indirect title to, all the issued and outstanding shares of capital stock or equity interests of its Subsidiaries free and clear of any Liens other than Permitted Liens. there are no options or warrants convertible into or exchangeable or exercisable for the equity interests of the Company’s Subsidiaries.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4.07 </w:t>
      </w:r>
      <w:r>
        <w:rPr>
          <w:rFonts w:ascii="Arial" w:cs="Arial" w:eastAsia="Arial" w:hAnsi="Arial"/>
          <w:sz w:val="16"/>
          <w:szCs w:val="16"/>
          <w:b w:val="1"/>
          <w:bCs w:val="1"/>
          <w:u w:val="single" w:color="auto"/>
          <w:color w:val="auto"/>
        </w:rPr>
        <w:t>Financial Statements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72" w:lineRule="auto"/>
        <w:tabs>
          <w:tab w:leader="none" w:pos="1376" w:val="left"/>
        </w:tabs>
        <w:numPr>
          <w:ilvl w:val="1"/>
          <w:numId w:val="31"/>
        </w:numPr>
        <w:rPr>
          <w:rFonts w:ascii="Arial" w:cs="Arial" w:eastAsia="Arial" w:hAnsi="Arial"/>
          <w:sz w:val="15"/>
          <w:szCs w:val="15"/>
          <w:color w:val="auto"/>
        </w:rPr>
      </w:pPr>
      <w:r>
        <w:rPr>
          <w:rFonts w:ascii="Arial" w:cs="Arial" w:eastAsia="Arial" w:hAnsi="Arial"/>
          <w:sz w:val="15"/>
          <w:szCs w:val="15"/>
          <w:color w:val="auto"/>
        </w:rPr>
        <w:t xml:space="preserve">Attached as </w:t>
      </w:r>
      <w:r>
        <w:rPr>
          <w:rFonts w:ascii="Arial" w:cs="Arial" w:eastAsia="Arial" w:hAnsi="Arial"/>
          <w:sz w:val="15"/>
          <w:szCs w:val="15"/>
          <w:u w:val="single" w:color="auto"/>
          <w:color w:val="auto"/>
        </w:rPr>
        <w:t>Schedule 4.07</w:t>
      </w:r>
      <w:r>
        <w:rPr>
          <w:rFonts w:ascii="Arial" w:cs="Arial" w:eastAsia="Arial" w:hAnsi="Arial"/>
          <w:sz w:val="15"/>
          <w:szCs w:val="15"/>
          <w:color w:val="auto"/>
        </w:rPr>
        <w:t xml:space="preserve"> are the unaudited condensed draft consolidated balance sheets of the Company and its Subsidiaries as of June 30, 2020 and June 30, 2021 and the unaudited condensed consolidated statements of operations, statements of comprehensive income (loss), cash flows and changes in equity of the Company and its Subsidiaries as of June 30, 2020 and June 30, 2021 (the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The Financial Statements present fairly, in all material respects, the consolidated financial position, results of operations, income (loss), changes in equity and cash flows of the Company and its Subsidiaries as of the dates and for the periods indicated in such Financial Statements in conformity with GAAP (except, for the absence of footnotes and other presentation items and normal year-end or periodic reclassifications and adjustments) and were derived from, and accurately reflect in all material respects, the books and records of the Company and its Subsidiaries. There are no audited financial statements (including any audited consolidated balance sheets, income (loss) statements, statements of comprehensive income (loss), changes in equity and cash flows) for the Company or any of its or the Company’s Subsidiaries with respect to fiscal years 2020 and 2021.</w:t>
      </w:r>
    </w:p>
    <w:p>
      <w:pPr>
        <w:spacing w:after="0" w:line="156" w:lineRule="exact"/>
        <w:rPr>
          <w:rFonts w:ascii="Arial" w:cs="Arial" w:eastAsia="Arial" w:hAnsi="Arial"/>
          <w:sz w:val="15"/>
          <w:szCs w:val="15"/>
          <w:color w:val="auto"/>
        </w:rPr>
      </w:pPr>
    </w:p>
    <w:p>
      <w:pPr>
        <w:jc w:val="both"/>
        <w:ind w:firstLine="1143"/>
        <w:spacing w:after="0" w:line="255" w:lineRule="auto"/>
        <w:tabs>
          <w:tab w:leader="none" w:pos="1376"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PPP Loan was obtained in accordance with all applicable Laws and complies with all eligibility requirements under applicable Laws. The application submitted by the Company to the PPP Loan complied with all applicable Laws. The full amount of the PPP Loan is eligible for forgiveness in accordance with the terms of the PPP and the PPP Loan, and the Company has not taken any action that could reduce the extent by which the PPP Loan will be forgiven. The Company has not received notice from any Governmental Authority asserting or threatening that the PPP Loan is not or may not be eligible for forgiveness in full or that the PPP Loan does not comply with applicable Laws and requirements.</w:t>
      </w:r>
    </w:p>
    <w:p>
      <w:pPr>
        <w:spacing w:after="0" w:line="166"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color w:val="auto"/>
        </w:rPr>
        <w:t xml:space="preserve">Section 4.08 </w:t>
      </w:r>
      <w:r>
        <w:rPr>
          <w:rFonts w:ascii="Arial" w:cs="Arial" w:eastAsia="Arial" w:hAnsi="Arial"/>
          <w:sz w:val="16"/>
          <w:szCs w:val="16"/>
          <w:b w:val="1"/>
          <w:bCs w:val="1"/>
          <w:u w:val="single" w:color="auto"/>
          <w:color w:val="auto"/>
        </w:rPr>
        <w:t>Undisclosed Liabilities</w:t>
      </w:r>
      <w:r>
        <w:rPr>
          <w:rFonts w:ascii="Arial" w:cs="Arial" w:eastAsia="Arial" w:hAnsi="Arial"/>
          <w:sz w:val="16"/>
          <w:szCs w:val="16"/>
          <w:color w:val="auto"/>
        </w:rPr>
        <w:t>. There is no liability, debt or obligation of any nature (including any unknown, undisclosed, unmatured, unaccrued, unasserted,</w:t>
      </w:r>
      <w:r>
        <w:rPr>
          <w:rFonts w:ascii="Arial" w:cs="Arial" w:eastAsia="Arial" w:hAnsi="Arial"/>
          <w:sz w:val="16"/>
          <w:szCs w:val="16"/>
          <w:b w:val="1"/>
          <w:bCs w:val="1"/>
          <w:color w:val="auto"/>
        </w:rPr>
        <w:t xml:space="preserve"> </w:t>
      </w:r>
      <w:r>
        <w:rPr>
          <w:rFonts w:ascii="Arial" w:cs="Arial" w:eastAsia="Arial" w:hAnsi="Arial"/>
          <w:sz w:val="16"/>
          <w:szCs w:val="16"/>
          <w:color w:val="auto"/>
        </w:rPr>
        <w:t>contingent, indirect, conditional, implied, vicarious, derivative, joint, several or secondary liability) solely of the type required to be reflected as a liability in the liability column on a balance sheet prepared in accordance with GAAP against the Company or its Subsidiaries, except for liabilities and obligations (a) reflected or reserved for on the Financial Statements or disclosed in the notes thereto, (b) that have arisen since the date of the most recent balance sheet included in the Financial Statements in the ordinary course of the operation of business of the Company and its Subsidiaries, (c) disclosed on Schedule 4.08, (d) arising under this Agreement and/or the performance by the Company of its obligations hereunder or (e) that would not, individually or in the aggregate, reasonably expected to be material to the Company and its Subsidiaries, taken as a whole.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5" w:name="page46"/>
    <w:bookmarkEnd w:id="45"/>
    <w:p>
      <w:pPr>
        <w:jc w:val="both"/>
        <w:ind w:firstLine="574"/>
        <w:spacing w:after="0" w:line="302" w:lineRule="auto"/>
        <w:rPr>
          <w:sz w:val="20"/>
          <w:szCs w:val="20"/>
          <w:color w:val="auto"/>
        </w:rPr>
      </w:pPr>
      <w:r>
        <w:rPr>
          <w:rFonts w:ascii="Arial" w:cs="Arial" w:eastAsia="Arial" w:hAnsi="Arial"/>
          <w:sz w:val="14"/>
          <w:szCs w:val="14"/>
          <w:b w:val="1"/>
          <w:bCs w:val="1"/>
          <w:color w:val="auto"/>
        </w:rPr>
        <w:t xml:space="preserve">Section 4.09 </w:t>
      </w:r>
      <w:r>
        <w:rPr>
          <w:rFonts w:ascii="Arial" w:cs="Arial" w:eastAsia="Arial" w:hAnsi="Arial"/>
          <w:sz w:val="14"/>
          <w:szCs w:val="14"/>
          <w:b w:val="1"/>
          <w:bCs w:val="1"/>
          <w:u w:val="single" w:color="auto"/>
          <w:color w:val="auto"/>
        </w:rPr>
        <w:t>Litigation and Proceedings</w:t>
      </w:r>
      <w:r>
        <w:rPr>
          <w:rFonts w:ascii="Arial" w:cs="Arial" w:eastAsia="Arial" w:hAnsi="Arial"/>
          <w:sz w:val="14"/>
          <w:szCs w:val="14"/>
          <w:color w:val="auto"/>
        </w:rPr>
        <w:t>. Except as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4.09</w:t>
      </w:r>
      <w:r>
        <w:rPr>
          <w:rFonts w:ascii="Arial" w:cs="Arial" w:eastAsia="Arial" w:hAnsi="Arial"/>
          <w:sz w:val="14"/>
          <w:szCs w:val="14"/>
          <w:color w:val="auto"/>
        </w:rPr>
        <w:t>, there are no material pending or, to the knowledge of the Company, threatened, Actions</w:t>
      </w:r>
      <w:r>
        <w:rPr>
          <w:rFonts w:ascii="Arial" w:cs="Arial" w:eastAsia="Arial" w:hAnsi="Arial"/>
          <w:sz w:val="14"/>
          <w:szCs w:val="14"/>
          <w:b w:val="1"/>
          <w:bCs w:val="1"/>
          <w:color w:val="auto"/>
        </w:rPr>
        <w:t xml:space="preserve"> </w:t>
      </w:r>
      <w:r>
        <w:rPr>
          <w:rFonts w:ascii="Arial" w:cs="Arial" w:eastAsia="Arial" w:hAnsi="Arial"/>
          <w:sz w:val="14"/>
          <w:szCs w:val="14"/>
          <w:color w:val="auto"/>
        </w:rPr>
        <w:t>and, to the knowledge of the Company, there are no material pending or threatened investigations, in each case, against the Company or its Subsidiaries, or otherwise affecting the Company or its Subsidiaries or their assets, including any condemnation or similar proceedings. Neither the Company nor its Subsidiaries or any property, asset or business of the Company or its Subsidiaries is subject to any Governmental Order, or, to the knowledge of the Company, any continuing investigation by, any Governmental Authority, which constitute a Material Adverse Effect. There is no unsatisfied material judgment or any open injunction binding upon the Company or its Subsidiaries.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Compliance with Laws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62" w:lineRule="auto"/>
        <w:tabs>
          <w:tab w:leader="none" w:pos="137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and its Subsidiaries are, and since June 30, 2019 have been, in compliance in all material respects with all applicable Laws. Neither of the Company nor its Subsidiaries has received any written notice from any Governmental Authority of a material violation of any applicable Law by the Company or its Subsidiaries at any time since June 30, 2019.</w:t>
      </w:r>
    </w:p>
    <w:p>
      <w:pPr>
        <w:spacing w:after="0" w:line="162" w:lineRule="exact"/>
        <w:rPr>
          <w:rFonts w:ascii="Arial" w:cs="Arial" w:eastAsia="Arial" w:hAnsi="Arial"/>
          <w:sz w:val="16"/>
          <w:szCs w:val="16"/>
          <w:color w:val="auto"/>
        </w:rPr>
      </w:pPr>
    </w:p>
    <w:p>
      <w:pPr>
        <w:jc w:val="both"/>
        <w:ind w:firstLine="1143"/>
        <w:spacing w:after="0" w:line="253" w:lineRule="auto"/>
        <w:tabs>
          <w:tab w:leader="none" w:pos="1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Since the date that is three (3) years prior to the date hereof, (i) there has been no action taken by the Company, its Subsidiaries, or, to the knowledge of the Company, any officer, director, shareholder, manager, employee, agent, representative or sales intermediary of the Company or its Subsidiaries, in each case, acting on behalf of the Company or its Subsidiaries, in violation of any applicable Anti-Corruption Laws or Trade Control Laws, (ii) neither the Company nor its Subsidiaries has been convicted of violating any Anti-Corruption Laws or Trade Control Laws or subjected to any investigation by a Governmental Authority for violation of any applicable Anti-Corruption Laws or Trade Control Laws, (iii) neither the Company nor its Subsidiaries has made a voluntary, directed, or involuntary disclosure to any Governmental Authority regarding any alleged act or omission arising under or relating to any noncompliance with any Anti-Corruption Laws or Trade Control Laws and (iv) neither the Company nor its Subsidiaries has received any written notice or citation from a Governmental Authority for any actual or potential noncompliance with any applicable Anti-Corruption Laws or Trade Control Laws.</w:t>
      </w:r>
    </w:p>
    <w:p>
      <w:pPr>
        <w:spacing w:after="0" w:line="169" w:lineRule="exact"/>
        <w:rPr>
          <w:rFonts w:ascii="Arial" w:cs="Arial" w:eastAsia="Arial" w:hAnsi="Arial"/>
          <w:sz w:val="16"/>
          <w:szCs w:val="16"/>
          <w:color w:val="auto"/>
        </w:rPr>
      </w:pPr>
    </w:p>
    <w:p>
      <w:pPr>
        <w:jc w:val="both"/>
        <w:ind w:right="20" w:firstLine="1143"/>
        <w:spacing w:after="0" w:line="262" w:lineRule="auto"/>
        <w:tabs>
          <w:tab w:leader="none" w:pos="13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 of the Company, its Subsidiaries, or, to the knowledge of the Company, any officer, director, shareholder, manager, employee, agent or representative of the Company or its Subsidiaries, in each case, acting on behalf of the Company or its Subsidiaries, is a person that is the target of sanctions or any applicable Trade Control Laws.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Intellectual Property</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70" w:lineRule="auto"/>
        <w:tabs>
          <w:tab w:leader="none" w:pos="1364"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Schedule 4.11(a)</w:t>
      </w:r>
      <w:r>
        <w:rPr>
          <w:rFonts w:ascii="Arial" w:cs="Arial" w:eastAsia="Arial" w:hAnsi="Arial"/>
          <w:sz w:val="15"/>
          <w:szCs w:val="15"/>
          <w:color w:val="auto"/>
        </w:rPr>
        <w:t xml:space="preserve"> sets forth, as of the date hereof, a true and complete list, including owner, jurisdiction, and registration and application numbers, of all issued Patents, all registered Copyrights, all registered Trademarks, all domain name registrations and all pending registration applications for any of the foregoing, in each case, that are owned by the Company or one of its Subsidiaries (the “</w:t>
      </w:r>
      <w:r>
        <w:rPr>
          <w:rFonts w:ascii="Arial" w:cs="Arial" w:eastAsia="Arial" w:hAnsi="Arial"/>
          <w:sz w:val="15"/>
          <w:szCs w:val="15"/>
          <w:u w:val="single" w:color="auto"/>
          <w:color w:val="auto"/>
        </w:rPr>
        <w:t>Registered Intellectual Property</w:t>
      </w:r>
      <w:r>
        <w:rPr>
          <w:rFonts w:ascii="Arial" w:cs="Arial" w:eastAsia="Arial" w:hAnsi="Arial"/>
          <w:sz w:val="15"/>
          <w:szCs w:val="15"/>
          <w:color w:val="auto"/>
        </w:rPr>
        <w:t xml:space="preserve">”), all of which (other than applications) is, valid, subsisting, and enforceable. Except as set forth on </w:t>
      </w:r>
      <w:r>
        <w:rPr>
          <w:rFonts w:ascii="Arial" w:cs="Arial" w:eastAsia="Arial" w:hAnsi="Arial"/>
          <w:sz w:val="15"/>
          <w:szCs w:val="15"/>
          <w:u w:val="single" w:color="auto"/>
          <w:color w:val="auto"/>
        </w:rPr>
        <w:t>Schedule 4.11(a)(i)</w:t>
      </w:r>
      <w:r>
        <w:rPr>
          <w:rFonts w:ascii="Arial" w:cs="Arial" w:eastAsia="Arial" w:hAnsi="Arial"/>
          <w:sz w:val="15"/>
          <w:szCs w:val="15"/>
          <w:color w:val="auto"/>
        </w:rPr>
        <w:t xml:space="preserve">, the Company or one of its Subsidiaries is the sole and exclusive owner of all right, title, and interest in and to all Registered Intellectual Property required to set forth on </w:t>
      </w:r>
      <w:r>
        <w:rPr>
          <w:rFonts w:ascii="Arial" w:cs="Arial" w:eastAsia="Arial" w:hAnsi="Arial"/>
          <w:sz w:val="15"/>
          <w:szCs w:val="15"/>
          <w:u w:val="single" w:color="auto"/>
          <w:color w:val="auto"/>
        </w:rPr>
        <w:t>Schedule 4.11(a)(i)</w:t>
      </w:r>
      <w:r>
        <w:rPr>
          <w:rFonts w:ascii="Arial" w:cs="Arial" w:eastAsia="Arial" w:hAnsi="Arial"/>
          <w:sz w:val="15"/>
          <w:szCs w:val="15"/>
          <w:color w:val="auto"/>
        </w:rPr>
        <w:t xml:space="preserve"> and all other Owned Intellectual Property, in each case, free and clear of all Liens, other than Permitted Liens. All such patents and patent applications and all other material Registered Intellectual Property has been maintained effective by the filing of all necessary filings, maintenance and renewals and timely payment of requisite fees. Except as set forth on </w:t>
      </w:r>
      <w:r>
        <w:rPr>
          <w:rFonts w:ascii="Arial" w:cs="Arial" w:eastAsia="Arial" w:hAnsi="Arial"/>
          <w:sz w:val="15"/>
          <w:szCs w:val="15"/>
          <w:u w:val="single" w:color="auto"/>
          <w:color w:val="auto"/>
        </w:rPr>
        <w:t>Schedule 4.11(a)(</w:t>
      </w:r>
      <w:r>
        <w:rPr>
          <w:rFonts w:ascii="Arial" w:cs="Arial" w:eastAsia="Arial" w:hAnsi="Arial"/>
          <w:sz w:val="15"/>
          <w:szCs w:val="15"/>
          <w:color w:val="auto"/>
        </w:rPr>
        <w:t>ii), no loss or expiration of any material Registered Intellectual Property is threatened, pending or reasonably foreseeable that the Company would reasonably consider to be materially adverse to its business as currently conducted (except for patents expiring at the end of their statutory terms and not as a result of any act or omission by the Company or any of its Subsidiaries, including failure thereby to pay any required maintenance fees).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6" w:name="page47"/>
    <w:bookmarkEnd w:id="46"/>
    <w:p>
      <w:pPr>
        <w:jc w:val="both"/>
        <w:ind w:left="4" w:right="20" w:firstLine="1143"/>
        <w:spacing w:after="0" w:line="294" w:lineRule="auto"/>
        <w:tabs>
          <w:tab w:leader="none" w:pos="1377" w:val="left"/>
        </w:tabs>
        <w:numPr>
          <w:ilvl w:val="1"/>
          <w:numId w:val="34"/>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4.11(b)</w:t>
      </w:r>
      <w:r>
        <w:rPr>
          <w:rFonts w:ascii="Arial" w:cs="Arial" w:eastAsia="Arial" w:hAnsi="Arial"/>
          <w:sz w:val="14"/>
          <w:szCs w:val="14"/>
          <w:color w:val="auto"/>
        </w:rPr>
        <w:t>, (i) as of the date hereof, no Actions are pending or, to the Company’s knowledge, threatened in writing (including unsolicited offers to license Patents) against the Company or any of its Subsidiaries by any third party and no written claims have been received in the past three (3) years either</w:t>
      </w:r>
    </w:p>
    <w:p>
      <w:pPr>
        <w:jc w:val="both"/>
        <w:ind w:left="4" w:hanging="4"/>
        <w:spacing w:after="0" w:line="251" w:lineRule="auto"/>
        <w:tabs>
          <w:tab w:leader="none" w:pos="277" w:val="left"/>
        </w:tabs>
        <w:numPr>
          <w:ilvl w:val="0"/>
          <w:numId w:val="35"/>
        </w:numPr>
        <w:rPr>
          <w:rFonts w:ascii="Arial" w:cs="Arial" w:eastAsia="Arial" w:hAnsi="Arial"/>
          <w:sz w:val="16"/>
          <w:szCs w:val="16"/>
          <w:color w:val="auto"/>
        </w:rPr>
      </w:pPr>
      <w:r>
        <w:rPr>
          <w:rFonts w:ascii="Arial" w:cs="Arial" w:eastAsia="Arial" w:hAnsi="Arial"/>
          <w:sz w:val="16"/>
          <w:szCs w:val="16"/>
          <w:color w:val="auto"/>
        </w:rPr>
        <w:t>claiming infringement, misappropriation or other violation of Intellectual Property rights owned by such third party; or (B) challenging the ownership, use, patentability, validity, or enforceability of any Owned Intellectual Property; (ii) as of the date hereof, neither the Company nor any of its Subsidiaries is a party to any pending Action claiming infringement, misappropriation or other violation by any third party of any Owned Intellectual Property; (iii) within the three (3) years preceding the date of this Agreement, to the Company’s knowledge, none of the Company, its Subsidiaries, nor the conduct of the their businesses has infringed, misappropriated or otherwise violated the Intellectual Property rights of any third party. To the knowledge of the Company, no third party is infringing, misappropriating or otherwise violating any Owned Intellectual Property.</w:t>
      </w:r>
    </w:p>
    <w:p>
      <w:pPr>
        <w:spacing w:after="0" w:line="171" w:lineRule="exact"/>
        <w:rPr>
          <w:rFonts w:ascii="Arial" w:cs="Arial" w:eastAsia="Arial" w:hAnsi="Arial"/>
          <w:sz w:val="16"/>
          <w:szCs w:val="16"/>
          <w:color w:val="auto"/>
        </w:rPr>
      </w:pPr>
    </w:p>
    <w:p>
      <w:pPr>
        <w:jc w:val="both"/>
        <w:ind w:left="4" w:firstLine="1143"/>
        <w:spacing w:after="0" w:line="258" w:lineRule="auto"/>
        <w:tabs>
          <w:tab w:leader="none" w:pos="137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 or one of its Subsidiaries, as the case may be, either own(s), has a valid license to use, or otherwise has the lawful right to use, all of the Company Intellectual Property, IT Systems, and Company Software, in each case in the manner in which they are currently used. Immediately subsequent to the Closing, the Company Intellectual Property shall be owned or available for use by the Company and its Subsidiaries on terms and conditions identical to those under which they own or use the Company Intellectual Property immediately prior to the Closing, without payment of additional fees.</w:t>
      </w:r>
    </w:p>
    <w:p>
      <w:pPr>
        <w:spacing w:after="0" w:line="164" w:lineRule="exact"/>
        <w:rPr>
          <w:rFonts w:ascii="Arial" w:cs="Arial" w:eastAsia="Arial" w:hAnsi="Arial"/>
          <w:sz w:val="16"/>
          <w:szCs w:val="16"/>
          <w:color w:val="auto"/>
        </w:rPr>
      </w:pPr>
    </w:p>
    <w:p>
      <w:pPr>
        <w:jc w:val="both"/>
        <w:ind w:left="4" w:firstLine="1143"/>
        <w:spacing w:after="0" w:line="255" w:lineRule="auto"/>
        <w:tabs>
          <w:tab w:leader="none" w:pos="13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 and the Subsidiaries have undertaken commercially reasonable efforts to maintain and protect all Owned Intellectual Property and to protect the confidentiality of any Trade Secrets and any confidential information that the Company and the Subsidiaries desire (and are not obligated) to keep confidential included in the Owned Intellectual Property that are material to their businesses. No such Trade Secrets or confidential information of any Person to whom the Company or any of the Subsidiaries owes a duty of confidentiality has been disclosed thereby to any Person other than pursuant to a written agreement sufficiently restricting the disclosure and use thereof by such Person.</w:t>
      </w:r>
    </w:p>
    <w:p>
      <w:pPr>
        <w:spacing w:after="0" w:line="169" w:lineRule="exact"/>
        <w:rPr>
          <w:rFonts w:ascii="Arial" w:cs="Arial" w:eastAsia="Arial" w:hAnsi="Arial"/>
          <w:sz w:val="16"/>
          <w:szCs w:val="16"/>
          <w:color w:val="auto"/>
        </w:rPr>
      </w:pPr>
    </w:p>
    <w:p>
      <w:pPr>
        <w:jc w:val="both"/>
        <w:ind w:left="4" w:firstLine="1143"/>
        <w:spacing w:after="0" w:line="253" w:lineRule="auto"/>
        <w:tabs>
          <w:tab w:leader="none" w:pos="1373" w:val="left"/>
        </w:tabs>
        <w:numPr>
          <w:ilvl w:val="1"/>
          <w:numId w:val="35"/>
        </w:numPr>
        <w:rPr>
          <w:rFonts w:ascii="Arial" w:cs="Arial" w:eastAsia="Arial" w:hAnsi="Arial"/>
          <w:sz w:val="16"/>
          <w:szCs w:val="16"/>
          <w:color w:val="auto"/>
        </w:rPr>
      </w:pPr>
      <w:r>
        <w:rPr>
          <w:rFonts w:ascii="Arial" w:cs="Arial" w:eastAsia="Arial" w:hAnsi="Arial"/>
          <w:sz w:val="16"/>
          <w:szCs w:val="16"/>
          <w:color w:val="auto"/>
        </w:rPr>
        <w:t>No current or former director, officer, employee or other Representative of the Company or any Subsidiary has any right, title, or ownership interest in or to any of the Owned Intellectual Property. The Company has implemented policies whereby employees and contractors of the Company who create or develop any Intellectual Property in the course of their employment or provision of services for the Company or any of its Subsidiaries are required to assign to the Company all of such employee’s or contractor’s rights therein (to the extent permitted by applicable law), and all such employees and contractors have executed valid written agreements pursuant to which such Persons have assigned to the Company or its applicable Subsidiaries all of such employee’s or contractor’s rights in and to such Intellectual Property that did not vest automatically in the Company or its Subsidiary by operation of law (unless, in the case of contractors, such Intellectual Property was not intended by the Company to be proprietary to the Company or its Subsidiary).</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47" w:name="page48"/>
    <w:bookmarkEnd w:id="47"/>
    <w:p>
      <w:pPr>
        <w:jc w:val="both"/>
        <w:ind w:firstLine="1143"/>
        <w:spacing w:after="0" w:line="301" w:lineRule="auto"/>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4.11(f)</w:t>
      </w:r>
      <w:r>
        <w:rPr>
          <w:rFonts w:ascii="Arial" w:cs="Arial" w:eastAsia="Arial" w:hAnsi="Arial"/>
          <w:sz w:val="14"/>
          <w:szCs w:val="14"/>
          <w:color w:val="auto"/>
        </w:rPr>
        <w:t>, or otherwise as would not materially adversely affect the Owned Intellectual Property or the businesses of the Company or its Subsidiaries, no funding and no personnel, facilities or other resources of any Governmental Authority, university, college, other similar institution, or research center were used in the development of any Owned Intellectual Property nor does any such Person have any rights, title or interest in or to any Company Intellectual Property. Neither the Company nor any of its Subsidiaries is a member of or party to any patent pool, industry standards body, trade association or other organization pursuant to which the Company or any of its Subsidiaries is obligated to grant any license, rights, or immunity in or to any Company Intellectual Property to any Person.</w:t>
      </w:r>
    </w:p>
    <w:p>
      <w:pPr>
        <w:spacing w:after="0" w:line="137" w:lineRule="exact"/>
        <w:rPr>
          <w:rFonts w:ascii="Arial" w:cs="Arial" w:eastAsia="Arial" w:hAnsi="Arial"/>
          <w:sz w:val="14"/>
          <w:szCs w:val="14"/>
          <w:color w:val="auto"/>
        </w:rPr>
      </w:pPr>
    </w:p>
    <w:p>
      <w:pPr>
        <w:jc w:val="both"/>
        <w:ind w:firstLine="1143"/>
        <w:spacing w:after="0" w:line="306" w:lineRule="auto"/>
        <w:tabs>
          <w:tab w:leader="none" w:pos="13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Company and each of its Subsidiaries is in all material respects in compliance with the terms and conditions of all licenses for “free software,” “open source software” or under a similar licensing or distribution term (including the GNU General Public License (GPL), GNU Lesser General Public License (LGPL), Affero General Public License (AGPL), Mozilla Public License (MPL), BSD licenses, the Artistic License, the Netscape Public License, the Sun Community Source License (SCSL), the Sun Industry Standards License (SISL) and the Apache License) (“</w:t>
      </w:r>
      <w:r>
        <w:rPr>
          <w:rFonts w:ascii="Arial" w:cs="Arial" w:eastAsia="Arial" w:hAnsi="Arial"/>
          <w:sz w:val="14"/>
          <w:szCs w:val="14"/>
          <w:u w:val="single" w:color="auto"/>
          <w:color w:val="auto"/>
        </w:rPr>
        <w:t>Open Source Materials</w:t>
      </w:r>
      <w:r>
        <w:rPr>
          <w:rFonts w:ascii="Arial" w:cs="Arial" w:eastAsia="Arial" w:hAnsi="Arial"/>
          <w:sz w:val="14"/>
          <w:szCs w:val="14"/>
          <w:color w:val="auto"/>
        </w:rPr>
        <w:t>”) used by the Company or any of its Subsidiaries in any way.</w:t>
      </w:r>
    </w:p>
    <w:p>
      <w:pPr>
        <w:spacing w:after="0" w:line="134" w:lineRule="exact"/>
        <w:rPr>
          <w:rFonts w:ascii="Arial" w:cs="Arial" w:eastAsia="Arial" w:hAnsi="Arial"/>
          <w:sz w:val="14"/>
          <w:szCs w:val="14"/>
          <w:color w:val="auto"/>
        </w:rPr>
      </w:pPr>
    </w:p>
    <w:p>
      <w:pPr>
        <w:jc w:val="both"/>
        <w:ind w:firstLine="1143"/>
        <w:spacing w:after="0" w:line="273" w:lineRule="auto"/>
        <w:tabs>
          <w:tab w:leader="none" w:pos="1379" w:val="left"/>
        </w:tabs>
        <w:numPr>
          <w:ilvl w:val="0"/>
          <w:numId w:val="36"/>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(i) incorporated Open Source Materials into, or combined Open Source Materials with, any material Owned Intellectual Property including Owned Company Software, (ii) distributed Open Source Materials in conjunction or connection with any Owned Intellectual Property including Owned Company Software or (iii) used Open Source Materials in or in connection with any Owned Intellectual Property including Owned Company Software, in each case of the foregoing clauses (i), (ii) and (iii), in such a way that grants (or otherwise requires the Company or its Subsidiaries to license, grant rights or otherwise disclose, distribute, or provide) to any third party any material Owned Intellectual Property, including, but not limited to, the source code for any material Owned Company Software or the right to make derivative works thereof, or otherwise imposes any material limitation, restriction or condition on the right or ability of the Company or any of its Subsidiaries to use, distribute, charge for the use of, or enforce any Owned Intellectual Property in any manner (collectively, “</w:t>
      </w:r>
      <w:r>
        <w:rPr>
          <w:rFonts w:ascii="Arial" w:cs="Arial" w:eastAsia="Arial" w:hAnsi="Arial"/>
          <w:sz w:val="15"/>
          <w:szCs w:val="15"/>
          <w:u w:val="single" w:color="auto"/>
          <w:color w:val="auto"/>
        </w:rPr>
        <w:t>Copyleft Terms</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jc w:val="both"/>
        <w:ind w:right="20" w:firstLine="1143"/>
        <w:spacing w:after="0" w:line="262" w:lineRule="auto"/>
        <w:tabs>
          <w:tab w:leader="none" w:pos="1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two (2) year period preceding the date hereof, (i) to the knowledge of the Company, there have been no material unauthorized intrusions or breaches of the security of the IT Systems currently used to provide material products to customers in the conduct of their business as it is currently conducted and (ii) the Company and its Subsidiaries have implemented commercially reasonable security for the IT Systems and the data thereon.</w:t>
      </w:r>
    </w:p>
    <w:p>
      <w:pPr>
        <w:spacing w:after="0" w:line="162" w:lineRule="exact"/>
        <w:rPr>
          <w:rFonts w:ascii="Arial" w:cs="Arial" w:eastAsia="Arial" w:hAnsi="Arial"/>
          <w:sz w:val="16"/>
          <w:szCs w:val="16"/>
          <w:color w:val="auto"/>
        </w:rPr>
      </w:pPr>
    </w:p>
    <w:p>
      <w:pPr>
        <w:jc w:val="both"/>
        <w:ind w:firstLine="1143"/>
        <w:spacing w:after="0" w:line="297" w:lineRule="auto"/>
        <w:tabs>
          <w:tab w:leader="none" w:pos="1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Company and its Subsidiaries’ collection, use, disclosure, storage and transfer of Personal Information in connection with their business complies in all material respects with, and for the two (2) years prior to the date of this Agreement has complied in all material respects with (i) any Contract to which any of them is a party, (ii) any of their then-current published external privacy policies or (iii) any applicable privacy Laws. In the two (2) years prior to the date of this Agreement, the Company and its Subsidiaries have not received any written notice of any claims, investigations, or alleged violations of law, regulation, or contract with respect to Personal Information or information security-related incidents, nor have the Company and its Subsidiaries notified in writing, or, to the knowledge of the Company, been required by applicable law, regulation, or Contract to notify in writing, any person or entity of any Personal Information or information security-related incident.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8" w:name="page49"/>
    <w:bookmarkEnd w:id="48"/>
    <w:p>
      <w:pPr>
        <w:ind w:left="560"/>
        <w:spacing w:after="0"/>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Contracts; No Defaults.</w:t>
      </w:r>
    </w:p>
    <w:p>
      <w:pPr>
        <w:spacing w:after="0" w:line="202" w:lineRule="exact"/>
        <w:rPr>
          <w:sz w:val="20"/>
          <w:szCs w:val="20"/>
          <w:color w:val="auto"/>
        </w:rPr>
      </w:pPr>
    </w:p>
    <w:p>
      <w:pPr>
        <w:jc w:val="both"/>
        <w:ind w:firstLine="1143"/>
        <w:spacing w:after="0" w:line="262" w:lineRule="auto"/>
        <w:tabs>
          <w:tab w:leader="none" w:pos="136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contains a listing of all Contracts described in clauses (i) through (ix) below to which, as of the date of this Agreement, the Company or one or more of its Subsidiaries is a party or by which any of their respective assets are bound. True, correct and complete copies of the Contracts listed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have been delivered to or made available to Acquiror or its agents or representatives.</w:t>
      </w:r>
    </w:p>
    <w:p>
      <w:pPr>
        <w:spacing w:after="0" w:line="162" w:lineRule="exact"/>
        <w:rPr>
          <w:rFonts w:ascii="Arial" w:cs="Arial" w:eastAsia="Arial" w:hAnsi="Arial"/>
          <w:sz w:val="16"/>
          <w:szCs w:val="16"/>
          <w:color w:val="auto"/>
        </w:rPr>
      </w:pPr>
    </w:p>
    <w:p>
      <w:pPr>
        <w:ind w:left="1900" w:hanging="184"/>
        <w:spacing w:after="0"/>
        <w:tabs>
          <w:tab w:leader="none" w:pos="1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employee collective bargaining Contract;</w:t>
      </w:r>
    </w:p>
    <w:p>
      <w:pPr>
        <w:spacing w:after="0" w:line="198" w:lineRule="exact"/>
        <w:rPr>
          <w:rFonts w:ascii="Arial" w:cs="Arial" w:eastAsia="Arial" w:hAnsi="Arial"/>
          <w:sz w:val="16"/>
          <w:szCs w:val="16"/>
          <w:color w:val="auto"/>
        </w:rPr>
      </w:pPr>
    </w:p>
    <w:p>
      <w:pPr>
        <w:jc w:val="both"/>
        <w:ind w:firstLine="1716"/>
        <w:spacing w:after="0" w:line="258" w:lineRule="auto"/>
        <w:tabs>
          <w:tab w:leader="none" w:pos="195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Contract pursuant to which the Company or any of its Subsidiaries (A) is granted a license, immunity, or other rights from a third party in or to any Intellectual Property that is material to the businesses of the Company and its Subsidiaries, taken as a whole, other than Standard Inbound Licenses and other than Contracts with employees and contractors assigning Intellectual Property to the Company or (B) grants a license, immunity, or other rights to a third party in or to Owned Intellectual Property, including Owned Company Software other than Standard Outbound Licenses;</w:t>
      </w:r>
    </w:p>
    <w:p>
      <w:pPr>
        <w:spacing w:after="0" w:line="164" w:lineRule="exact"/>
        <w:rPr>
          <w:rFonts w:ascii="Arial" w:cs="Arial" w:eastAsia="Arial" w:hAnsi="Arial"/>
          <w:sz w:val="16"/>
          <w:szCs w:val="16"/>
          <w:color w:val="auto"/>
        </w:rPr>
      </w:pPr>
    </w:p>
    <w:p>
      <w:pPr>
        <w:jc w:val="both"/>
        <w:ind w:firstLine="1716"/>
        <w:spacing w:after="0" w:line="262" w:lineRule="auto"/>
        <w:tabs>
          <w:tab w:leader="none" w:pos="2011"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Contract which restricts in any material respect or contains any material limitations on the ability of the Company or its Subsidiaries to compete in any line of business or in any geographic territory where such restriction or limitation would have a material effect on the business of the Company and its Subsidiaries, taken as a whole;</w:t>
      </w:r>
    </w:p>
    <w:p>
      <w:pPr>
        <w:spacing w:after="0" w:line="162" w:lineRule="exact"/>
        <w:rPr>
          <w:rFonts w:ascii="Arial" w:cs="Arial" w:eastAsia="Arial" w:hAnsi="Arial"/>
          <w:sz w:val="16"/>
          <w:szCs w:val="16"/>
          <w:color w:val="auto"/>
        </w:rPr>
      </w:pPr>
    </w:p>
    <w:p>
      <w:pPr>
        <w:jc w:val="both"/>
        <w:ind w:right="20" w:firstLine="1716"/>
        <w:spacing w:after="0" w:line="317" w:lineRule="auto"/>
        <w:tabs>
          <w:tab w:leader="none" w:pos="1990" w:val="left"/>
        </w:tabs>
        <w:numPr>
          <w:ilvl w:val="1"/>
          <w:numId w:val="37"/>
        </w:numPr>
        <w:rPr>
          <w:rFonts w:ascii="Arial" w:cs="Arial" w:eastAsia="Arial" w:hAnsi="Arial"/>
          <w:sz w:val="14"/>
          <w:szCs w:val="14"/>
          <w:color w:val="auto"/>
        </w:rPr>
      </w:pPr>
      <w:r>
        <w:rPr>
          <w:rFonts w:ascii="Arial" w:cs="Arial" w:eastAsia="Arial" w:hAnsi="Arial"/>
          <w:sz w:val="14"/>
          <w:szCs w:val="14"/>
          <w:color w:val="auto"/>
        </w:rPr>
        <w:t>any Contract that is still in effect under which the Company or its Subsidiaries has (A) created, incurred, assumed or guaranteed (or may create, incur, assume or guarantee) Indebtedness exceeding $1,000,000, (B) granted a Lien on its assets, whether tangible or intangible, to secure any material Indebtedness or (C) extended credit to any Person (other than (1) intercompany loans and advances and (2) customer payment terms in the ordinary course of business);</w:t>
      </w:r>
    </w:p>
    <w:p>
      <w:pPr>
        <w:spacing w:after="0" w:line="126" w:lineRule="exact"/>
        <w:rPr>
          <w:rFonts w:ascii="Arial" w:cs="Arial" w:eastAsia="Arial" w:hAnsi="Arial"/>
          <w:sz w:val="14"/>
          <w:szCs w:val="14"/>
          <w:color w:val="auto"/>
        </w:rPr>
      </w:pPr>
    </w:p>
    <w:p>
      <w:pPr>
        <w:jc w:val="both"/>
        <w:ind w:right="20" w:firstLine="1716"/>
        <w:spacing w:after="0" w:line="287" w:lineRule="auto"/>
        <w:tabs>
          <w:tab w:leader="none" w:pos="1946" w:val="left"/>
        </w:tabs>
        <w:numPr>
          <w:ilvl w:val="1"/>
          <w:numId w:val="37"/>
        </w:numPr>
        <w:rPr>
          <w:rFonts w:ascii="Arial" w:cs="Arial" w:eastAsia="Arial" w:hAnsi="Arial"/>
          <w:sz w:val="15"/>
          <w:szCs w:val="15"/>
          <w:color w:val="auto"/>
        </w:rPr>
      </w:pPr>
      <w:r>
        <w:rPr>
          <w:rFonts w:ascii="Arial" w:cs="Arial" w:eastAsia="Arial" w:hAnsi="Arial"/>
          <w:sz w:val="15"/>
          <w:szCs w:val="15"/>
          <w:color w:val="auto"/>
        </w:rPr>
        <w:t>any principal transaction Contract entered into in connection with a completed acquisition or disposition by the Company or its Subsidiaries since December 31, 2017 involving consideration in excess of $2,000,000 of any Person or other business organization, division or business of any Person (including through merger or consolidation or the purchase of a controlling equity interest in or substantially all of the assets of such Person or by any other manner);</w:t>
      </w:r>
    </w:p>
    <w:p>
      <w:pPr>
        <w:spacing w:after="0" w:line="146" w:lineRule="exact"/>
        <w:rPr>
          <w:rFonts w:ascii="Arial" w:cs="Arial" w:eastAsia="Arial" w:hAnsi="Arial"/>
          <w:sz w:val="15"/>
          <w:szCs w:val="15"/>
          <w:color w:val="auto"/>
        </w:rPr>
      </w:pPr>
    </w:p>
    <w:p>
      <w:pPr>
        <w:jc w:val="both"/>
        <w:ind w:right="20" w:firstLine="1716"/>
        <w:spacing w:after="0" w:line="262" w:lineRule="auto"/>
        <w:tabs>
          <w:tab w:leader="none" w:pos="2002"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Contract with outstanding obligations for the sale or purchase of personal property (excluding Intellectual Property), fixed assets or real estate having a value individually, with respect to all sales or purchases thereunder, in excess of $1,000,000 or, together with all related Contracts, in excess of $1,000,000, in each case, other than sales or purchases in the ordinary course of business consistent with past practices;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9" w:name="page50"/>
    <w:bookmarkEnd w:id="49"/>
    <w:p>
      <w:pPr>
        <w:ind w:right="20" w:firstLine="1716"/>
        <w:spacing w:after="0" w:line="309" w:lineRule="auto"/>
        <w:tabs>
          <w:tab w:leader="none" w:pos="2035" w:val="left"/>
        </w:tabs>
        <w:numPr>
          <w:ilvl w:val="1"/>
          <w:numId w:val="38"/>
        </w:numPr>
        <w:rPr>
          <w:rFonts w:ascii="Arial" w:cs="Arial" w:eastAsia="Arial" w:hAnsi="Arial"/>
          <w:sz w:val="15"/>
          <w:szCs w:val="15"/>
          <w:color w:val="auto"/>
        </w:rPr>
      </w:pPr>
      <w:r>
        <w:rPr>
          <w:rFonts w:ascii="Arial" w:cs="Arial" w:eastAsia="Arial" w:hAnsi="Arial"/>
          <w:sz w:val="15"/>
          <w:szCs w:val="15"/>
          <w:color w:val="auto"/>
        </w:rPr>
        <w:t xml:space="preserve">any Contract not made in the ordinary course of business and not disclosed pursuant to any other clause under this </w:t>
      </w:r>
      <w:r>
        <w:rPr>
          <w:rFonts w:ascii="Arial" w:cs="Arial" w:eastAsia="Arial" w:hAnsi="Arial"/>
          <w:sz w:val="15"/>
          <w:szCs w:val="15"/>
          <w:u w:val="single" w:color="auto"/>
          <w:color w:val="auto"/>
        </w:rPr>
        <w:t>Section 4.12(a)</w:t>
      </w:r>
      <w:r>
        <w:rPr>
          <w:rFonts w:ascii="Arial" w:cs="Arial" w:eastAsia="Arial" w:hAnsi="Arial"/>
          <w:sz w:val="15"/>
          <w:szCs w:val="15"/>
          <w:color w:val="auto"/>
        </w:rPr>
        <w:t xml:space="preserve"> and expected to result in revenue or require expenditures in excess of $2,500,000 in the calendar year ended December 31, 2020 or any subsequent calendar year;</w:t>
      </w:r>
    </w:p>
    <w:p>
      <w:pPr>
        <w:spacing w:after="0" w:line="129" w:lineRule="exact"/>
        <w:rPr>
          <w:rFonts w:ascii="Arial" w:cs="Arial" w:eastAsia="Arial" w:hAnsi="Arial"/>
          <w:sz w:val="15"/>
          <w:szCs w:val="15"/>
          <w:color w:val="auto"/>
        </w:rPr>
      </w:pPr>
    </w:p>
    <w:p>
      <w:pPr>
        <w:ind w:right="20" w:firstLine="1716"/>
        <w:spacing w:after="0" w:line="275" w:lineRule="auto"/>
        <w:tabs>
          <w:tab w:leader="none" w:pos="2079" w:val="left"/>
        </w:tabs>
        <w:numPr>
          <w:ilvl w:val="1"/>
          <w:numId w:val="38"/>
        </w:numPr>
        <w:rPr>
          <w:rFonts w:ascii="Arial" w:cs="Arial" w:eastAsia="Arial" w:hAnsi="Arial"/>
          <w:sz w:val="16"/>
          <w:szCs w:val="16"/>
          <w:color w:val="auto"/>
        </w:rPr>
      </w:pPr>
      <w:r>
        <w:rPr>
          <w:rFonts w:ascii="Arial" w:cs="Arial" w:eastAsia="Arial" w:hAnsi="Arial"/>
          <w:sz w:val="16"/>
          <w:szCs w:val="16"/>
          <w:color w:val="auto"/>
        </w:rPr>
        <w:t>except Contracts entered into in connection with employment, any Contract between the Company or its Subsidiaries, on the one hand, and any of Company’s shareholders, on the other hand, that will not be terminated at or prior to the Closing;</w:t>
      </w:r>
    </w:p>
    <w:p>
      <w:pPr>
        <w:spacing w:after="0" w:line="151" w:lineRule="exact"/>
        <w:rPr>
          <w:rFonts w:ascii="Arial" w:cs="Arial" w:eastAsia="Arial" w:hAnsi="Arial"/>
          <w:sz w:val="16"/>
          <w:szCs w:val="16"/>
          <w:color w:val="auto"/>
        </w:rPr>
      </w:pPr>
    </w:p>
    <w:p>
      <w:pPr>
        <w:jc w:val="both"/>
        <w:ind w:right="20" w:firstLine="1716"/>
        <w:spacing w:after="0" w:line="262" w:lineRule="auto"/>
        <w:tabs>
          <w:tab w:leader="none" w:pos="2002"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Contract establishing any joint venture, or legal partnership, strategic alliance or other collaboration that is material to the business of the Company and its Subsidiaries taken as a whole and expected to result in revenue or require expenditures in excess of $1,000,000 in the calendar year ended December 31, 2020 or any subsequent calendar year;</w:t>
      </w:r>
    </w:p>
    <w:p>
      <w:pPr>
        <w:spacing w:after="0" w:line="162" w:lineRule="exact"/>
        <w:rPr>
          <w:rFonts w:ascii="Arial" w:cs="Arial" w:eastAsia="Arial" w:hAnsi="Arial"/>
          <w:sz w:val="16"/>
          <w:szCs w:val="16"/>
          <w:color w:val="auto"/>
        </w:rPr>
      </w:pPr>
    </w:p>
    <w:p>
      <w:pPr>
        <w:ind w:right="20" w:firstLine="1716"/>
        <w:spacing w:after="0" w:line="275" w:lineRule="auto"/>
        <w:tabs>
          <w:tab w:leader="none" w:pos="1946" w:val="left"/>
        </w:tabs>
        <w:numPr>
          <w:ilvl w:val="1"/>
          <w:numId w:val="38"/>
        </w:numPr>
        <w:rPr>
          <w:rFonts w:ascii="Arial" w:cs="Arial" w:eastAsia="Arial" w:hAnsi="Arial"/>
          <w:sz w:val="16"/>
          <w:szCs w:val="16"/>
          <w:color w:val="auto"/>
        </w:rPr>
      </w:pPr>
      <w:r>
        <w:rPr>
          <w:rFonts w:ascii="Arial" w:cs="Arial" w:eastAsia="Arial" w:hAnsi="Arial"/>
          <w:sz w:val="16"/>
          <w:szCs w:val="16"/>
          <w:color w:val="auto"/>
        </w:rPr>
        <w:t>each Contract and agreement with consideration paid or payable to the Company or any of the Company’s Subsidiaries of more than $2,500,000, in the aggregate, over the 12-month period ending December 31, 2020; and</w:t>
      </w:r>
    </w:p>
    <w:p>
      <w:pPr>
        <w:spacing w:after="0" w:line="151" w:lineRule="exact"/>
        <w:rPr>
          <w:rFonts w:ascii="Arial" w:cs="Arial" w:eastAsia="Arial" w:hAnsi="Arial"/>
          <w:sz w:val="16"/>
          <w:szCs w:val="16"/>
          <w:color w:val="auto"/>
        </w:rPr>
      </w:pPr>
    </w:p>
    <w:p>
      <w:pPr>
        <w:ind w:right="20" w:firstLine="1716"/>
        <w:spacing w:after="0" w:line="275" w:lineRule="auto"/>
        <w:tabs>
          <w:tab w:leader="none" w:pos="2014" w:val="left"/>
        </w:tabs>
        <w:numPr>
          <w:ilvl w:val="1"/>
          <w:numId w:val="38"/>
        </w:numPr>
        <w:rPr>
          <w:rFonts w:ascii="Arial" w:cs="Arial" w:eastAsia="Arial" w:hAnsi="Arial"/>
          <w:sz w:val="16"/>
          <w:szCs w:val="16"/>
          <w:color w:val="auto"/>
        </w:rPr>
      </w:pPr>
      <w:r>
        <w:rPr>
          <w:rFonts w:ascii="Arial" w:cs="Arial" w:eastAsia="Arial" w:hAnsi="Arial"/>
          <w:sz w:val="16"/>
          <w:szCs w:val="16"/>
          <w:color w:val="auto"/>
        </w:rPr>
        <w:t>each Contract and agreement with suppliers to the Company or any Subsidiary of the Company for expenditures paid or payable by the Company or any Subsidiary of the Company of more than $2,500,000, in the aggregate, over the 12-month period ending December 31, 2020.</w:t>
      </w:r>
    </w:p>
    <w:p>
      <w:pPr>
        <w:spacing w:after="0" w:line="151" w:lineRule="exact"/>
        <w:rPr>
          <w:rFonts w:ascii="Arial" w:cs="Arial" w:eastAsia="Arial" w:hAnsi="Arial"/>
          <w:sz w:val="16"/>
          <w:szCs w:val="16"/>
          <w:color w:val="auto"/>
        </w:rPr>
      </w:pPr>
    </w:p>
    <w:p>
      <w:pPr>
        <w:jc w:val="both"/>
        <w:ind w:firstLine="1143"/>
        <w:spacing w:after="0" w:line="290" w:lineRule="auto"/>
        <w:tabs>
          <w:tab w:leader="none" w:pos="1379"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Except for any Contract that has terminated or will terminate upon the expiration of the stated term thereof prior to the Closing Date, with respect to any Contract required to be set forth on </w:t>
      </w:r>
      <w:r>
        <w:rPr>
          <w:rFonts w:ascii="Arial" w:cs="Arial" w:eastAsia="Arial" w:hAnsi="Arial"/>
          <w:sz w:val="14"/>
          <w:szCs w:val="14"/>
          <w:u w:val="single" w:color="auto"/>
          <w:color w:val="auto"/>
        </w:rPr>
        <w:t>Schedule 4.12(a)</w:t>
      </w:r>
      <w:r>
        <w:rPr>
          <w:rFonts w:ascii="Arial" w:cs="Arial" w:eastAsia="Arial" w:hAnsi="Arial"/>
          <w:sz w:val="14"/>
          <w:szCs w:val="14"/>
          <w:color w:val="auto"/>
        </w:rPr>
        <w:t xml:space="preserve">, (i) such Contracts are in full force and effect and represent the legal, valid and binding obligations of the Company or its Subsidiaries party thereto and, to the knowledge of the Company, represent the legal, valid and binding obligations of the other parties thereto, and, to the knowledge of the Company, are enforceable by the Company or its Subsidiaries in accordance with their terms, subject in all respects to the effects of bankruptcy, insolvency, fraudulent conveyance, reorganization, moratorium and other laws relating to or affecting creditors’ rights generally and general equitable principles (whether considered in a proceeding in equity or at law), (ii) none of the Company, its Subsidiaries or, to the knowledge of the Company as of the date of this Agreement, any other party thereto is in material breach of or material default (or would be in material breach, violation or default but for the existence of a cure period) under any such Contract, (iii) since December 31, 2020, neither the Company nor its Subsidiaries have received any written or, to the knowledge of the Company, oral claim or notice of material breach of or material default under any such Contract, (iv) to the knowledge of the Company, no event has occurred which, individually or together with other events, would reasonably be expected to result in a material breach of or a material default under any such Contract by the Company or its Subsidiaries or, to the knowledge of the Company as of the date of this Agreement, any other party thereto (in each case, with or without notice or lapse of time or both) and (v) since December 31, 2020 through the date hereof, neither the Company nor its Subsidiaries have received written notice from any other party to any such Contract that such party intends to terminate or not renew any such Contract. The Company has made available to Acquiror true and complete copies, as amended and currently in effect, of all Contracts listed in </w:t>
      </w:r>
      <w:r>
        <w:rPr>
          <w:rFonts w:ascii="Arial" w:cs="Arial" w:eastAsia="Arial" w:hAnsi="Arial"/>
          <w:sz w:val="14"/>
          <w:szCs w:val="14"/>
          <w:u w:val="single" w:color="auto"/>
          <w:color w:val="auto"/>
        </w:rPr>
        <w:t>Schedule 4.12(a)</w:t>
      </w:r>
      <w:r>
        <w:rPr>
          <w:rFonts w:ascii="Arial" w:cs="Arial" w:eastAsia="Arial" w:hAnsi="Arial"/>
          <w:sz w:val="14"/>
          <w:szCs w:val="14"/>
          <w:color w:val="auto"/>
        </w:rPr>
        <w: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0" w:name="page51"/>
    <w:bookmarkEnd w:id="50"/>
    <w:p>
      <w:pPr>
        <w:ind w:left="560"/>
        <w:spacing w:after="0"/>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Company Benefit Plans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95" w:lineRule="auto"/>
        <w:tabs>
          <w:tab w:leader="none" w:pos="1376" w:val="left"/>
        </w:tabs>
        <w:numPr>
          <w:ilvl w:val="0"/>
          <w:numId w:val="40"/>
        </w:numPr>
        <w:rPr>
          <w:rFonts w:ascii="Arial" w:cs="Arial" w:eastAsia="Arial" w:hAnsi="Arial"/>
          <w:sz w:val="14"/>
          <w:szCs w:val="14"/>
          <w:color w:val="auto"/>
        </w:rPr>
      </w:pPr>
      <w:r>
        <w:rPr>
          <w:rFonts w:ascii="Arial" w:cs="Arial" w:eastAsia="Arial" w:hAnsi="Arial"/>
          <w:sz w:val="14"/>
          <w:szCs w:val="14"/>
          <w:u w:val="single" w:color="auto"/>
          <w:color w:val="auto"/>
        </w:rPr>
        <w:t>Schedule 4.13(a)</w:t>
      </w:r>
      <w:r>
        <w:rPr>
          <w:rFonts w:ascii="Arial" w:cs="Arial" w:eastAsia="Arial" w:hAnsi="Arial"/>
          <w:sz w:val="14"/>
          <w:szCs w:val="14"/>
          <w:color w:val="auto"/>
        </w:rPr>
        <w:t xml:space="preserve"> sets forth a complete list of each material Company Benefit Plan. “</w:t>
      </w:r>
      <w:r>
        <w:rPr>
          <w:rFonts w:ascii="Arial" w:cs="Arial" w:eastAsia="Arial" w:hAnsi="Arial"/>
          <w:sz w:val="14"/>
          <w:szCs w:val="14"/>
          <w:u w:val="single" w:color="auto"/>
          <w:color w:val="auto"/>
        </w:rPr>
        <w:t>Company Benefit Plan</w:t>
      </w:r>
      <w:r>
        <w:rPr>
          <w:rFonts w:ascii="Arial" w:cs="Arial" w:eastAsia="Arial" w:hAnsi="Arial"/>
          <w:sz w:val="14"/>
          <w:szCs w:val="14"/>
          <w:color w:val="auto"/>
        </w:rPr>
        <w:t>” means any “employee benefit plan” as defined in Section 3(3) of the Employee Retirement Income Security Act of 1974 (“</w:t>
      </w:r>
      <w:r>
        <w:rPr>
          <w:rFonts w:ascii="Arial" w:cs="Arial" w:eastAsia="Arial" w:hAnsi="Arial"/>
          <w:sz w:val="14"/>
          <w:szCs w:val="14"/>
          <w:u w:val="single" w:color="auto"/>
          <w:color w:val="auto"/>
        </w:rPr>
        <w:t>ERISA</w:t>
      </w:r>
      <w:r>
        <w:rPr>
          <w:rFonts w:ascii="Arial" w:cs="Arial" w:eastAsia="Arial" w:hAnsi="Arial"/>
          <w:sz w:val="14"/>
          <w:szCs w:val="14"/>
          <w:color w:val="auto"/>
        </w:rPr>
        <w:t>”), and any other written plan, policy, program, arrangement or agreement providing compensation or benefits to any current or former director, officer, employee, independent contractor or other service provider, in each case, that is maintained, sponsored or contributed to by the Company or its Subsidiaries or under which the Company or its Subsidiaries has or could reasonably be expected to have any obligation or liability, including, without limitation, all pension, retirement, employment, consulting, change in control, severance, retention, incentive, bonus, deferred compensation, vacation, holiday, cafeteria, medical, disability, stock purchase, stock option, stock appreciation, phantom stock, restricted stock or other stock-based compensation plans, policies, programs, practices or arrangements. Each Company Benefit Plan sponsored by a professional employer organization (a “</w:t>
      </w:r>
      <w:r>
        <w:rPr>
          <w:rFonts w:ascii="Arial" w:cs="Arial" w:eastAsia="Arial" w:hAnsi="Arial"/>
          <w:sz w:val="14"/>
          <w:szCs w:val="14"/>
          <w:u w:val="single" w:color="auto"/>
          <w:color w:val="auto"/>
        </w:rPr>
        <w:t>PEO Plan</w:t>
      </w:r>
      <w:r>
        <w:rPr>
          <w:rFonts w:ascii="Arial" w:cs="Arial" w:eastAsia="Arial" w:hAnsi="Arial"/>
          <w:sz w:val="14"/>
          <w:szCs w:val="14"/>
          <w:color w:val="auto"/>
        </w:rPr>
        <w:t xml:space="preserve">”) is identified on </w:t>
      </w:r>
      <w:r>
        <w:rPr>
          <w:rFonts w:ascii="Arial" w:cs="Arial" w:eastAsia="Arial" w:hAnsi="Arial"/>
          <w:sz w:val="14"/>
          <w:szCs w:val="14"/>
          <w:u w:val="single" w:color="auto"/>
          <w:color w:val="auto"/>
        </w:rPr>
        <w:t>Schedule 4.13(a)</w:t>
      </w:r>
      <w:r>
        <w:rPr>
          <w:rFonts w:ascii="Arial" w:cs="Arial" w:eastAsia="Arial" w:hAnsi="Arial"/>
          <w:sz w:val="14"/>
          <w:szCs w:val="14"/>
          <w:color w:val="auto"/>
        </w:rPr>
        <w:t>.</w:t>
      </w:r>
    </w:p>
    <w:p>
      <w:pPr>
        <w:spacing w:after="0" w:line="144" w:lineRule="exact"/>
        <w:rPr>
          <w:rFonts w:ascii="Arial" w:cs="Arial" w:eastAsia="Arial" w:hAnsi="Arial"/>
          <w:sz w:val="14"/>
          <w:szCs w:val="14"/>
          <w:color w:val="auto"/>
        </w:rPr>
      </w:pPr>
    </w:p>
    <w:p>
      <w:pPr>
        <w:jc w:val="both"/>
        <w:ind w:right="20" w:firstLine="1143"/>
        <w:spacing w:after="0" w:line="255" w:lineRule="auto"/>
        <w:tabs>
          <w:tab w:leader="none" w:pos="13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With respect to each Company Benefit Plan, the Company has delivered or made available to Acquiror correct and complete copies (or to the extent no copy exists, an accurate summary) of, if applicable, (i) the current plan document (or summary in the case of a PEO Plan) and any trust agreement, (ii) the most recent summary plan description, (iii) the most recent annual report on Form 5500 filed with the Internal Revenue Service (or, with respect to non-U.S. plans, any comparable annual or periodic report), (iv) the most recent actuarial valuation and (v) the most recent determination or opinion letter issued by the Internal Revenue Service (or applicable comparable Governmental Authority).</w:t>
      </w:r>
    </w:p>
    <w:p>
      <w:pPr>
        <w:spacing w:after="0" w:line="169" w:lineRule="exact"/>
        <w:rPr>
          <w:rFonts w:ascii="Arial" w:cs="Arial" w:eastAsia="Arial" w:hAnsi="Arial"/>
          <w:sz w:val="16"/>
          <w:szCs w:val="16"/>
          <w:color w:val="auto"/>
        </w:rPr>
      </w:pPr>
    </w:p>
    <w:p>
      <w:pPr>
        <w:jc w:val="both"/>
        <w:ind w:firstLine="1143"/>
        <w:spacing w:after="0" w:line="317" w:lineRule="auto"/>
        <w:tabs>
          <w:tab w:leader="none" w:pos="1365" w:val="left"/>
        </w:tabs>
        <w:numPr>
          <w:ilvl w:val="0"/>
          <w:numId w:val="40"/>
        </w:numPr>
        <w:rPr>
          <w:rFonts w:ascii="Arial" w:cs="Arial" w:eastAsia="Arial" w:hAnsi="Arial"/>
          <w:sz w:val="14"/>
          <w:szCs w:val="14"/>
          <w:color w:val="auto"/>
        </w:rPr>
      </w:pPr>
      <w:r>
        <w:rPr>
          <w:rFonts w:ascii="Arial" w:cs="Arial" w:eastAsia="Arial" w:hAnsi="Arial"/>
          <w:sz w:val="14"/>
          <w:szCs w:val="14"/>
          <w:color w:val="auto"/>
        </w:rPr>
        <w:t>Each Company Benefit Plan that is not a PEO Plan, and to the knowledge of the Company in the case of a PEO Plan, has been administered in compliance with its terms and all applicable Laws, including ERISA and the Code. All contributions required to be made by the Company under the terms of any Company Benefit Plan as of the date this representation is made have been timely made or, if not yet due, have been properly reflected in the Company’s financial statements.</w:t>
      </w:r>
    </w:p>
    <w:p>
      <w:pPr>
        <w:spacing w:after="0" w:line="126" w:lineRule="exact"/>
        <w:rPr>
          <w:rFonts w:ascii="Arial" w:cs="Arial" w:eastAsia="Arial" w:hAnsi="Arial"/>
          <w:sz w:val="14"/>
          <w:szCs w:val="14"/>
          <w:color w:val="auto"/>
        </w:rPr>
      </w:pPr>
    </w:p>
    <w:p>
      <w:pPr>
        <w:jc w:val="both"/>
        <w:ind w:firstLine="1143"/>
        <w:spacing w:after="0" w:line="276" w:lineRule="auto"/>
        <w:tabs>
          <w:tab w:leader="none" w:pos="1374" w:val="left"/>
        </w:tabs>
        <w:numPr>
          <w:ilvl w:val="0"/>
          <w:numId w:val="40"/>
        </w:numPr>
        <w:rPr>
          <w:rFonts w:ascii="Arial" w:cs="Arial" w:eastAsia="Arial" w:hAnsi="Arial"/>
          <w:sz w:val="15"/>
          <w:szCs w:val="15"/>
          <w:color w:val="auto"/>
        </w:rPr>
      </w:pPr>
      <w:r>
        <w:rPr>
          <w:rFonts w:ascii="Arial" w:cs="Arial" w:eastAsia="Arial" w:hAnsi="Arial"/>
          <w:sz w:val="15"/>
          <w:szCs w:val="15"/>
          <w:color w:val="auto"/>
        </w:rPr>
        <w:t>Each Company Benefit Plan that is intended to be qualified within the meaning of Section 401(a) of the Code (i) has received a favorable determination or opinion letter as to its qualification, (ii) has been established under a standardized master and prototype or volume submitter plan for which a current favorable Internal Revenue Service advisory letter or opinion letter has been obtained by the plan sponsor and is valid as to the adopting employer or (iii) has time remaining under applicable Laws to apply for a determination or opinion letter or to make any amendments necessary to obtain a favorable determination or opinion letter. To the knowledge of the Company, no event has occurred that would reasonably be expected to result in the loss of the tax-qualified status of such plans.</w:t>
      </w:r>
    </w:p>
    <w:p>
      <w:pPr>
        <w:spacing w:after="0" w:line="155" w:lineRule="exact"/>
        <w:rPr>
          <w:rFonts w:ascii="Arial" w:cs="Arial" w:eastAsia="Arial" w:hAnsi="Arial"/>
          <w:sz w:val="15"/>
          <w:szCs w:val="15"/>
          <w:color w:val="auto"/>
        </w:rPr>
      </w:pPr>
    </w:p>
    <w:p>
      <w:pPr>
        <w:jc w:val="both"/>
        <w:ind w:firstLine="1143"/>
        <w:spacing w:after="0" w:line="253" w:lineRule="auto"/>
        <w:tabs>
          <w:tab w:leader="none" w:pos="13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Neither the Company nor any of its Subsidiaries or ERISA Affiliates sponsored, maintained, contributed to or was required to contribute to, or has or had any liability in respect of, at any point during the six (6) year period prior to the date hereof, a multiemployer pension plan (as defined in Section 3(37) of ERISA) (a “</w:t>
      </w:r>
      <w:r>
        <w:rPr>
          <w:rFonts w:ascii="Arial" w:cs="Arial" w:eastAsia="Arial" w:hAnsi="Arial"/>
          <w:sz w:val="16"/>
          <w:szCs w:val="16"/>
          <w:u w:val="single" w:color="auto"/>
          <w:color w:val="auto"/>
        </w:rPr>
        <w:t>Multiemployer Plan</w:t>
      </w:r>
      <w:r>
        <w:rPr>
          <w:rFonts w:ascii="Arial" w:cs="Arial" w:eastAsia="Arial" w:hAnsi="Arial"/>
          <w:sz w:val="16"/>
          <w:szCs w:val="16"/>
          <w:color w:val="auto"/>
        </w:rPr>
        <w:t>”) or other pension plan, in each case, that is subject to Title IV of ERISA. No circumstance or condition exists that would reasonably be expected to result in an actual obligation of the Company or any of its Subsidiaries to pay money to any Multiemployer Plan or other pension plan that is subject to Title IV of ERISA and that is maintained by an ERISA Affiliate of the Company. For purposes of this Agreement, “</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entity (whether or not incorporated) other than the Company or a Subsidiary of the Company that, together with the Company, is considered under common control and treated as one employer under Section 414(b), (c), (m) or (o) of the Code.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1" w:name="page52"/>
    <w:bookmarkEnd w:id="51"/>
    <w:p>
      <w:pPr>
        <w:ind w:right="20" w:firstLine="1143"/>
        <w:spacing w:after="0" w:line="309" w:lineRule="auto"/>
        <w:tabs>
          <w:tab w:leader="none" w:pos="1364" w:val="left"/>
        </w:tabs>
        <w:numPr>
          <w:ilvl w:val="0"/>
          <w:numId w:val="41"/>
        </w:numPr>
        <w:rPr>
          <w:rFonts w:ascii="Arial" w:cs="Arial" w:eastAsia="Arial" w:hAnsi="Arial"/>
          <w:sz w:val="15"/>
          <w:szCs w:val="15"/>
          <w:color w:val="auto"/>
        </w:rPr>
      </w:pPr>
      <w:r>
        <w:rPr>
          <w:rFonts w:ascii="Arial" w:cs="Arial" w:eastAsia="Arial" w:hAnsi="Arial"/>
          <w:sz w:val="15"/>
          <w:szCs w:val="15"/>
          <w:color w:val="auto"/>
        </w:rPr>
        <w:t>With respect to the Company Benefit Plans other than the PEO Plans, no administrative investigation, audit or other administrative proceeding by the Department of Labor, the Internal Revenue Service or other Governmental Authorities is pending or, to the knowledge of the Company, threatened.</w:t>
      </w:r>
    </w:p>
    <w:p>
      <w:pPr>
        <w:spacing w:after="0" w:line="129" w:lineRule="exact"/>
        <w:rPr>
          <w:rFonts w:ascii="Arial" w:cs="Arial" w:eastAsia="Arial" w:hAnsi="Arial"/>
          <w:sz w:val="15"/>
          <w:szCs w:val="15"/>
          <w:color w:val="auto"/>
        </w:rPr>
      </w:pPr>
    </w:p>
    <w:p>
      <w:pPr>
        <w:ind w:right="20" w:firstLine="1143"/>
        <w:spacing w:after="0" w:line="275" w:lineRule="auto"/>
        <w:tabs>
          <w:tab w:leader="none" w:pos="1382"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Except as required by applicable Law, no Company Benefit Plan provides retiree or post-employment medical, disability, life insurance or other welfare benefits to any Person, and none of the Company or any of its Subsidiaries has any obligation to provide such benefits.</w:t>
      </w:r>
    </w:p>
    <w:p>
      <w:pPr>
        <w:spacing w:after="0" w:line="151" w:lineRule="exact"/>
        <w:rPr>
          <w:rFonts w:ascii="Arial" w:cs="Arial" w:eastAsia="Arial" w:hAnsi="Arial"/>
          <w:sz w:val="16"/>
          <w:szCs w:val="16"/>
          <w:color w:val="auto"/>
        </w:rPr>
      </w:pPr>
    </w:p>
    <w:p>
      <w:pPr>
        <w:jc w:val="both"/>
        <w:ind w:right="20" w:firstLine="1143"/>
        <w:spacing w:after="0" w:line="294" w:lineRule="auto"/>
        <w:tabs>
          <w:tab w:leader="none" w:pos="1375"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Except as described on </w:t>
      </w:r>
      <w:r>
        <w:rPr>
          <w:rFonts w:ascii="Arial" w:cs="Arial" w:eastAsia="Arial" w:hAnsi="Arial"/>
          <w:sz w:val="14"/>
          <w:szCs w:val="14"/>
          <w:u w:val="single" w:color="auto"/>
          <w:color w:val="auto"/>
        </w:rPr>
        <w:t>Schedule 4.13(h)</w:t>
      </w:r>
      <w:r>
        <w:rPr>
          <w:rFonts w:ascii="Arial" w:cs="Arial" w:eastAsia="Arial" w:hAnsi="Arial"/>
          <w:sz w:val="14"/>
          <w:szCs w:val="14"/>
          <w:color w:val="auto"/>
        </w:rPr>
        <w:t>, neither the execution and delivery of this Agreement by the Company nor the consummation of the transactions contemplated by this Agreement (either alone or in combination with another event) will (i) entitle any employee, director, officer or independent contractor of the Company or any of its Subsidiaries to severance pay or any material increase in severance pay, (ii) accelerate the time of payment or vesting, or materially increase the amount of compensation due to any such employee, director, officer or independent contractor, (iii) directly or indirectly cause the Company to transfer or set aside any assets to fund any material benefits under any Company Benefit Plan, (iv) otherwise give rise to any material liability under any Company Benefit Plan, (v) limit or restrict the right to merge, materially amend, terminate or transfer the assets of any Company Benefit Plan on or following the Effective Time, (vi) require a “gross-up,” indemnification for, or payment to any individual for any taxes imposed under Section 409A or Section 4999 of the Code or any other tax or (vii) result in the payment of any amount that could, individually or in combination with any other such payment, constitute an “excess parachute payment” as defined in Section 280G(b)(1) of the Code.</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Labor Matters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55" w:lineRule="auto"/>
        <w:tabs>
          <w:tab w:leader="none" w:pos="13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Neither the Company nor its Subsidiaries is a party to, negotiating, required to negotiate, or bound by any labor agreement, collective bargaining agreement, or any other labor-related agreements or arrangements with any labor union, labor organization or works council, (ii) no labor union or organization, works council or group of employees of the Company or its Subsidiaries has made a pending written demand for recognition or certification and (iii) there are no representation or certification proceedings or petitions seeking a representation proceeding pending or, to the knowledge of the Company, threatened in writing to be brought or filed with the National Labor Relations Board or any other applicable labor relations authority.</w:t>
      </w:r>
    </w:p>
    <w:p>
      <w:pPr>
        <w:spacing w:after="0" w:line="169" w:lineRule="exact"/>
        <w:rPr>
          <w:rFonts w:ascii="Arial" w:cs="Arial" w:eastAsia="Arial" w:hAnsi="Arial"/>
          <w:sz w:val="16"/>
          <w:szCs w:val="16"/>
          <w:color w:val="auto"/>
        </w:rPr>
      </w:pPr>
    </w:p>
    <w:p>
      <w:pPr>
        <w:jc w:val="both"/>
        <w:ind w:firstLine="1143"/>
        <w:spacing w:after="0" w:line="272" w:lineRule="auto"/>
        <w:tabs>
          <w:tab w:leader="none" w:pos="13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Except as described on </w:t>
      </w:r>
      <w:r>
        <w:rPr>
          <w:rFonts w:ascii="Arial" w:cs="Arial" w:eastAsia="Arial" w:hAnsi="Arial"/>
          <w:sz w:val="15"/>
          <w:szCs w:val="15"/>
          <w:u w:val="single" w:color="auto"/>
          <w:color w:val="auto"/>
        </w:rPr>
        <w:t>Schedule 4.14(b),</w:t>
      </w:r>
      <w:r>
        <w:rPr>
          <w:rFonts w:ascii="Arial" w:cs="Arial" w:eastAsia="Arial" w:hAnsi="Arial"/>
          <w:sz w:val="15"/>
          <w:szCs w:val="15"/>
          <w:color w:val="auto"/>
        </w:rPr>
        <w:t xml:space="preserve"> each of the Company and its Subsidiaries (i) is in compliance with all applicable Laws regarding employment and employment practices, including, without limitation, all laws respecting terms and conditions of employment, health and safety, employee classification, non-discrimination, wages and hours, immigration, disability rights or benefits, equal opportunity, plant closures and layoffs, affirmative action, workers’ compensation, labor relations, pay equity, overtime pay, employee leave issues, the proper classification of employees and independent contractors, the proper classification of exempt and non-exempt employees, and unemployment insurance, (ii) has not been adjudged to have committed any unfair labor practice as defined by the National Labor Relations Board or received written notice of any unfair labor practice complaint against it pending before the National Labor Relations Board that remains unresolved and (iii) since January 1, 2017, has not experienced any actual or, to the knowledge of the Company, threatened arbitrations, grievances, labor disputes, strikes, lockouts, picketing, hand-billing, slowdowns or work stoppages against or affecting the Company or its Subsidiaries.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 w:name="page53"/>
    <w:bookmarkEnd w:id="52"/>
    <w:p>
      <w:pPr>
        <w:ind w:right="20" w:firstLine="1143"/>
        <w:spacing w:after="0" w:line="275" w:lineRule="auto"/>
        <w:tabs>
          <w:tab w:leader="none" w:pos="13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and its Subsidiaries are not delinquent in payments to any employees or former employees for any services or amounts required to be reimbursed or otherwise paid.</w:t>
      </w:r>
    </w:p>
    <w:p>
      <w:pPr>
        <w:spacing w:after="0" w:line="151" w:lineRule="exact"/>
        <w:rPr>
          <w:rFonts w:ascii="Arial" w:cs="Arial" w:eastAsia="Arial" w:hAnsi="Arial"/>
          <w:sz w:val="16"/>
          <w:szCs w:val="16"/>
          <w:color w:val="auto"/>
        </w:rPr>
      </w:pPr>
    </w:p>
    <w:p>
      <w:pPr>
        <w:jc w:val="both"/>
        <w:ind w:right="20" w:firstLine="1143"/>
        <w:spacing w:after="0" w:line="258" w:lineRule="auto"/>
        <w:tabs>
          <w:tab w:leader="none" w:pos="137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the knowledge of the Company, no employee of the Company or its Subsidiaries is in any material respect in violation of any term of any employment agreement, nondisclosure agreement, non-competition agreement, restrictive covenant or other obligation: (i) to the Company or its Subsidiaries or (ii) to a former employer of any such employee relating (A) to the right of any such employee to be employed by the Company or its Subsidiaries or (B) to the knowledge or use of Trade Secrets or proprietary information.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4.15 </w:t>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202" w:lineRule="exact"/>
        <w:rPr>
          <w:sz w:val="20"/>
          <w:szCs w:val="20"/>
          <w:color w:val="auto"/>
        </w:rPr>
      </w:pPr>
    </w:p>
    <w:p>
      <w:pPr>
        <w:ind w:right="20" w:firstLine="1143"/>
        <w:spacing w:after="0" w:line="275" w:lineRule="auto"/>
        <w:tabs>
          <w:tab w:leader="none" w:pos="13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material Tax Returns required by Law to be filed by the Company or its Subsidiaries have been duly and timely filed (after giving effect to any valid extensions of time in which to make such filings).</w:t>
      </w:r>
    </w:p>
    <w:p>
      <w:pPr>
        <w:spacing w:after="0" w:line="151" w:lineRule="exact"/>
        <w:rPr>
          <w:rFonts w:ascii="Arial" w:cs="Arial" w:eastAsia="Arial" w:hAnsi="Arial"/>
          <w:sz w:val="16"/>
          <w:szCs w:val="16"/>
          <w:color w:val="auto"/>
        </w:rPr>
      </w:pPr>
    </w:p>
    <w:p>
      <w:pPr>
        <w:ind w:right="20" w:firstLine="1143"/>
        <w:spacing w:after="0" w:line="275" w:lineRule="auto"/>
        <w:tabs>
          <w:tab w:leader="none" w:pos="1381"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material amounts of Taxes shown due on any Tax Returns of the Company and its Subsidiaries and all other material amounts of Taxes owed by the Company and its Subsidiaries have been timely paid.</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68"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of the Company and its Subsidiaries has (i) withheld all material amounts of Taxes required to have been withheld by it in connection with amounts paid to any employee, independent contractor, creditor, shareholder or any other third party, and (ii) remitted such amounts required to have been remitted to the appropriate Governmental Authority.</w:t>
      </w:r>
    </w:p>
    <w:p>
      <w:pPr>
        <w:spacing w:after="0" w:line="162" w:lineRule="exact"/>
        <w:rPr>
          <w:rFonts w:ascii="Arial" w:cs="Arial" w:eastAsia="Arial" w:hAnsi="Arial"/>
          <w:sz w:val="16"/>
          <w:szCs w:val="16"/>
          <w:color w:val="auto"/>
        </w:rPr>
      </w:pPr>
    </w:p>
    <w:p>
      <w:pPr>
        <w:jc w:val="both"/>
        <w:ind w:firstLine="1143"/>
        <w:spacing w:after="0" w:line="297" w:lineRule="auto"/>
        <w:tabs>
          <w:tab w:leader="none" w:pos="1387"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Neither the Company nor its Subsidiaries is currently engaged in any material audit, administrative or judicial proceeding with a taxing authority with respect to Taxes. Neither the Company nor its Subsidiaries has received any written notice from a taxing authority of a proposed deficiency of a material amount of Taxes, other than any such deficiencies that have since been resolved. No written claim has been made by any Governmental Authority in a jurisdiction where the Company or any of its Subsidiaries does not file a Tax Return that such entity is or may be subject to Taxes by that jurisdiction in respect of Taxes that would be the subject of such Tax Return, which claim has not been resolved. There are no outstanding agreements extending or waiving the statutory period of limitations applicable to any claim for, or the period for the collection or assessment or reassessment of, material Taxes of the Company or its Subsidiaries, and no written request for any such waiver or extension is currently pending.</w:t>
      </w:r>
    </w:p>
    <w:p>
      <w:pPr>
        <w:spacing w:after="0" w:line="143" w:lineRule="exact"/>
        <w:rPr>
          <w:rFonts w:ascii="Arial" w:cs="Arial" w:eastAsia="Arial" w:hAnsi="Arial"/>
          <w:sz w:val="14"/>
          <w:szCs w:val="14"/>
          <w:color w:val="auto"/>
        </w:rPr>
      </w:pPr>
    </w:p>
    <w:p>
      <w:pPr>
        <w:jc w:val="both"/>
        <w:ind w:right="20" w:firstLine="1143"/>
        <w:spacing w:after="0" w:line="262" w:lineRule="auto"/>
        <w:tabs>
          <w:tab w:leader="none" w:pos="1367" w:val="left"/>
        </w:tabs>
        <w:numPr>
          <w:ilvl w:val="0"/>
          <w:numId w:val="44"/>
        </w:numPr>
        <w:rPr>
          <w:rFonts w:ascii="Arial" w:cs="Arial" w:eastAsia="Arial" w:hAnsi="Arial"/>
          <w:sz w:val="16"/>
          <w:szCs w:val="16"/>
          <w:color w:val="auto"/>
        </w:rPr>
      </w:pPr>
      <w:r>
        <w:rPr>
          <w:rFonts w:ascii="Arial" w:cs="Arial" w:eastAsia="Arial" w:hAnsi="Arial"/>
          <w:sz w:val="16"/>
          <w:szCs w:val="16"/>
          <w:color w:val="auto"/>
        </w:rPr>
        <w:t>Neither the Company nor its Subsidiaries (or any predecessor thereof) has constituted either a “distributing corporation” or a “controlled corporation” in a distribution of stock qualifying for tax-free treatment under Section 355 of the Code (or so much of Section 356 of the Code as relates to Section 355 of the Code) in the prior two years.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3" w:name="page54"/>
    <w:bookmarkEnd w:id="53"/>
    <w:p>
      <w:pPr>
        <w:ind w:left="1340" w:hanging="197"/>
        <w:spacing w:after="0"/>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Neither the Company nor its Subsidiaries has been a party to any “listed transaction” within the meaning of Treasury Regulation Section 1.6011-4(b)(2).</w:t>
      </w:r>
    </w:p>
    <w:p>
      <w:pPr>
        <w:spacing w:after="0" w:line="221" w:lineRule="exact"/>
        <w:rPr>
          <w:rFonts w:ascii="Arial" w:cs="Arial" w:eastAsia="Arial" w:hAnsi="Arial"/>
          <w:sz w:val="14"/>
          <w:szCs w:val="14"/>
          <w:color w:val="auto"/>
        </w:rPr>
      </w:pPr>
    </w:p>
    <w:p>
      <w:pPr>
        <w:jc w:val="both"/>
        <w:ind w:firstLine="1143"/>
        <w:spacing w:after="0" w:line="295" w:lineRule="auto"/>
        <w:tabs>
          <w:tab w:leader="none" w:pos="1374"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Except with respect to deferred revenue or prepaid subscription revenues collected by the Company and its Subsidiaries in the ordinary course of business, neither the Company nor its Subsidiaries will be required to include any material item of income in, or exclude any material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Governmental Authority (including any closing agreement pursuant to Section 7121 of the Code or any similar provision of Tax Law) issue or executed prior to the Closing; (C) installment sale or open transaction disposition made prior to the Closing; (D) prepaid amount received prior to the Closing; (E) intercompany transaction or excess loss accounts described in the Treasury Regulations promulgated under Section 1502 of the Code (or any corresponding or similar provision of state, local or foreign income Tax Law) that existed prior to the Closing; or (F) Section 965 of the Code.</w:t>
      </w:r>
    </w:p>
    <w:p>
      <w:pPr>
        <w:spacing w:after="0" w:line="144" w:lineRule="exact"/>
        <w:rPr>
          <w:rFonts w:ascii="Arial" w:cs="Arial" w:eastAsia="Arial" w:hAnsi="Arial"/>
          <w:sz w:val="14"/>
          <w:szCs w:val="14"/>
          <w:color w:val="auto"/>
        </w:rPr>
      </w:pPr>
    </w:p>
    <w:p>
      <w:pPr>
        <w:ind w:left="1360" w:hanging="217"/>
        <w:spacing w:after="0"/>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There are no Liens with respect to Taxes on any of the assets of the Company or its Subsidiaries, other than Permitted Liens.</w:t>
      </w:r>
    </w:p>
    <w:p>
      <w:pPr>
        <w:spacing w:after="0" w:line="198" w:lineRule="exact"/>
        <w:rPr>
          <w:rFonts w:ascii="Arial" w:cs="Arial" w:eastAsia="Arial" w:hAnsi="Arial"/>
          <w:sz w:val="16"/>
          <w:szCs w:val="16"/>
          <w:color w:val="auto"/>
        </w:rPr>
      </w:pPr>
    </w:p>
    <w:p>
      <w:pPr>
        <w:ind w:right="20" w:firstLine="1143"/>
        <w:spacing w:after="0" w:line="275" w:lineRule="auto"/>
        <w:tabs>
          <w:tab w:leader="none" w:pos="1353"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Neither the Company nor its Subsidiaries has any liability for the Taxes of any Person (other than the Company or its Subsidiaries) (i) under Treasury Regulation Section 1.1502-6 (or any similar provision of state, local or foreign Law) or (ii) as a transferee or successor.</w:t>
      </w:r>
    </w:p>
    <w:p>
      <w:pPr>
        <w:spacing w:after="0" w:line="151" w:lineRule="exact"/>
        <w:rPr>
          <w:rFonts w:ascii="Arial" w:cs="Arial" w:eastAsia="Arial" w:hAnsi="Arial"/>
          <w:sz w:val="16"/>
          <w:szCs w:val="16"/>
          <w:color w:val="auto"/>
        </w:rPr>
      </w:pPr>
    </w:p>
    <w:p>
      <w:pPr>
        <w:ind w:right="20" w:firstLine="1143"/>
        <w:spacing w:after="0" w:line="349" w:lineRule="auto"/>
        <w:tabs>
          <w:tab w:leader="none" w:pos="1338"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Neither the Company nor any of its Subsidiaries is a party to, or bound by, or has any obligation to, any Governmental Authority or other Person under any Tax allocation, Tax sharing or Tax indemnification agreements (except, in each case, for any such agreements that are commercial contracts not primarily relating to Taxes).</w:t>
      </w:r>
    </w:p>
    <w:p>
      <w:pPr>
        <w:spacing w:after="0" w:line="105" w:lineRule="exact"/>
        <w:rPr>
          <w:rFonts w:ascii="Arial" w:cs="Arial" w:eastAsia="Arial" w:hAnsi="Arial"/>
          <w:sz w:val="14"/>
          <w:szCs w:val="14"/>
          <w:color w:val="auto"/>
        </w:rPr>
      </w:pPr>
    </w:p>
    <w:p>
      <w:pPr>
        <w:ind w:right="20" w:firstLine="1143"/>
        <w:spacing w:after="0" w:line="309" w:lineRule="auto"/>
        <w:tabs>
          <w:tab w:leader="none" w:pos="1392" w:val="left"/>
        </w:tabs>
        <w:numPr>
          <w:ilvl w:val="0"/>
          <w:numId w:val="45"/>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made an entity classification election pursuant to Treasury Regulation Section 301.7701-3 to be classified as other than such entity’s default classification pursuant to Treasury Regulation Section 301.7701-3(b) for U.S. federal income tax purposes.</w:t>
      </w:r>
    </w:p>
    <w:p>
      <w:pPr>
        <w:spacing w:after="0" w:line="129" w:lineRule="exact"/>
        <w:rPr>
          <w:rFonts w:ascii="Arial" w:cs="Arial" w:eastAsia="Arial" w:hAnsi="Arial"/>
          <w:sz w:val="15"/>
          <w:szCs w:val="15"/>
          <w:color w:val="auto"/>
        </w:rPr>
      </w:pPr>
    </w:p>
    <w:p>
      <w:pPr>
        <w:ind w:right="20" w:firstLine="1143"/>
        <w:spacing w:after="0" w:line="275" w:lineRule="auto"/>
        <w:tabs>
          <w:tab w:leader="none" w:pos="135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and has not been at any time during the five (5) year period ending on the Closing Date, a “United States real property holding corporation” within the meaning of Section 897(c)(2) of the Code.</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419"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Each of the Company and its Subsidiaries is in compliance with applicable United States and foreign transfer pricing Laws and regulations in all material respects, including the execution and maintenance of contemporaneous documentation substantiating the transfer pricing practices and methodology of each of the Company and its Subsidiaries.</w:t>
      </w:r>
    </w:p>
    <w:p>
      <w:pPr>
        <w:spacing w:after="0" w:line="162" w:lineRule="exact"/>
        <w:rPr>
          <w:rFonts w:ascii="Arial" w:cs="Arial" w:eastAsia="Arial" w:hAnsi="Arial"/>
          <w:sz w:val="16"/>
          <w:szCs w:val="16"/>
          <w:color w:val="auto"/>
        </w:rPr>
      </w:pPr>
    </w:p>
    <w:p>
      <w:pPr>
        <w:ind w:right="20" w:firstLine="1143"/>
        <w:spacing w:after="0" w:line="275" w:lineRule="auto"/>
        <w:tabs>
          <w:tab w:leader="none" w:pos="137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the knowledge of the Company, there are no facts, circumstances or plans that, either alone or in combination, could reasonably be expected to prevent the Transactions from qualifying for the Intended Tax Treatment.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4" w:name="page55"/>
    <w:bookmarkEnd w:id="54"/>
    <w:p>
      <w:pPr>
        <w:ind w:left="1360" w:hanging="217"/>
        <w:spacing w:after="0"/>
        <w:tabs>
          <w:tab w:leader="none" w:pos="1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has not made an election under Section 965(h) of the Code.</w:t>
      </w:r>
    </w:p>
    <w:p>
      <w:pPr>
        <w:spacing w:after="0" w:line="198" w:lineRule="exact"/>
        <w:rPr>
          <w:rFonts w:ascii="Arial" w:cs="Arial" w:eastAsia="Arial" w:hAnsi="Arial"/>
          <w:sz w:val="16"/>
          <w:szCs w:val="16"/>
          <w:color w:val="auto"/>
        </w:rPr>
      </w:pPr>
    </w:p>
    <w:p>
      <w:pPr>
        <w:jc w:val="both"/>
        <w:ind w:firstLine="1143"/>
        <w:spacing w:after="0" w:line="258" w:lineRule="auto"/>
        <w:tabs>
          <w:tab w:leader="none" w:pos="1393"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Other than the representations and warranties set forth in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contains the exclusive representations and warranties of the Company with respect to Tax matters. Nothing in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shall be construed as providing a representation or warranty with respect to (i) other than the representations and warranties set forth in </w:t>
      </w:r>
      <w:r>
        <w:rPr>
          <w:rFonts w:ascii="Arial" w:cs="Arial" w:eastAsia="Arial" w:hAnsi="Arial"/>
          <w:sz w:val="16"/>
          <w:szCs w:val="16"/>
          <w:u w:val="single" w:color="auto"/>
          <w:color w:val="auto"/>
        </w:rPr>
        <w:t>Section 4.15(g)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4.15(i)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4.15(j)</w:t>
      </w:r>
      <w:r>
        <w:rPr>
          <w:rFonts w:ascii="Arial" w:cs="Arial" w:eastAsia="Arial" w:hAnsi="Arial"/>
          <w:sz w:val="16"/>
          <w:szCs w:val="16"/>
          <w:color w:val="auto"/>
        </w:rPr>
        <w:t>, any taxable period (or portion thereof) beginning following the Closing Date or (ii) the existence, amount, expiration date or limitations on (or availability of) any Tax attribute.</w:t>
      </w:r>
    </w:p>
    <w:p>
      <w:pPr>
        <w:spacing w:after="0" w:line="161"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b w:val="1"/>
          <w:bCs w:val="1"/>
          <w:color w:val="auto"/>
        </w:rPr>
        <w:t xml:space="preserve">Section 4.16 </w:t>
      </w:r>
      <w:r>
        <w:rPr>
          <w:rFonts w:ascii="Arial" w:cs="Arial" w:eastAsia="Arial" w:hAnsi="Arial"/>
          <w:sz w:val="16"/>
          <w:szCs w:val="16"/>
          <w:b w:val="1"/>
          <w:bCs w:val="1"/>
          <w:u w:val="single" w:color="auto"/>
          <w:color w:val="auto"/>
        </w:rPr>
        <w:t>Brokers’ Fees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described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4.16</w:t>
      </w:r>
      <w:r>
        <w:rPr>
          <w:rFonts w:ascii="Arial" w:cs="Arial" w:eastAsia="Arial" w:hAnsi="Arial"/>
          <w:sz w:val="16"/>
          <w:szCs w:val="16"/>
          <w:color w:val="auto"/>
        </w:rPr>
        <w:t>, no broker, finder, investment banker or other Person is entitled to any brokerage fee, finders’ fee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commission in connection with the transactions contemplated by this Agreement based upon arrangements made by the Company, its Subsidiaries or any of their Affiliates for which the Company or any of its Subsidiaries has any obligation.</w:t>
      </w:r>
    </w:p>
    <w:p>
      <w:pPr>
        <w:spacing w:after="0" w:line="155"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b w:val="1"/>
          <w:bCs w:val="1"/>
          <w:color w:val="auto"/>
        </w:rPr>
        <w:t xml:space="preserve">Section 4.17 </w:t>
      </w:r>
      <w:r>
        <w:rPr>
          <w:rFonts w:ascii="Arial" w:cs="Arial" w:eastAsia="Arial" w:hAnsi="Arial"/>
          <w:sz w:val="14"/>
          <w:szCs w:val="14"/>
          <w:b w:val="1"/>
          <w:bCs w:val="1"/>
          <w:u w:val="single" w:color="auto"/>
          <w:color w:val="auto"/>
        </w:rPr>
        <w:t>Insurance</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4.17</w:t>
      </w:r>
      <w:r>
        <w:rPr>
          <w:rFonts w:ascii="Arial" w:cs="Arial" w:eastAsia="Arial" w:hAnsi="Arial"/>
          <w:sz w:val="14"/>
          <w:szCs w:val="14"/>
          <w:b w:val="1"/>
          <w:bCs w:val="1"/>
          <w:color w:val="auto"/>
        </w:rPr>
        <w:t xml:space="preserve"> </w:t>
      </w:r>
      <w:r>
        <w:rPr>
          <w:rFonts w:ascii="Arial" w:cs="Arial" w:eastAsia="Arial" w:hAnsi="Arial"/>
          <w:sz w:val="14"/>
          <w:szCs w:val="14"/>
          <w:color w:val="auto"/>
        </w:rPr>
        <w:t>contains a list of all material policies or programs of self-insurance of property, fire and casualty, product liability, workers’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compensation and other forms of insurance held by, or for the benefit of, the Company or its Subsidiaries as of the date of this Agreement. True, correct and complete copies or comprehensive summaries of such insurance policies have been made available to Acquiror. With respect to each such insurance policy required to be listed on </w:t>
      </w:r>
      <w:r>
        <w:rPr>
          <w:rFonts w:ascii="Arial" w:cs="Arial" w:eastAsia="Arial" w:hAnsi="Arial"/>
          <w:sz w:val="14"/>
          <w:szCs w:val="14"/>
          <w:u w:val="single" w:color="auto"/>
          <w:color w:val="auto"/>
        </w:rPr>
        <w:t>Schedule 4.17</w:t>
      </w:r>
      <w:r>
        <w:rPr>
          <w:rFonts w:ascii="Arial" w:cs="Arial" w:eastAsia="Arial" w:hAnsi="Arial"/>
          <w:sz w:val="14"/>
          <w:szCs w:val="14"/>
          <w:color w:val="auto"/>
        </w:rPr>
        <w:t>, except as would not, individually or in the aggregate, reasonably be expected to have a Material Adverse Effect, (i) all premiums due have been paid, (ii) the policy is legal, valid, binding and enforceable in accordance with its terms and, except for policies that have expired under their terms in the ordinary course, is in full force and effect, (iii) neither the Company nor its Subsidiaries is in breach or default (including any such breach or default with respect to the payment of premiums or the giving of notice), and, to the Company’s knowledge, no event has occurred which, with notice or the lapse of time or both, would constitute such a breach or default, or permit termination or modification, under the policy, and to the knowledge of the Company, no such action has been threatened and (iv) as of the date hereof, no written notice of cancellation, non-renewal, disallowance or reduction in coverage or claim or termination has been received other than in connection with ordinary renewals.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4.18 </w:t>
      </w:r>
      <w:r>
        <w:rPr>
          <w:rFonts w:ascii="Arial" w:cs="Arial" w:eastAsia="Arial" w:hAnsi="Arial"/>
          <w:sz w:val="16"/>
          <w:szCs w:val="16"/>
          <w:b w:val="1"/>
          <w:bCs w:val="1"/>
          <w:u w:val="single" w:color="auto"/>
          <w:color w:val="auto"/>
        </w:rPr>
        <w:t>Real Property; Assets</w:t>
      </w:r>
      <w:r>
        <w:rPr>
          <w:rFonts w:ascii="Arial" w:cs="Arial" w:eastAsia="Arial" w:hAnsi="Arial"/>
          <w:sz w:val="16"/>
          <w:szCs w:val="16"/>
          <w:b w:val="1"/>
          <w:bCs w:val="1"/>
          <w:color w:val="auto"/>
        </w:rPr>
        <w:t>.</w:t>
      </w:r>
    </w:p>
    <w:p>
      <w:pPr>
        <w:spacing w:after="0" w:line="202" w:lineRule="exact"/>
        <w:rPr>
          <w:sz w:val="20"/>
          <w:szCs w:val="20"/>
          <w:color w:val="auto"/>
        </w:rPr>
      </w:pPr>
    </w:p>
    <w:p>
      <w:pPr>
        <w:ind w:left="1360" w:hanging="217"/>
        <w:spacing w:after="0"/>
        <w:tabs>
          <w:tab w:leader="none" w:pos="1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Neither the Company nor any of its Subsidiaries owns any real property.</w:t>
      </w:r>
    </w:p>
    <w:p>
      <w:pPr>
        <w:spacing w:after="0" w:line="198" w:lineRule="exact"/>
        <w:rPr>
          <w:rFonts w:ascii="Arial" w:cs="Arial" w:eastAsia="Arial" w:hAnsi="Arial"/>
          <w:sz w:val="16"/>
          <w:szCs w:val="16"/>
          <w:color w:val="auto"/>
        </w:rPr>
      </w:pPr>
    </w:p>
    <w:p>
      <w:pPr>
        <w:jc w:val="both"/>
        <w:ind w:firstLine="1143"/>
        <w:spacing w:after="0" w:line="280" w:lineRule="auto"/>
        <w:tabs>
          <w:tab w:leader="none" w:pos="1373" w:val="left"/>
        </w:tabs>
        <w:numPr>
          <w:ilvl w:val="0"/>
          <w:numId w:val="47"/>
        </w:numPr>
        <w:rPr>
          <w:rFonts w:ascii="Arial" w:cs="Arial" w:eastAsia="Arial" w:hAnsi="Arial"/>
          <w:sz w:val="15"/>
          <w:szCs w:val="15"/>
          <w:color w:val="auto"/>
        </w:rPr>
      </w:pPr>
      <w:r>
        <w:rPr>
          <w:rFonts w:ascii="Arial" w:cs="Arial" w:eastAsia="Arial" w:hAnsi="Arial"/>
          <w:sz w:val="15"/>
          <w:szCs w:val="15"/>
          <w:u w:val="single" w:color="auto"/>
          <w:color w:val="auto"/>
        </w:rPr>
        <w:t>Schedule 4.18(b)</w:t>
      </w:r>
      <w:r>
        <w:rPr>
          <w:rFonts w:ascii="Arial" w:cs="Arial" w:eastAsia="Arial" w:hAnsi="Arial"/>
          <w:sz w:val="15"/>
          <w:szCs w:val="15"/>
          <w:color w:val="auto"/>
        </w:rPr>
        <w:t xml:space="preserve"> contains a true, correct and complete list of all Leased Real Property as of the date of this Agreement. The Company has made available to Acquiror true, correct and complete copies of the leases, subleases, licenses and occupancy agreements (including all modifications, amendments, supplements, guaranties, extensions, renewals, waivers, side letters and other agreements relating thereto) for the Leased Real Property to which the Company or its Subsidiaries is a party (the “</w:t>
      </w:r>
      <w:r>
        <w:rPr>
          <w:rFonts w:ascii="Arial" w:cs="Arial" w:eastAsia="Arial" w:hAnsi="Arial"/>
          <w:sz w:val="15"/>
          <w:szCs w:val="15"/>
          <w:u w:val="single" w:color="auto"/>
          <w:color w:val="auto"/>
        </w:rPr>
        <w:t>Real</w:t>
      </w:r>
      <w:r>
        <w:rPr>
          <w:rFonts w:ascii="Arial" w:cs="Arial" w:eastAsia="Arial" w:hAnsi="Arial"/>
          <w:sz w:val="15"/>
          <w:szCs w:val="15"/>
          <w:color w:val="auto"/>
        </w:rPr>
        <w:t xml:space="preserve"> </w:t>
      </w:r>
      <w:r>
        <w:rPr>
          <w:rFonts w:ascii="Arial" w:cs="Arial" w:eastAsia="Arial" w:hAnsi="Arial"/>
          <w:sz w:val="15"/>
          <w:szCs w:val="15"/>
          <w:u w:val="single" w:color="auto"/>
          <w:color w:val="auto"/>
        </w:rPr>
        <w:t>Estate Documents</w:t>
      </w:r>
      <w:r>
        <w:rPr>
          <w:rFonts w:ascii="Arial" w:cs="Arial" w:eastAsia="Arial" w:hAnsi="Arial"/>
          <w:sz w:val="15"/>
          <w:szCs w:val="15"/>
          <w:color w:val="auto"/>
        </w:rPr>
        <w:t>”), and such deliverables comprise all Real Estate Documents relating to the Leased Real Property.</w:t>
      </w:r>
    </w:p>
    <w:p>
      <w:pPr>
        <w:spacing w:after="0" w:line="151" w:lineRule="exact"/>
        <w:rPr>
          <w:rFonts w:ascii="Arial" w:cs="Arial" w:eastAsia="Arial" w:hAnsi="Arial"/>
          <w:sz w:val="15"/>
          <w:szCs w:val="15"/>
          <w:color w:val="auto"/>
        </w:rPr>
      </w:pPr>
    </w:p>
    <w:p>
      <w:pPr>
        <w:jc w:val="both"/>
        <w:ind w:firstLine="1143"/>
        <w:spacing w:after="0" w:line="271" w:lineRule="auto"/>
        <w:tabs>
          <w:tab w:leader="none" w:pos="1384" w:val="left"/>
        </w:tabs>
        <w:numPr>
          <w:ilvl w:val="0"/>
          <w:numId w:val="47"/>
        </w:numPr>
        <w:rPr>
          <w:rFonts w:ascii="Arial" w:cs="Arial" w:eastAsia="Arial" w:hAnsi="Arial"/>
          <w:sz w:val="15"/>
          <w:szCs w:val="15"/>
          <w:color w:val="auto"/>
        </w:rPr>
      </w:pPr>
      <w:r>
        <w:rPr>
          <w:rFonts w:ascii="Arial" w:cs="Arial" w:eastAsia="Arial" w:hAnsi="Arial"/>
          <w:sz w:val="15"/>
          <w:szCs w:val="15"/>
          <w:color w:val="auto"/>
        </w:rPr>
        <w:t>Each Real Estate Document (i) is a legal, valid, binding and enforceable obligation of the Company or its Subsidiaries and, to the knowledge of the Company, the other parties thereto, as applicable, subject to applicable bankruptcy, insolvency, fraudulent conveyance, reorganization, moratorium and similar Laws affecting creditors’ rights generally and subject, as to enforceability, to general principles of equity, and each such lease is in full force and effect, (ii) has not been amended or modified except as reflected in the Real Estate Documents made available to Acquiror and (iii) to the knowledge of the Company, covers the entire estate it purports to cover and, subject to securing the consents or approvals, if any, required under the Real Estate Documents to be obtained from any landlord, lender or any other third party (as applicable), in connection with the execution and delivery of this Agreement by the Company or the consummation of the transaction contemplated hereby by the Company, upon the consummation of the transactions contemplated by this Agreement, will entitle Acquiror or its Subsidiaries to the exclusive use (subject to the terms of the respective Real Estate Documents in effect with respect to the Leased Real Property), occupancy and possession of the premises specified in the Real Estate Documents for the purpose specified in the Real Estate Documents.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5" w:name="page56"/>
    <w:bookmarkEnd w:id="55"/>
    <w:p>
      <w:pPr>
        <w:jc w:val="both"/>
        <w:ind w:firstLine="1143"/>
        <w:spacing w:after="0" w:line="273" w:lineRule="auto"/>
        <w:tabs>
          <w:tab w:leader="none" w:pos="1387" w:val="left"/>
        </w:tabs>
        <w:numPr>
          <w:ilvl w:val="0"/>
          <w:numId w:val="48"/>
        </w:numPr>
        <w:rPr>
          <w:rFonts w:ascii="Arial" w:cs="Arial" w:eastAsia="Arial" w:hAnsi="Arial"/>
          <w:sz w:val="15"/>
          <w:szCs w:val="15"/>
          <w:color w:val="auto"/>
        </w:rPr>
      </w:pPr>
      <w:r>
        <w:rPr>
          <w:rFonts w:ascii="Arial" w:cs="Arial" w:eastAsia="Arial" w:hAnsi="Arial"/>
          <w:sz w:val="15"/>
          <w:szCs w:val="15"/>
          <w:color w:val="auto"/>
        </w:rPr>
        <w:t>No material default or breach by (i) the Company or its Subsidiaries or (ii) to the knowledge of the Company, any other parties thereto, as applicable, presently exists under any Real Estate Documents. Neither the Company nor its Subsidiaries has received written or, to the knowledge of the Company, oral notice of material default or breach under any Real Estate Document which has not been cured. To the knowledge of the Company, no event has occurred that, and no condition exists which, with notice or lapse of time or both, would constitute a material default or breach under any Real Estate Document by the Company or its Subsidiaries or by the other parties thereto. Neither the Company nor its Subsidiaries has subleased or otherwise granted any Person the right to use or occupy any Leased Real Property which is still in effect. Neither the Company nor its Subsidiaries has collaterally assigned or granted any other security interest in the Leased Real Property or any interest therein which is still in effect. The Company or its Subsidiaries has a good and valid leasehold title to each Leased Real Property subject only to Permitted Liens.</w:t>
      </w:r>
    </w:p>
    <w:p>
      <w:pPr>
        <w:spacing w:after="0" w:line="156" w:lineRule="exact"/>
        <w:rPr>
          <w:rFonts w:ascii="Arial" w:cs="Arial" w:eastAsia="Arial" w:hAnsi="Arial"/>
          <w:sz w:val="15"/>
          <w:szCs w:val="15"/>
          <w:color w:val="auto"/>
        </w:rPr>
      </w:pPr>
    </w:p>
    <w:p>
      <w:pPr>
        <w:jc w:val="both"/>
        <w:ind w:right="20" w:firstLine="1143"/>
        <w:spacing w:after="0" w:line="287" w:lineRule="auto"/>
        <w:tabs>
          <w:tab w:leader="none" w:pos="1365" w:val="left"/>
        </w:tabs>
        <w:numPr>
          <w:ilvl w:val="0"/>
          <w:numId w:val="48"/>
        </w:numPr>
        <w:rPr>
          <w:rFonts w:ascii="Arial" w:cs="Arial" w:eastAsia="Arial" w:hAnsi="Arial"/>
          <w:sz w:val="15"/>
          <w:szCs w:val="15"/>
          <w:color w:val="auto"/>
        </w:rPr>
      </w:pPr>
      <w:r>
        <w:rPr>
          <w:rFonts w:ascii="Arial" w:cs="Arial" w:eastAsia="Arial" w:hAnsi="Arial"/>
          <w:sz w:val="15"/>
          <w:szCs w:val="15"/>
          <w:color w:val="auto"/>
        </w:rPr>
        <w:t>Neither the Company nor its Subsidiaries has received any written notice that remains outstanding as of the date of this Agreement that the current use and occupancy of the Leased Real Property and the improvements thereon (i) are prohibited by any Lien or law other than Permitted Liens or (ii) are in material violation of any of the recorded covenants, conditions, restrictions, reservations, easements or agreements applicable to such Leased Real Property.</w:t>
      </w:r>
    </w:p>
    <w:p>
      <w:pPr>
        <w:spacing w:after="0" w:line="146" w:lineRule="exact"/>
        <w:rPr>
          <w:rFonts w:ascii="Arial" w:cs="Arial" w:eastAsia="Arial" w:hAnsi="Arial"/>
          <w:sz w:val="15"/>
          <w:szCs w:val="15"/>
          <w:color w:val="auto"/>
        </w:rPr>
      </w:pPr>
    </w:p>
    <w:p>
      <w:pPr>
        <w:ind w:left="1340" w:hanging="197"/>
        <w:spacing w:after="0"/>
        <w:tabs>
          <w:tab w:leader="none" w:pos="1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Except for Permitted Liens, the Company and its Subsidiaries have good and valid title to the assets of the Company and its Subsidiaries.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 xml:space="preserve">Section 4.19 </w:t>
      </w:r>
      <w:r>
        <w:rPr>
          <w:rFonts w:ascii="Arial" w:cs="Arial" w:eastAsia="Arial" w:hAnsi="Arial"/>
          <w:sz w:val="15"/>
          <w:szCs w:val="15"/>
          <w:b w:val="1"/>
          <w:bCs w:val="1"/>
          <w:u w:val="single" w:color="auto"/>
          <w:color w:val="auto"/>
        </w:rPr>
        <w:t>Environmental Matters</w:t>
      </w:r>
      <w:r>
        <w:rPr>
          <w:rFonts w:ascii="Arial" w:cs="Arial" w:eastAsia="Arial" w:hAnsi="Arial"/>
          <w:sz w:val="15"/>
          <w:szCs w:val="15"/>
          <w:color w:val="auto"/>
        </w:rPr>
        <w:t>. Except as would not, individually or in the aggregate, reasonably be expected to have a Material Adverse Effect:</w:t>
      </w:r>
    </w:p>
    <w:p>
      <w:pPr>
        <w:spacing w:after="0" w:line="214" w:lineRule="exact"/>
        <w:rPr>
          <w:sz w:val="20"/>
          <w:szCs w:val="20"/>
          <w:color w:val="auto"/>
        </w:rPr>
      </w:pPr>
    </w:p>
    <w:p>
      <w:pPr>
        <w:ind w:left="1360" w:hanging="217"/>
        <w:spacing w:after="0"/>
        <w:tabs>
          <w:tab w:leader="none" w:pos="1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and its Subsidiaries are and, during the last three (3) years, have been in compliance with all Environmental Laws;</w:t>
      </w:r>
    </w:p>
    <w:p>
      <w:pPr>
        <w:spacing w:after="0" w:line="198" w:lineRule="exact"/>
        <w:rPr>
          <w:rFonts w:ascii="Arial" w:cs="Arial" w:eastAsia="Arial" w:hAnsi="Arial"/>
          <w:sz w:val="16"/>
          <w:szCs w:val="16"/>
          <w:color w:val="auto"/>
        </w:rPr>
      </w:pPr>
    </w:p>
    <w:p>
      <w:pPr>
        <w:jc w:val="both"/>
        <w:ind w:right="20" w:firstLine="1143"/>
        <w:spacing w:after="0" w:line="258" w:lineRule="auto"/>
        <w:tabs>
          <w:tab w:leader="none" w:pos="137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there has been no release of any Hazardous Materials by the Company or any of its Subsidiaries (i) at, in, on, from or under any Leased Real Property, (ii) to the knowledge of the Company, in connection with the Company’s or its Subsidiaries’ operations off-site of the Leased Real Property or, (iii) to the knowledge of the Company, at, in, on, from or under any formerly owned, operated or leased real property during the time that the Company or any Subsidiary owned, operated or leased such property;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6" w:name="page57"/>
    <w:bookmarkEnd w:id="56"/>
    <w:p>
      <w:pPr>
        <w:jc w:val="both"/>
        <w:ind w:firstLine="1143"/>
        <w:spacing w:after="0" w:line="262" w:lineRule="auto"/>
        <w:tabs>
          <w:tab w:leader="none" w:pos="1367"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Company’s knowledge, any real property owned, operated or leased by the Company or any of its Subsidiaries is subject to any Governmental Order relating to any Environmental Law or the investigation, sampling, monitoring, treatment, remediation, removal, handling, recycling or cleanup of Hazardous Materials;</w:t>
      </w:r>
    </w:p>
    <w:p>
      <w:pPr>
        <w:spacing w:after="0" w:line="162" w:lineRule="exact"/>
        <w:rPr>
          <w:rFonts w:ascii="Arial" w:cs="Arial" w:eastAsia="Arial" w:hAnsi="Arial"/>
          <w:sz w:val="16"/>
          <w:szCs w:val="16"/>
          <w:color w:val="auto"/>
        </w:rPr>
      </w:pPr>
    </w:p>
    <w:p>
      <w:pPr>
        <w:jc w:val="both"/>
        <w:ind w:firstLine="1143"/>
        <w:spacing w:after="0" w:line="262" w:lineRule="auto"/>
        <w:tabs>
          <w:tab w:leader="none" w:pos="13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Action is pending or, to the knowledge of the Company, threatened and, to the knowledge of the Company, no investigation is pending or threatened with respect to Environmental Law and the Company or any of its Subsidiaries, or, to the Company’s knowledge, Environmental Law and any real property owned, operated or leased by the Company or any of its Subsidiaries;</w:t>
      </w:r>
    </w:p>
    <w:p>
      <w:pPr>
        <w:spacing w:after="0" w:line="162" w:lineRule="exact"/>
        <w:rPr>
          <w:rFonts w:ascii="Arial" w:cs="Arial" w:eastAsia="Arial" w:hAnsi="Arial"/>
          <w:sz w:val="16"/>
          <w:szCs w:val="16"/>
          <w:color w:val="auto"/>
        </w:rPr>
      </w:pPr>
    </w:p>
    <w:p>
      <w:pPr>
        <w:ind w:firstLine="1143"/>
        <w:spacing w:after="0" w:line="275" w:lineRule="auto"/>
        <w:tabs>
          <w:tab w:leader="none" w:pos="137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the knowledge of the Company, neither the Company nor any of its Subsidiaries has assumed, either contractually or by operation of Law, the liability of any other Person relating to any Environmental Law or Hazardous Material; and</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5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has made available to Acquiror all material environmental documents in the Company’s possession, including environmental reports (</w:t>
      </w:r>
      <w:r>
        <w:rPr>
          <w:rFonts w:ascii="Arial" w:cs="Arial" w:eastAsia="Arial" w:hAnsi="Arial"/>
          <w:sz w:val="16"/>
          <w:szCs w:val="16"/>
          <w:i w:val="1"/>
          <w:iCs w:val="1"/>
          <w:color w:val="auto"/>
        </w:rPr>
        <w:t>i.e.</w:t>
      </w:r>
      <w:r>
        <w:rPr>
          <w:rFonts w:ascii="Arial" w:cs="Arial" w:eastAsia="Arial" w:hAnsi="Arial"/>
          <w:sz w:val="16"/>
          <w:szCs w:val="16"/>
          <w:color w:val="auto"/>
        </w:rPr>
        <w:t>, Phase I or Phase II environmental site assessments), audits, correspondence or other material documents, in each case relating to the Leased Real Property, or any formerly owned or operated real property for which the Company may be liable under Environmental Laws.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4.20 </w:t>
      </w:r>
      <w:r>
        <w:rPr>
          <w:rFonts w:ascii="Arial" w:cs="Arial" w:eastAsia="Arial" w:hAnsi="Arial"/>
          <w:sz w:val="16"/>
          <w:szCs w:val="16"/>
          <w:b w:val="1"/>
          <w:bCs w:val="1"/>
          <w:u w:val="single" w:color="auto"/>
          <w:color w:val="auto"/>
        </w:rPr>
        <w:t>Absence of Changes</w:t>
      </w:r>
      <w:r>
        <w:rPr>
          <w:rFonts w:ascii="Arial" w:cs="Arial" w:eastAsia="Arial" w:hAnsi="Arial"/>
          <w:sz w:val="16"/>
          <w:szCs w:val="16"/>
          <w:b w:val="1"/>
          <w:bCs w:val="1"/>
          <w:color w:val="auto"/>
        </w:rPr>
        <w:t>.</w:t>
      </w:r>
    </w:p>
    <w:p>
      <w:pPr>
        <w:spacing w:after="0" w:line="202" w:lineRule="exact"/>
        <w:rPr>
          <w:sz w:val="20"/>
          <w:szCs w:val="20"/>
          <w:color w:val="auto"/>
        </w:rPr>
      </w:pPr>
    </w:p>
    <w:p>
      <w:pPr>
        <w:ind w:firstLine="1143"/>
        <w:spacing w:after="0" w:line="309" w:lineRule="auto"/>
        <w:tabs>
          <w:tab w:leader="none" w:pos="1366" w:val="left"/>
        </w:tabs>
        <w:numPr>
          <w:ilvl w:val="0"/>
          <w:numId w:val="51"/>
        </w:numPr>
        <w:rPr>
          <w:rFonts w:ascii="Arial" w:cs="Arial" w:eastAsia="Arial" w:hAnsi="Arial"/>
          <w:sz w:val="15"/>
          <w:szCs w:val="15"/>
          <w:color w:val="auto"/>
        </w:rPr>
      </w:pPr>
      <w:r>
        <w:rPr>
          <w:rFonts w:ascii="Arial" w:cs="Arial" w:eastAsia="Arial" w:hAnsi="Arial"/>
          <w:sz w:val="15"/>
          <w:szCs w:val="15"/>
          <w:color w:val="auto"/>
        </w:rPr>
        <w:t>Since June 30, 2021 through the date of this Agreement, there has not been any change, development, condition, occurrence, event or effect relating to the Company or its Subsidiaries that, individually or in the aggregate, resulted in, or would reasonably be expected to result in, a Material Adverse Effect.</w:t>
      </w:r>
    </w:p>
    <w:p>
      <w:pPr>
        <w:spacing w:after="0" w:line="129" w:lineRule="exact"/>
        <w:rPr>
          <w:rFonts w:ascii="Arial" w:cs="Arial" w:eastAsia="Arial" w:hAnsi="Arial"/>
          <w:sz w:val="15"/>
          <w:szCs w:val="15"/>
          <w:color w:val="auto"/>
        </w:rPr>
      </w:pPr>
    </w:p>
    <w:p>
      <w:pPr>
        <w:jc w:val="both"/>
        <w:ind w:firstLine="1143"/>
        <w:spacing w:after="0" w:line="317" w:lineRule="auto"/>
        <w:tabs>
          <w:tab w:leader="none" w:pos="1379"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From June 30, 2021 through the date of this Agreement, the Company and its Subsidiaries (i) have, in all material respects, conducted their business and operated their properties in the ordinary course of business consistent with past practices and (ii) have not taken any action that both (A) would require the consent of the Acquiror pursuant to </w:t>
      </w:r>
      <w:r>
        <w:rPr>
          <w:rFonts w:ascii="Arial" w:cs="Arial" w:eastAsia="Arial" w:hAnsi="Arial"/>
          <w:sz w:val="14"/>
          <w:szCs w:val="14"/>
          <w:u w:val="single" w:color="auto"/>
          <w:color w:val="auto"/>
        </w:rPr>
        <w:t>Section 6.01</w:t>
      </w:r>
      <w:r>
        <w:rPr>
          <w:rFonts w:ascii="Arial" w:cs="Arial" w:eastAsia="Arial" w:hAnsi="Arial"/>
          <w:sz w:val="14"/>
          <w:szCs w:val="14"/>
          <w:color w:val="auto"/>
        </w:rPr>
        <w:t xml:space="preserve"> if such action had been taken after the date hereof and (B) is material to the Company and its Subsidiaries, taken as a whole.</w:t>
      </w:r>
    </w:p>
    <w:p>
      <w:pPr>
        <w:spacing w:after="0" w:line="123" w:lineRule="exact"/>
        <w:rPr>
          <w:sz w:val="20"/>
          <w:szCs w:val="20"/>
          <w:color w:val="auto"/>
        </w:rPr>
      </w:pPr>
    </w:p>
    <w:p>
      <w:pPr>
        <w:jc w:val="both"/>
        <w:ind w:firstLine="574"/>
        <w:spacing w:after="0" w:line="302" w:lineRule="auto"/>
        <w:rPr>
          <w:sz w:val="20"/>
          <w:szCs w:val="20"/>
          <w:color w:val="auto"/>
        </w:rPr>
      </w:pPr>
      <w:r>
        <w:rPr>
          <w:rFonts w:ascii="Arial" w:cs="Arial" w:eastAsia="Arial" w:hAnsi="Arial"/>
          <w:sz w:val="14"/>
          <w:szCs w:val="14"/>
          <w:b w:val="1"/>
          <w:bCs w:val="1"/>
          <w:color w:val="auto"/>
        </w:rPr>
        <w:t xml:space="preserve">Section 4.21 </w:t>
      </w:r>
      <w:r>
        <w:rPr>
          <w:rFonts w:ascii="Arial" w:cs="Arial" w:eastAsia="Arial" w:hAnsi="Arial"/>
          <w:sz w:val="14"/>
          <w:szCs w:val="14"/>
          <w:b w:val="1"/>
          <w:bCs w:val="1"/>
          <w:u w:val="single" w:color="auto"/>
          <w:color w:val="auto"/>
        </w:rPr>
        <w:t>Affiliate Agreements</w:t>
      </w:r>
      <w:r>
        <w:rPr>
          <w:rFonts w:ascii="Arial" w:cs="Arial" w:eastAsia="Arial" w:hAnsi="Arial"/>
          <w:sz w:val="14"/>
          <w:szCs w:val="14"/>
          <w:color w:val="auto"/>
        </w:rPr>
        <w:t>. Except as set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4.21</w:t>
      </w:r>
      <w:r>
        <w:rPr>
          <w:rFonts w:ascii="Arial" w:cs="Arial" w:eastAsia="Arial" w:hAnsi="Arial"/>
          <w:sz w:val="14"/>
          <w:szCs w:val="14"/>
          <w:b w:val="1"/>
          <w:bCs w:val="1"/>
          <w:color w:val="auto"/>
        </w:rPr>
        <w:t xml:space="preserve"> </w:t>
      </w:r>
      <w:r>
        <w:rPr>
          <w:rFonts w:ascii="Arial" w:cs="Arial" w:eastAsia="Arial" w:hAnsi="Arial"/>
          <w:sz w:val="14"/>
          <w:szCs w:val="14"/>
          <w:color w:val="auto"/>
        </w:rPr>
        <w:t>and except for, in the case of any employee, officer or director, any employment Contract or</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 with respect to the issuance of equity in the Company, none of the Company or its Subsidiaries is a party to any transaction, agreement, arrangement or understanding with any (i) present or former executive officer or director of any of the Company or its Subsidiaries, (ii) beneficial owner (within the meaning of Section 13(d) of the Exchange Act) of 5% or more of the capital stock or equity interests of any of the Company or its Subsidiaries or (iii) Affiliate, “associate” or member of the “immediate family” (as such terms are respectively defined in Rules 12b-2 and 16a-1 of the Exchange Act) of any of the foregoing (each of the foregoing, a “</w:t>
      </w:r>
      <w:r>
        <w:rPr>
          <w:rFonts w:ascii="Arial" w:cs="Arial" w:eastAsia="Arial" w:hAnsi="Arial"/>
          <w:sz w:val="14"/>
          <w:szCs w:val="14"/>
          <w:u w:val="single" w:color="auto"/>
          <w:color w:val="auto"/>
        </w:rPr>
        <w:t>Company Affiliate Agreement</w:t>
      </w:r>
      <w:r>
        <w:rPr>
          <w:rFonts w:ascii="Arial" w:cs="Arial" w:eastAsia="Arial" w:hAnsi="Arial"/>
          <w:sz w:val="14"/>
          <w:szCs w:val="14"/>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7" w:name="page58"/>
    <w:bookmarkEnd w:id="57"/>
    <w:p>
      <w:pPr>
        <w:jc w:val="both"/>
        <w:ind w:firstLine="574"/>
        <w:spacing w:after="0" w:line="308" w:lineRule="auto"/>
        <w:rPr>
          <w:sz w:val="20"/>
          <w:szCs w:val="20"/>
          <w:color w:val="auto"/>
        </w:rPr>
      </w:pPr>
      <w:r>
        <w:rPr>
          <w:rFonts w:ascii="Arial" w:cs="Arial" w:eastAsia="Arial" w:hAnsi="Arial"/>
          <w:sz w:val="14"/>
          <w:szCs w:val="14"/>
          <w:b w:val="1"/>
          <w:bCs w:val="1"/>
          <w:color w:val="auto"/>
        </w:rPr>
        <w:t xml:space="preserve">Section 4.22 </w:t>
      </w:r>
      <w:r>
        <w:rPr>
          <w:rFonts w:ascii="Arial" w:cs="Arial" w:eastAsia="Arial" w:hAnsi="Arial"/>
          <w:sz w:val="14"/>
          <w:szCs w:val="14"/>
          <w:b w:val="1"/>
          <w:bCs w:val="1"/>
          <w:u w:val="single" w:color="auto"/>
          <w:color w:val="auto"/>
        </w:rPr>
        <w:t>Internal Controls</w:t>
      </w:r>
      <w:r>
        <w:rPr>
          <w:rFonts w:ascii="Arial" w:cs="Arial" w:eastAsia="Arial" w:hAnsi="Arial"/>
          <w:sz w:val="14"/>
          <w:szCs w:val="14"/>
          <w:color w:val="auto"/>
        </w:rPr>
        <w:t>. The Company maintains a system of internal accounting controls designed to provide reasonable assurance that: (a) transactions are</w:t>
      </w:r>
      <w:r>
        <w:rPr>
          <w:rFonts w:ascii="Arial" w:cs="Arial" w:eastAsia="Arial" w:hAnsi="Arial"/>
          <w:sz w:val="14"/>
          <w:szCs w:val="14"/>
          <w:b w:val="1"/>
          <w:bCs w:val="1"/>
          <w:color w:val="auto"/>
        </w:rPr>
        <w:t xml:space="preserve"> </w:t>
      </w:r>
      <w:r>
        <w:rPr>
          <w:rFonts w:ascii="Arial" w:cs="Arial" w:eastAsia="Arial" w:hAnsi="Arial"/>
          <w:sz w:val="14"/>
          <w:szCs w:val="14"/>
          <w:color w:val="auto"/>
        </w:rPr>
        <w:t>executed in accordance with management’s general or specific authorizations; (b) transactions are recorded as necessary to permit preparation of financial statements in conformity with GAAP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30" w:lineRule="exact"/>
        <w:rPr>
          <w:sz w:val="20"/>
          <w:szCs w:val="20"/>
          <w:color w:val="auto"/>
        </w:rPr>
      </w:pPr>
    </w:p>
    <w:p>
      <w:pPr>
        <w:jc w:val="both"/>
        <w:ind w:firstLine="574"/>
        <w:spacing w:after="0" w:line="296" w:lineRule="auto"/>
        <w:rPr>
          <w:sz w:val="20"/>
          <w:szCs w:val="20"/>
          <w:color w:val="auto"/>
        </w:rPr>
      </w:pPr>
      <w:r>
        <w:rPr>
          <w:rFonts w:ascii="Arial" w:cs="Arial" w:eastAsia="Arial" w:hAnsi="Arial"/>
          <w:sz w:val="14"/>
          <w:szCs w:val="14"/>
          <w:b w:val="1"/>
          <w:bCs w:val="1"/>
          <w:color w:val="auto"/>
        </w:rPr>
        <w:t xml:space="preserve">Section 4.23 </w:t>
      </w:r>
      <w:r>
        <w:rPr>
          <w:rFonts w:ascii="Arial" w:cs="Arial" w:eastAsia="Arial" w:hAnsi="Arial"/>
          <w:sz w:val="14"/>
          <w:szCs w:val="14"/>
          <w:b w:val="1"/>
          <w:bCs w:val="1"/>
          <w:u w:val="single" w:color="auto"/>
          <w:color w:val="auto"/>
        </w:rPr>
        <w:t>Permits</w:t>
      </w:r>
      <w:r>
        <w:rPr>
          <w:rFonts w:ascii="Arial" w:cs="Arial" w:eastAsia="Arial" w:hAnsi="Arial"/>
          <w:sz w:val="14"/>
          <w:szCs w:val="14"/>
          <w:color w:val="auto"/>
        </w:rPr>
        <w:t>. Each of the Company and its Subsidiaries has all material Permits (the “</w:t>
      </w:r>
      <w:r>
        <w:rPr>
          <w:rFonts w:ascii="Arial" w:cs="Arial" w:eastAsia="Arial" w:hAnsi="Arial"/>
          <w:sz w:val="14"/>
          <w:szCs w:val="14"/>
          <w:u w:val="single" w:color="auto"/>
          <w:color w:val="auto"/>
        </w:rPr>
        <w:t>Material Permits</w:t>
      </w:r>
      <w:r>
        <w:rPr>
          <w:rFonts w:ascii="Arial" w:cs="Arial" w:eastAsia="Arial" w:hAnsi="Arial"/>
          <w:sz w:val="14"/>
          <w:szCs w:val="14"/>
          <w:color w:val="auto"/>
        </w:rPr>
        <w:t>”) that are required to own, lease or operate its</w:t>
      </w:r>
      <w:r>
        <w:rPr>
          <w:rFonts w:ascii="Arial" w:cs="Arial" w:eastAsia="Arial" w:hAnsi="Arial"/>
          <w:sz w:val="14"/>
          <w:szCs w:val="14"/>
          <w:b w:val="1"/>
          <w:bCs w:val="1"/>
          <w:color w:val="auto"/>
        </w:rPr>
        <w:t xml:space="preserve"> </w:t>
      </w:r>
      <w:r>
        <w:rPr>
          <w:rFonts w:ascii="Arial" w:cs="Arial" w:eastAsia="Arial" w:hAnsi="Arial"/>
          <w:sz w:val="14"/>
          <w:szCs w:val="14"/>
          <w:color w:val="auto"/>
        </w:rPr>
        <w:t>properties and assets and to conduct its business as currently conducted. Except as would not, individually or in the aggregate, reasonably be expected to have a Material Adverse Effect, (a) each Material Permit is in full force and effect in accordance with its terms, (b) no outstanding written notice of revocation, cancellation or termination of any Material Permit has been received by the Company or its Subsidiaries, (c) to the knowledge of the Company, none of such Permits upon its termination or expiration in the ordinary due course will not be renewed or reissued in the ordinary course of business upon terms and conditions substantially similar to its existing terms and conditions, (d) there are no Actions pending or, to the knowledge of the Company, threatened, that seek the revocation, cancellation, limitation, restriction or termination of any Material Permit and (e) each of the Company and its Subsidiaries is in compliance with all Material Permits applicable to the Company or its Subsidiaries.</w:t>
      </w:r>
    </w:p>
    <w:p>
      <w:pPr>
        <w:spacing w:after="0" w:line="140"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b w:val="1"/>
          <w:bCs w:val="1"/>
          <w:color w:val="auto"/>
        </w:rPr>
        <w:t xml:space="preserve">Section 4.24 </w:t>
      </w:r>
      <w:r>
        <w:rPr>
          <w:rFonts w:ascii="Arial" w:cs="Arial" w:eastAsia="Arial" w:hAnsi="Arial"/>
          <w:sz w:val="16"/>
          <w:szCs w:val="16"/>
          <w:b w:val="1"/>
          <w:bCs w:val="1"/>
          <w:u w:val="single" w:color="auto"/>
          <w:color w:val="auto"/>
        </w:rPr>
        <w:t>Proxy Statement</w:t>
      </w:r>
      <w:r>
        <w:rPr>
          <w:rFonts w:ascii="Arial" w:cs="Arial" w:eastAsia="Arial" w:hAnsi="Arial"/>
          <w:sz w:val="16"/>
          <w:szCs w:val="16"/>
          <w:color w:val="auto"/>
        </w:rPr>
        <w:t>. None of the information relating to the Company or its Subsidiaries supplied by the Company, or by any other Person acting on behalf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Company, in writing specifically for inclusion or incorporation by reference in the Proxy Statement will, as of the time the Proxy Statement, as of the date it is first mailed to the Acquiror Stockholders, and at the time of the Special Meeting, contain any untrue statement of a material fact or omit to state a material fact necessary to make the statements therein, in light of the circumstances under which they were made, not misleading; provided, however, notwithstanding the foregoing provisions of this </w:t>
      </w:r>
      <w:r>
        <w:rPr>
          <w:rFonts w:ascii="Arial" w:cs="Arial" w:eastAsia="Arial" w:hAnsi="Arial"/>
          <w:sz w:val="16"/>
          <w:szCs w:val="16"/>
          <w:u w:val="single" w:color="auto"/>
          <w:color w:val="auto"/>
        </w:rPr>
        <w:t>Section 4.24</w:t>
      </w:r>
      <w:r>
        <w:rPr>
          <w:rFonts w:ascii="Arial" w:cs="Arial" w:eastAsia="Arial" w:hAnsi="Arial"/>
          <w:sz w:val="16"/>
          <w:szCs w:val="16"/>
          <w:color w:val="auto"/>
        </w:rPr>
        <w:t>, no representation or warranty is made by the Company with respect to information or statements made or incorporated by reference in the Proxy Statement that were not supplied by or on behalf of the Company for use therein.</w:t>
      </w:r>
    </w:p>
    <w:p>
      <w:pPr>
        <w:spacing w:after="0" w:line="165" w:lineRule="exact"/>
        <w:rPr>
          <w:sz w:val="20"/>
          <w:szCs w:val="20"/>
          <w:color w:val="auto"/>
        </w:rPr>
      </w:pPr>
    </w:p>
    <w:p>
      <w:pPr>
        <w:jc w:val="both"/>
        <w:ind w:right="20" w:firstLine="574"/>
        <w:spacing w:after="0" w:line="302" w:lineRule="auto"/>
        <w:rPr>
          <w:sz w:val="20"/>
          <w:szCs w:val="20"/>
          <w:color w:val="auto"/>
        </w:rPr>
      </w:pPr>
      <w:r>
        <w:rPr>
          <w:rFonts w:ascii="Arial" w:cs="Arial" w:eastAsia="Arial" w:hAnsi="Arial"/>
          <w:sz w:val="14"/>
          <w:szCs w:val="14"/>
          <w:b w:val="1"/>
          <w:bCs w:val="1"/>
          <w:color w:val="auto"/>
        </w:rPr>
        <w:t xml:space="preserve">Section 4.25 </w:t>
      </w:r>
      <w:r>
        <w:rPr>
          <w:rFonts w:ascii="Arial" w:cs="Arial" w:eastAsia="Arial" w:hAnsi="Arial"/>
          <w:sz w:val="14"/>
          <w:szCs w:val="14"/>
          <w:b w:val="1"/>
          <w:bCs w:val="1"/>
          <w:u w:val="single" w:color="auto"/>
          <w:color w:val="auto"/>
        </w:rPr>
        <w:t>No Additional Representations and Warranties</w:t>
      </w:r>
      <w:r>
        <w:rPr>
          <w:rFonts w:ascii="Arial" w:cs="Arial" w:eastAsia="Arial" w:hAnsi="Arial"/>
          <w:sz w:val="14"/>
          <w:szCs w:val="14"/>
          <w:color w:val="auto"/>
        </w:rPr>
        <w:t>. Except as otherwise expressly provided in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IV</w:t>
      </w:r>
      <w:r>
        <w:rPr>
          <w:rFonts w:ascii="Arial" w:cs="Arial" w:eastAsia="Arial" w:hAnsi="Arial"/>
          <w:sz w:val="14"/>
          <w:szCs w:val="14"/>
          <w:b w:val="1"/>
          <w:bCs w:val="1"/>
          <w:color w:val="auto"/>
        </w:rPr>
        <w:t xml:space="preserve"> </w:t>
      </w:r>
      <w:r>
        <w:rPr>
          <w:rFonts w:ascii="Arial" w:cs="Arial" w:eastAsia="Arial" w:hAnsi="Arial"/>
          <w:sz w:val="14"/>
          <w:szCs w:val="14"/>
          <w:color w:val="auto"/>
        </w:rPr>
        <w:t>(as modified by the Schedules),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expressly disclaims any representations or warranties of any kind or nature, express or implied, as to the condition, value or quality of the Company or the Company’s assets, and Acquiror, First Merger Sub and Second Merger Sub shall rely on their own examination and investigation thereof. None of the Company’s Affiliates or any of their respective directors, officers, employees, stockholders, partners, members or representatives has made, or is making, any representation or warranty whatsoever to Acquiror or its Affiliates, and no such party shall be liable in respect of the accuracy or completeness of any information provided to Acquiror or its Affiliates.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ACQUIROR, FIRST MERGER SUB AND SECOND MERGER SUB</w:t>
      </w:r>
    </w:p>
    <w:p>
      <w:pPr>
        <w:spacing w:after="0" w:line="186"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Except as set forth in (a) the Schedules to this Agreement (each of which qualifies (i) the correspondingly numbered representation, warranty or covenant if specified therein and (ii) such other representations, warranties or covenants where its relevance as an exception to (or disclosure for purposes of) such other representation, warranty or covenant is reasonably apparent) or (b) the registration statements, reports, schedules, forms, statements and other documents filed or furnished with the SEC by Acquiror (excluding any disclosures in such Acquiror SEC Reports under the headings “Risk Factors,” “Forward-Looking Statements” or “Qualitative Disclosures About Market Risk” and other disclosures that are predictive, cautionary or forward looking in nature), each of Acquiror, First Merger Sub and Second Merger Sub represents and warrants to the Company as follows: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5.01 </w:t>
      </w:r>
      <w:r>
        <w:rPr>
          <w:rFonts w:ascii="Arial" w:cs="Arial" w:eastAsia="Arial" w:hAnsi="Arial"/>
          <w:sz w:val="16"/>
          <w:szCs w:val="16"/>
          <w:b w:val="1"/>
          <w:bCs w:val="1"/>
          <w:u w:val="single" w:color="auto"/>
          <w:color w:val="auto"/>
        </w:rPr>
        <w:t>Corporate Organization.</w:t>
      </w:r>
    </w:p>
    <w:p>
      <w:pPr>
        <w:spacing w:after="0" w:line="202" w:lineRule="exact"/>
        <w:rPr>
          <w:sz w:val="20"/>
          <w:szCs w:val="20"/>
          <w:color w:val="auto"/>
        </w:rPr>
      </w:pPr>
    </w:p>
    <w:p>
      <w:pPr>
        <w:jc w:val="both"/>
        <w:ind w:firstLine="1143"/>
        <w:spacing w:after="0" w:line="253" w:lineRule="auto"/>
        <w:tabs>
          <w:tab w:leader="none" w:pos="138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Acquiror is duly incorporated and is validly existing as a corporation in good standing under the Laws of Delaware and has the corporate power and authority to own, lease or operate its assets and properties and to conduct its business as it is now being conducted. The copies of the organizational documents of Acquiror previously delivered by Acquiror to the Company are true, correct and complete and are in effect as of the date of this Agreement. Acquiror is, and at all times has been, in compliance in all material respects with all restrictions, covenants, terms and provisions set forth in its respective organizational documents. Acquiror is duly licensed or qualified and in good standing as a foreign corporation in all jurisdictions in which its ownership of property or the character of its activities is such as to require it to be so licensed or qualified, except where failure to be so licensed or qualified has not and would not, individually or in the aggregate, reasonably be expected to have an Acquiror Material Adverse Effect.</w:t>
      </w:r>
    </w:p>
    <w:p>
      <w:pPr>
        <w:spacing w:after="0" w:line="171" w:lineRule="exact"/>
        <w:rPr>
          <w:rFonts w:ascii="Arial" w:cs="Arial" w:eastAsia="Arial" w:hAnsi="Arial"/>
          <w:sz w:val="16"/>
          <w:szCs w:val="16"/>
          <w:color w:val="auto"/>
        </w:rPr>
      </w:pPr>
    </w:p>
    <w:p>
      <w:pPr>
        <w:ind w:firstLine="1143"/>
        <w:spacing w:after="0" w:line="275" w:lineRule="auto"/>
        <w:tabs>
          <w:tab w:leader="none" w:pos="1395" w:val="left"/>
        </w:tabs>
        <w:numPr>
          <w:ilvl w:val="0"/>
          <w:numId w:val="52"/>
        </w:numPr>
        <w:rPr>
          <w:rFonts w:ascii="Arial" w:cs="Arial" w:eastAsia="Arial" w:hAnsi="Arial"/>
          <w:sz w:val="16"/>
          <w:szCs w:val="16"/>
          <w:color w:val="auto"/>
        </w:rPr>
      </w:pPr>
      <w:r>
        <w:rPr>
          <w:rFonts w:ascii="Arial" w:cs="Arial" w:eastAsia="Arial" w:hAnsi="Arial"/>
          <w:sz w:val="16"/>
          <w:szCs w:val="16"/>
          <w:color w:val="auto"/>
        </w:rPr>
        <w:t>First Merger Sub is a corporation duly organized, validly existing and in good standing under the Laws of Delaware, with full corporate power and authority to enter into this Agreement and perform its obligations hereunder.</w:t>
      </w:r>
    </w:p>
    <w:p>
      <w:pPr>
        <w:spacing w:after="0" w:line="151" w:lineRule="exact"/>
        <w:rPr>
          <w:rFonts w:ascii="Arial" w:cs="Arial" w:eastAsia="Arial" w:hAnsi="Arial"/>
          <w:sz w:val="16"/>
          <w:szCs w:val="16"/>
          <w:color w:val="auto"/>
        </w:rPr>
      </w:pPr>
    </w:p>
    <w:p>
      <w:pPr>
        <w:ind w:right="20" w:firstLine="1143"/>
        <w:spacing w:after="0" w:line="275" w:lineRule="auto"/>
        <w:tabs>
          <w:tab w:leader="none" w:pos="1371"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Second Merger Sub is a limited liability company duly organized, validly existing and in good standing under the Laws of Delaware, with full corporate power and authority to enter into this Agreement and perform its obligations hereunder.</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Other than First Merger Sub and Second Merger Sub, Acquiror has no other Subsidiaries or any equity or other interests in any other Person.</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5.02 </w:t>
      </w:r>
      <w:r>
        <w:rPr>
          <w:rFonts w:ascii="Arial" w:cs="Arial" w:eastAsia="Arial" w:hAnsi="Arial"/>
          <w:sz w:val="16"/>
          <w:szCs w:val="16"/>
          <w:b w:val="1"/>
          <w:bCs w:val="1"/>
          <w:u w:val="single" w:color="auto"/>
          <w:color w:val="auto"/>
        </w:rPr>
        <w:t>Due Authorization</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70" w:lineRule="auto"/>
        <w:tabs>
          <w:tab w:leader="none" w:pos="1365" w:val="left"/>
        </w:tabs>
        <w:numPr>
          <w:ilvl w:val="0"/>
          <w:numId w:val="53"/>
        </w:numPr>
        <w:rPr>
          <w:rFonts w:ascii="Arial" w:cs="Arial" w:eastAsia="Arial" w:hAnsi="Arial"/>
          <w:sz w:val="15"/>
          <w:szCs w:val="15"/>
          <w:color w:val="auto"/>
        </w:rPr>
      </w:pPr>
      <w:r>
        <w:rPr>
          <w:rFonts w:ascii="Arial" w:cs="Arial" w:eastAsia="Arial" w:hAnsi="Arial"/>
          <w:sz w:val="15"/>
          <w:szCs w:val="15"/>
          <w:color w:val="auto"/>
        </w:rPr>
        <w:t xml:space="preserve">Each of Acquiror, First Merger Sub and Second Merger Sub has all requisite corporate or entity power and authority to execute and deliver this Agreement and each ancillary agreement to this Agreement to which it is a party and (subject to the approvals described in </w:t>
      </w:r>
      <w:r>
        <w:rPr>
          <w:rFonts w:ascii="Arial" w:cs="Arial" w:eastAsia="Arial" w:hAnsi="Arial"/>
          <w:sz w:val="15"/>
          <w:szCs w:val="15"/>
          <w:u w:val="single" w:color="auto"/>
          <w:color w:val="auto"/>
        </w:rPr>
        <w:t>Section 5.06</w:t>
      </w:r>
      <w:r>
        <w:rPr>
          <w:rFonts w:ascii="Arial" w:cs="Arial" w:eastAsia="Arial" w:hAnsi="Arial"/>
          <w:sz w:val="15"/>
          <w:szCs w:val="15"/>
          <w:color w:val="auto"/>
        </w:rPr>
        <w:t>) (in the case of Acquiror), upon receipt of the Acquiror Stockholder Approval and the effectiveness of the Acquiror A&amp;R Charter, to perform its respective obligations hereunder and thereunder and to consummate the transactions contemplated hereby and thereby. The execution, delivery and performance of this Agreement and such ancillary agreements by each of Acquiror, First Merger Sub and Second Merger Sub and the consummation of the transactions contemplated hereby and thereby have been duly and validly authorized by all requisite action and, except for the Acquiror Stockholder Approval and the effectiveness of the Acquiror A&amp;R Charter, no other corporate or equivalent proceeding on the part of Acquiror, First Merger Sub or Second Merger Sub is necessary to authorize this Agreement or such ancillary agreements or Acquiror’s, First Merger Sub’s or Second Merger Sub’s performance hereunder or thereunder. This Agreement has been, and each such ancillary agreement will be, duly and validly executed and delivered by each of Acquiror, First Merger Sub and Second Merger Sub and, assuming due authorization and execution by each other party hereto and thereto, this Agreement constitutes, and each such ancillary agreement will constitute, a legal, valid and binding obligation of each of Acquiror, First Merger Sub and Second Merger Sub, enforceable against each of Acquiror, First Merger Sub and Second Merger Sub in accordance with its terms, subject to applicable bankruptcy, insolvency, fraudulent conveyance, reorganization, moratorium and similar Laws affecting creditors’ rights generally and subject, as to enforceability, to general principles of equity.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9" w:name="page60"/>
    <w:bookmarkEnd w:id="59"/>
    <w:p>
      <w:pPr>
        <w:jc w:val="both"/>
        <w:ind w:firstLine="1143"/>
        <w:spacing w:after="0" w:line="274" w:lineRule="auto"/>
        <w:tabs>
          <w:tab w:leader="none" w:pos="1378"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affirmative vote of (i) holders of a majority of the votes of Acquiror Common Stock cast at the Special Meeting shall be required to approve each of the Issuance Proposal and each of the Subscription Proposals, (ii) holders of a majority of the outstanding shares of Acquiror Common Stock entitled to vote at the Special Meeting shall be required to approve the Amendment Proposal, and (iii) holders of a majority of the Acquiror Common Stock voted at the Special Meeting shall be required to approve the Incentive Plan Proposal, in each case, assuming a quorum is present, to approve the Proposals are the only votes of any of Acquiror’s capital stock necessary in connection with the entry into this Agreement by Acquiror, and the consummation of the transactions contemplated hereby, including the Closing (the approval by Acquiror Stockholders of all of the foregoing, collectively, the “</w:t>
      </w:r>
      <w:r>
        <w:rPr>
          <w:rFonts w:ascii="Arial" w:cs="Arial" w:eastAsia="Arial" w:hAnsi="Arial"/>
          <w:sz w:val="15"/>
          <w:szCs w:val="15"/>
          <w:u w:val="single" w:color="auto"/>
          <w:color w:val="auto"/>
        </w:rPr>
        <w:t>Acquiror Stockholder Approval</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jc w:val="both"/>
        <w:ind w:firstLine="1143"/>
        <w:spacing w:after="0" w:line="255" w:lineRule="auto"/>
        <w:tabs>
          <w:tab w:leader="none" w:pos="13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At a meeting duly called and held, the Acquiror Board has: (i) determined that this Agreement and the transactions contemplated hereby are fair to, advisable and in the best interests of Acquiror and its stockholders; (ii) determined that the fair market value of the Company is equal to at least 80% of the amount held in the Trust Account (less any business combination marketing (in lieu of deferred underwriting) commissions and taxes payable on interest earned) as of the date hereof; (iii) approved the transactions contemplated by this Agreement as a Business Combination; and (iv) resolved to recommend to the stockholders of Acquiror approval of each of the matters requiring Acquiror Stockholder approval.</w:t>
      </w:r>
    </w:p>
    <w:p>
      <w:pPr>
        <w:spacing w:after="0" w:line="166"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b w:val="1"/>
          <w:bCs w:val="1"/>
          <w:color w:val="auto"/>
        </w:rPr>
        <w:t xml:space="preserve">Section 5.03 </w:t>
      </w:r>
      <w:r>
        <w:rPr>
          <w:rFonts w:ascii="Arial" w:cs="Arial" w:eastAsia="Arial" w:hAnsi="Arial"/>
          <w:sz w:val="15"/>
          <w:szCs w:val="15"/>
          <w:b w:val="1"/>
          <w:bCs w:val="1"/>
          <w:u w:val="single" w:color="auto"/>
          <w:color w:val="auto"/>
        </w:rPr>
        <w:t>No Conflict</w:t>
      </w:r>
      <w:r>
        <w:rPr>
          <w:rFonts w:ascii="Arial" w:cs="Arial" w:eastAsia="Arial" w:hAnsi="Arial"/>
          <w:sz w:val="15"/>
          <w:szCs w:val="15"/>
          <w:color w:val="auto"/>
        </w:rPr>
        <w:t>. Subject to the receipt of the consents, approvals, authorizations and other requirements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5.06</w:t>
      </w:r>
      <w:r>
        <w:rPr>
          <w:rFonts w:ascii="Arial" w:cs="Arial" w:eastAsia="Arial" w:hAnsi="Arial"/>
          <w:sz w:val="15"/>
          <w:szCs w:val="15"/>
          <w:b w:val="1"/>
          <w:bCs w:val="1"/>
          <w:color w:val="auto"/>
        </w:rPr>
        <w:t xml:space="preserve"> </w:t>
      </w:r>
      <w:r>
        <w:rPr>
          <w:rFonts w:ascii="Arial" w:cs="Arial" w:eastAsia="Arial" w:hAnsi="Arial"/>
          <w:sz w:val="15"/>
          <w:szCs w:val="15"/>
          <w:color w:val="auto"/>
        </w:rPr>
        <w:t>or 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5.06</w:t>
      </w:r>
      <w:r>
        <w:rPr>
          <w:rFonts w:ascii="Arial" w:cs="Arial" w:eastAsia="Arial" w:hAnsi="Arial"/>
          <w:sz w:val="15"/>
          <w:szCs w:val="15"/>
          <w:color w:val="auto"/>
        </w:rPr>
        <w:t>, the</w:t>
      </w:r>
      <w:r>
        <w:rPr>
          <w:rFonts w:ascii="Arial" w:cs="Arial" w:eastAsia="Arial" w:hAnsi="Arial"/>
          <w:sz w:val="15"/>
          <w:szCs w:val="15"/>
          <w:b w:val="1"/>
          <w:bCs w:val="1"/>
          <w:color w:val="auto"/>
        </w:rPr>
        <w:t xml:space="preserve"> </w:t>
      </w:r>
      <w:r>
        <w:rPr>
          <w:rFonts w:ascii="Arial" w:cs="Arial" w:eastAsia="Arial" w:hAnsi="Arial"/>
          <w:sz w:val="15"/>
          <w:szCs w:val="15"/>
          <w:color w:val="auto"/>
        </w:rPr>
        <w:t>execution, delivery and performance of this Agreement by each of Acquiror, First Merger Sub and Second Merger Sub, upon receipt of the Acquiror Stockholder Approval and the effectiveness of the Acquiror A&amp;R Charter, the consummation of the transactions contemplated hereby do not and will not (a) conflict with or violate any provision of, or result in the breach of, the Acquiror Organizational Documents, any organizational documents of any Subsidiaries of Acquiror or any of the organizational documents of First Merger Sub and Second Merger Sub, (b) conflict with or result in any violation of any provision of any Law or Governmental Order applicable to each of Acquiror, First Merger Sub or Second Merger Sub or any of their respective properties or assets, (c) violate, conflict with, result in a breach of any provision of or the loss of any benefit under, constitute a default (or an event which, with notice or lapse of time or both, would constitute a default) under, or result in the termination or acceleration of, or a right of termination, cancellation, modification, acceleration or amendment under, accelerate the performance required by, or result in the acceleration or trigger of any payment, posting of collateral (or right to require the posting of collateral), time of payment, vesting or increase in the amount of any compensation or benefit payable pursuant to, any of the terms, conditions or provisions of any Contract to which each of Acquiror, First Merger Sub or Second Merger Sub or any their respective Subsidiaries is a party or by which any of their respective assets or properties may be bound or affected or (d) result in the creation of any Lien upon any of the properties or assets of Acquiror, First Merger Sub or Second Merger Sub, except (in the case of clauses (b), (c) or (d) above) for such violations, conflicts, breaches or defaults which would not, individually or in the aggregate, reasonably be expected to have an Acquiror Material Adverse Effect.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0" w:name="page61"/>
    <w:bookmarkEnd w:id="60"/>
    <w:p>
      <w:pPr>
        <w:jc w:val="both"/>
        <w:ind w:firstLine="574"/>
        <w:spacing w:after="0" w:line="320" w:lineRule="auto"/>
        <w:rPr>
          <w:sz w:val="20"/>
          <w:szCs w:val="20"/>
          <w:color w:val="auto"/>
        </w:rPr>
      </w:pPr>
      <w:r>
        <w:rPr>
          <w:rFonts w:ascii="Arial" w:cs="Arial" w:eastAsia="Arial" w:hAnsi="Arial"/>
          <w:sz w:val="14"/>
          <w:szCs w:val="14"/>
          <w:b w:val="1"/>
          <w:bCs w:val="1"/>
          <w:color w:val="auto"/>
        </w:rPr>
        <w:t xml:space="preserve">Section 5.04 </w:t>
      </w:r>
      <w:r>
        <w:rPr>
          <w:rFonts w:ascii="Arial" w:cs="Arial" w:eastAsia="Arial" w:hAnsi="Arial"/>
          <w:sz w:val="14"/>
          <w:szCs w:val="14"/>
          <w:b w:val="1"/>
          <w:bCs w:val="1"/>
          <w:u w:val="single" w:color="auto"/>
          <w:color w:val="auto"/>
        </w:rPr>
        <w:t>Litigation and Proceedings</w:t>
      </w:r>
      <w:r>
        <w:rPr>
          <w:rFonts w:ascii="Arial" w:cs="Arial" w:eastAsia="Arial" w:hAnsi="Arial"/>
          <w:sz w:val="14"/>
          <w:szCs w:val="14"/>
          <w:color w:val="auto"/>
        </w:rPr>
        <w:t>. There are no pending litigation or material other Actions or, to the knowledge of Acquiror, threatened, material Actions</w:t>
      </w:r>
      <w:r>
        <w:rPr>
          <w:rFonts w:ascii="Arial" w:cs="Arial" w:eastAsia="Arial" w:hAnsi="Arial"/>
          <w:sz w:val="14"/>
          <w:szCs w:val="14"/>
          <w:b w:val="1"/>
          <w:bCs w:val="1"/>
          <w:color w:val="auto"/>
        </w:rPr>
        <w:t xml:space="preserve"> </w:t>
      </w:r>
      <w:r>
        <w:rPr>
          <w:rFonts w:ascii="Arial" w:cs="Arial" w:eastAsia="Arial" w:hAnsi="Arial"/>
          <w:sz w:val="14"/>
          <w:szCs w:val="14"/>
          <w:color w:val="auto"/>
        </w:rPr>
        <w:t>and, to the knowledge of Acquiror, there are no pending or threatened material investigations, in each case, against Acquiror, or otherwise affecting Acquiror or its assets, including any condemnation or similar proceedings. As of the date of this Agreement, there is no unsatisfied judgment or any open injunction binding upon Acquiror.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5.05 </w:t>
      </w:r>
      <w:r>
        <w:rPr>
          <w:rFonts w:ascii="Arial" w:cs="Arial" w:eastAsia="Arial" w:hAnsi="Arial"/>
          <w:sz w:val="16"/>
          <w:szCs w:val="16"/>
          <w:b w:val="1"/>
          <w:bCs w:val="1"/>
          <w:u w:val="single" w:color="auto"/>
          <w:color w:val="auto"/>
        </w:rPr>
        <w:t>Compliance with Laws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right="20" w:firstLine="1143"/>
        <w:spacing w:after="0" w:line="306" w:lineRule="auto"/>
        <w:tabs>
          <w:tab w:leader="none" w:pos="1372"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Except where the failure to be, or to have been, in compliance with such Laws would not, individually or in the aggregate, reasonably be expected to be material to the Acquiror and its Subsidiaries, the Acquiror and its Subsidiaries are as of the date of this Agreement, and since December 23, 2020 through the date of this Agreement have been, in compliance in all material respects with all applicable Laws. Neither of the Acquiror nor its Subsidiaries has received any written notice from any Governmental Authority of a violation of any applicable Law by the Acquiror or its Subsidiaries at any time since December 23, 2020 through the date of this Agreement.</w:t>
      </w:r>
    </w:p>
    <w:p>
      <w:pPr>
        <w:spacing w:after="0" w:line="134" w:lineRule="exact"/>
        <w:rPr>
          <w:rFonts w:ascii="Arial" w:cs="Arial" w:eastAsia="Arial" w:hAnsi="Arial"/>
          <w:sz w:val="14"/>
          <w:szCs w:val="14"/>
          <w:color w:val="auto"/>
        </w:rPr>
      </w:pPr>
    </w:p>
    <w:p>
      <w:pPr>
        <w:jc w:val="both"/>
        <w:ind w:right="20" w:firstLine="1143"/>
        <w:spacing w:after="0" w:line="273" w:lineRule="auto"/>
        <w:tabs>
          <w:tab w:leader="none" w:pos="13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Since December 23, 2020, (i) there has been no action taken by the Acquiror, its Subsidiaries, or, to the knowledge of the Acquiror, any officer, director, shareholder, manager, employee, agent or representative of the Acquiror or its Subsidiaries, in each case, acting on behalf of the Acquiror or its Subsidiaries, in violation of any applicable Anti-Corruption Laws or Trade Control Laws, (ii) neither the Acquiror nor its Subsidiaries has been convicted of violating any Anti-Corruption Laws or Trade Control Laws or subjected to any investigation by a Governmental Authority for violation of any applicable Anti-Corruption Laws or Trade Control Laws, (iii) neither the Acquiror nor its Subsidiaries has made a voluntary, directed, or involuntary disclosure to any Governmental Authority regarding any alleged act or omission arising under or relating to any noncompliance with any Anti-Corruption Laws or Trade Control Laws and (iv) neither the Acquiror nor its Subsidiaries has received any written notice or citation from a Governmental Authority for any actual or potential noncompliance with any applicable Anti-Corruption Laws or Trade Control Laws.</w:t>
      </w:r>
    </w:p>
    <w:p>
      <w:pPr>
        <w:spacing w:after="0" w:line="156" w:lineRule="exact"/>
        <w:rPr>
          <w:rFonts w:ascii="Arial" w:cs="Arial" w:eastAsia="Arial" w:hAnsi="Arial"/>
          <w:sz w:val="15"/>
          <w:szCs w:val="15"/>
          <w:color w:val="auto"/>
        </w:rPr>
      </w:pPr>
    </w:p>
    <w:p>
      <w:pPr>
        <w:jc w:val="both"/>
        <w:ind w:right="20" w:firstLine="1143"/>
        <w:spacing w:after="0" w:line="262" w:lineRule="auto"/>
        <w:tabs>
          <w:tab w:leader="none" w:pos="1368"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None of the Acquiror, its Subsidiaries, or, to the knowledge of the Acquiror, any officer, director, shareholder, manager, employee, agent or representative of the Acquiror or its Subsidiaries, in each case, acting on behalf of the Acquiror or its Subsidiaries, is a person that is the target of sanctions or any applicable Trade Control Laws.</w:t>
      </w:r>
    </w:p>
    <w:p>
      <w:pPr>
        <w:spacing w:after="0" w:line="158" w:lineRule="exact"/>
        <w:rPr>
          <w:sz w:val="20"/>
          <w:szCs w:val="20"/>
          <w:color w:val="auto"/>
        </w:rPr>
      </w:pPr>
    </w:p>
    <w:p>
      <w:pPr>
        <w:jc w:val="both"/>
        <w:ind w:right="20" w:firstLine="574"/>
        <w:spacing w:after="0" w:line="282" w:lineRule="auto"/>
        <w:rPr>
          <w:sz w:val="20"/>
          <w:szCs w:val="20"/>
          <w:color w:val="auto"/>
        </w:rPr>
      </w:pPr>
      <w:r>
        <w:rPr>
          <w:rFonts w:ascii="Arial" w:cs="Arial" w:eastAsia="Arial" w:hAnsi="Arial"/>
          <w:sz w:val="15"/>
          <w:szCs w:val="15"/>
          <w:b w:val="1"/>
          <w:bCs w:val="1"/>
          <w:color w:val="auto"/>
        </w:rPr>
        <w:t xml:space="preserve">Section 5.06 </w:t>
      </w:r>
      <w:r>
        <w:rPr>
          <w:rFonts w:ascii="Arial" w:cs="Arial" w:eastAsia="Arial" w:hAnsi="Arial"/>
          <w:sz w:val="15"/>
          <w:szCs w:val="15"/>
          <w:b w:val="1"/>
          <w:bCs w:val="1"/>
          <w:u w:val="single" w:color="auto"/>
          <w:color w:val="auto"/>
        </w:rPr>
        <w:t>Governmental Authorities; Consents</w:t>
      </w:r>
      <w:r>
        <w:rPr>
          <w:rFonts w:ascii="Arial" w:cs="Arial" w:eastAsia="Arial" w:hAnsi="Arial"/>
          <w:sz w:val="15"/>
          <w:szCs w:val="15"/>
          <w:color w:val="auto"/>
        </w:rPr>
        <w:t>. No consent, approval or authorization of, or designation, declaration or filing with, any Governmental Authority</w:t>
      </w:r>
      <w:r>
        <w:rPr>
          <w:rFonts w:ascii="Arial" w:cs="Arial" w:eastAsia="Arial" w:hAnsi="Arial"/>
          <w:sz w:val="15"/>
          <w:szCs w:val="15"/>
          <w:b w:val="1"/>
          <w:bCs w:val="1"/>
          <w:color w:val="auto"/>
        </w:rPr>
        <w:t xml:space="preserve"> </w:t>
      </w:r>
      <w:r>
        <w:rPr>
          <w:rFonts w:ascii="Arial" w:cs="Arial" w:eastAsia="Arial" w:hAnsi="Arial"/>
          <w:sz w:val="15"/>
          <w:szCs w:val="15"/>
          <w:color w:val="auto"/>
        </w:rPr>
        <w:t>is required on the part of Acquiror, First Merger Sub or Second Merger Sub with respect to Acquiror’s, First Merger Sub’s or Second Merger Sub’s execution or delivery of this Agreement or the consummation of the transactions contemplated hereby, except for applicable requirements of the HSR Act and any other applicable Antitrust Law, Securities Laws, Nasdaq and the filing and effectiveness of the Certificates of Merger and the Acquiror A&amp;R Charter.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1" w:name="page62"/>
    <w:bookmarkEnd w:id="61"/>
    <w:p>
      <w:pPr>
        <w:ind w:left="560"/>
        <w:spacing w:after="0"/>
        <w:rPr>
          <w:sz w:val="20"/>
          <w:szCs w:val="20"/>
          <w:color w:val="auto"/>
        </w:rPr>
      </w:pPr>
      <w:r>
        <w:rPr>
          <w:rFonts w:ascii="Arial" w:cs="Arial" w:eastAsia="Arial" w:hAnsi="Arial"/>
          <w:sz w:val="16"/>
          <w:szCs w:val="16"/>
          <w:b w:val="1"/>
          <w:bCs w:val="1"/>
          <w:color w:val="auto"/>
        </w:rPr>
        <w:t xml:space="preserve">Section 5.07 </w:t>
      </w:r>
      <w:r>
        <w:rPr>
          <w:rFonts w:ascii="Arial" w:cs="Arial" w:eastAsia="Arial" w:hAnsi="Arial"/>
          <w:sz w:val="16"/>
          <w:szCs w:val="16"/>
          <w:b w:val="1"/>
          <w:bCs w:val="1"/>
          <w:u w:val="single" w:color="auto"/>
          <w:color w:val="auto"/>
        </w:rPr>
        <w:t>Financial Ability; Trust Account</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88" w:lineRule="auto"/>
        <w:tabs>
          <w:tab w:leader="none" w:pos="1367" w:val="left"/>
        </w:tabs>
        <w:numPr>
          <w:ilvl w:val="0"/>
          <w:numId w:val="56"/>
        </w:numPr>
        <w:rPr>
          <w:rFonts w:ascii="Arial" w:cs="Arial" w:eastAsia="Arial" w:hAnsi="Arial"/>
          <w:sz w:val="14"/>
          <w:szCs w:val="14"/>
          <w:color w:val="auto"/>
        </w:rPr>
      </w:pPr>
      <w:r>
        <w:rPr>
          <w:rFonts w:ascii="Arial" w:cs="Arial" w:eastAsia="Arial" w:hAnsi="Arial"/>
          <w:sz w:val="14"/>
          <w:szCs w:val="14"/>
          <w:color w:val="auto"/>
        </w:rPr>
        <w:t>As of the date hereof, there is at least $174,225,000 invested in a trust account at Morgan Stanley (the “</w:t>
      </w:r>
      <w:r>
        <w:rPr>
          <w:rFonts w:ascii="Arial" w:cs="Arial" w:eastAsia="Arial" w:hAnsi="Arial"/>
          <w:sz w:val="14"/>
          <w:szCs w:val="14"/>
          <w:u w:val="single" w:color="auto"/>
          <w:color w:val="auto"/>
        </w:rPr>
        <w:t>Trust Account</w:t>
      </w:r>
      <w:r>
        <w:rPr>
          <w:rFonts w:ascii="Arial" w:cs="Arial" w:eastAsia="Arial" w:hAnsi="Arial"/>
          <w:sz w:val="14"/>
          <w:szCs w:val="14"/>
          <w:color w:val="auto"/>
        </w:rPr>
        <w:t>”), maintained by Continental Stock Transfer &amp; Trust Company, a New York corporation, acting as trustee (the “</w:t>
      </w:r>
      <w:r>
        <w:rPr>
          <w:rFonts w:ascii="Arial" w:cs="Arial" w:eastAsia="Arial" w:hAnsi="Arial"/>
          <w:sz w:val="14"/>
          <w:szCs w:val="14"/>
          <w:u w:val="single" w:color="auto"/>
          <w:color w:val="auto"/>
        </w:rPr>
        <w:t>Trustee</w:t>
      </w:r>
      <w:r>
        <w:rPr>
          <w:rFonts w:ascii="Arial" w:cs="Arial" w:eastAsia="Arial" w:hAnsi="Arial"/>
          <w:sz w:val="14"/>
          <w:szCs w:val="14"/>
          <w:color w:val="auto"/>
        </w:rPr>
        <w:t>”), pursuant to the Investment Management Trust Agreement, dated December 23, 2020, by and between Acquiror and the Trustee (the “</w:t>
      </w:r>
      <w:r>
        <w:rPr>
          <w:rFonts w:ascii="Arial" w:cs="Arial" w:eastAsia="Arial" w:hAnsi="Arial"/>
          <w:sz w:val="14"/>
          <w:szCs w:val="14"/>
          <w:u w:val="single" w:color="auto"/>
          <w:color w:val="auto"/>
        </w:rPr>
        <w:t>Trust Agreement</w:t>
      </w:r>
      <w:r>
        <w:rPr>
          <w:rFonts w:ascii="Arial" w:cs="Arial" w:eastAsia="Arial" w:hAnsi="Arial"/>
          <w:sz w:val="14"/>
          <w:szCs w:val="14"/>
          <w:color w:val="auto"/>
        </w:rPr>
        <w:t>”). The Trust Agreement is in full force and effect and is a legal, valid and binding obligation of Acquiror and, to the knowledge of Acquiror, the Trustee, enforceable in accordance with its terms, subject to applicable bankruptcy, insolvency, fraudulent conveyance, reorganization, moratorium and similar Laws affecting creditors’ rights generally and subject, as to enforceability, to general principles of equity. The Trust Agreement has not been terminated, repudiated, rescinded, amended or supplemented or modified, in any respect, and, to the knowledge of Acquiror, no such termination, repudiation, rescission, amendment, supplement or modification is contemplated. There are no side letters and there are no agreements, Contracts, arrangements or understandings, whether written or oral, with the Trustee or any other Person that would (i) cause the description of the Trust Agreement in the Acquiror SEC Reports to be inaccurate or (ii) entitle any Person (other than any Acquiror Stockholder who is a Redeeming Stockholder) to any portion of the proceeds in the Trust Account. Prior to the Closing, none of the funds held in the Trust Account may be released except in accordance with the Trust Agreement, Acquiror Organizational Documents and Acquiror’s final prospectus dated October 16, 2018. Amounts in the Trust Account are invested in United States Government securities or in money market funds meeting certain conditions under Rule 2a-7 promulgated under the Investment Company Act of 1940. Acquiror has performed all material obligations required to be performed by it to date under, and is not in material default, breach or delinquent in performance or any other respect (claimed or actual) in connection with, the Trust Agreement, and no event has occurred which, with due notice or lapse of time or both, would constitute such a default or breach thereunder. There are no Actions pending or, to the knowledge of Acquiror, threatened with respect to the Trust Account. Since December 23, 2020, Acquiror has not released any money from the Trust Account (other than interest income earned on the principal held in the Trust Account as permitted by the Trust Agreement). As of the Effective Time, the obligations of Acquiror to dissolve or liquidate pursuant to the Acquiror Organizational Documents shall terminate, and, as of the Effective Time, Acquiror shall have no obligation whatsoever pursuant to the Acquiror Organizational Documents to dissolve and liquidate the assets of Acquiror by reason of the consummation of the transactions contemplated hereby. Following the Effective Time, no Acquiror Stockholder shall be entitled to receive any amount from the Trust Account except to the extent such Acquiror Stockholder is a Redeeming Stockholder.</w:t>
      </w:r>
    </w:p>
    <w:p>
      <w:pPr>
        <w:spacing w:after="0" w:line="346" w:lineRule="exact"/>
        <w:rPr>
          <w:rFonts w:ascii="Arial" w:cs="Arial" w:eastAsia="Arial" w:hAnsi="Arial"/>
          <w:sz w:val="14"/>
          <w:szCs w:val="14"/>
          <w:color w:val="auto"/>
        </w:rPr>
      </w:pPr>
    </w:p>
    <w:p>
      <w:pPr>
        <w:jc w:val="both"/>
        <w:ind w:right="20" w:firstLine="1143"/>
        <w:spacing w:after="0" w:line="262" w:lineRule="auto"/>
        <w:tabs>
          <w:tab w:leader="none" w:pos="1383"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 of the date hereof, assuming the accuracy of the representations and warranties of the Company herein and the compliance by the Company with its respective obligations hereunder, Acquiror has no reason to believe that any of the conditions to the use of funds in the Trust Account will not be satisfied or funds available in the Trust Account will not be available to Acquiror on the Closing Date.</w:t>
      </w:r>
    </w:p>
    <w:p>
      <w:pPr>
        <w:spacing w:after="0" w:line="162" w:lineRule="exact"/>
        <w:rPr>
          <w:rFonts w:ascii="Arial" w:cs="Arial" w:eastAsia="Arial" w:hAnsi="Arial"/>
          <w:sz w:val="16"/>
          <w:szCs w:val="16"/>
          <w:color w:val="auto"/>
        </w:rPr>
      </w:pPr>
    </w:p>
    <w:p>
      <w:pPr>
        <w:ind w:right="20" w:firstLine="1143"/>
        <w:spacing w:after="0" w:line="275" w:lineRule="auto"/>
        <w:tabs>
          <w:tab w:leader="none" w:pos="139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 of the date hereof, Acquiror does not have, or have any present intention, agreement, arrangement or understanding to enter into or incur, any obligations with respect to or under any Indebtedness.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2" w:name="page63"/>
    <w:bookmarkEnd w:id="62"/>
    <w:p>
      <w:pPr>
        <w:ind w:left="560"/>
        <w:spacing w:after="0"/>
        <w:rPr>
          <w:sz w:val="20"/>
          <w:szCs w:val="20"/>
          <w:color w:val="auto"/>
        </w:rPr>
      </w:pPr>
      <w:r>
        <w:rPr>
          <w:rFonts w:ascii="Arial" w:cs="Arial" w:eastAsia="Arial" w:hAnsi="Arial"/>
          <w:sz w:val="16"/>
          <w:szCs w:val="16"/>
          <w:b w:val="1"/>
          <w:bCs w:val="1"/>
          <w:color w:val="auto"/>
        </w:rPr>
        <w:t xml:space="preserve">Section 5.08 </w:t>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202" w:lineRule="exact"/>
        <w:rPr>
          <w:sz w:val="20"/>
          <w:szCs w:val="20"/>
          <w:color w:val="auto"/>
        </w:rPr>
      </w:pPr>
    </w:p>
    <w:p>
      <w:pPr>
        <w:ind w:right="20" w:firstLine="1143"/>
        <w:spacing w:after="0" w:line="275" w:lineRule="auto"/>
        <w:tabs>
          <w:tab w:leader="none" w:pos="1374"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material Tax Returns required by Law to be filed by Acquiror have been duly and timely filed (after giving effect to any valid extensions of time in which to make such filings).</w:t>
      </w:r>
    </w:p>
    <w:p>
      <w:pPr>
        <w:spacing w:after="0" w:line="151" w:lineRule="exact"/>
        <w:rPr>
          <w:rFonts w:ascii="Arial" w:cs="Arial" w:eastAsia="Arial" w:hAnsi="Arial"/>
          <w:sz w:val="16"/>
          <w:szCs w:val="16"/>
          <w:color w:val="auto"/>
        </w:rPr>
      </w:pPr>
    </w:p>
    <w:p>
      <w:pPr>
        <w:ind w:left="1380" w:hanging="237"/>
        <w:spacing w:after="0"/>
        <w:tabs>
          <w:tab w:leader="none" w:pos="1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All material amounts of Taxes shown due on any Tax Returns of Acquiror and all other material amounts of Taxes owed by Acquiror have been timely</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paid.</w:t>
      </w:r>
    </w:p>
    <w:p>
      <w:pPr>
        <w:spacing w:after="0" w:line="185" w:lineRule="exact"/>
        <w:rPr>
          <w:rFonts w:ascii="Arial" w:cs="Arial" w:eastAsia="Arial" w:hAnsi="Arial"/>
          <w:sz w:val="14"/>
          <w:szCs w:val="14"/>
          <w:color w:val="auto"/>
        </w:rPr>
      </w:pPr>
    </w:p>
    <w:p>
      <w:pPr>
        <w:ind w:firstLine="1143"/>
        <w:spacing w:after="0" w:line="349" w:lineRule="auto"/>
        <w:tabs>
          <w:tab w:leader="none" w:pos="1396" w:val="left"/>
        </w:tabs>
        <w:numPr>
          <w:ilvl w:val="0"/>
          <w:numId w:val="57"/>
        </w:numPr>
        <w:rPr>
          <w:rFonts w:ascii="Arial" w:cs="Arial" w:eastAsia="Arial" w:hAnsi="Arial"/>
          <w:sz w:val="14"/>
          <w:szCs w:val="14"/>
          <w:color w:val="auto"/>
        </w:rPr>
      </w:pPr>
      <w:r>
        <w:rPr>
          <w:rFonts w:ascii="Arial" w:cs="Arial" w:eastAsia="Arial" w:hAnsi="Arial"/>
          <w:sz w:val="14"/>
          <w:szCs w:val="14"/>
          <w:color w:val="auto"/>
        </w:rPr>
        <w:t>Acquiror has (i) withheld all material amounts of Taxes required to have been withheld by it in connection with amounts paid to any employee, independent contractor, creditor, shareholder or any other third party, and (ii) remitted such amounts required to have been remitted to the appropriate Governmental Authority.</w:t>
      </w:r>
    </w:p>
    <w:p>
      <w:pPr>
        <w:spacing w:after="0" w:line="105" w:lineRule="exact"/>
        <w:rPr>
          <w:rFonts w:ascii="Arial" w:cs="Arial" w:eastAsia="Arial" w:hAnsi="Arial"/>
          <w:sz w:val="14"/>
          <w:szCs w:val="14"/>
          <w:color w:val="auto"/>
        </w:rPr>
      </w:pPr>
    </w:p>
    <w:p>
      <w:pPr>
        <w:jc w:val="both"/>
        <w:ind w:firstLine="1143"/>
        <w:spacing w:after="0" w:line="254" w:lineRule="auto"/>
        <w:tabs>
          <w:tab w:leader="none" w:pos="1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Acquiror is not currently engaged in any material audit, administrative or judicial proceeding with a taxing authority with respect to Taxes. Acquiror has not received any written notice from a taxing authority of a proposed deficiency of a material amount of Taxes, other than any such deficiencies that have since been resolved. No written claim has been made by any Governmental Authority in a jurisdiction where Acquiror does not file a Tax Return that such entity is or may be subject to Taxes by that jurisdiction in respect of Taxes that would be the subject of such Tax Return, which claim has not been resolved. There are no outstanding agreements extending or waiving the statutory period of limitations applicable to any claim for, or the period for the collection or assessment or reassessment of, material Taxes of Acquiror, and no written request for any such waiver or extension is currently pending.</w:t>
      </w:r>
    </w:p>
    <w:p>
      <w:pPr>
        <w:spacing w:after="0" w:line="170" w:lineRule="exact"/>
        <w:rPr>
          <w:rFonts w:ascii="Arial" w:cs="Arial" w:eastAsia="Arial" w:hAnsi="Arial"/>
          <w:sz w:val="16"/>
          <w:szCs w:val="16"/>
          <w:color w:val="auto"/>
        </w:rPr>
      </w:pPr>
    </w:p>
    <w:p>
      <w:pPr>
        <w:ind w:right="20" w:firstLine="1143"/>
        <w:spacing w:after="0" w:line="275" w:lineRule="auto"/>
        <w:tabs>
          <w:tab w:leader="none" w:pos="1378"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Acquiror has not constituted either a “distributing corporation” or a “controlled corporation” in a distribution of stock qualifying for tax-free treatment under Section 355 of the Code (or so much of Section 356 of the Code as relates to Section 355 of the Code) in the prior two years.</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Acquiror has not been a party to any “listed transaction” within the meaning of Treasury Regulation Section 1.6011-4(b)(2).</w:t>
      </w:r>
    </w:p>
    <w:p>
      <w:pPr>
        <w:spacing w:after="0" w:line="198" w:lineRule="exact"/>
        <w:rPr>
          <w:rFonts w:ascii="Arial" w:cs="Arial" w:eastAsia="Arial" w:hAnsi="Arial"/>
          <w:sz w:val="16"/>
          <w:szCs w:val="16"/>
          <w:color w:val="auto"/>
        </w:rPr>
      </w:pPr>
    </w:p>
    <w:p>
      <w:pPr>
        <w:jc w:val="both"/>
        <w:ind w:firstLine="1143"/>
        <w:spacing w:after="0" w:line="297" w:lineRule="auto"/>
        <w:tabs>
          <w:tab w:leader="none" w:pos="1381" w:val="left"/>
        </w:tabs>
        <w:numPr>
          <w:ilvl w:val="0"/>
          <w:numId w:val="57"/>
        </w:numPr>
        <w:rPr>
          <w:rFonts w:ascii="Arial" w:cs="Arial" w:eastAsia="Arial" w:hAnsi="Arial"/>
          <w:sz w:val="14"/>
          <w:szCs w:val="14"/>
          <w:color w:val="auto"/>
        </w:rPr>
      </w:pPr>
      <w:r>
        <w:rPr>
          <w:rFonts w:ascii="Arial" w:cs="Arial" w:eastAsia="Arial" w:hAnsi="Arial"/>
          <w:sz w:val="14"/>
          <w:szCs w:val="14"/>
          <w:color w:val="auto"/>
        </w:rPr>
        <w:t>Acquiror will not be required to include any material item of income in, or exclude any material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Governmental Authority (including any closing agreement pursuant to Section 7121 of the Code or any similar provision of Tax Law) issue or executed prior to the Closing; (C) installment sale or open transaction disposition made prior to the Closing; (D) prepaid amount received prior to the Closing; (E) intercompany transaction or excess loss accounts described in the Treasury Regulations promulgated under Section 1502 of the Code (or any corresponding or similar provision of state, local or foreign income Tax Law) that existed prior to the Closing; or (F) Section 965 of the Code.</w:t>
      </w:r>
    </w:p>
    <w:p>
      <w:pPr>
        <w:spacing w:after="0" w:line="143" w:lineRule="exact"/>
        <w:rPr>
          <w:rFonts w:ascii="Arial" w:cs="Arial" w:eastAsia="Arial" w:hAnsi="Arial"/>
          <w:sz w:val="14"/>
          <w:szCs w:val="14"/>
          <w:color w:val="auto"/>
        </w:rPr>
      </w:pPr>
    </w:p>
    <w:p>
      <w:pPr>
        <w:ind w:left="1360" w:hanging="217"/>
        <w:spacing w:after="0"/>
        <w:tabs>
          <w:tab w:leader="none" w:pos="13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There are no Liens with respect to Taxes on any of the assets of the Acquiror, other than Permitted Liens.</w:t>
      </w:r>
    </w:p>
    <w:p>
      <w:pPr>
        <w:spacing w:after="0" w:line="198" w:lineRule="exact"/>
        <w:rPr>
          <w:rFonts w:ascii="Arial" w:cs="Arial" w:eastAsia="Arial" w:hAnsi="Arial"/>
          <w:sz w:val="16"/>
          <w:szCs w:val="16"/>
          <w:color w:val="auto"/>
        </w:rPr>
      </w:pPr>
    </w:p>
    <w:p>
      <w:pPr>
        <w:ind w:right="20" w:firstLine="1143"/>
        <w:spacing w:after="0" w:line="275" w:lineRule="auto"/>
        <w:tabs>
          <w:tab w:leader="none" w:pos="1359"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Acquiror does not have any liability for the Taxes of any Person (other than the Company or its Subsidiaries) (i) under Treasury Regulation Section 1.1502-6 (or any similar provision of state, local or foreign Law), or (ii) as a transferee or successor.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3" w:name="page64"/>
    <w:bookmarkEnd w:id="63"/>
    <w:p>
      <w:pPr>
        <w:ind w:right="20" w:firstLine="1143"/>
        <w:spacing w:after="0" w:line="275" w:lineRule="auto"/>
        <w:tabs>
          <w:tab w:leader="none" w:pos="1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Acquiror is not party to, or bound by, or have any obligation to, any Governmental Authority or other Person under any Tax allocation, Tax sharing or Tax indemnification agreements (except, in each case, for any such agreements that are commercial contracts not primarily relating to Taxes).</w:t>
      </w:r>
    </w:p>
    <w:p>
      <w:pPr>
        <w:spacing w:after="0" w:line="151" w:lineRule="exact"/>
        <w:rPr>
          <w:rFonts w:ascii="Arial" w:cs="Arial" w:eastAsia="Arial" w:hAnsi="Arial"/>
          <w:sz w:val="16"/>
          <w:szCs w:val="16"/>
          <w:color w:val="auto"/>
        </w:rPr>
      </w:pPr>
    </w:p>
    <w:p>
      <w:pPr>
        <w:ind w:firstLine="1143"/>
        <w:spacing w:after="0" w:line="275" w:lineRule="auto"/>
        <w:tabs>
          <w:tab w:leader="none" w:pos="137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knowledge of Acquiror, there are no facts, circumstances or plans that, either alone or in combination, could reasonably be expected to prevent the Transactions from qualifying for the Intended Tax Treatment.</w:t>
      </w:r>
    </w:p>
    <w:p>
      <w:pPr>
        <w:spacing w:after="0" w:line="151" w:lineRule="exact"/>
        <w:rPr>
          <w:rFonts w:ascii="Arial" w:cs="Arial" w:eastAsia="Arial" w:hAnsi="Arial"/>
          <w:sz w:val="16"/>
          <w:szCs w:val="16"/>
          <w:color w:val="auto"/>
        </w:rPr>
      </w:pPr>
    </w:p>
    <w:p>
      <w:pPr>
        <w:jc w:val="both"/>
        <w:ind w:right="20" w:firstLine="1143"/>
        <w:spacing w:after="0" w:line="254" w:lineRule="auto"/>
        <w:tabs>
          <w:tab w:leader="none" w:pos="1341"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Acquiror nor the consummation of the transactions contemplated by this Agreement (either alone or in combination with another event) will (i) entitle any employee, director, officer or independent contractor of Acquiror or any of its Subsidiaries to severance pay or any material increase in severance pay, (ii) result in the payment of any amount to any employee, director, officer or independent contractor of Acquiror or any of its Subsidiaries that could, individually or in combination with any other such payment, constitute an “excess parachute payment” as defined in Section 280G(b)(1) of the Code, or (iii) require a “gross-up,” indemnification for, or payment to any employee, director, officer or independent contractor of Acquiror or any of its Subsidiaries for any taxes imposed under Section 409A or Section 4999 of the Code or any other tax.</w:t>
      </w:r>
    </w:p>
    <w:p>
      <w:pPr>
        <w:spacing w:after="0" w:line="170" w:lineRule="exact"/>
        <w:rPr>
          <w:rFonts w:ascii="Arial" w:cs="Arial" w:eastAsia="Arial" w:hAnsi="Arial"/>
          <w:sz w:val="16"/>
          <w:szCs w:val="16"/>
          <w:color w:val="auto"/>
        </w:rPr>
      </w:pPr>
    </w:p>
    <w:p>
      <w:pPr>
        <w:jc w:val="both"/>
        <w:ind w:firstLine="1143"/>
        <w:spacing w:after="0" w:line="258" w:lineRule="auto"/>
        <w:tabs>
          <w:tab w:leader="none" w:pos="1418"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Other than the representations and warranties set forth in Section 5.10,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contains the exclusive representations and warranties of Acquiror with respect to Tax matters. Nothing in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shall be construed as providing a representation or warranty with respect to (i) other than the representations and warranties set forth in </w:t>
      </w:r>
      <w:r>
        <w:rPr>
          <w:rFonts w:ascii="Arial" w:cs="Arial" w:eastAsia="Arial" w:hAnsi="Arial"/>
          <w:sz w:val="16"/>
          <w:szCs w:val="16"/>
          <w:u w:val="single" w:color="auto"/>
          <w:color w:val="auto"/>
        </w:rPr>
        <w:t>Section 5.08(g)</w:t>
      </w:r>
      <w:r>
        <w:rPr>
          <w:rFonts w:ascii="Arial" w:cs="Arial" w:eastAsia="Arial" w:hAnsi="Arial"/>
          <w:sz w:val="16"/>
          <w:szCs w:val="16"/>
          <w:color w:val="auto"/>
        </w:rPr>
        <w:t>, (i) and (j) any taxable period (or portion thereof) beginning following the Closing Date or (ii) the existence, amount, expiration date or limitations on (or availability of) any Tax attribute.</w:t>
      </w:r>
    </w:p>
    <w:p>
      <w:pPr>
        <w:spacing w:after="0" w:line="161"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b w:val="1"/>
          <w:bCs w:val="1"/>
          <w:color w:val="auto"/>
        </w:rPr>
        <w:t xml:space="preserve">Section 5.09 </w:t>
      </w:r>
      <w:r>
        <w:rPr>
          <w:rFonts w:ascii="Arial" w:cs="Arial" w:eastAsia="Arial" w:hAnsi="Arial"/>
          <w:sz w:val="16"/>
          <w:szCs w:val="16"/>
          <w:b w:val="1"/>
          <w:bCs w:val="1"/>
          <w:u w:val="single" w:color="auto"/>
          <w:color w:val="auto"/>
        </w:rPr>
        <w:t>Brokers’ Fees</w:t>
      </w:r>
      <w:r>
        <w:rPr>
          <w:rFonts w:ascii="Arial" w:cs="Arial" w:eastAsia="Arial" w:hAnsi="Arial"/>
          <w:sz w:val="16"/>
          <w:szCs w:val="16"/>
          <w:color w:val="auto"/>
        </w:rPr>
        <w:t>. Except for fees described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5.09</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amounts owed with respect thereto), no broker, finder, investment banker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is entitled to any brokerage fee, finders’ fee or other commission in connection with the transactions contemplated by this Agreement based upon arrangements made by Acquiror, First Merger Sub or Second Merger Sub or any of their respective Affiliates, including the Sponsors.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254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00" cy="7620"/>
                    </a:xfrm>
                    <a:prstGeom prst="rect">
                      <a:avLst/>
                    </a:prstGeom>
                    <a:noFill/>
                  </pic:spPr>
                </pic:pic>
              </a:graphicData>
            </a:graphic>
          </wp:anchor>
        </w:drawing>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5.10 </w:t>
      </w:r>
      <w:r>
        <w:rPr>
          <w:rFonts w:ascii="Arial" w:cs="Arial" w:eastAsia="Arial" w:hAnsi="Arial"/>
          <w:sz w:val="16"/>
          <w:szCs w:val="16"/>
          <w:b w:val="1"/>
          <w:bCs w:val="1"/>
          <w:u w:val="single" w:color="auto"/>
          <w:color w:val="auto"/>
        </w:rPr>
        <w:t>Acquiror SEC Reports; Financial Statements; Sarbanes-Oxley Act</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70" w:lineRule="auto"/>
        <w:tabs>
          <w:tab w:leader="none" w:pos="1364" w:val="left"/>
        </w:tabs>
        <w:numPr>
          <w:ilvl w:val="0"/>
          <w:numId w:val="59"/>
        </w:numPr>
        <w:rPr>
          <w:rFonts w:ascii="Arial" w:cs="Arial" w:eastAsia="Arial" w:hAnsi="Arial"/>
          <w:sz w:val="15"/>
          <w:szCs w:val="15"/>
          <w:color w:val="auto"/>
        </w:rPr>
      </w:pPr>
      <w:r>
        <w:rPr>
          <w:rFonts w:ascii="Arial" w:cs="Arial" w:eastAsia="Arial" w:hAnsi="Arial"/>
          <w:sz w:val="15"/>
          <w:szCs w:val="15"/>
          <w:color w:val="auto"/>
        </w:rPr>
        <w:t>Acquiror has filed in a timely manner all required registration statements, reports, schedules, forms, statements and other documents required to be filed by it with the SEC since December 23, 2020 (collectively, as they have been amended since the time of their filing and including all exhibits thereto, the “</w:t>
      </w:r>
      <w:r>
        <w:rPr>
          <w:rFonts w:ascii="Arial" w:cs="Arial" w:eastAsia="Arial" w:hAnsi="Arial"/>
          <w:sz w:val="15"/>
          <w:szCs w:val="15"/>
          <w:u w:val="single" w:color="auto"/>
          <w:color w:val="auto"/>
        </w:rPr>
        <w:t>Acquiror SEC Reports</w:t>
      </w:r>
      <w:r>
        <w:rPr>
          <w:rFonts w:ascii="Arial" w:cs="Arial" w:eastAsia="Arial" w:hAnsi="Arial"/>
          <w:sz w:val="15"/>
          <w:szCs w:val="15"/>
          <w:color w:val="auto"/>
        </w:rPr>
        <w:t>”). Acquiror has furnished to the Company true and correct copies of all amendments and modifications that have not been filed by Acquiror with the SEC to all agreements, documents, and other instruments (if any) that previously had been filed by Acquiror with the SEC and are currently in effect. None of the Acquiror SEC Reports, as of their respective dates (or if amended or superseded by a filing prior to the date of this Agreement or the Closing Date, then on the date of such filing), contained any untrue statement of a material fact or omitted to state a material fact required to be stated therein or necessary in order to make the statements made therein, in light of the circumstances under which they were made, not misleading. The audited financial statements and unaudited interim financial statements (including, in each case, the notes and schedules thereto) included in the Acquiror SEC Reports complied as to form in all material respects with the published rules and regulations of the SEC with respect thereto, were prepared in accordance with GAAP applied on a consistent basis during the periods involved (except as may be indicated therein or in the notes thereto and except with respect to unaudited statements as permitted by Form 10-Q of the SEC), and fairly present (subject, in the case of the unaudited interim financial statements included therein, to normal year-end adjustments and the absence of complete footnotes) in all material respects the financial position of Acquiror as of the respective dates thereof and the results of their operations and cash flows for the respective periods then ended.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4" w:name="page65"/>
    <w:bookmarkEnd w:id="64"/>
    <w:p>
      <w:pPr>
        <w:jc w:val="both"/>
        <w:ind w:firstLine="1143"/>
        <w:spacing w:after="0" w:line="253" w:lineRule="auto"/>
        <w:tabs>
          <w:tab w:leader="none" w:pos="137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Acquiror has established and maintains disclosure controls and procedures (as defined in Rule 13a-15 under the Exchange Act). Such disclosure controls and procedures are designed to ensure that material information relating to Acquiror and other material information required to be disclosed by Acquiror in the reports and other documents that it files or furnishes under the Exchange Act is recorded, processed, summarized and reported within the time periods specified in the rules and forms of the SEC, and that all such material information is accumulated and communicated to Acquiror’s principal executive officer and its principal financial officer as appropriate to allow timely decisions regarding required disclosure and to make the certifications required pursuant to Sections 302 and 906 of the Sarbanes-Oxley Act. Such disclosure controls and procedures are effective in timely alerting Acquiror’s principal executive officer and principal financial officer to material information required to be included in Acquiror’s periodic reports required under the Exchange Act.</w:t>
      </w:r>
    </w:p>
    <w:p>
      <w:pPr>
        <w:spacing w:after="0" w:line="171" w:lineRule="exact"/>
        <w:rPr>
          <w:rFonts w:ascii="Arial" w:cs="Arial" w:eastAsia="Arial" w:hAnsi="Arial"/>
          <w:sz w:val="16"/>
          <w:szCs w:val="16"/>
          <w:color w:val="auto"/>
        </w:rPr>
      </w:pPr>
    </w:p>
    <w:p>
      <w:pPr>
        <w:ind w:right="20" w:firstLine="1143"/>
        <w:spacing w:after="0" w:line="309" w:lineRule="auto"/>
        <w:tabs>
          <w:tab w:leader="none" w:pos="1371" w:val="left"/>
        </w:tabs>
        <w:numPr>
          <w:ilvl w:val="0"/>
          <w:numId w:val="60"/>
        </w:numPr>
        <w:rPr>
          <w:rFonts w:ascii="Arial" w:cs="Arial" w:eastAsia="Arial" w:hAnsi="Arial"/>
          <w:sz w:val="15"/>
          <w:szCs w:val="15"/>
          <w:color w:val="auto"/>
        </w:rPr>
      </w:pPr>
      <w:r>
        <w:rPr>
          <w:rFonts w:ascii="Arial" w:cs="Arial" w:eastAsia="Arial" w:hAnsi="Arial"/>
          <w:sz w:val="15"/>
          <w:szCs w:val="15"/>
          <w:color w:val="auto"/>
        </w:rPr>
        <w:t>Acquiror has established and maintained a system of internal controls. Such internal controls are sufficient to provide reasonable assurance regarding the reliability of Acquiror’s financial reporting and the preparation of Acquiror’s financial statements for external purposes in accordance with GAAP.</w:t>
      </w:r>
    </w:p>
    <w:p>
      <w:pPr>
        <w:spacing w:after="0" w:line="129" w:lineRule="exact"/>
        <w:rPr>
          <w:rFonts w:ascii="Arial" w:cs="Arial" w:eastAsia="Arial" w:hAnsi="Arial"/>
          <w:sz w:val="15"/>
          <w:szCs w:val="15"/>
          <w:color w:val="auto"/>
        </w:rPr>
      </w:pPr>
    </w:p>
    <w:p>
      <w:pPr>
        <w:ind w:right="20" w:firstLine="1143"/>
        <w:spacing w:after="0" w:line="275" w:lineRule="auto"/>
        <w:tabs>
          <w:tab w:leader="none" w:pos="137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There are no outstanding loans or other extensions of credit made by Acquiror to any executive officer (as defined in Rule 3b-7 under the Exchange Act) or director of Acquiror. Acquiror has not taken any action prohibited by Section 402 of the Sarbanes-Oxley Act.</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365"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Neither Acquiror (including any employee thereof) nor Acquiror’s independent auditors has identified or been made aware of (i) any significant deficiency or material weakness in the system of internal accounting controls utilized by Acquiror, (ii) any fraud, whether or not material, that involves Acquiror’s management or other employees who have a role in the preparation of financial statements or the internal accounting controls utilized by Acquiror or (iii) any claim or allegation regarding any of the foregoing.</w:t>
      </w:r>
    </w:p>
    <w:p>
      <w:pPr>
        <w:spacing w:after="0" w:line="164" w:lineRule="exact"/>
        <w:rPr>
          <w:rFonts w:ascii="Arial" w:cs="Arial" w:eastAsia="Arial" w:hAnsi="Arial"/>
          <w:sz w:val="16"/>
          <w:szCs w:val="16"/>
          <w:color w:val="auto"/>
        </w:rPr>
      </w:pPr>
    </w:p>
    <w:p>
      <w:pPr>
        <w:ind w:right="20" w:firstLine="1143"/>
        <w:spacing w:after="0" w:line="349" w:lineRule="auto"/>
        <w:tabs>
          <w:tab w:leader="none" w:pos="1351" w:val="left"/>
        </w:tabs>
        <w:numPr>
          <w:ilvl w:val="0"/>
          <w:numId w:val="60"/>
        </w:numPr>
        <w:rPr>
          <w:rFonts w:ascii="Arial" w:cs="Arial" w:eastAsia="Arial" w:hAnsi="Arial"/>
          <w:sz w:val="14"/>
          <w:szCs w:val="14"/>
          <w:color w:val="auto"/>
        </w:rPr>
      </w:pPr>
      <w:r>
        <w:rPr>
          <w:rFonts w:ascii="Arial" w:cs="Arial" w:eastAsia="Arial" w:hAnsi="Arial"/>
          <w:sz w:val="14"/>
          <w:szCs w:val="14"/>
          <w:color w:val="auto"/>
        </w:rPr>
        <w:t>To the knowledge of Acquiror, as of the date hereof, there are no outstanding SEC comments from the SEC with respect to the Acquiror SEC Reports. To the knowledge of Acquiror, none of the Acquiror SEC Reports filed on or prior to the date hereof is subject to ongoing SEC review or investigation as of the date hereof.</w:t>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5.11 </w:t>
      </w:r>
      <w:r>
        <w:rPr>
          <w:rFonts w:ascii="Arial" w:cs="Arial" w:eastAsia="Arial" w:hAnsi="Arial"/>
          <w:sz w:val="16"/>
          <w:szCs w:val="16"/>
          <w:b w:val="1"/>
          <w:bCs w:val="1"/>
          <w:u w:val="single" w:color="auto"/>
          <w:color w:val="auto"/>
        </w:rPr>
        <w:t>Business Activities; Undisclosed Liabilities; Absence of Changes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76" w:lineRule="auto"/>
        <w:tabs>
          <w:tab w:leader="none" w:pos="1394" w:val="left"/>
        </w:tabs>
        <w:numPr>
          <w:ilvl w:val="0"/>
          <w:numId w:val="61"/>
        </w:numPr>
        <w:rPr>
          <w:rFonts w:ascii="Arial" w:cs="Arial" w:eastAsia="Arial" w:hAnsi="Arial"/>
          <w:sz w:val="15"/>
          <w:szCs w:val="15"/>
          <w:color w:val="auto"/>
        </w:rPr>
      </w:pPr>
      <w:r>
        <w:rPr>
          <w:rFonts w:ascii="Arial" w:cs="Arial" w:eastAsia="Arial" w:hAnsi="Arial"/>
          <w:sz w:val="15"/>
          <w:szCs w:val="15"/>
          <w:color w:val="auto"/>
        </w:rPr>
        <w:t>Since its incorporation, Acquiror has not conducted any business activities other than activities directed toward the accomplishment of a Business Combination. Except as set forth in the Acquiror Organizational Documents, there is no agreement, commitment or Governmental Order binding upon Acquiror or to which Acquiror is a party which has had or would reasonably be expected to have the effect of prohibiting or impairing any business practice of Acquiror or any acquisition of property by Acquiror or the conduct of business by Acquiror as currently conducted or as currently contemplated to be conducted as of the Closing other than such effects, individually or in the aggregate, which have not had and would not reasonably be expected to have an Acquiror Material Adverse Effect.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5" w:name="page66"/>
    <w:bookmarkEnd w:id="65"/>
    <w:p>
      <w:pPr>
        <w:jc w:val="both"/>
        <w:ind w:firstLine="1143"/>
        <w:spacing w:after="0" w:line="258" w:lineRule="auto"/>
        <w:tabs>
          <w:tab w:leader="none" w:pos="137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Acquiror does not own or have a right to acquire, directly or indirectly, any interest or investment (whether equity or debt) in any corporation, partnership, joint venture, business, trust or other entity. Except for this Agreement and the Transactions, Acquiror has no interests, rights, obligations or liabilities with respect to, and is not party to, bound by or has its assets or property subject to, in each case whether directly or indirectly, any Contract or transaction which is, or could reasonably be interpreted as constituting, a Business Combination.</w:t>
      </w:r>
    </w:p>
    <w:p>
      <w:pPr>
        <w:spacing w:after="0" w:line="164" w:lineRule="exact"/>
        <w:rPr>
          <w:rFonts w:ascii="Arial" w:cs="Arial" w:eastAsia="Arial" w:hAnsi="Arial"/>
          <w:sz w:val="16"/>
          <w:szCs w:val="16"/>
          <w:color w:val="auto"/>
        </w:rPr>
      </w:pPr>
    </w:p>
    <w:p>
      <w:pPr>
        <w:jc w:val="both"/>
        <w:ind w:right="20" w:firstLine="1143"/>
        <w:spacing w:after="0" w:line="276" w:lineRule="auto"/>
        <w:tabs>
          <w:tab w:leader="none" w:pos="1366" w:val="left"/>
        </w:tabs>
        <w:numPr>
          <w:ilvl w:val="0"/>
          <w:numId w:val="62"/>
        </w:numPr>
        <w:rPr>
          <w:rFonts w:ascii="Arial" w:cs="Arial" w:eastAsia="Arial" w:hAnsi="Arial"/>
          <w:sz w:val="15"/>
          <w:szCs w:val="15"/>
          <w:color w:val="auto"/>
        </w:rPr>
      </w:pPr>
      <w:r>
        <w:rPr>
          <w:rFonts w:ascii="Arial" w:cs="Arial" w:eastAsia="Arial" w:hAnsi="Arial"/>
          <w:sz w:val="15"/>
          <w:szCs w:val="15"/>
          <w:color w:val="auto"/>
        </w:rPr>
        <w:t xml:space="preserve">Except for (i) this Agreement and the agreements expressly contemplated hereby (including any agreements permitted by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(ii) as set forth on </w:t>
      </w:r>
      <w:r>
        <w:rPr>
          <w:rFonts w:ascii="Arial" w:cs="Arial" w:eastAsia="Arial" w:hAnsi="Arial"/>
          <w:sz w:val="15"/>
          <w:szCs w:val="15"/>
          <w:u w:val="single" w:color="auto"/>
          <w:color w:val="auto"/>
        </w:rPr>
        <w:t>Schedule 5.11(c)</w:t>
      </w:r>
      <w:r>
        <w:rPr>
          <w:rFonts w:ascii="Arial" w:cs="Arial" w:eastAsia="Arial" w:hAnsi="Arial"/>
          <w:sz w:val="15"/>
          <w:szCs w:val="15"/>
          <w:color w:val="auto"/>
        </w:rPr>
        <w:t xml:space="preserve"> and (iii) with respect to fees and expenses of Acquiror’s legal, financial and other advisors, Acquiror is not, and at no time has been, party to any Contract with any other Person that would require payments by Acquiror in excess of $75,000 monthly, $150,000 in the aggregate annually with respect to any individual Contract or more than $500,000 in the aggregate annually when taken together with all other Contracts (other than this Agreement and the agreements expressly contemplated hereby (including any agreements permitted by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and Contracts set forth on </w:t>
      </w:r>
      <w:r>
        <w:rPr>
          <w:rFonts w:ascii="Arial" w:cs="Arial" w:eastAsia="Arial" w:hAnsi="Arial"/>
          <w:sz w:val="15"/>
          <w:szCs w:val="15"/>
          <w:u w:val="single" w:color="auto"/>
          <w:color w:val="auto"/>
        </w:rPr>
        <w:t>Schedule 5.11(c)</w:t>
      </w:r>
      <w:r>
        <w:rPr>
          <w:rFonts w:ascii="Arial" w:cs="Arial" w:eastAsia="Arial" w:hAnsi="Arial"/>
          <w:sz w:val="15"/>
          <w:szCs w:val="15"/>
          <w:color w:val="auto"/>
        </w:rPr>
        <w:t>).</w:t>
      </w:r>
    </w:p>
    <w:p>
      <w:pPr>
        <w:spacing w:after="0" w:line="155" w:lineRule="exact"/>
        <w:rPr>
          <w:rFonts w:ascii="Arial" w:cs="Arial" w:eastAsia="Arial" w:hAnsi="Arial"/>
          <w:sz w:val="15"/>
          <w:szCs w:val="15"/>
          <w:color w:val="auto"/>
        </w:rPr>
      </w:pPr>
    </w:p>
    <w:p>
      <w:pPr>
        <w:jc w:val="both"/>
        <w:ind w:firstLine="1143"/>
        <w:spacing w:after="0" w:line="253" w:lineRule="auto"/>
        <w:tabs>
          <w:tab w:leader="none" w:pos="13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There is no liability, debt or obligation against Acquiror or its Subsidiaries, except for liabilities and obligations (i) reflected or reserved for on Acquiror’s consolidated balance sheet for the quarterly period ended June 30, 2021 or disclosed in the notes thereto (other than any such liabilities not reflected, reserved or disclosed as are not and would not be, in the aggregate, material to Acquiror and its Subsidiaries, taken as a whole), (ii) that have arisen since the date of Acquiror’s consolidated balance sheet for the quarterly period June 30, 2021 in the ordinary course of the operation of business of the Acquiror and its Subsidiaries (other than any such liabilities as are not and would not be, in the aggregate, material to Acquiror and its Subsidiaries, taken as a whole), (iii) disclosed in </w:t>
      </w:r>
      <w:r>
        <w:rPr>
          <w:rFonts w:ascii="Arial" w:cs="Arial" w:eastAsia="Arial" w:hAnsi="Arial"/>
          <w:sz w:val="16"/>
          <w:szCs w:val="16"/>
          <w:u w:val="single" w:color="auto"/>
          <w:color w:val="auto"/>
        </w:rPr>
        <w:t>Schedule 5.11(d)</w:t>
      </w:r>
      <w:r>
        <w:rPr>
          <w:rFonts w:ascii="Arial" w:cs="Arial" w:eastAsia="Arial" w:hAnsi="Arial"/>
          <w:sz w:val="16"/>
          <w:szCs w:val="16"/>
          <w:color w:val="auto"/>
        </w:rPr>
        <w:t>, (iv) arising under this Agreement and/or the performance by the Company of its obligations hereunder or (v) that would not, individually or in the aggregate, reasonably be expected to be material to the Acquiror and its Subsidiaries, taken as a whole.</w:t>
      </w:r>
    </w:p>
    <w:p>
      <w:pPr>
        <w:spacing w:after="0" w:line="171" w:lineRule="exact"/>
        <w:rPr>
          <w:rFonts w:ascii="Arial" w:cs="Arial" w:eastAsia="Arial" w:hAnsi="Arial"/>
          <w:sz w:val="16"/>
          <w:szCs w:val="16"/>
          <w:color w:val="auto"/>
        </w:rPr>
      </w:pPr>
    </w:p>
    <w:p>
      <w:pPr>
        <w:ind w:firstLine="1143"/>
        <w:spacing w:after="0" w:line="275" w:lineRule="auto"/>
        <w:tabs>
          <w:tab w:leader="none" w:pos="1368" w:val="left"/>
        </w:tabs>
        <w:numPr>
          <w:ilvl w:val="0"/>
          <w:numId w:val="62"/>
        </w:numPr>
        <w:rPr>
          <w:rFonts w:ascii="Arial" w:cs="Arial" w:eastAsia="Arial" w:hAnsi="Arial"/>
          <w:sz w:val="16"/>
          <w:szCs w:val="16"/>
          <w:color w:val="auto"/>
        </w:rPr>
      </w:pPr>
      <w:r>
        <w:rPr>
          <w:rFonts w:ascii="Arial" w:cs="Arial" w:eastAsia="Arial" w:hAnsi="Arial"/>
          <w:sz w:val="16"/>
          <w:szCs w:val="16"/>
          <w:color w:val="auto"/>
        </w:rPr>
        <w:t>Neither First Merger Sub nor Second Merger Sub owns or has a right to acquire, directly or indirectly, any interest or investment (whether equity or debt) in any corporation, partnership, joint venture, business, trust or other entity.</w:t>
      </w:r>
    </w:p>
    <w:p>
      <w:pPr>
        <w:spacing w:after="0" w:line="151" w:lineRule="exact"/>
        <w:rPr>
          <w:rFonts w:ascii="Arial" w:cs="Arial" w:eastAsia="Arial" w:hAnsi="Arial"/>
          <w:sz w:val="16"/>
          <w:szCs w:val="16"/>
          <w:color w:val="auto"/>
        </w:rPr>
      </w:pPr>
    </w:p>
    <w:p>
      <w:pPr>
        <w:jc w:val="both"/>
        <w:ind w:right="20" w:firstLine="1143"/>
        <w:spacing w:after="0" w:line="287" w:lineRule="auto"/>
        <w:tabs>
          <w:tab w:leader="none" w:pos="1355" w:val="left"/>
        </w:tabs>
        <w:numPr>
          <w:ilvl w:val="0"/>
          <w:numId w:val="62"/>
        </w:numPr>
        <w:rPr>
          <w:rFonts w:ascii="Arial" w:cs="Arial" w:eastAsia="Arial" w:hAnsi="Arial"/>
          <w:sz w:val="15"/>
          <w:szCs w:val="15"/>
          <w:color w:val="auto"/>
        </w:rPr>
      </w:pPr>
      <w:r>
        <w:rPr>
          <w:rFonts w:ascii="Arial" w:cs="Arial" w:eastAsia="Arial" w:hAnsi="Arial"/>
          <w:sz w:val="15"/>
          <w:szCs w:val="15"/>
          <w:color w:val="auto"/>
        </w:rPr>
        <w:t>First Merger Sub was formed solely for the purpose of effecting the Mergers and has not engaged in any business activities or conducted any operations other than in connection with the Mergers and has no, and at all times prior to the Effective Time except as contemplated by this Agreement or the ancillary agreements to this Agreement, will have no, assets, liabilities or obligations of any kind or nature whatsoever other than those incident to its formation.</w:t>
      </w:r>
    </w:p>
    <w:p>
      <w:pPr>
        <w:spacing w:after="0" w:line="146" w:lineRule="exact"/>
        <w:rPr>
          <w:rFonts w:ascii="Arial" w:cs="Arial" w:eastAsia="Arial" w:hAnsi="Arial"/>
          <w:sz w:val="15"/>
          <w:szCs w:val="15"/>
          <w:color w:val="auto"/>
        </w:rPr>
      </w:pPr>
    </w:p>
    <w:p>
      <w:pPr>
        <w:jc w:val="both"/>
        <w:ind w:firstLine="1143"/>
        <w:spacing w:after="0" w:line="287" w:lineRule="auto"/>
        <w:tabs>
          <w:tab w:leader="none" w:pos="1374" w:val="left"/>
        </w:tabs>
        <w:numPr>
          <w:ilvl w:val="0"/>
          <w:numId w:val="62"/>
        </w:numPr>
        <w:rPr>
          <w:rFonts w:ascii="Arial" w:cs="Arial" w:eastAsia="Arial" w:hAnsi="Arial"/>
          <w:sz w:val="15"/>
          <w:szCs w:val="15"/>
          <w:color w:val="auto"/>
        </w:rPr>
      </w:pPr>
      <w:r>
        <w:rPr>
          <w:rFonts w:ascii="Arial" w:cs="Arial" w:eastAsia="Arial" w:hAnsi="Arial"/>
          <w:sz w:val="15"/>
          <w:szCs w:val="15"/>
          <w:color w:val="auto"/>
        </w:rPr>
        <w:t>Second Merger Sub was formed solely for the purpose of effecting the Mergers and has not engaged in any business activities or conducted any operations other than in connection with the Mergers and has no, and at all times prior to the Second Effective Time except as contemplated by this Agreement or the ancillary agreements to this Agreement, will have no, assets, liabilities or obligations of any kind or nature whatsoever other than those incident to its formation.</w:t>
      </w:r>
    </w:p>
    <w:p>
      <w:pPr>
        <w:spacing w:after="0" w:line="146" w:lineRule="exact"/>
        <w:rPr>
          <w:rFonts w:ascii="Arial" w:cs="Arial" w:eastAsia="Arial" w:hAnsi="Arial"/>
          <w:sz w:val="15"/>
          <w:szCs w:val="15"/>
          <w:color w:val="auto"/>
        </w:rPr>
      </w:pPr>
    </w:p>
    <w:p>
      <w:pPr>
        <w:jc w:val="both"/>
        <w:ind w:right="20" w:firstLine="1143"/>
        <w:spacing w:after="0" w:line="258" w:lineRule="auto"/>
        <w:tabs>
          <w:tab w:leader="none" w:pos="1377"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 Since June 30, 2021 through the date of this Agreement, there has not been any change, development, condition, occurrence, event or effect relating to the Acquiror or its Subsidiaries that, individually or in the aggregate, resulted in, or would reasonably be expected to result in, an Acquiror Material Adverse Effect and (ii) from June 30, 2021 through the date of this Agreement, Acquiror and its Subsidiaries have not taken any action that would require the consent of the Company pursuant to </w:t>
      </w:r>
      <w:r>
        <w:rPr>
          <w:rFonts w:ascii="Arial" w:cs="Arial" w:eastAsia="Arial" w:hAnsi="Arial"/>
          <w:sz w:val="16"/>
          <w:szCs w:val="16"/>
          <w:u w:val="single" w:color="auto"/>
          <w:color w:val="auto"/>
        </w:rPr>
        <w:t>Section 7.03</w:t>
      </w:r>
      <w:r>
        <w:rPr>
          <w:rFonts w:ascii="Arial" w:cs="Arial" w:eastAsia="Arial" w:hAnsi="Arial"/>
          <w:sz w:val="16"/>
          <w:szCs w:val="16"/>
          <w:color w:val="auto"/>
        </w:rPr>
        <w:t>, if such action had been taken after the date hereof.</w:t>
      </w:r>
    </w:p>
    <w:p>
      <w:pPr>
        <w:spacing w:after="0" w:line="161" w:lineRule="exact"/>
        <w:rPr>
          <w:sz w:val="20"/>
          <w:szCs w:val="20"/>
          <w:color w:val="auto"/>
        </w:rPr>
      </w:pPr>
    </w:p>
    <w:p>
      <w:pPr>
        <w:jc w:val="both"/>
        <w:ind w:right="20" w:firstLine="574"/>
        <w:spacing w:after="0" w:line="257" w:lineRule="auto"/>
        <w:rPr>
          <w:sz w:val="20"/>
          <w:szCs w:val="20"/>
          <w:color w:val="auto"/>
        </w:rPr>
      </w:pPr>
      <w:r>
        <w:rPr>
          <w:rFonts w:ascii="Arial" w:cs="Arial" w:eastAsia="Arial" w:hAnsi="Arial"/>
          <w:sz w:val="16"/>
          <w:szCs w:val="16"/>
          <w:b w:val="1"/>
          <w:bCs w:val="1"/>
          <w:color w:val="auto"/>
        </w:rPr>
        <w:t xml:space="preserve">Section 5.12 </w:t>
      </w:r>
      <w:r>
        <w:rPr>
          <w:rFonts w:ascii="Arial" w:cs="Arial" w:eastAsia="Arial" w:hAnsi="Arial"/>
          <w:sz w:val="16"/>
          <w:szCs w:val="16"/>
          <w:b w:val="1"/>
          <w:bCs w:val="1"/>
          <w:u w:val="single" w:color="auto"/>
          <w:color w:val="auto"/>
        </w:rPr>
        <w:t>Proxy Statement</w:t>
      </w:r>
      <w:r>
        <w:rPr>
          <w:rFonts w:ascii="Arial" w:cs="Arial" w:eastAsia="Arial" w:hAnsi="Arial"/>
          <w:sz w:val="16"/>
          <w:szCs w:val="16"/>
          <w:color w:val="auto"/>
        </w:rPr>
        <w:t>. As of the time the Proxy Statement is first mailed to the Acquiror Stockholders, and at the time of the Special Meeting, the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(together with any amendments or supplements thereto) will not contain any untrue statement of a material fact or omit to state a material fact necessary to make the statements therein, in the light of the circumstances under which they were made, not misleading; provided, however, that Acquiror makes no representations or warranties as to the information contained in or omitted from the Proxy Statement in reliance upon and in conformity with information furnished in writing to the Acquiror by or on behalf of the Company specifically for inclusion in the Proxy Statement.</w:t>
      </w:r>
    </w:p>
    <w:p>
      <w:pPr>
        <w:spacing w:after="0" w:line="16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b w:val="1"/>
          <w:bCs w:val="1"/>
          <w:color w:val="auto"/>
        </w:rPr>
        <w:t xml:space="preserve">Section 5.13 </w:t>
      </w:r>
      <w:r>
        <w:rPr>
          <w:rFonts w:ascii="Arial" w:cs="Arial" w:eastAsia="Arial" w:hAnsi="Arial"/>
          <w:sz w:val="15"/>
          <w:szCs w:val="15"/>
          <w:b w:val="1"/>
          <w:bCs w:val="1"/>
          <w:u w:val="single" w:color="auto"/>
          <w:color w:val="auto"/>
        </w:rPr>
        <w:t>No Outside Reliance</w:t>
      </w:r>
      <w:r>
        <w:rPr>
          <w:rFonts w:ascii="Arial" w:cs="Arial" w:eastAsia="Arial" w:hAnsi="Arial"/>
          <w:sz w:val="15"/>
          <w:szCs w:val="15"/>
          <w:color w:val="auto"/>
        </w:rPr>
        <w:t>. Notwithstanding anything contained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V</w:t>
      </w:r>
      <w:r>
        <w:rPr>
          <w:rFonts w:ascii="Arial" w:cs="Arial" w:eastAsia="Arial" w:hAnsi="Arial"/>
          <w:sz w:val="15"/>
          <w:szCs w:val="15"/>
          <w:b w:val="1"/>
          <w:bCs w:val="1"/>
          <w:color w:val="auto"/>
        </w:rPr>
        <w:t xml:space="preserve"> </w:t>
      </w:r>
      <w:r>
        <w:rPr>
          <w:rFonts w:ascii="Arial" w:cs="Arial" w:eastAsia="Arial" w:hAnsi="Arial"/>
          <w:sz w:val="15"/>
          <w:szCs w:val="15"/>
          <w:color w:val="auto"/>
        </w:rPr>
        <w:t>or any other provision hereof, Acquiror and its Affiliates and any of its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their respective directors, officers, employees, stockholders, partners, members or representatives, acknowledge and agree that Acquiror has made its own investigation of the Company and that neither the Company nor any of its Affiliates or any of their respective directors, officers, employees, stockholders, partners, members, agents or representatives is making any representation or warranty whatsoever, express or implied, beyond those expressly given by the Company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and in any ancillary agreement to this Agreement to which it is a party or certificate delivered by the Company pursuant to the Agreement, including any implied warranty or representation as to condition, merchantability, suitability or fitness for a particular purpose or trade as to any of the assets of the Company or its Subsidiaries. Without limiting the generality of the foregoing, it is understood that any cost estimates, financial or other projections or other predictions that may be contained or referred to in the Schedules or elsewhere, as well as any information, documents or other materials (including any such materials contained in any “data room” (whether or not accessed by Acquiror or its representatives) or reviewed by Acquiror pursuant to the Confidentiality Agreement) or management presentations that have been or shall hereafter be provided to Acquiror or any of its Affiliates, agents or representatives are not and will not be deemed to be representations or warranties of the Company, and no representation or warranty is made as to the accuracy or completeness of any of the foregoing except as may be expressly set forth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of this Agreement and in any ancillary agreement to this Agreement to which it is a party or certificate delivered by the Company pursuant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254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00" cy="762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6" w:name="page67"/>
    <w:bookmarkEnd w:id="66"/>
    <w:p>
      <w:pPr>
        <w:ind w:left="5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506095</wp:posOffset>
            </wp:positionV>
            <wp:extent cx="254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400" cy="7620"/>
                    </a:xfrm>
                    <a:prstGeom prst="rect">
                      <a:avLst/>
                    </a:prstGeom>
                    <a:noFill/>
                  </pic:spPr>
                </pic:pic>
              </a:graphicData>
            </a:graphic>
          </wp:anchor>
        </w:drawing>
        <w:t xml:space="preserve">Section 5.14 </w:t>
      </w:r>
      <w:r>
        <w:rPr>
          <w:rFonts w:ascii="Arial" w:cs="Arial" w:eastAsia="Arial" w:hAnsi="Arial"/>
          <w:sz w:val="16"/>
          <w:szCs w:val="16"/>
          <w:b w:val="1"/>
          <w:bCs w:val="1"/>
          <w:u w:val="single" w:color="auto"/>
          <w:color w:val="auto"/>
        </w:rPr>
        <w:t>Capitalization</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97" w:lineRule="auto"/>
        <w:tabs>
          <w:tab w:leader="none" w:pos="1379"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authorized capital stock of Acquiror consists of (i) 1,000,000 shares of Acquiror Preferred Stock and (ii) 50,000,000 shares of Acquiror Common Stock. As of the date of this Agreement, (A) no shares of Acquiror Preferred Stock are issued and outstanding, (B) 21,562,500 shares of Acquiror Common Stock are issued and outstanding, (C) 17,250,000 Acquiror Warrants are issued and outstanding, (D) 6,675,000 Acquiror Private Placement Warrants are issued and outstanding and (E) rights to receive 862,500 shares of Acquiror Common Stock are issued and outstanding. All of the issued and outstanding shares of Acquiror Common Stock have been duly authorized and validly issued and are fully paid and nonassessable. All outstanding Acquiror Units, shares of Acquiror Common Stock, Acquiror Warrants and Acquiror Private Placement Warrant (1) were issued in compliance in all material respects with applicable Law and (2) were not issued in breach or violation of any preemptive rights or Contract.</w:t>
      </w:r>
    </w:p>
    <w:p>
      <w:pPr>
        <w:spacing w:after="0" w:line="143" w:lineRule="exact"/>
        <w:rPr>
          <w:rFonts w:ascii="Arial" w:cs="Arial" w:eastAsia="Arial" w:hAnsi="Arial"/>
          <w:sz w:val="14"/>
          <w:szCs w:val="14"/>
          <w:color w:val="auto"/>
        </w:rPr>
      </w:pPr>
    </w:p>
    <w:p>
      <w:pPr>
        <w:jc w:val="both"/>
        <w:ind w:firstLine="1143"/>
        <w:spacing w:after="0" w:line="289" w:lineRule="auto"/>
        <w:tabs>
          <w:tab w:leader="none" w:pos="1378"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Except for this Agreement, the Acquiror Warrants, the Acquiror Private Placement Warrants, the Acquiror Rights and the Subscription Agreements, as of the date hereof, there are (i) no subscriptions, calls, options, warrants, rights or other securities convertible into or exchangeable or exercisable for shares of Acquiror Common Stock or the equity interests of Acquiror, or any other Contracts to which Acquiror is a party or by which Acquiror is bound obligating Acquiror to issue or sell any shares of capital stock of, other equity interests in or debt securities of, Acquiror, and (ii) no equity equivalents, stock appreciation rights, phantom stock ownership interests or similar rights in Acquiror. Except as disclosed in the Acquiror SEC Reports or the Acquiror Organizational Documents, there are no outstanding contractual obligations of Acquiror to repurchase, redeem or otherwise acquire any securities or equity interests of Acquiror. There are no outstanding bonds, debentures, notes or other Indebtedness of Acquiror having the right to vote (or convertible into, or exchangeable for, securities having the right to vote) on any matter for which Acquiror’s stockholders may vote. Except as disclosed in the Acquiror SEC Reports, Acquiror is not a party to any shareholders agreement, voting agreement or registration rights agreement relating to Acquiror Common Stock or any other equity interests of Acquiror. Acquiror does not own any capital stock or any other equity interests in any other Person (other than First Merger Sub and Merger Sub) or any right, option, warrant, conversion right, stock appreciation right, redemption right, repurchase right, agreement, arrangement or commitment of any character under which a Person is or may become obligated to issue or sell, or give any right to subscribe for or acquire, or in any way dispose of, any shares of the capital stock or other equity interests, or any securities or obligations exercisable or exchangeable for or convertible into any shares of the capital stock or other equity interests, of such Person. There are no securities or instruments issued by or to which the Acquiror is a party containing anti-dilution or similar provisions that will be triggered by the consummation of the transactions contemplated by the Subscription Agreements that have not been or will be waived on or prior to the Closing Date.</w:t>
      </w:r>
    </w:p>
    <w:p>
      <w:pPr>
        <w:spacing w:after="0" w:line="153" w:lineRule="exact"/>
        <w:rPr>
          <w:rFonts w:ascii="Arial" w:cs="Arial" w:eastAsia="Arial" w:hAnsi="Arial"/>
          <w:sz w:val="14"/>
          <w:szCs w:val="14"/>
          <w:color w:val="auto"/>
        </w:rPr>
      </w:pPr>
    </w:p>
    <w:p>
      <w:pPr>
        <w:ind w:right="20" w:firstLine="1143"/>
        <w:spacing w:after="0" w:line="275" w:lineRule="auto"/>
        <w:tabs>
          <w:tab w:leader="none" w:pos="1373"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 of the date hereof, the authorized share capital of First Merger Sub consists of 1,000 shares of common stock, par value $0.0001 per share, of which 100 shares are issued and outstanding and beneficially held (and held of record) by Acquiror as of the date of this Agreement.</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 of the date hereof, Acquiror is the sole member and owner of all (100%) of the membership interests of Second Merger Sub.</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7" w:name="page68"/>
    <w:bookmarkEnd w:id="67"/>
    <w:p>
      <w:pPr>
        <w:jc w:val="both"/>
        <w:ind w:firstLine="574"/>
        <w:spacing w:after="0" w:line="255" w:lineRule="auto"/>
        <w:rPr>
          <w:sz w:val="20"/>
          <w:szCs w:val="20"/>
          <w:color w:val="auto"/>
        </w:rPr>
      </w:pPr>
      <w:r>
        <w:rPr>
          <w:rFonts w:ascii="Arial" w:cs="Arial" w:eastAsia="Arial" w:hAnsi="Arial"/>
          <w:sz w:val="16"/>
          <w:szCs w:val="16"/>
          <w:b w:val="1"/>
          <w:bCs w:val="1"/>
          <w:color w:val="auto"/>
        </w:rPr>
        <w:t xml:space="preserve">Section 5.15 </w:t>
      </w:r>
      <w:r>
        <w:rPr>
          <w:rFonts w:ascii="Arial" w:cs="Arial" w:eastAsia="Arial" w:hAnsi="Arial"/>
          <w:sz w:val="16"/>
          <w:szCs w:val="16"/>
          <w:b w:val="1"/>
          <w:bCs w:val="1"/>
          <w:u w:val="single" w:color="auto"/>
          <w:color w:val="auto"/>
        </w:rPr>
        <w:t>Nasdaq Stock Market Quotation</w:t>
      </w:r>
      <w:r>
        <w:rPr>
          <w:rFonts w:ascii="Arial" w:cs="Arial" w:eastAsia="Arial" w:hAnsi="Arial"/>
          <w:sz w:val="16"/>
          <w:szCs w:val="16"/>
          <w:color w:val="auto"/>
        </w:rPr>
        <w:t>. The issued and outstanding shares of Acquiror Common Stock are registered pursuant to Section 12(b)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Act and are listed for trading on Nasdaq under the symbol “VTAQ”. Acquiror is in compliance in all material respects with the rules of the Nasdaq and there is no action or proceeding pending or, to the knowledge of Acquiror, threatened against Acquiror by Nasdaq, the Financial Industry Regulatory Authority or the SEC with respect to any intention by such entity to deregister the Acquiror Common Stock or terminate the listing of Acquiror Common Stock on Nasdaq. None of Acquiror or its Affiliates has taken any action in an attempt to terminate the registration of the Acquiror Common Stock, Acquiror Warrants or Acquiror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xml:space="preserve"> under the Exchange Act except as contemplated by this Agreement.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5.16 </w:t>
      </w:r>
      <w:r>
        <w:rPr>
          <w:rFonts w:ascii="Arial" w:cs="Arial" w:eastAsia="Arial" w:hAnsi="Arial"/>
          <w:sz w:val="16"/>
          <w:szCs w:val="16"/>
          <w:b w:val="1"/>
          <w:bCs w:val="1"/>
          <w:u w:val="single" w:color="auto"/>
          <w:color w:val="auto"/>
        </w:rPr>
        <w:t>Contracts; No Defaults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58" w:lineRule="auto"/>
        <w:tabs>
          <w:tab w:leader="none" w:pos="1364"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Schedule 5.16(a)</w:t>
      </w:r>
      <w:r>
        <w:rPr>
          <w:rFonts w:ascii="Arial" w:cs="Arial" w:eastAsia="Arial" w:hAnsi="Arial"/>
          <w:sz w:val="16"/>
          <w:szCs w:val="16"/>
          <w:color w:val="auto"/>
        </w:rPr>
        <w:t xml:space="preserve"> contains a listing of all Contracts including every “material contract” (as such term is defined in Item 601(b)(10) of Regulation S-K of the SEC) (other than confidentiality and non-disclosure agreements, this Agreement and the Subscription Agreements) to which, as of the date of this Agreement, Acquiror or one or more of its Subsidiaries is a party or by which any of their respective assets are bound. True, correct and complete copies of the Contracts listed on </w:t>
      </w:r>
      <w:r>
        <w:rPr>
          <w:rFonts w:ascii="Arial" w:cs="Arial" w:eastAsia="Arial" w:hAnsi="Arial"/>
          <w:sz w:val="16"/>
          <w:szCs w:val="16"/>
          <w:u w:val="single" w:color="auto"/>
          <w:color w:val="auto"/>
        </w:rPr>
        <w:t>Schedule 5.16(a)</w:t>
      </w:r>
      <w:r>
        <w:rPr>
          <w:rFonts w:ascii="Arial" w:cs="Arial" w:eastAsia="Arial" w:hAnsi="Arial"/>
          <w:sz w:val="16"/>
          <w:szCs w:val="16"/>
          <w:color w:val="auto"/>
        </w:rPr>
        <w:t xml:space="preserve"> have been delivered to or made available to the Company or its agents or representatives.</w:t>
      </w:r>
    </w:p>
    <w:p>
      <w:pPr>
        <w:spacing w:after="0" w:line="164" w:lineRule="exact"/>
        <w:rPr>
          <w:rFonts w:ascii="Arial" w:cs="Arial" w:eastAsia="Arial" w:hAnsi="Arial"/>
          <w:sz w:val="16"/>
          <w:szCs w:val="16"/>
          <w:color w:val="auto"/>
        </w:rPr>
      </w:pPr>
    </w:p>
    <w:p>
      <w:pPr>
        <w:jc w:val="both"/>
        <w:ind w:firstLine="1143"/>
        <w:spacing w:after="0" w:line="290" w:lineRule="auto"/>
        <w:tabs>
          <w:tab w:leader="none" w:pos="1386"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Each Contract of a type required to be listed on </w:t>
      </w:r>
      <w:r>
        <w:rPr>
          <w:rFonts w:ascii="Arial" w:cs="Arial" w:eastAsia="Arial" w:hAnsi="Arial"/>
          <w:sz w:val="14"/>
          <w:szCs w:val="14"/>
          <w:u w:val="single" w:color="auto"/>
          <w:color w:val="auto"/>
        </w:rPr>
        <w:t>Schedule 5.16(a)</w:t>
      </w:r>
      <w:r>
        <w:rPr>
          <w:rFonts w:ascii="Arial" w:cs="Arial" w:eastAsia="Arial" w:hAnsi="Arial"/>
          <w:sz w:val="14"/>
          <w:szCs w:val="14"/>
          <w:color w:val="auto"/>
        </w:rPr>
        <w:t xml:space="preserve">, whether or not set forth on </w:t>
      </w:r>
      <w:r>
        <w:rPr>
          <w:rFonts w:ascii="Arial" w:cs="Arial" w:eastAsia="Arial" w:hAnsi="Arial"/>
          <w:sz w:val="14"/>
          <w:szCs w:val="14"/>
          <w:u w:val="single" w:color="auto"/>
          <w:color w:val="auto"/>
        </w:rPr>
        <w:t>Schedule 5.16(a)</w:t>
      </w:r>
      <w:r>
        <w:rPr>
          <w:rFonts w:ascii="Arial" w:cs="Arial" w:eastAsia="Arial" w:hAnsi="Arial"/>
          <w:sz w:val="14"/>
          <w:szCs w:val="14"/>
          <w:color w:val="auto"/>
        </w:rPr>
        <w:t xml:space="preserve">, was entered into at arm’s length in all material respects and in the ordinary course of business. Except for any Contract that has terminated or will terminate upon the expiration of the stated term thereof prior to the Closing Date, with respect to any Contract of the type described in </w:t>
      </w:r>
      <w:r>
        <w:rPr>
          <w:rFonts w:ascii="Arial" w:cs="Arial" w:eastAsia="Arial" w:hAnsi="Arial"/>
          <w:sz w:val="14"/>
          <w:szCs w:val="14"/>
          <w:u w:val="single" w:color="auto"/>
          <w:color w:val="auto"/>
        </w:rPr>
        <w:t>Schedule 5.16(a)</w:t>
      </w:r>
      <w:r>
        <w:rPr>
          <w:rFonts w:ascii="Arial" w:cs="Arial" w:eastAsia="Arial" w:hAnsi="Arial"/>
          <w:sz w:val="14"/>
          <w:szCs w:val="14"/>
          <w:color w:val="auto"/>
        </w:rPr>
        <w:t xml:space="preserve">, whether or not set forth on </w:t>
      </w:r>
      <w:r>
        <w:rPr>
          <w:rFonts w:ascii="Arial" w:cs="Arial" w:eastAsia="Arial" w:hAnsi="Arial"/>
          <w:sz w:val="14"/>
          <w:szCs w:val="14"/>
          <w:u w:val="single" w:color="auto"/>
          <w:color w:val="auto"/>
        </w:rPr>
        <w:t>Schedule 5.16(a)</w:t>
      </w:r>
      <w:r>
        <w:rPr>
          <w:rFonts w:ascii="Arial" w:cs="Arial" w:eastAsia="Arial" w:hAnsi="Arial"/>
          <w:sz w:val="14"/>
          <w:szCs w:val="14"/>
          <w:color w:val="auto"/>
        </w:rPr>
        <w:t>, (i) such Contracts are in full force and effect and represent the legal, valid and binding obligations of the Acquiror or its Subsidiaries party thereto and, to the knowledge of the Acquiror, represent the legal, valid and binding obligations of the other parties thereto, and, to the knowledge of the Acquiror, are enforceable by the Acquiror or its Subsidiaries to the extent a party thereto in accordance with their terms, subject in all respects to the effects of bankruptcy, insolvency, fraudulent conveyance, reorganization, moratorium and other laws relating to or affecting creditors’ rights generally and general equitable principles (whether considered in a proceeding in equity or at law), (ii) none of the Acquiror, its Subsidiaries or, to the knowledge of the Acquiror, any other party thereto is in material breach of or material default (or would be in material breach, violation or default but for the existence of a cure period) under any such Contract, (iii) since June 30, 2021, neither the Acquiror nor its Subsidiaries have received any written or, to the knowledge of the Acquiror, oral claim or notice of material breach of or material default under any such Contract, (iv) to the knowledge of the Acquiror, no event has occurred which, individually or together with other events, would reasonably be expected to result in a material breach of or a material default under any such Contract by the Acquiror or its Subsidiaries or, to the knowledge of the Acquiror, any other party thereto (in each case, with or without notice or lapse of time or both) and (v) since December 31, 2020 through the date hereof, neither the Acquiror nor its Subsidiaries have received written notice from any other party to any such Contract that such party intends to terminate or not renew any such Contract.</w:t>
      </w:r>
    </w:p>
    <w:p>
      <w:pPr>
        <w:spacing w:after="0" w:line="144" w:lineRule="exact"/>
        <w:rPr>
          <w:sz w:val="20"/>
          <w:szCs w:val="20"/>
          <w:color w:val="auto"/>
        </w:rPr>
      </w:pPr>
    </w:p>
    <w:p>
      <w:pPr>
        <w:ind w:right="20" w:firstLine="574"/>
        <w:spacing w:after="0" w:line="280" w:lineRule="auto"/>
        <w:rPr>
          <w:sz w:val="20"/>
          <w:szCs w:val="20"/>
          <w:color w:val="auto"/>
        </w:rPr>
      </w:pPr>
      <w:r>
        <w:rPr>
          <w:rFonts w:ascii="Arial" w:cs="Arial" w:eastAsia="Arial" w:hAnsi="Arial"/>
          <w:sz w:val="16"/>
          <w:szCs w:val="16"/>
          <w:b w:val="1"/>
          <w:bCs w:val="1"/>
          <w:color w:val="auto"/>
        </w:rPr>
        <w:t xml:space="preserve">Section 5.17 </w:t>
      </w:r>
      <w:r>
        <w:rPr>
          <w:rFonts w:ascii="Arial" w:cs="Arial" w:eastAsia="Arial" w:hAnsi="Arial"/>
          <w:sz w:val="16"/>
          <w:szCs w:val="16"/>
          <w:b w:val="1"/>
          <w:bCs w:val="1"/>
          <w:u w:val="single" w:color="auto"/>
          <w:color w:val="auto"/>
        </w:rPr>
        <w:t>Title to Property</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5.17</w:t>
      </w:r>
      <w:r>
        <w:rPr>
          <w:rFonts w:ascii="Arial" w:cs="Arial" w:eastAsia="Arial" w:hAnsi="Arial"/>
          <w:sz w:val="16"/>
          <w:szCs w:val="16"/>
          <w:color w:val="auto"/>
        </w:rPr>
        <w:t>, neither the Acquiror nor any of its Subsidiaries (a) owns or leases any real or personal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or (b) is a party to any agreement or option to purchase any real property, personal property or other material interest therein.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8" w:name="page69"/>
    <w:bookmarkEnd w:id="68"/>
    <w:p>
      <w:pPr>
        <w:jc w:val="both"/>
        <w:ind w:right="20" w:firstLine="574"/>
        <w:spacing w:after="0" w:line="280" w:lineRule="auto"/>
        <w:rPr>
          <w:sz w:val="20"/>
          <w:szCs w:val="20"/>
          <w:color w:val="auto"/>
        </w:rPr>
      </w:pPr>
      <w:r>
        <w:rPr>
          <w:rFonts w:ascii="Arial" w:cs="Arial" w:eastAsia="Arial" w:hAnsi="Arial"/>
          <w:sz w:val="16"/>
          <w:szCs w:val="16"/>
          <w:b w:val="1"/>
          <w:bCs w:val="1"/>
          <w:color w:val="auto"/>
        </w:rPr>
        <w:t xml:space="preserve">Section 5.18 </w:t>
      </w:r>
      <w:r>
        <w:rPr>
          <w:rFonts w:ascii="Arial" w:cs="Arial" w:eastAsia="Arial" w:hAnsi="Arial"/>
          <w:sz w:val="16"/>
          <w:szCs w:val="16"/>
          <w:b w:val="1"/>
          <w:bCs w:val="1"/>
          <w:u w:val="single" w:color="auto"/>
          <w:color w:val="auto"/>
        </w:rPr>
        <w:t>Investment Company Act</w:t>
      </w:r>
      <w:r>
        <w:rPr>
          <w:rFonts w:ascii="Arial" w:cs="Arial" w:eastAsia="Arial" w:hAnsi="Arial"/>
          <w:sz w:val="16"/>
          <w:szCs w:val="16"/>
          <w:color w:val="auto"/>
        </w:rPr>
        <w:t>. Neither the Acquiror nor any of its Subsidiaries is an “investment company” within the meaning of the Investment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Act of 1940, as amended.</w:t>
      </w:r>
    </w:p>
    <w:p>
      <w:pPr>
        <w:spacing w:after="0" w:line="144" w:lineRule="exact"/>
        <w:rPr>
          <w:sz w:val="20"/>
          <w:szCs w:val="20"/>
          <w:color w:val="auto"/>
        </w:rPr>
      </w:pPr>
    </w:p>
    <w:p>
      <w:pPr>
        <w:jc w:val="both"/>
        <w:ind w:right="20" w:firstLine="574"/>
        <w:spacing w:after="0" w:line="302" w:lineRule="auto"/>
        <w:rPr>
          <w:sz w:val="20"/>
          <w:szCs w:val="20"/>
          <w:color w:val="auto"/>
        </w:rPr>
      </w:pPr>
      <w:r>
        <w:rPr>
          <w:rFonts w:ascii="Arial" w:cs="Arial" w:eastAsia="Arial" w:hAnsi="Arial"/>
          <w:sz w:val="14"/>
          <w:szCs w:val="14"/>
          <w:b w:val="1"/>
          <w:bCs w:val="1"/>
          <w:color w:val="auto"/>
        </w:rPr>
        <w:t xml:space="preserve">Section 5.19 </w:t>
      </w:r>
      <w:r>
        <w:rPr>
          <w:rFonts w:ascii="Arial" w:cs="Arial" w:eastAsia="Arial" w:hAnsi="Arial"/>
          <w:sz w:val="14"/>
          <w:szCs w:val="14"/>
          <w:b w:val="1"/>
          <w:bCs w:val="1"/>
          <w:u w:val="single" w:color="auto"/>
          <w:color w:val="auto"/>
        </w:rPr>
        <w:t>Affiliate Agreements</w:t>
      </w:r>
      <w:r>
        <w:rPr>
          <w:rFonts w:ascii="Arial" w:cs="Arial" w:eastAsia="Arial" w:hAnsi="Arial"/>
          <w:sz w:val="14"/>
          <w:szCs w:val="14"/>
          <w:color w:val="auto"/>
        </w:rPr>
        <w:t>. Except as set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5.19</w:t>
      </w:r>
      <w:r>
        <w:rPr>
          <w:rFonts w:ascii="Arial" w:cs="Arial" w:eastAsia="Arial" w:hAnsi="Arial"/>
          <w:sz w:val="14"/>
          <w:szCs w:val="14"/>
          <w:b w:val="1"/>
          <w:bCs w:val="1"/>
          <w:color w:val="auto"/>
        </w:rPr>
        <w:t xml:space="preserve"> </w:t>
      </w:r>
      <w:r>
        <w:rPr>
          <w:rFonts w:ascii="Arial" w:cs="Arial" w:eastAsia="Arial" w:hAnsi="Arial"/>
          <w:sz w:val="14"/>
          <w:szCs w:val="14"/>
          <w:color w:val="auto"/>
        </w:rPr>
        <w:t>and except for, in the case of any employee, officer or director, any employment Contract or</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 with respect to the issuance of equity in Acquiror, none of the Acquiror or its Subsidiaries is a party to any transaction, agreement, arrangement or understanding with any (i) present or former executive officer or director of any of the Acquiror or its Subsidiaries, (ii) beneficial owner (within the meaning of Section 13(d) of the Exchange Act) of 5% or more of the capital stock or equity interests of any of the Acquiror or its Subsidiaries or (iii) Affiliate, “associate” or member of the “immediate family” (as such terms are respectively defined in Rules 12b-2 and 16a-1 of the Exchange Act) of any of the foregoing (each of the foregoing, an “</w:t>
      </w:r>
      <w:r>
        <w:rPr>
          <w:rFonts w:ascii="Arial" w:cs="Arial" w:eastAsia="Arial" w:hAnsi="Arial"/>
          <w:sz w:val="14"/>
          <w:szCs w:val="14"/>
          <w:u w:val="single" w:color="auto"/>
          <w:color w:val="auto"/>
        </w:rPr>
        <w:t>Acquiror Affiliate Agreement</w:t>
      </w:r>
      <w:r>
        <w:rPr>
          <w:rFonts w:ascii="Arial" w:cs="Arial" w:eastAsia="Arial" w:hAnsi="Arial"/>
          <w:sz w:val="14"/>
          <w:szCs w:val="14"/>
          <w:color w:val="auto"/>
        </w:rPr>
        <w:t>”).</w:t>
      </w:r>
    </w:p>
    <w:p>
      <w:pPr>
        <w:spacing w:after="0" w:line="134"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b w:val="1"/>
          <w:bCs w:val="1"/>
          <w:color w:val="auto"/>
        </w:rPr>
        <w:t xml:space="preserve">Section 5.20 </w:t>
      </w:r>
      <w:r>
        <w:rPr>
          <w:rFonts w:ascii="Arial" w:cs="Arial" w:eastAsia="Arial" w:hAnsi="Arial"/>
          <w:sz w:val="14"/>
          <w:szCs w:val="14"/>
          <w:b w:val="1"/>
          <w:bCs w:val="1"/>
          <w:u w:val="single" w:color="auto"/>
          <w:color w:val="auto"/>
        </w:rPr>
        <w:t>Subscription Agreements</w:t>
      </w:r>
      <w:r>
        <w:rPr>
          <w:rFonts w:ascii="Arial" w:cs="Arial" w:eastAsia="Arial" w:hAnsi="Arial"/>
          <w:sz w:val="14"/>
          <w:szCs w:val="14"/>
          <w:color w:val="auto"/>
        </w:rPr>
        <w:t>. The Acquiror has delivered to the Company a true, correct and complete copy of each Subscription Agreement executed on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prior to the date hereof, pursuant to which certain Investors have committed, subject to the terms and conditions therein, to purchase shares of Acquiror Common Stock, convertible debt securities of Acquiror and warrants to purchase shares or Acquiror Common Stock, for total proceeds equal to the Base Subscription Amount. To the knowledge of Acquiror, each Subscription Agreement is in full force and effect and is legal, valid and binding upon the Acquiror and the applicable Investor, enforceable in accordance with its terms. Each Subscription Agreement has not been withdrawn, terminated, amended or modified since the date of delivery hereunder and prior to the execution of this Agreement, and, to the knowledge of Acquiror, as of the date of this Agreement no such withdrawal, termination, amendment or modification is contemplated, and as of the date of this Agreement the commitments contained in each Subscription Agreement have not been withdrawn, terminated or rescinded by the applicable Investor in any respect. As of the date hereof, there are no side letters or Contracts to which Acquiror, First Merger Sub or Second Merger Sub is a party related to the provision or funding, as applicable, of the purchases contemplated by each Subscription Agreement or the transactions contemplated hereby other than as expressly set forth in this Agreement, each Subscription Agreement or any other agreement entered into (or to be entered into) in connection with the Transactions delivered to the Company. Acquiror has fully paid any and all commitment fees or other fees required in connection with each Subscription Agreement that are payable on or prior to the date hereof and will pay any and all such fees when and as the same become due and payable after the date hereof pursuant to each Subscription Agreement. Acquiror has, and to the knowledge of Acquiror, each Investor has, complied with all of its obligations under each Subscription Agreement. There are no conditions precedent or other contingencies related to the consummation of the purchases set forth in each Subscription Agreement, other than as expressly set forth in each Subscription Agreement. No event has occurred which, with or without notice, lapse of time or both, would or would reasonably be expected to (i) constitute a default or breach on the part of Acquiror or, to the knowledge of Acquiror as of the date hereof, any Investor, (ii) assuming the conditions set forth in </w:t>
      </w:r>
      <w:r>
        <w:rPr>
          <w:rFonts w:ascii="Arial" w:cs="Arial" w:eastAsia="Arial" w:hAnsi="Arial"/>
          <w:sz w:val="14"/>
          <w:szCs w:val="14"/>
          <w:u w:val="single" w:color="auto"/>
          <w:color w:val="auto"/>
        </w:rPr>
        <w:t>Section 9.01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9.02</w:t>
      </w:r>
      <w:r>
        <w:rPr>
          <w:rFonts w:ascii="Arial" w:cs="Arial" w:eastAsia="Arial" w:hAnsi="Arial"/>
          <w:sz w:val="14"/>
          <w:szCs w:val="14"/>
          <w:color w:val="auto"/>
        </w:rPr>
        <w:t xml:space="preserve"> will be satisfied, constitute a failure to satisfy a condition on the part of Acquiror or, to the knowledge of Acquiror as of the date hereof, the applicable Investor or (iii) assuming the conditions set forth in </w:t>
      </w:r>
      <w:r>
        <w:rPr>
          <w:rFonts w:ascii="Arial" w:cs="Arial" w:eastAsia="Arial" w:hAnsi="Arial"/>
          <w:sz w:val="14"/>
          <w:szCs w:val="14"/>
          <w:u w:val="single" w:color="auto"/>
          <w:color w:val="auto"/>
        </w:rPr>
        <w:t>Section 9.01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9.02</w:t>
      </w:r>
      <w:r>
        <w:rPr>
          <w:rFonts w:ascii="Arial" w:cs="Arial" w:eastAsia="Arial" w:hAnsi="Arial"/>
          <w:sz w:val="14"/>
          <w:szCs w:val="14"/>
          <w:color w:val="auto"/>
        </w:rPr>
        <w:t xml:space="preserve"> will be satisfied, to the knowledge of Acquiror as of the date hereof, result in any portion of the amounts to be paid by each Investor in accordance with each Subscription Agreement being unavailable on the Closing Date. As of the date hereof, assuming the conditions set forth in </w:t>
      </w:r>
      <w:r>
        <w:rPr>
          <w:rFonts w:ascii="Arial" w:cs="Arial" w:eastAsia="Arial" w:hAnsi="Arial"/>
          <w:sz w:val="14"/>
          <w:szCs w:val="14"/>
          <w:u w:val="single" w:color="auto"/>
          <w:color w:val="auto"/>
        </w:rPr>
        <w:t>Section 9.01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9.02</w:t>
      </w:r>
      <w:r>
        <w:rPr>
          <w:rFonts w:ascii="Arial" w:cs="Arial" w:eastAsia="Arial" w:hAnsi="Arial"/>
          <w:sz w:val="14"/>
          <w:szCs w:val="14"/>
          <w:color w:val="auto"/>
        </w:rPr>
        <w:t xml:space="preserve"> will be satisfied, Acquiror has no reason to believe that any of the conditions to the consummation of the purchases under each Subscription Agreement will not be satisfied, and, as of the date hereof, Acquiror is not aware of the existence of any fact or event that would or would reasonably be expected to cause such conditions not to be satisfied.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auto"/>
        </w:rPr>
        <w:t>ARTICLE VI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 OF THE COMPANY</w:t>
      </w:r>
    </w:p>
    <w:p>
      <w:pPr>
        <w:spacing w:after="0" w:line="198"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b w:val="1"/>
          <w:bCs w:val="1"/>
          <w:color w:val="auto"/>
        </w:rPr>
        <w:t xml:space="preserve">Section 6.01 </w:t>
      </w:r>
      <w:r>
        <w:rPr>
          <w:rFonts w:ascii="Arial" w:cs="Arial" w:eastAsia="Arial" w:hAnsi="Arial"/>
          <w:sz w:val="15"/>
          <w:szCs w:val="15"/>
          <w:b w:val="1"/>
          <w:bCs w:val="1"/>
          <w:u w:val="single" w:color="auto"/>
          <w:color w:val="auto"/>
        </w:rPr>
        <w:t>Conduct of Business</w:t>
      </w:r>
      <w:r>
        <w:rPr>
          <w:rFonts w:ascii="Arial" w:cs="Arial" w:eastAsia="Arial" w:hAnsi="Arial"/>
          <w:sz w:val="15"/>
          <w:szCs w:val="15"/>
          <w:color w:val="auto"/>
        </w:rPr>
        <w:t>. From the date of this Agreement until the earlier of the Closing Date or the termination of this Agreement in accordance with its</w:t>
      </w:r>
      <w:r>
        <w:rPr>
          <w:rFonts w:ascii="Arial" w:cs="Arial" w:eastAsia="Arial" w:hAnsi="Arial"/>
          <w:sz w:val="15"/>
          <w:szCs w:val="15"/>
          <w:b w:val="1"/>
          <w:bCs w:val="1"/>
          <w:color w:val="auto"/>
        </w:rPr>
        <w:t xml:space="preserve"> </w:t>
      </w:r>
      <w:r>
        <w:rPr>
          <w:rFonts w:ascii="Arial" w:cs="Arial" w:eastAsia="Arial" w:hAnsi="Arial"/>
          <w:sz w:val="15"/>
          <w:szCs w:val="15"/>
          <w:color w:val="auto"/>
        </w:rPr>
        <w:t>terms (the “</w:t>
      </w:r>
      <w:r>
        <w:rPr>
          <w:rFonts w:ascii="Arial" w:cs="Arial" w:eastAsia="Arial" w:hAnsi="Arial"/>
          <w:sz w:val="15"/>
          <w:szCs w:val="15"/>
          <w:u w:val="single" w:color="auto"/>
          <w:color w:val="auto"/>
        </w:rPr>
        <w:t>Interim Period</w:t>
      </w:r>
      <w:r>
        <w:rPr>
          <w:rFonts w:ascii="Arial" w:cs="Arial" w:eastAsia="Arial" w:hAnsi="Arial"/>
          <w:sz w:val="15"/>
          <w:szCs w:val="15"/>
          <w:color w:val="auto"/>
        </w:rPr>
        <w:t xml:space="preserve">”), the Company shall, and shall cause its Subsidiaries to, except in relation to the Permitted Acquisitions and except as set forth on </w:t>
      </w:r>
      <w:r>
        <w:rPr>
          <w:rFonts w:ascii="Arial" w:cs="Arial" w:eastAsia="Arial" w:hAnsi="Arial"/>
          <w:sz w:val="15"/>
          <w:szCs w:val="15"/>
          <w:u w:val="single" w:color="auto"/>
          <w:color w:val="auto"/>
        </w:rPr>
        <w:t>Schedule 6.01</w:t>
      </w:r>
      <w:r>
        <w:rPr>
          <w:rFonts w:ascii="Arial" w:cs="Arial" w:eastAsia="Arial" w:hAnsi="Arial"/>
          <w:sz w:val="15"/>
          <w:szCs w:val="15"/>
          <w:color w:val="auto"/>
        </w:rPr>
        <w:t xml:space="preserve">, as expressly contemplated by this Agreement or as consented to by Acquiror in writing (which consent shall not be unreasonably conditioned, withheld or delayed), or as may be required by Law, use commercially reasonable efforts to (A) conduct and operate its business in the ordinary course, (B) preserve intact the current business organization and ongoing businesses of the Company and its Subsidiaries, and (C) maintain the existing relations and goodwill of the Company and its Subsidiaries with customers, suppliers, joint venture partners, distributors and creditors of the Company and its Subsidiaries and. Without limiting the generality of the foregoing, and, except as set forth on </w:t>
      </w:r>
      <w:r>
        <w:rPr>
          <w:rFonts w:ascii="Arial" w:cs="Arial" w:eastAsia="Arial" w:hAnsi="Arial"/>
          <w:sz w:val="15"/>
          <w:szCs w:val="15"/>
          <w:u w:val="single" w:color="auto"/>
          <w:color w:val="auto"/>
        </w:rPr>
        <w:t>Schedule</w:t>
      </w:r>
      <w:r>
        <w:rPr>
          <w:rFonts w:ascii="Arial" w:cs="Arial" w:eastAsia="Arial" w:hAnsi="Arial"/>
          <w:sz w:val="15"/>
          <w:szCs w:val="15"/>
          <w:color w:val="auto"/>
        </w:rPr>
        <w:t xml:space="preserve"> </w:t>
      </w:r>
      <w:r>
        <w:rPr>
          <w:rFonts w:ascii="Arial" w:cs="Arial" w:eastAsia="Arial" w:hAnsi="Arial"/>
          <w:sz w:val="15"/>
          <w:szCs w:val="15"/>
          <w:u w:val="single" w:color="auto"/>
          <w:color w:val="auto"/>
        </w:rPr>
        <w:t>6.01</w:t>
      </w:r>
      <w:r>
        <w:rPr>
          <w:rFonts w:ascii="Arial" w:cs="Arial" w:eastAsia="Arial" w:hAnsi="Arial"/>
          <w:sz w:val="15"/>
          <w:szCs w:val="15"/>
          <w:color w:val="auto"/>
        </w:rPr>
        <w:t>, as expressly contemplated by this Agreement or as consented to by Acquiror in writing (which consent shall not be unreasonably conditioned, withheld or delayed), or as may be required by Law, the Company shall not, and the Company shall cause its Subsidiaries not to, during the Interim Period, except as otherwise contemplated by this Agreement:</w:t>
      </w:r>
    </w:p>
    <w:p>
      <w:pPr>
        <w:spacing w:after="0" w:line="157" w:lineRule="exact"/>
        <w:rPr>
          <w:sz w:val="20"/>
          <w:szCs w:val="20"/>
          <w:color w:val="auto"/>
        </w:rPr>
      </w:pPr>
    </w:p>
    <w:p>
      <w:pPr>
        <w:ind w:left="1360" w:hanging="217"/>
        <w:spacing w:after="0"/>
        <w:tabs>
          <w:tab w:leader="none" w:pos="1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change or amend the certificate of incorporation, bylaws or other organizational documents of the Company or its Subsidiaries;</w:t>
      </w:r>
    </w:p>
    <w:p>
      <w:pPr>
        <w:spacing w:after="0" w:line="198" w:lineRule="exact"/>
        <w:rPr>
          <w:rFonts w:ascii="Arial" w:cs="Arial" w:eastAsia="Arial" w:hAnsi="Arial"/>
          <w:sz w:val="16"/>
          <w:szCs w:val="16"/>
          <w:color w:val="auto"/>
        </w:rPr>
      </w:pPr>
    </w:p>
    <w:p>
      <w:pPr>
        <w:jc w:val="both"/>
        <w:ind w:firstLine="1143"/>
        <w:spacing w:after="0" w:line="293" w:lineRule="auto"/>
        <w:tabs>
          <w:tab w:leader="none" w:pos="1396" w:val="left"/>
        </w:tabs>
        <w:numPr>
          <w:ilvl w:val="0"/>
          <w:numId w:val="65"/>
        </w:numPr>
        <w:rPr>
          <w:rFonts w:ascii="Arial" w:cs="Arial" w:eastAsia="Arial" w:hAnsi="Arial"/>
          <w:sz w:val="14"/>
          <w:szCs w:val="14"/>
          <w:color w:val="auto"/>
        </w:rPr>
      </w:pPr>
      <w:r>
        <w:rPr>
          <w:rFonts w:ascii="Arial" w:cs="Arial" w:eastAsia="Arial" w:hAnsi="Arial"/>
          <w:sz w:val="14"/>
          <w:szCs w:val="14"/>
          <w:color w:val="auto"/>
        </w:rPr>
        <w:t>(i) make, declare or pay any dividend or distribution (whether in cash, stock or property) to the stockholders of the Company in their capacities as stockholders, (ii) effect any recapitalization, reclassification, split or other change in its capitalization in a manner that would increase the Company Merger Shares payable to the stockholders of the Company, (iii) authorize for issuance, issue, sell, transfer, pledge, encumber, dispose of or deliver any additional shares of its capital stock or securities convertible into or exchangeable for shares of its capital stock, or issue, sell, transfer, pledge, encumber or grant any right, option, or other commitment for the issuance of shares of its capital stock, or split, combine or reclassify any shares of its capital stock, or (iv) repurchase, redeem or otherwise acquire, or offer to repurchase, redeem or otherwise acquire, any shares of its capital stock or other equity interests; provided that (x) the issuance of shares of Company Stock upon exercise or settlement of any Company Options or Company Warrants in effect on the date of this Agreement, (y) grants of Company Options on or after the date of this Agreement in the ordinary course of business consistent with past practice, and (z) the issuance of shares of Company Common Stock (or other class of equity security of the Company, as applicable) pursuant to the terms of the Company Preferred Stock and the Company Convertible Notes, in each case, in effect on the date of this Agreement, shall not require the consent of Acquiror;</w:t>
      </w:r>
    </w:p>
    <w:p>
      <w:pPr>
        <w:spacing w:after="0" w:line="143" w:lineRule="exact"/>
        <w:rPr>
          <w:rFonts w:ascii="Arial" w:cs="Arial" w:eastAsia="Arial" w:hAnsi="Arial"/>
          <w:sz w:val="14"/>
          <w:szCs w:val="14"/>
          <w:color w:val="auto"/>
        </w:rPr>
      </w:pPr>
    </w:p>
    <w:p>
      <w:pPr>
        <w:jc w:val="both"/>
        <w:ind w:right="20" w:firstLine="1143"/>
        <w:spacing w:after="0" w:line="254" w:lineRule="auto"/>
        <w:tabs>
          <w:tab w:leader="none" w:pos="1369"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enter into, or amend or modify any material term of (in a manner adverse to the Company or any of its Subsidiaries), terminate (excluding any expiration in accordance with its terms), or waive or release any material rights, claims or benefits under, any Contract of a type required to be listed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(or any Contract, that if existing on the date hereof, would have been required to be listed on </w:t>
      </w:r>
      <w:r>
        <w:rPr>
          <w:rFonts w:ascii="Arial" w:cs="Arial" w:eastAsia="Arial" w:hAnsi="Arial"/>
          <w:sz w:val="16"/>
          <w:szCs w:val="16"/>
          <w:u w:val="single" w:color="auto"/>
          <w:color w:val="auto"/>
        </w:rPr>
        <w:t>Schedule 4.12(a)</w:t>
      </w:r>
      <w:r>
        <w:rPr>
          <w:rFonts w:ascii="Arial" w:cs="Arial" w:eastAsia="Arial" w:hAnsi="Arial"/>
          <w:sz w:val="16"/>
          <w:szCs w:val="16"/>
          <w:color w:val="auto"/>
        </w:rPr>
        <w:t>), any material lease related to the Leased Real Property or any collective bargaining or similar agreement (including agreements with works councils and trade unions and side letters) to which the Company or its Subsidiaries is a party or by which it is bound, other than entry into, amendments of, modifications of, terminations of, or waivers or releases under, such agreements in the ordinary course of business consistent with past practice;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0" w:name="page71"/>
    <w:bookmarkEnd w:id="70"/>
    <w:p>
      <w:pPr>
        <w:jc w:val="both"/>
        <w:ind w:right="20" w:firstLine="1143"/>
        <w:spacing w:after="0" w:line="294" w:lineRule="auto"/>
        <w:tabs>
          <w:tab w:leader="none" w:pos="1392"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(i) sell, transfer, license, sublicense, covenant not to assert, lease, pledge or otherwise encumber or subject to any Lien, abandon, cancel, let lapse or convey or dispose of any assets, properties or business of the Company and its Subsidiaries (including Owned Intellectual Property, including Owned Company Software) that are material to the business of the Company and its Subsidiaries, taken as a whole, except for (x) dispositions of obsolete or worthless assets, (y) sales of tangible inventory or Standard Outbound Licenses, in each case, in the ordinary course of business consistent with past practice and (z) sales, abandonment, lapses of assets or items or materials in an amount not in excess of $1,000,000 in the aggregate, other than (A) as set forth on </w:t>
      </w:r>
      <w:r>
        <w:rPr>
          <w:rFonts w:ascii="Arial" w:cs="Arial" w:eastAsia="Arial" w:hAnsi="Arial"/>
          <w:sz w:val="14"/>
          <w:szCs w:val="14"/>
          <w:u w:val="single" w:color="auto"/>
          <w:color w:val="auto"/>
        </w:rPr>
        <w:t>Schedule 6.01(d)</w:t>
      </w:r>
      <w:r>
        <w:rPr>
          <w:rFonts w:ascii="Arial" w:cs="Arial" w:eastAsia="Arial" w:hAnsi="Arial"/>
          <w:sz w:val="14"/>
          <w:szCs w:val="14"/>
          <w:color w:val="auto"/>
        </w:rPr>
        <w:t>, (B) Permitted Liens or (C) pledges and encumbrances on property and assets in the ordinary course of business and that would not, individually or in the aggregate, reasonably be expected to have a Material Adverse Effect; (ii) subject any material Owned Intellectual Property (including any material Owned Company Software) to Copyleft Terms; or (iii) disclose any material Trade Secret that is Owned Intellectual Property to any Person other than pursuant to a written agreement restricting the disclosure and use thereof by such Person;</w:t>
      </w:r>
    </w:p>
    <w:p>
      <w:pPr>
        <w:spacing w:after="0" w:line="143" w:lineRule="exact"/>
        <w:rPr>
          <w:rFonts w:ascii="Arial" w:cs="Arial" w:eastAsia="Arial" w:hAnsi="Arial"/>
          <w:sz w:val="14"/>
          <w:szCs w:val="14"/>
          <w:color w:val="auto"/>
        </w:rPr>
      </w:pPr>
    </w:p>
    <w:p>
      <w:pPr>
        <w:jc w:val="both"/>
        <w:ind w:firstLine="1143"/>
        <w:spacing w:after="0" w:line="269" w:lineRule="auto"/>
        <w:tabs>
          <w:tab w:leader="none" w:pos="1390" w:val="left"/>
        </w:tabs>
        <w:numPr>
          <w:ilvl w:val="0"/>
          <w:numId w:val="66"/>
        </w:numPr>
        <w:rPr>
          <w:rFonts w:ascii="Arial" w:cs="Arial" w:eastAsia="Arial" w:hAnsi="Arial"/>
          <w:sz w:val="15"/>
          <w:szCs w:val="15"/>
          <w:color w:val="auto"/>
        </w:rPr>
      </w:pPr>
      <w:r>
        <w:rPr>
          <w:rFonts w:ascii="Arial" w:cs="Arial" w:eastAsia="Arial" w:hAnsi="Arial"/>
          <w:sz w:val="15"/>
          <w:szCs w:val="15"/>
          <w:color w:val="auto"/>
        </w:rPr>
        <w:t>except as required under applicable Law or the terms of any Company Benefit Plan existing as of the date hereof (A) increase in any manner the compensation, bonus, pension, welfare, fringe or other benefits, severance or termination pay of any of the current or former directors, officers, employees or consultants of the Company or its Subsidiaries, other than increases to any such individuals who are not directors or officers of the Company or its Subsidiaries in the ordinary course of business consistent with past practice, (B) become a party to, establish, amend, commence participation in, terminate or commit itself to the adoption of any stock option plan or other stock-based compensation plan, or any compensation, severance, pension, retirement, profit-sharing, welfare benefit for the benefit of any current or former directors, officers, employees or consultants of the Company or its Subsidiaries (or newly hired employees), (C) accelerate the vesting of or lapsing of restrictions with respect to any stock-based compensation or other long-term incentive compensation under any Company Benefit Plan, (D) amend or modify any outstanding award under any Company Benefit Plan, (E) cause the funding of any rabbi trust or similar arrangement or take any action to fund or in any other way secure the payment of compensation or benefits under any Company Benefit Plan, (F) enter into, amend or terminate any collective bargaining agreement or other agreement with a labor union, works council or similar organization, (G) materially change any actuarial or other assumptions used to calculate funding obligations with respect to any Company Benefit Plan that is required by applicable law to be funded or change the manner in which contributions to such plans are made or the basis on which such contributions are determined, except as may be required by GAAP or applicable Law, or (H) forgive any loans, or issue any loans (other than routine travel advances issued in the ordinary course of business) to any of its or its Subsidiaries’ directors, officers, contractors or employees;</w:t>
      </w:r>
    </w:p>
    <w:p>
      <w:pPr>
        <w:spacing w:after="0" w:line="163" w:lineRule="exact"/>
        <w:rPr>
          <w:rFonts w:ascii="Arial" w:cs="Arial" w:eastAsia="Arial" w:hAnsi="Arial"/>
          <w:sz w:val="15"/>
          <w:szCs w:val="15"/>
          <w:color w:val="auto"/>
        </w:rPr>
      </w:pPr>
    </w:p>
    <w:p>
      <w:pPr>
        <w:jc w:val="both"/>
        <w:ind w:firstLine="1143"/>
        <w:spacing w:after="0" w:line="258" w:lineRule="auto"/>
        <w:tabs>
          <w:tab w:leader="none" w:pos="1356" w:val="left"/>
        </w:tabs>
        <w:numPr>
          <w:ilvl w:val="0"/>
          <w:numId w:val="66"/>
        </w:numPr>
        <w:rPr>
          <w:rFonts w:ascii="Arial" w:cs="Arial" w:eastAsia="Arial" w:hAnsi="Arial"/>
          <w:sz w:val="16"/>
          <w:szCs w:val="16"/>
          <w:color w:val="auto"/>
        </w:rPr>
      </w:pPr>
      <w:r>
        <w:rPr>
          <w:rFonts w:ascii="Arial" w:cs="Arial" w:eastAsia="Arial" w:hAnsi="Arial"/>
          <w:sz w:val="16"/>
          <w:szCs w:val="16"/>
          <w:color w:val="auto"/>
        </w:rPr>
        <w:t>(i) fail to maintain its existence or acquire by merger or consolidation with, or merge or consolidate with, or purchase a material portion of the assets or equity of, any corporation, partnership, limited liability company, association, joint venture or other business organization or division thereof; or (ii) adopt or enter into a plan of complete or partial liquidation, dissolution, merger, consolidation, restructuring, recapitalization or other reorganization of the Company or its Subsidiaries (other than the transactions contemplated by this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1" w:name="page72"/>
    <w:bookmarkEnd w:id="71"/>
    <w:p>
      <w:pPr>
        <w:jc w:val="both"/>
        <w:ind w:right="20" w:firstLine="1143"/>
        <w:spacing w:after="0" w:line="262" w:lineRule="auto"/>
        <w:tabs>
          <w:tab w:leader="none" w:pos="1404"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make any capital expenditures (or commitment to make any capital expenditures) that in the aggregate exceed $5,000,000, other than any capital expenditure (or series of related capital expenditures) consistent in all material respects with the Company’s annual capital expenditure budget for periods following the date hereof, made available to Acquiror or any capitalized Contract costs associated with new or existing customers;</w:t>
      </w:r>
    </w:p>
    <w:p>
      <w:pPr>
        <w:spacing w:after="0" w:line="162" w:lineRule="exact"/>
        <w:rPr>
          <w:rFonts w:ascii="Arial" w:cs="Arial" w:eastAsia="Arial" w:hAnsi="Arial"/>
          <w:sz w:val="16"/>
          <w:szCs w:val="16"/>
          <w:color w:val="auto"/>
        </w:rPr>
      </w:pPr>
    </w:p>
    <w:p>
      <w:pPr>
        <w:jc w:val="both"/>
        <w:ind w:right="20" w:firstLine="1143"/>
        <w:spacing w:after="0" w:line="255" w:lineRule="auto"/>
        <w:tabs>
          <w:tab w:leader="none" w:pos="1403"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make (i) any loans, advances or capital contributions to, or investments in, any other Person (including to any of its officers, directors, agents or consultants) other than loans, advances or capital contributions to, or investments in any Person (excluding any of its officers, directors, agents or consultants) in an aggregate amount not to exceed $500,000, or (ii) any material change in its existing borrowing or lending arrangements for or on behalf of such Persons, or enter into any “keep well” or similar agreement to maintain the financial condition of any other Person, except advances to employees or officers of the Company or its Subsidiaries in the ordinary course of business consistent with past practice;</w:t>
      </w:r>
    </w:p>
    <w:p>
      <w:pPr>
        <w:spacing w:after="0" w:line="169" w:lineRule="exact"/>
        <w:rPr>
          <w:rFonts w:ascii="Arial" w:cs="Arial" w:eastAsia="Arial" w:hAnsi="Arial"/>
          <w:sz w:val="16"/>
          <w:szCs w:val="16"/>
          <w:color w:val="auto"/>
        </w:rPr>
      </w:pPr>
    </w:p>
    <w:p>
      <w:pPr>
        <w:jc w:val="both"/>
        <w:ind w:right="20" w:firstLine="1143"/>
        <w:spacing w:after="0" w:line="255" w:lineRule="auto"/>
        <w:tabs>
          <w:tab w:leader="none" w:pos="13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make, revoke or change any material Tax election, adopt or change any material Tax accounting method or period, file any amendment to a material Tax Return, enter into any agreement with a Governmental Authority with respect to a material amount of Taxes, settle or compromise any examination, audit or other Action with a Governmental Authority of or relating to any material Taxes or settle or compromise any claim or assessment by a Governmental Authority in respect of material Taxes, consent to any extension or waiver of the statutory period of limitations applicable to any claim or assessment in respect of Taxes, or enter into any Tax sharing or similar agreement (excluding any commercial contract not primarily related to Taxes);</w:t>
      </w:r>
    </w:p>
    <w:p>
      <w:pPr>
        <w:spacing w:after="0" w:line="169" w:lineRule="exact"/>
        <w:rPr>
          <w:rFonts w:ascii="Arial" w:cs="Arial" w:eastAsia="Arial" w:hAnsi="Arial"/>
          <w:sz w:val="16"/>
          <w:szCs w:val="16"/>
          <w:color w:val="auto"/>
        </w:rPr>
      </w:pPr>
    </w:p>
    <w:p>
      <w:pPr>
        <w:ind w:right="20" w:firstLine="1143"/>
        <w:spacing w:after="0" w:line="275" w:lineRule="auto"/>
        <w:tabs>
          <w:tab w:leader="none" w:pos="1348" w:val="left"/>
        </w:tabs>
        <w:numPr>
          <w:ilvl w:val="0"/>
          <w:numId w:val="67"/>
        </w:numPr>
        <w:rPr>
          <w:rFonts w:ascii="Arial" w:cs="Arial" w:eastAsia="Arial" w:hAnsi="Arial"/>
          <w:sz w:val="16"/>
          <w:szCs w:val="16"/>
          <w:color w:val="auto"/>
        </w:rPr>
      </w:pPr>
      <w:r>
        <w:rPr>
          <w:rFonts w:ascii="Arial" w:cs="Arial" w:eastAsia="Arial" w:hAnsi="Arial"/>
          <w:sz w:val="16"/>
          <w:szCs w:val="16"/>
          <w:color w:val="auto"/>
        </w:rPr>
        <w:t>take any action, or knowingly fail to take any action, which action or failure to act would reasonably be expected to prevent or impede the Transactions from qualifying for the Intended Tax Treatment;</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acquire any fee interest in real property;</w:t>
      </w:r>
    </w:p>
    <w:p>
      <w:pPr>
        <w:spacing w:after="0" w:line="198" w:lineRule="exact"/>
        <w:rPr>
          <w:rFonts w:ascii="Arial" w:cs="Arial" w:eastAsia="Arial" w:hAnsi="Arial"/>
          <w:sz w:val="16"/>
          <w:szCs w:val="16"/>
          <w:color w:val="auto"/>
        </w:rPr>
      </w:pPr>
    </w:p>
    <w:p>
      <w:pPr>
        <w:ind w:left="1340" w:hanging="197"/>
        <w:spacing w:after="0"/>
        <w:tabs>
          <w:tab w:leader="none" w:pos="1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enter into, renew or amend in any material respect any Company Affiliate Agreement;</w:t>
      </w:r>
    </w:p>
    <w:p>
      <w:pPr>
        <w:spacing w:after="0" w:line="198" w:lineRule="exact"/>
        <w:rPr>
          <w:rFonts w:ascii="Arial" w:cs="Arial" w:eastAsia="Arial" w:hAnsi="Arial"/>
          <w:sz w:val="16"/>
          <w:szCs w:val="16"/>
          <w:color w:val="auto"/>
        </w:rPr>
      </w:pPr>
    </w:p>
    <w:p>
      <w:pPr>
        <w:jc w:val="both"/>
        <w:ind w:firstLine="1143"/>
        <w:spacing w:after="0" w:line="262" w:lineRule="auto"/>
        <w:tabs>
          <w:tab w:leader="none" w:pos="14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waive, release, compromise, settle or satisfy any pending or threatened material claim (which shall include, but not be limited to, any pending or threatened Action) or compromise or settle any liability, other than in the ordinary course of business consistent with past practice or that otherwise do not exceed $2,500,000 in the aggregate;</w:t>
      </w:r>
    </w:p>
    <w:p>
      <w:pPr>
        <w:spacing w:after="0" w:line="162" w:lineRule="exact"/>
        <w:rPr>
          <w:rFonts w:ascii="Arial" w:cs="Arial" w:eastAsia="Arial" w:hAnsi="Arial"/>
          <w:sz w:val="16"/>
          <w:szCs w:val="16"/>
          <w:color w:val="auto"/>
        </w:rPr>
      </w:pPr>
    </w:p>
    <w:p>
      <w:pPr>
        <w:jc w:val="both"/>
        <w:ind w:firstLine="1143"/>
        <w:spacing w:after="0" w:line="254" w:lineRule="auto"/>
        <w:tabs>
          <w:tab w:leader="none" w:pos="1392"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incur, create, assume, refinance, guarantee or otherwise become liable for (whether directly, contingently or otherwise) any Indebtedness in excess of $1,000,000, other than in connection with borrowings, extensions of credit and other financial accommodations under the Company’s and Subsidiaries’ existing credit facilities, notes and other existing Indebtedness and, in each case, any refinancings thereof, provided, that, in no event shall any such borrowing, extension of credit or other financial accommodation be subject to any prepayment fee or penalty or similar arrangement or amend, restate or modify in a manner materially adverse to the Company any terms of or any agreement with respect to any such outstanding Indebtedness (when taken as a whole); provided, further, that any action permitted under this </w:t>
      </w:r>
      <w:r>
        <w:rPr>
          <w:rFonts w:ascii="Arial" w:cs="Arial" w:eastAsia="Arial" w:hAnsi="Arial"/>
          <w:sz w:val="16"/>
          <w:szCs w:val="16"/>
          <w:u w:val="single" w:color="auto"/>
          <w:color w:val="auto"/>
        </w:rPr>
        <w:t>Section 6.01(n)</w:t>
      </w:r>
      <w:r>
        <w:rPr>
          <w:rFonts w:ascii="Arial" w:cs="Arial" w:eastAsia="Arial" w:hAnsi="Arial"/>
          <w:sz w:val="16"/>
          <w:szCs w:val="16"/>
          <w:color w:val="auto"/>
        </w:rPr>
        <w:t xml:space="preserve"> shall be deemed not to violate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6.01(c)</w:t>
      </w:r>
      <w:r>
        <w:rPr>
          <w:rFonts w:ascii="Arial" w:cs="Arial" w:eastAsia="Arial" w:hAnsi="Arial"/>
          <w:sz w:val="16"/>
          <w:szCs w:val="16"/>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2" w:name="page73"/>
    <w:bookmarkEnd w:id="72"/>
    <w:p>
      <w:pPr>
        <w:ind w:left="1140"/>
        <w:spacing w:after="0"/>
        <w:rPr>
          <w:sz w:val="20"/>
          <w:szCs w:val="20"/>
          <w:color w:val="auto"/>
        </w:rPr>
      </w:pPr>
      <w:r>
        <w:rPr>
          <w:rFonts w:ascii="Arial" w:cs="Arial" w:eastAsia="Arial" w:hAnsi="Arial"/>
          <w:sz w:val="15"/>
          <w:szCs w:val="15"/>
          <w:color w:val="auto"/>
        </w:rPr>
        <w:t>(o) enter into any material new line of business outside of the business currently conducted by the Company and its Subsidiaries as of the date of this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186" w:lineRule="exact"/>
        <w:rPr>
          <w:sz w:val="20"/>
          <w:szCs w:val="20"/>
          <w:color w:val="auto"/>
        </w:rPr>
      </w:pPr>
    </w:p>
    <w:p>
      <w:pPr>
        <w:ind w:right="20" w:firstLine="1143"/>
        <w:spacing w:after="0" w:line="309" w:lineRule="auto"/>
        <w:tabs>
          <w:tab w:leader="none" w:pos="1394" w:val="left"/>
        </w:tabs>
        <w:numPr>
          <w:ilvl w:val="0"/>
          <w:numId w:val="68"/>
        </w:numPr>
        <w:rPr>
          <w:rFonts w:ascii="Arial" w:cs="Arial" w:eastAsia="Arial" w:hAnsi="Arial"/>
          <w:sz w:val="15"/>
          <w:szCs w:val="15"/>
          <w:color w:val="auto"/>
        </w:rPr>
      </w:pPr>
      <w:r>
        <w:rPr>
          <w:rFonts w:ascii="Arial" w:cs="Arial" w:eastAsia="Arial" w:hAnsi="Arial"/>
          <w:sz w:val="15"/>
          <w:szCs w:val="15"/>
          <w:color w:val="auto"/>
        </w:rPr>
        <w:t>make any material change in financial accounting methods, principles or practices, except insofar as may have been required by a change in GAAP (including pursuant to standards, guidelines and interpretations of the Financial Accounting Standards Board or any similar organization) or applicable Law;</w:t>
      </w:r>
    </w:p>
    <w:p>
      <w:pPr>
        <w:spacing w:after="0" w:line="129" w:lineRule="exact"/>
        <w:rPr>
          <w:rFonts w:ascii="Arial" w:cs="Arial" w:eastAsia="Arial" w:hAnsi="Arial"/>
          <w:sz w:val="15"/>
          <w:szCs w:val="15"/>
          <w:color w:val="auto"/>
        </w:rPr>
      </w:pPr>
    </w:p>
    <w:p>
      <w:pPr>
        <w:ind w:firstLine="1143"/>
        <w:spacing w:after="0" w:line="275" w:lineRule="auto"/>
        <w:tabs>
          <w:tab w:leader="none" w:pos="1376" w:val="left"/>
        </w:tabs>
        <w:numPr>
          <w:ilvl w:val="0"/>
          <w:numId w:val="68"/>
        </w:numPr>
        <w:rPr>
          <w:rFonts w:ascii="Arial" w:cs="Arial" w:eastAsia="Arial" w:hAnsi="Arial"/>
          <w:sz w:val="16"/>
          <w:szCs w:val="16"/>
          <w:color w:val="auto"/>
        </w:rPr>
      </w:pPr>
      <w:r>
        <w:rPr>
          <w:rFonts w:ascii="Arial" w:cs="Arial" w:eastAsia="Arial" w:hAnsi="Arial"/>
          <w:sz w:val="16"/>
          <w:szCs w:val="16"/>
          <w:color w:val="auto"/>
        </w:rPr>
        <w:t>voluntarily fail to maintain, cancel or materially change coverage under any insurance policy in form and amount equivalent in all material respects to the insurance coverage currently maintained with respect to the Company and its Subsidiaries and their assets and properties; and</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enter into any agreement to do any action prohibited under this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94"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b w:val="1"/>
          <w:bCs w:val="1"/>
          <w:color w:val="auto"/>
        </w:rPr>
        <w:t xml:space="preserve">Section 6.02 </w:t>
      </w:r>
      <w:r>
        <w:rPr>
          <w:rFonts w:ascii="Arial" w:cs="Arial" w:eastAsia="Arial" w:hAnsi="Arial"/>
          <w:sz w:val="14"/>
          <w:szCs w:val="14"/>
          <w:b w:val="1"/>
          <w:bCs w:val="1"/>
          <w:u w:val="single" w:color="auto"/>
          <w:color w:val="auto"/>
        </w:rPr>
        <w:t>Inspection</w:t>
      </w:r>
      <w:r>
        <w:rPr>
          <w:rFonts w:ascii="Arial" w:cs="Arial" w:eastAsia="Arial" w:hAnsi="Arial"/>
          <w:sz w:val="14"/>
          <w:szCs w:val="14"/>
          <w:color w:val="auto"/>
        </w:rPr>
        <w:t>. Subject to confidentiality obligations and similar restrictions that may be applicable to information furnished to the Company or its</w:t>
      </w:r>
      <w:r>
        <w:rPr>
          <w:rFonts w:ascii="Arial" w:cs="Arial" w:eastAsia="Arial" w:hAnsi="Arial"/>
          <w:sz w:val="14"/>
          <w:szCs w:val="14"/>
          <w:b w:val="1"/>
          <w:bCs w:val="1"/>
          <w:color w:val="auto"/>
        </w:rPr>
        <w:t xml:space="preserve"> </w:t>
      </w:r>
      <w:r>
        <w:rPr>
          <w:rFonts w:ascii="Arial" w:cs="Arial" w:eastAsia="Arial" w:hAnsi="Arial"/>
          <w:sz w:val="14"/>
          <w:szCs w:val="14"/>
          <w:color w:val="auto"/>
        </w:rPr>
        <w:t>Subsidiaries by third parties that may be in the Company’s or its Subsidiaries’ possession from time to time, and except for any information which (x) relates to interactions with prospective buyers of the Company or the negotiation of this Agreement and the transactions contemplated hereby or (y) in the judgment of legal counsel of the Company would result in the loss of attorney-client privilege or other privilege from disclosure or would conflict with any applicable Law or confidentiality obligations to which the Company or any of its Subsidiaries is bound, the Company shall, and shall cause its Subsidiaries to, afford to Acquiror and its Representatives reasonable access during the Interim Period, during normal business hours and with reasonable advance notice, in such manner as to not interfere with the normal operation of the Company and its Subsidiaries, to all of their respective properties, books, projections, plans, systems, Contracts, commitments, Tax Returns, records, commitments and analyses and, as reasonably requested by Acquiror or its Representatives, appropriate officers and employees of the Company and its Subsidiaries, and shall furnish such Representatives with all financial and operating data and other information concerning the affairs of the Company and its Subsidiaries that are in the possession of the Company or its Subsidiaries as such Representatives may reasonably request, in each case, as necessary to facilitate Acquiror’s ongoing due diligence and consummation of the transactions contemplated by this Agreement. The parties shall use commercially reasonable efforts to make alternative arrangements for such disclosure where the restrictions in the preceding sentence apply. All information obtained by Acquiror and its Representatives under this Agreement shall be subject to the Confidentiality Agreement prior to the Effective Time.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3" w:name="page74"/>
    <w:bookmarkEnd w:id="73"/>
    <w:p>
      <w:pPr>
        <w:ind w:left="560"/>
        <w:spacing w:after="0"/>
        <w:rPr>
          <w:sz w:val="20"/>
          <w:szCs w:val="20"/>
          <w:color w:val="auto"/>
        </w:rPr>
      </w:pPr>
      <w:r>
        <w:rPr>
          <w:rFonts w:ascii="Arial" w:cs="Arial" w:eastAsia="Arial" w:hAnsi="Arial"/>
          <w:sz w:val="16"/>
          <w:szCs w:val="16"/>
          <w:b w:val="1"/>
          <w:bCs w:val="1"/>
          <w:color w:val="auto"/>
        </w:rPr>
        <w:t xml:space="preserve">Section 6.03 </w:t>
      </w:r>
      <w:r>
        <w:rPr>
          <w:rFonts w:ascii="Arial" w:cs="Arial" w:eastAsia="Arial" w:hAnsi="Arial"/>
          <w:sz w:val="16"/>
          <w:szCs w:val="16"/>
          <w:b w:val="1"/>
          <w:bCs w:val="1"/>
          <w:u w:val="single" w:color="auto"/>
          <w:color w:val="auto"/>
        </w:rPr>
        <w:t>HSR Act and Regulatory Approvals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68" w:lineRule="auto"/>
        <w:tabs>
          <w:tab w:leader="none" w:pos="1364"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In connection with the transactions contemplated by this Agreement, the Company shall comply promptly but in no event later than fifteen (15) Business Days after the date hereof with the notification and reporting requirements of the HSR Act. The Company shall furnish to the Acquiror as promptly as reasonably practicable all information required for any application or other filing to be made by the Acquiror pursuant to any Antitrust Law. The Company shall (i) substantially comply with any Information or Document Requests and (ii) request early termination of any waiting period under the HSR Act. The Company shall promptly notify the Acquiror of any substantive communication with, and furnish to Acquiror copies of any notices or written communications received by, the Company or any of its Affiliates and any third party or any Governmental Authority with respect to the transactions contemplated by this Agreement, and the Company shall permit counsel to Acquiror an opportunity to review in advance, and the Company shall consider in good faith the views of such counsel in connection with, any proposed written communications by the Company and/or its Affiliates to any Governmental Authority concerning the transactions contemplated by this Agreement; provided, that the Company shall not extend any waiting period or comparable period under the HSR Act or enter into any agreement with any Governmental Authority without the written consent of Acquiror. The Company agrees to provide, to the extent permitted by the applicable Governmental Authority, Acquiror and its counsel the opportunity, on reasonable advance notice, to participate in any substantive meetings or discussions, either in person or by telephone, between the Company and/or any of its Affiliates, agents or advisors, on the one hand, and any Governmental Authority, on the other hand, concerning or in connection with the transactions contemplated hereby. Any materials exchanged in connection with 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may be redacted or withheld as necessary to address reasonable privilege or confidentiality concerns, and to remove references concerning the valuation of the Company or other competitively sensitive material; provided, that the Company may, as it deems advisable and necessary, designate any materials provided to the Acquiror under 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as “outside counsel only.” Notwithstanding anything in this Agreement to the contrary, nothing in 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or any other provision of this Agreement shall require or obligate the Company or any of its Affiliates (including the Investors and any investment funds or investment vehicles affiliated with, or managed or advised by, the Investors or any portfolio company (as such term is commonly understood in the private equity industry) or investment of the Investors or of any such investment fund or investment vehicle) to, and the Acquiror shall not, without the prior written consent of the Company, agree or otherwise be required to, take any action with respect to the Company, or any of its Subsidiaries or such Affiliates, including selling, divesting, or otherwise disposing of, licensing, holding separate, or taking or committing to take any action that limits in any respect its freedom of action with respect to, or its ability to retain, any business, products, rights, services, licenses, assets or properties of the Company or any of its Subsidiaries or such Affiliates, or any interest therein. The Company shall pay 50% of all filing fees payable to the Regulatory Consent Authorities in connection with the transactions contemplated by this Agreement.</w:t>
      </w:r>
    </w:p>
    <w:p>
      <w:pPr>
        <w:spacing w:after="0" w:line="160" w:lineRule="exact"/>
        <w:rPr>
          <w:rFonts w:ascii="Arial" w:cs="Arial" w:eastAsia="Arial" w:hAnsi="Arial"/>
          <w:sz w:val="15"/>
          <w:szCs w:val="15"/>
          <w:color w:val="auto"/>
        </w:rPr>
      </w:pPr>
    </w:p>
    <w:p>
      <w:pPr>
        <w:jc w:val="both"/>
        <w:ind w:right="20" w:firstLine="1143"/>
        <w:spacing w:after="0" w:line="273" w:lineRule="auto"/>
        <w:tabs>
          <w:tab w:leader="none" w:pos="1373"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Company shall not, and shall cause its Subsidiaries not to, acquire or agree to acquire, by merging with or into or consolidating with, or by purchasing a portion of the assets of or equity in, or by any other manner, any business or any corporation, partnership, association or other business organization or division thereof, or otherwise acquire or agree to acquire any assets, or take any other action, if the entering into of a definitive agreement relating to, or the consummation of such acquisition, merger or consolidation, or the taking of any other action, would reasonably be expected to (i) impose any delay in the obtaining of, or increase the risk of not obtaining, any authorizations, consents, orders or declarations of any Regulatory Consent Authorities or the expiration or termination of any applicable waiting period; (ii) increase the risk of any Governmental Authority entering an order prohibiting the consummation of the transaction contemplated hereby; (iii) increase the risk of not being able to remove any such order on appeal or otherwise; or (iv) delay or prevent the consummation of the transactions contemplated hereby.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4" w:name="page75"/>
    <w:bookmarkEnd w:id="74"/>
    <w:p>
      <w:pPr>
        <w:jc w:val="both"/>
        <w:ind w:firstLine="574"/>
        <w:spacing w:after="0" w:line="320" w:lineRule="auto"/>
        <w:rPr>
          <w:sz w:val="20"/>
          <w:szCs w:val="20"/>
          <w:color w:val="auto"/>
        </w:rPr>
      </w:pPr>
      <w:r>
        <w:rPr>
          <w:rFonts w:ascii="Arial" w:cs="Arial" w:eastAsia="Arial" w:hAnsi="Arial"/>
          <w:sz w:val="14"/>
          <w:szCs w:val="14"/>
          <w:b w:val="1"/>
          <w:bCs w:val="1"/>
          <w:color w:val="auto"/>
        </w:rPr>
        <w:t xml:space="preserve">Section 6.04 </w:t>
      </w:r>
      <w:r>
        <w:rPr>
          <w:rFonts w:ascii="Arial" w:cs="Arial" w:eastAsia="Arial" w:hAnsi="Arial"/>
          <w:sz w:val="14"/>
          <w:szCs w:val="14"/>
          <w:b w:val="1"/>
          <w:bCs w:val="1"/>
          <w:u w:val="single" w:color="auto"/>
          <w:color w:val="auto"/>
        </w:rPr>
        <w:t>No Acquiror Common Stock Transactions</w:t>
      </w:r>
      <w:r>
        <w:rPr>
          <w:rFonts w:ascii="Arial" w:cs="Arial" w:eastAsia="Arial" w:hAnsi="Arial"/>
          <w:sz w:val="14"/>
          <w:szCs w:val="14"/>
          <w:color w:val="auto"/>
        </w:rPr>
        <w:t>. From and after the date of this Agreement until the Effective Time, except as otherwise contemplated by</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none of the Company or any of its Subsidiaries or its stockholders shall engage in any transactions involving the securities of Acquiror without the prior written consent of Acquiror. The Company shall use reasonable best efforts to require each of its Subsidiaries and stockholders to comply with the foregoing sentence.</w:t>
      </w:r>
    </w:p>
    <w:p>
      <w:pPr>
        <w:spacing w:after="0" w:line="121"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b w:val="1"/>
          <w:bCs w:val="1"/>
          <w:color w:val="auto"/>
        </w:rPr>
        <w:t xml:space="preserve">Section 6.05 </w:t>
      </w:r>
      <w:r>
        <w:rPr>
          <w:rFonts w:ascii="Arial" w:cs="Arial" w:eastAsia="Arial" w:hAnsi="Arial"/>
          <w:sz w:val="15"/>
          <w:szCs w:val="15"/>
          <w:b w:val="1"/>
          <w:bCs w:val="1"/>
          <w:u w:val="single" w:color="auto"/>
          <w:color w:val="auto"/>
        </w:rPr>
        <w:t>No Claim Against the Trust Account</w:t>
      </w:r>
      <w:r>
        <w:rPr>
          <w:rFonts w:ascii="Arial" w:cs="Arial" w:eastAsia="Arial" w:hAnsi="Arial"/>
          <w:sz w:val="15"/>
          <w:szCs w:val="15"/>
          <w:color w:val="auto"/>
        </w:rPr>
        <w:t>. The Company acknowledges that the Acquiror is a blank check company with the power and privileges to effect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merger, asset acquisition, reorganization or similar business combination involving the Company and one or more businesses or assets, and the Company has read Acquiror’s final prospectus, dated December 23, 2020 and other Acquiror SEC Reports, the Acquiror Organizational Documents, and the Trust Agreement and understands that Acquiror has established the Trust Account described therein for the benefit of Acquiror’s public stockholders and that disbursements from the Trust Account are available only in the limited circumstances set forth therein. The Company further acknowledges and agrees that the Acquiror’s sole assets consist of the cash proceeds of the Acquiror’s initial public offering and private placements of its securities, and that substantially all of these proceeds have been deposited in the Trust Account for the benefit of its public shareholders. The Company further acknowledges that, if the transactions contemplated by this Agreement are not consummated by June 30, 2022, or such later date as approved by the shareholders of Acquiror to complete a Business Combination, Acquiror will be obligated to return to its stockholders the amounts being held in the Trust Account. Accordingly, the Company (on behalf of itself and its Affiliates) hereby waives any past, present or future claim of any kind against, and any right to access, the Trust Account, any trustee of the Trust Account and Acquiror to collect from the Trust Account any monies that may be owed to them by Acquiror or any of its Affiliates for any reason whatsoever, and will not seek recourse against the Trust Account at any time for any reason whatsoever, including, without limitation, for any Willful Breach of this Agreement. This </w:t>
      </w:r>
      <w:r>
        <w:rPr>
          <w:rFonts w:ascii="Arial" w:cs="Arial" w:eastAsia="Arial" w:hAnsi="Arial"/>
          <w:sz w:val="15"/>
          <w:szCs w:val="15"/>
          <w:u w:val="single" w:color="auto"/>
          <w:color w:val="auto"/>
        </w:rPr>
        <w:t>Section 6.05</w:t>
      </w:r>
      <w:r>
        <w:rPr>
          <w:rFonts w:ascii="Arial" w:cs="Arial" w:eastAsia="Arial" w:hAnsi="Arial"/>
          <w:sz w:val="15"/>
          <w:szCs w:val="15"/>
          <w:color w:val="auto"/>
        </w:rPr>
        <w:t xml:space="preserve"> shall survive the termination of this Agreement for any reason.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6.06 </w:t>
      </w:r>
      <w:r>
        <w:rPr>
          <w:rFonts w:ascii="Arial" w:cs="Arial" w:eastAsia="Arial" w:hAnsi="Arial"/>
          <w:sz w:val="16"/>
          <w:szCs w:val="16"/>
          <w:b w:val="1"/>
          <w:bCs w:val="1"/>
          <w:u w:val="single" w:color="auto"/>
          <w:color w:val="auto"/>
        </w:rPr>
        <w:t>No-Solicitation</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89" w:lineRule="auto"/>
        <w:tabs>
          <w:tab w:leader="none" w:pos="1376"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From the date of this Agreement until the Effective Time or, if earlier, the valid termination of this Agreement in accordance with </w:t>
      </w:r>
      <w:r>
        <w:rPr>
          <w:rFonts w:ascii="Arial" w:cs="Arial" w:eastAsia="Arial" w:hAnsi="Arial"/>
          <w:sz w:val="14"/>
          <w:szCs w:val="14"/>
          <w:u w:val="single" w:color="auto"/>
          <w:color w:val="auto"/>
        </w:rPr>
        <w:t>Section 10.01</w:t>
      </w:r>
      <w:r>
        <w:rPr>
          <w:rFonts w:ascii="Arial" w:cs="Arial" w:eastAsia="Arial" w:hAnsi="Arial"/>
          <w:sz w:val="14"/>
          <w:szCs w:val="14"/>
          <w:color w:val="auto"/>
        </w:rPr>
        <w:t>, the Company will not, and will cause each of its Subsidiaries and its and their respective directors, officers and employees not to, and shall instruct and use its reasonable best efforts to cause the Company’s and its Subsidiaries’ other respective Representatives not to, directly or indirectly: (i) solicit, initiate, assist, knowingly encourage or facilitate or cooperate with any inquiries regarding, or the submission or announcement by any Person or “group” (as defined in the Exchange Act and the rules thereunder) (other than Acquiror) of, any proposal or offer that constitutes, or would reasonably be expected to lead to, any Company Acquisition Transaction; (ii) furnish, or afford access to (including through any virtual data room), any information regarding the Company, any of its Subsidiaries, or their respective businesses, operations, assets, liabilities, financial condition, books and records, prospects or employees to any Person or “group” (as defined in the Exchange Act and the rules thereunder) (other than to Acquiror or any of its Affiliates or Representatives) in connection with, for the purpose of assisting, soliciting, initiating, encouraging or facilitating, or in response to, or that would reasonably be expected to lead to, any Company Acquisition Transaction; (iii) enter into, continue, engage in or otherwise participate in any discussions or negotiations with any Person or “group” (as defined in the Exchange Act and the rules thereunder) (other than Acquiror or its Representatives) with respect to, any Company Acquisition Transaction, or any agreement, arrangement or understanding (including any letter of intent or similar document, agreement, commitment, or agreement in principle with respect to any Company Acquisition Transaction), or any inquiry, proposal or offer that would reasonably be expected to lead to any Company Acquisition Transaction, or announce an intention to do so; (iv) approve, adopt, endorse, recommend or enter into, or propose to approve, adopt, endorse, recommend or enter into, any letter of intent or similar document, agreement, commitment or agreement in principle with respect to any Company Acquisition Transaction; or (v) release any third Person, or waive any provision of, any confidentiality agreement to which such Person is a party and which directly relates to a potential Company Acquisition Transaction.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5" w:name="page76"/>
    <w:bookmarkEnd w:id="75"/>
    <w:p>
      <w:pPr>
        <w:jc w:val="both"/>
        <w:ind w:left="4" w:firstLine="1143"/>
        <w:spacing w:after="0" w:line="253" w:lineRule="auto"/>
        <w:tabs>
          <w:tab w:leader="none" w:pos="1389"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Company, any of its Subsidiaries or, to the Company’s knowledge, any of their respective Representatives, receives a or any inquiry, proposal or offer, request for information or request for discussions or negotiations, regarding or constituting a Company Acquisition Transaction or that is reasonably likely to lead to a Company Acquisition Transaction, then the Company shall promptly (and in no event later than forty eight (48) hours after receipt of such inquiry, proposal, offer or request) notify Acquiror in writing of such written inquiry, proposal, offer or request (which notification shall, unless expressly prohibited by a confidentiality agreement in effect as of the date hereof, include the identity of the Person making or submitting such inquiry, proposal, offer or request and a copy of any such inquiry, proposal, offer or request (or, if not in writing, the material terms and conditions thereof)). The Company shall keep the Acquiror promptly informed of the status of any such inquiries, proposals, offers or requests.</w:t>
      </w:r>
    </w:p>
    <w:p>
      <w:pPr>
        <w:spacing w:after="0" w:line="171" w:lineRule="exact"/>
        <w:rPr>
          <w:rFonts w:ascii="Arial" w:cs="Arial" w:eastAsia="Arial" w:hAnsi="Arial"/>
          <w:sz w:val="16"/>
          <w:szCs w:val="16"/>
          <w:color w:val="auto"/>
        </w:rPr>
      </w:pPr>
    </w:p>
    <w:p>
      <w:pPr>
        <w:jc w:val="both"/>
        <w:ind w:left="4" w:firstLine="1143"/>
        <w:spacing w:after="0" w:line="295" w:lineRule="auto"/>
        <w:tabs>
          <w:tab w:leader="none" w:pos="1368" w:val="left"/>
        </w:tabs>
        <w:numPr>
          <w:ilvl w:val="0"/>
          <w:numId w:val="71"/>
        </w:numPr>
        <w:rPr>
          <w:rFonts w:ascii="Arial" w:cs="Arial" w:eastAsia="Arial" w:hAnsi="Arial"/>
          <w:sz w:val="14"/>
          <w:szCs w:val="14"/>
          <w:color w:val="auto"/>
        </w:rPr>
      </w:pPr>
      <w:r>
        <w:rPr>
          <w:rFonts w:ascii="Arial" w:cs="Arial" w:eastAsia="Arial" w:hAnsi="Arial"/>
          <w:sz w:val="14"/>
          <w:szCs w:val="14"/>
          <w:color w:val="auto"/>
        </w:rPr>
        <w:t>Promptly following the execution and delivery of this Agreement, the Company shall, and shall cause each of its Subsidiaries and its and their respective Affiliates and its and their respective directors, officers and employees, and shall instruct and use reasonable best efforts to cause the Company’s and its Subsidiaries’ other respective Representatives to (and the shareholders of the Company party to the Support Agreement have acknowledged to the Company that they shall), immediately cease and cause to be terminated any existing solicitation of, or discussions or negotiations with, any Person or “group” (as defined in the Exchange Act and the rules thereunder) (other than Acquiror or its Representatives) relating to any Company Acquisition Transaction made on, prior to or after the date hereof. The Company shall not, and shall cause its Subsidiaries and its and their respective Affiliates not to, release any third party from, or waive, amend or modify any provision of, or grant permission under, or fail to enforce, any standstill provision in any agreement to which the Company, any of its Subsidiaries or any of their respective Affiliates is a party.</w:t>
      </w:r>
    </w:p>
    <w:p>
      <w:pPr>
        <w:spacing w:after="0" w:line="144" w:lineRule="exact"/>
        <w:rPr>
          <w:rFonts w:ascii="Arial" w:cs="Arial" w:eastAsia="Arial" w:hAnsi="Arial"/>
          <w:sz w:val="14"/>
          <w:szCs w:val="14"/>
          <w:color w:val="auto"/>
        </w:rPr>
      </w:pPr>
    </w:p>
    <w:p>
      <w:pPr>
        <w:jc w:val="both"/>
        <w:ind w:left="4" w:firstLine="1143"/>
        <w:spacing w:after="0" w:line="262" w:lineRule="auto"/>
        <w:tabs>
          <w:tab w:leader="none" w:pos="1377"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Without limiting the foregoing, it is understood that any violation of the restrictions contained in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by any of the Company’s Subsidiaries, or any of the Company’s or its Subsidiaries’ respective Representatives acting on the Company’s or one of its Subsidiaries’ behalf, shall be deemed to be a breach of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by the Company.</w:t>
      </w:r>
    </w:p>
    <w:p>
      <w:pPr>
        <w:spacing w:after="0" w:line="158" w:lineRule="exact"/>
        <w:rPr>
          <w:sz w:val="20"/>
          <w:szCs w:val="20"/>
          <w:color w:val="auto"/>
        </w:rPr>
      </w:pPr>
    </w:p>
    <w:p>
      <w:pPr>
        <w:jc w:val="both"/>
        <w:ind w:left="4" w:right="20" w:firstLine="574"/>
        <w:spacing w:after="0" w:line="293" w:lineRule="auto"/>
        <w:rPr>
          <w:sz w:val="20"/>
          <w:szCs w:val="20"/>
          <w:color w:val="auto"/>
        </w:rPr>
      </w:pPr>
      <w:r>
        <w:rPr>
          <w:rFonts w:ascii="Arial" w:cs="Arial" w:eastAsia="Arial" w:hAnsi="Arial"/>
          <w:sz w:val="14"/>
          <w:szCs w:val="14"/>
          <w:b w:val="1"/>
          <w:bCs w:val="1"/>
          <w:color w:val="auto"/>
        </w:rPr>
        <w:t xml:space="preserve">Section 6.07 </w:t>
      </w:r>
      <w:r>
        <w:rPr>
          <w:rFonts w:ascii="Arial" w:cs="Arial" w:eastAsia="Arial" w:hAnsi="Arial"/>
          <w:sz w:val="14"/>
          <w:szCs w:val="14"/>
          <w:b w:val="1"/>
          <w:bCs w:val="1"/>
          <w:u w:val="single" w:color="auto"/>
          <w:color w:val="auto"/>
        </w:rPr>
        <w:t>Section 280G</w:t>
      </w:r>
      <w:r>
        <w:rPr>
          <w:rFonts w:ascii="Arial" w:cs="Arial" w:eastAsia="Arial" w:hAnsi="Arial"/>
          <w:sz w:val="14"/>
          <w:szCs w:val="14"/>
          <w:color w:val="auto"/>
        </w:rPr>
        <w:t>. To the extent applicable, the Company shall, at least five (5) days prior to the Closing, take commercially reasonable actions to (a) solicit</w:t>
      </w:r>
      <w:r>
        <w:rPr>
          <w:rFonts w:ascii="Arial" w:cs="Arial" w:eastAsia="Arial" w:hAnsi="Arial"/>
          <w:sz w:val="14"/>
          <w:szCs w:val="14"/>
          <w:b w:val="1"/>
          <w:bCs w:val="1"/>
          <w:color w:val="auto"/>
        </w:rPr>
        <w:t xml:space="preserve"> </w:t>
      </w:r>
      <w:r>
        <w:rPr>
          <w:rFonts w:ascii="Arial" w:cs="Arial" w:eastAsia="Arial" w:hAnsi="Arial"/>
          <w:sz w:val="14"/>
          <w:szCs w:val="14"/>
          <w:color w:val="auto"/>
        </w:rPr>
        <w:t>waivers of any excess parachute payment (as described below) from each Person who has or may have a right to any payments and/or benefits as a result of or in connection with the transactions contemplated by this Agreement that would be deemed to constitute “excess parachute payments” (within the meaning of Section 280G of the Code), and</w:t>
      </w:r>
    </w:p>
    <w:p>
      <w:pPr>
        <w:spacing w:after="0" w:line="1" w:lineRule="exact"/>
        <w:rPr>
          <w:sz w:val="20"/>
          <w:szCs w:val="20"/>
          <w:color w:val="auto"/>
        </w:rPr>
      </w:pPr>
    </w:p>
    <w:p>
      <w:pPr>
        <w:jc w:val="both"/>
        <w:ind w:left="4" w:hanging="4"/>
        <w:spacing w:after="0" w:line="250" w:lineRule="auto"/>
        <w:tabs>
          <w:tab w:leader="none" w:pos="236" w:val="left"/>
        </w:tabs>
        <w:numPr>
          <w:ilvl w:val="0"/>
          <w:numId w:val="72"/>
        </w:numPr>
        <w:rPr>
          <w:rFonts w:ascii="Arial" w:cs="Arial" w:eastAsia="Arial" w:hAnsi="Arial"/>
          <w:sz w:val="16"/>
          <w:szCs w:val="16"/>
          <w:color w:val="auto"/>
        </w:rPr>
      </w:pPr>
      <w:r>
        <w:rPr>
          <w:rFonts w:ascii="Arial" w:cs="Arial" w:eastAsia="Arial" w:hAnsi="Arial"/>
          <w:sz w:val="16"/>
          <w:szCs w:val="16"/>
          <w:color w:val="auto"/>
        </w:rPr>
        <w:t>solicit the approval of the Company’s shareholders in a manner intended to comply with Sections 280G(b)(5)(A)(ii) and 280G(b)(5)(B) of the Code of all payments and/or benefits (including payments and benefits waived pursuant to the preceding clause) that would, as a result of, or in connection with, the transactions contemplated by this Agreement, be deemed to constitute “excess parachute payments.” To the extent required to comply with the provisions of the preceding sentence, the Company shall deliver, among other items, to its equity holders entitled to vote in the shareholder approval process under Code Section 280G(b)(5)(B), a disclosure statement intended to satisfy the shareholder approval requirements of Section 280G(b)(5)(B) of the Code. The form of waiver, solicitation of shareholder approval, and disclosure materials shall be provided to Acquiror for review at least ten (10) days prior to Closing and all such materials shall be subject to the approval of Acquiror, such approval not to be unreasonably withheld, conditioned or delayed.</w:t>
      </w:r>
    </w:p>
    <w:p>
      <w:pPr>
        <w:spacing w:after="0" w:line="36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ARTICLE VII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 OF ACQUIROR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7.01 </w:t>
      </w:r>
      <w:r>
        <w:rPr>
          <w:rFonts w:ascii="Arial" w:cs="Arial" w:eastAsia="Arial" w:hAnsi="Arial"/>
          <w:sz w:val="16"/>
          <w:szCs w:val="16"/>
          <w:b w:val="1"/>
          <w:bCs w:val="1"/>
          <w:u w:val="single" w:color="auto"/>
          <w:color w:val="auto"/>
        </w:rPr>
        <w:t>HSR Act and Regulatory Approvals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58" w:lineRule="auto"/>
        <w:tabs>
          <w:tab w:leader="none" w:pos="1364"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connection with the transactions contemplated by this Agreement, Acquiror shall comply promptly but in no event later than fifteen (15) Business Days after the date hereof with the notification and reporting requirements of the HSR Act. Acquiror shall furnish to the Company as promptly as reasonably practicable all information required for any application or other filing to be made by the Company pursuant to any Antitrust Law. Acquiror shall substantially comply with any Information or Document Requests.</w:t>
      </w:r>
    </w:p>
    <w:p>
      <w:pPr>
        <w:spacing w:after="0" w:line="164" w:lineRule="exact"/>
        <w:rPr>
          <w:rFonts w:ascii="Arial" w:cs="Arial" w:eastAsia="Arial" w:hAnsi="Arial"/>
          <w:sz w:val="16"/>
          <w:szCs w:val="16"/>
          <w:color w:val="auto"/>
        </w:rPr>
      </w:pPr>
    </w:p>
    <w:p>
      <w:pPr>
        <w:jc w:val="both"/>
        <w:ind w:firstLine="1143"/>
        <w:spacing w:after="0" w:line="280" w:lineRule="auto"/>
        <w:tabs>
          <w:tab w:leader="none" w:pos="1385" w:val="left"/>
        </w:tabs>
        <w:numPr>
          <w:ilvl w:val="0"/>
          <w:numId w:val="73"/>
        </w:numPr>
        <w:rPr>
          <w:rFonts w:ascii="Arial" w:cs="Arial" w:eastAsia="Arial" w:hAnsi="Arial"/>
          <w:sz w:val="15"/>
          <w:szCs w:val="15"/>
          <w:color w:val="auto"/>
        </w:rPr>
      </w:pPr>
      <w:r>
        <w:rPr>
          <w:rFonts w:ascii="Arial" w:cs="Arial" w:eastAsia="Arial" w:hAnsi="Arial"/>
          <w:sz w:val="15"/>
          <w:szCs w:val="15"/>
          <w:color w:val="auto"/>
        </w:rPr>
        <w:t>Acquiror shall request early termination of any waiting period under the HSR Act and exercise its reasonable best efforts to (i) obtain termination or expiration of the waiting period under the HSR Act and consents or approvals pursuant to any other applicable Antitrust Laws, (ii) prevent the entry in any Action brought by a Regulatory Consent Authority or any other Person of any Governmental Order which would prohibit, make unlawful or delay the consummation of the transactions contemplated by this Agreement and (iii) if any such Governmental Order is issued in any such Action, cause such Governmental Order to be lifted.</w:t>
      </w:r>
    </w:p>
    <w:p>
      <w:pPr>
        <w:spacing w:after="0" w:line="151" w:lineRule="exact"/>
        <w:rPr>
          <w:rFonts w:ascii="Arial" w:cs="Arial" w:eastAsia="Arial" w:hAnsi="Arial"/>
          <w:sz w:val="15"/>
          <w:szCs w:val="15"/>
          <w:color w:val="auto"/>
        </w:rPr>
      </w:pPr>
    </w:p>
    <w:p>
      <w:pPr>
        <w:jc w:val="both"/>
        <w:ind w:firstLine="1143"/>
        <w:spacing w:after="0" w:line="270" w:lineRule="auto"/>
        <w:tabs>
          <w:tab w:leader="none" w:pos="1364"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Acquiror shall cooperate in good faith with the Regulatory Consent Authorities and exercise its reasonable best efforts to undertake promptly any and all action required to complete lawfully the transactions contemplated by this Agreement as soon as practicable (but in any event prior to the Termination Date) and any and all action necessary or advisable to avoid, prevent, eliminate or remove any impediment under Antitrust Law or the actual or threatened commencement of any proceeding in any forum by or on behalf of any Regulatory Consent Authority or the issuance of any Governmental Order that would delay, enjoin, prevent, restrain or otherwise prohibit the consummation of the Mergers. Notwithstanding anything in this Agreement to the contrary, nothing in this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or any other provision of this Agreement shall require or obligate Acquiror’s Affiliates, the Sponsors, the Investors, their respective Affiliates and any investment funds or investment vehicles affiliated with, or managed or advised by, Acquiror’s Affiliates, the Sponsors, the Investors or any portfolio company (as such term is commonly understood in the private equity industry) or investment of Acquiror’s Affiliates, Sponsors, the Investors or of any such investment fund or investment vehicle to take any action in connection with (A) obtaining termination or expiration of the waiting period under the HSR Act and consents or approvals pursuant to any other applicable Antitrust Laws or (B) avoiding, preventing, eliminating or removing any impediment under Antitrust Law with respect to the Transactions, including selling, divesting, or otherwise disposing of, licensing, holding separate, or taking or committing to take any action that limits in any respect such Person’s or entity’s freedom of action with respect to, or its ability to retain, any business, products, rights, services, licenses, assets or properties of such Person or entity or any of such entity’s Subsidiaries or Affiliates, or any interest therein.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7" w:name="page78"/>
    <w:bookmarkEnd w:id="77"/>
    <w:p>
      <w:pPr>
        <w:jc w:val="both"/>
        <w:ind w:firstLine="1143"/>
        <w:spacing w:after="0" w:line="270" w:lineRule="auto"/>
        <w:tabs>
          <w:tab w:leader="none" w:pos="1396"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Acquiror shall promptly notify the Company of any substantive communication with, and furnish to the Company copies of any notices or written communications received by, Acquiror or any of its Affiliates and any third party or Governmental Authority with respect to the transactions contemplated by this Agreement, and Acquiror shall permit counsel to the Company an opportunity to review in advance, and Acquiror shall consider in good faith the views of such counsel in connection with, any proposed communications by Acquiror and/or its Affiliates to any Governmental Authority concerning the transactions contemplated by this Agreement; provided, that Acquiror shall not extend any waiting period or comparable period under the HSR Act or enter into any agreement with any Governmental Authority without the written consent of the Company. Acquiror agrees to provide the Company and its counsel the opportunity, on reasonable advance notice, to participate in any substantive meetings or discussions, either in person or by telephone, between Acquiror and/or any of its Affiliates, agents or advisors, on the one hand, and any Governmental Authority, on the other hand, concerning or in connection with the transactions contemplated hereby. Any materials exchanged in connection with this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may be redacted or withheld as necessary to address reasonable privilege or confidentiality concerns, and to remove references concerning the valuation of the Company or other competitively sensitive material; provided, that the Acquiror may, as it deems advisable and necessary, designate any materials provided to the Company under this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as “outside counsel only.”</w:t>
      </w:r>
    </w:p>
    <w:p>
      <w:pPr>
        <w:spacing w:after="0" w:line="159" w:lineRule="exact"/>
        <w:rPr>
          <w:rFonts w:ascii="Arial" w:cs="Arial" w:eastAsia="Arial" w:hAnsi="Arial"/>
          <w:sz w:val="15"/>
          <w:szCs w:val="15"/>
          <w:color w:val="auto"/>
        </w:rPr>
      </w:pPr>
    </w:p>
    <w:p>
      <w:pPr>
        <w:ind w:right="20" w:firstLine="1143"/>
        <w:spacing w:after="0" w:line="349" w:lineRule="auto"/>
        <w:tabs>
          <w:tab w:leader="none" w:pos="1387" w:val="left"/>
        </w:tabs>
        <w:numPr>
          <w:ilvl w:val="0"/>
          <w:numId w:val="74"/>
        </w:numPr>
        <w:rPr>
          <w:rFonts w:ascii="Arial" w:cs="Arial" w:eastAsia="Arial" w:hAnsi="Arial"/>
          <w:sz w:val="14"/>
          <w:szCs w:val="14"/>
          <w:color w:val="auto"/>
        </w:rPr>
      </w:pPr>
      <w:r>
        <w:rPr>
          <w:rFonts w:ascii="Arial" w:cs="Arial" w:eastAsia="Arial" w:hAnsi="Arial"/>
          <w:sz w:val="14"/>
          <w:szCs w:val="14"/>
          <w:color w:val="auto"/>
        </w:rPr>
        <w:t>Acquiror shall pay 50% of all filing fees payable to the Regulatory Consent Authorities in connection with the transactions contemplated by this Agreement. The Company shall pay 50% of all filing fees payable to the Regulatory Consent Authorities in connection with the transactions contemplated by this Agreement.</w:t>
      </w:r>
    </w:p>
    <w:p>
      <w:pPr>
        <w:spacing w:after="0" w:line="105" w:lineRule="exact"/>
        <w:rPr>
          <w:rFonts w:ascii="Arial" w:cs="Arial" w:eastAsia="Arial" w:hAnsi="Arial"/>
          <w:sz w:val="14"/>
          <w:szCs w:val="14"/>
          <w:color w:val="auto"/>
        </w:rPr>
      </w:pPr>
    </w:p>
    <w:p>
      <w:pPr>
        <w:jc w:val="both"/>
        <w:ind w:firstLine="1143"/>
        <w:spacing w:after="0" w:line="292" w:lineRule="auto"/>
        <w:tabs>
          <w:tab w:leader="none" w:pos="1438"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Acquiror shall not, and shall cause its Subsidiaries not to, acquire or agree to acquire, by merging with or into or consolidating with, or by purchasing a portion of the assets of or equity in, or by any other manner, any business or any corporation, partnership, association or other business organization or division thereof, or otherwise acquire or agree to acquire any assets, or take any other action, if the entering into of a definitive agreement relating to, or the consummation of such acquisition, merger or consolidation, or the taking of any other action, would reasonably be expected to (i) impose any delay in the obtaining of, or increase the risk of not obtaining, any authorizations, consents, orders or declarations of any Regulatory Consent Authorities or the expiration or termination of any applicable waiting period; (ii) increase the risk of any Governmental Authority entering an order prohibiting the consummation of the transaction contemplated hereby; (iii) increase the risk of not being able to remove any such order on appeal or otherwise; or (iv) delay or prevent the consummation of the transactions contemplated hereby. Notwithstanding anything in this Agreement to the contrary, the restrictions and obligations set forth in this </w:t>
      </w:r>
      <w:r>
        <w:rPr>
          <w:rFonts w:ascii="Arial" w:cs="Arial" w:eastAsia="Arial" w:hAnsi="Arial"/>
          <w:sz w:val="14"/>
          <w:szCs w:val="14"/>
          <w:u w:val="single" w:color="auto"/>
          <w:color w:val="auto"/>
        </w:rPr>
        <w:t>Section 7.01(f)</w:t>
      </w:r>
      <w:r>
        <w:rPr>
          <w:rFonts w:ascii="Arial" w:cs="Arial" w:eastAsia="Arial" w:hAnsi="Arial"/>
          <w:sz w:val="14"/>
          <w:szCs w:val="14"/>
          <w:color w:val="auto"/>
        </w:rPr>
        <w:t xml:space="preserve"> shall not apply to or be binding upon Acquiror’s Affiliates, the Sponsor, the Investor, their respective Affiliates or any investment funds or investment vehicles affiliated with, or managed or advised by, Acquiror’s Affiliates, the Sponsors, the Investor or any portfolio company (as such term is commonly understood in the private equity industry) or investment of Acquiror’s Affiliates, the Sponsors, the Investor or of any such investment fund or investment vehicle.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8" w:name="page79"/>
    <w:bookmarkEnd w:id="78"/>
    <w:p>
      <w:pPr>
        <w:ind w:left="560"/>
        <w:spacing w:after="0"/>
        <w:rPr>
          <w:sz w:val="20"/>
          <w:szCs w:val="20"/>
          <w:color w:val="auto"/>
        </w:rPr>
      </w:pPr>
      <w:r>
        <w:rPr>
          <w:rFonts w:ascii="Arial" w:cs="Arial" w:eastAsia="Arial" w:hAnsi="Arial"/>
          <w:sz w:val="16"/>
          <w:szCs w:val="16"/>
          <w:b w:val="1"/>
          <w:bCs w:val="1"/>
          <w:color w:val="auto"/>
        </w:rPr>
        <w:t xml:space="preserve">Section 7.02 </w:t>
      </w:r>
      <w:r>
        <w:rPr>
          <w:rFonts w:ascii="Arial" w:cs="Arial" w:eastAsia="Arial" w:hAnsi="Arial"/>
          <w:sz w:val="16"/>
          <w:szCs w:val="16"/>
          <w:b w:val="1"/>
          <w:bCs w:val="1"/>
          <w:u w:val="single" w:color="auto"/>
          <w:color w:val="auto"/>
        </w:rPr>
        <w:t>Indemnification and Insurance</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90" w:lineRule="auto"/>
        <w:tabs>
          <w:tab w:leader="none" w:pos="1364" w:val="left"/>
        </w:tabs>
        <w:numPr>
          <w:ilvl w:val="0"/>
          <w:numId w:val="75"/>
        </w:numPr>
        <w:rPr>
          <w:rFonts w:ascii="Arial" w:cs="Arial" w:eastAsia="Arial" w:hAnsi="Arial"/>
          <w:sz w:val="14"/>
          <w:szCs w:val="14"/>
          <w:color w:val="auto"/>
        </w:rPr>
      </w:pPr>
      <w:r>
        <w:rPr>
          <w:rFonts w:ascii="Arial" w:cs="Arial" w:eastAsia="Arial" w:hAnsi="Arial"/>
          <w:sz w:val="14"/>
          <w:szCs w:val="14"/>
          <w:color w:val="auto"/>
        </w:rPr>
        <w:t xml:space="preserve">From and after the Effective Time, Acquiror agrees to cause the Surviving Company to indemnify and hold harmless each present and former director and officer of Acquiror, First Merger Sub, Second Merger Sub, the Company and each of their respective Subsidiaries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Effective Time, whether asserted or claimed prior to, at or after the Effective Time, to the fullest extent that the Acquiror, First Merger Sub, Second Merger Sub, the Company and each of their respective Subsidiaries, as the case may be, would have been permitted under applicable Law and its certificate of incorporation, bylaws or other organizational documents in effect on the date of this Agreement to indemnify such Person (including the advancing of expenses as incurred to the fullest extent permitted under applicable Law). Without limiting the foregoing, Acquiror shall, and shall cause the Surviving Company and its Subsidiaries to, (i) maintain for a period of not less than six years from the Effective Time provisions in its certificate of incorporation (if applicable), bylaws and other organizational documents concerning the indemnification and exoneration (including provisions relating to expense advancement) of officers and directors that are no less favorable to those Persons than the provisions of such certificates of incorporation (if applicable), bylaws and other organizational documents as of the date of this Agreement and (ii) not amend, repeal or otherwise modify such provisions in any respect that would adversely affect the rights of those Persons thereunder, in each case, except as required by Law. Acquiror shall assume, and be liable for, and shall cause the Surviving Company and their respective Subsidiaries to honor, each of the covenants in this </w:t>
      </w:r>
      <w:r>
        <w:rPr>
          <w:rFonts w:ascii="Arial" w:cs="Arial" w:eastAsia="Arial" w:hAnsi="Arial"/>
          <w:sz w:val="14"/>
          <w:szCs w:val="14"/>
          <w:u w:val="single" w:color="auto"/>
          <w:color w:val="auto"/>
        </w:rPr>
        <w:t>Section 7.02</w:t>
      </w:r>
      <w:r>
        <w:rPr>
          <w:rFonts w:ascii="Arial" w:cs="Arial" w:eastAsia="Arial" w:hAnsi="Arial"/>
          <w:sz w:val="14"/>
          <w:szCs w:val="14"/>
          <w:color w:val="auto"/>
        </w:rPr>
        <w:t>.</w:t>
      </w:r>
    </w:p>
    <w:p>
      <w:pPr>
        <w:spacing w:after="0" w:line="151" w:lineRule="exact"/>
        <w:rPr>
          <w:rFonts w:ascii="Arial" w:cs="Arial" w:eastAsia="Arial" w:hAnsi="Arial"/>
          <w:sz w:val="14"/>
          <w:szCs w:val="14"/>
          <w:color w:val="auto"/>
        </w:rPr>
      </w:pPr>
    </w:p>
    <w:p>
      <w:pPr>
        <w:jc w:val="both"/>
        <w:ind w:firstLine="1143"/>
        <w:spacing w:after="0" w:line="272" w:lineRule="auto"/>
        <w:tabs>
          <w:tab w:leader="none" w:pos="1385" w:val="left"/>
        </w:tabs>
        <w:numPr>
          <w:ilvl w:val="0"/>
          <w:numId w:val="75"/>
        </w:numPr>
        <w:rPr>
          <w:rFonts w:ascii="Arial" w:cs="Arial" w:eastAsia="Arial" w:hAnsi="Arial"/>
          <w:sz w:val="15"/>
          <w:szCs w:val="15"/>
          <w:color w:val="auto"/>
        </w:rPr>
      </w:pPr>
      <w:r>
        <w:rPr>
          <w:rFonts w:ascii="Arial" w:cs="Arial" w:eastAsia="Arial" w:hAnsi="Arial"/>
          <w:sz w:val="15"/>
          <w:szCs w:val="15"/>
          <w:color w:val="auto"/>
        </w:rPr>
        <w:t>For a period of six years from the Effective Time, Acquiror shall, or shall cause one or more of its Subsidiaries to, maintain in effect directors’ and officers’ liability insurance covering those Persons who are currently covered by the directors’ and officers’ liability insurance policies of Acquiror, First Merger Sub, Second Merger Sub, the Company and each of their respective Subsidiaries on terms not less favorable than the terms of such current insurance coverage, except that in no event shall Acquiror or its Subsidiaries be required to pay an annual premium for such insurance in excess of 350% of the aggregate annual premium payable by Acquiror for such insurance policy for the year ended December 31, 2020; provided, however, that (i) Acquiror may cause coverage to be extended under the current directors’ and officers’ liability insurance by obtaining a six-year “tail” policy (the “</w:t>
      </w:r>
      <w:r>
        <w:rPr>
          <w:rFonts w:ascii="Arial" w:cs="Arial" w:eastAsia="Arial" w:hAnsi="Arial"/>
          <w:sz w:val="15"/>
          <w:szCs w:val="15"/>
          <w:u w:val="single" w:color="auto"/>
          <w:color w:val="auto"/>
        </w:rPr>
        <w:t>D&amp;O Tail</w:t>
      </w:r>
      <w:r>
        <w:rPr>
          <w:rFonts w:ascii="Arial" w:cs="Arial" w:eastAsia="Arial" w:hAnsi="Arial"/>
          <w:sz w:val="15"/>
          <w:szCs w:val="15"/>
          <w:color w:val="auto"/>
        </w:rPr>
        <w:t xml:space="preserve">”) containing terms not materially less favorable than the terms of such current insurance coverage with respect to claims existing or occurring at or prior to the Effective Time and (ii) if any claim is asserted or made within such six-year period, any insurance required to be maintained under this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shall be continued in respect of such claim until the final disposition thereof.</w:t>
      </w:r>
    </w:p>
    <w:p>
      <w:pPr>
        <w:spacing w:after="0" w:line="156" w:lineRule="exact"/>
        <w:rPr>
          <w:rFonts w:ascii="Arial" w:cs="Arial" w:eastAsia="Arial" w:hAnsi="Arial"/>
          <w:sz w:val="15"/>
          <w:szCs w:val="15"/>
          <w:color w:val="auto"/>
        </w:rPr>
      </w:pPr>
    </w:p>
    <w:p>
      <w:pPr>
        <w:jc w:val="both"/>
        <w:ind w:firstLine="1143"/>
        <w:spacing w:after="0" w:line="272" w:lineRule="auto"/>
        <w:tabs>
          <w:tab w:leader="none" w:pos="1364"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Notwithstanding anything contained in this Agreement to the contrary, this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shall survive the consummation of the Mergers indefinitely and shall be binding, jointly and severally, on Acquiror and the Surviving Company and all successors and assigns of Acquiror and the Surviving Company. In the event that Acquiror, the Surviving Company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Acquiror and the Surviving Company shall ensure that proper provision shall be made so that the successors and assigns of Acquiror or the Surviving Company, as the case may be, shall succeed to the obligations set forth in this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The obligations of Acquiror and the Surviving Company under this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shall not be terminated or modified in such a manner as to materially and adversely affect any present and former director and officer of Acquiror, First Merger Sub, Second Merger Sub, the Company and each of their respective Subsidiaries to whom this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applies without the consent of the affected Person.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9" w:name="page80"/>
    <w:bookmarkEnd w:id="79"/>
    <w:p>
      <w:pPr>
        <w:ind w:left="560"/>
        <w:spacing w:after="0"/>
        <w:rPr>
          <w:sz w:val="20"/>
          <w:szCs w:val="20"/>
          <w:color w:val="auto"/>
        </w:rPr>
      </w:pPr>
      <w:r>
        <w:rPr>
          <w:rFonts w:ascii="Arial" w:cs="Arial" w:eastAsia="Arial" w:hAnsi="Arial"/>
          <w:sz w:val="16"/>
          <w:szCs w:val="16"/>
          <w:b w:val="1"/>
          <w:bCs w:val="1"/>
          <w:color w:val="auto"/>
        </w:rPr>
        <w:t xml:space="preserve">Section 7.03 </w:t>
      </w:r>
      <w:r>
        <w:rPr>
          <w:rFonts w:ascii="Arial" w:cs="Arial" w:eastAsia="Arial" w:hAnsi="Arial"/>
          <w:sz w:val="16"/>
          <w:szCs w:val="16"/>
          <w:b w:val="1"/>
          <w:bCs w:val="1"/>
          <w:u w:val="single" w:color="auto"/>
          <w:color w:val="auto"/>
        </w:rPr>
        <w:t>Conduct of Acquiror During the Interim Period</w:t>
      </w:r>
      <w:r>
        <w:rPr>
          <w:rFonts w:ascii="Arial" w:cs="Arial" w:eastAsia="Arial" w:hAnsi="Arial"/>
          <w:sz w:val="16"/>
          <w:szCs w:val="16"/>
          <w:color w:val="auto"/>
        </w:rPr>
        <w:t>.</w:t>
      </w:r>
    </w:p>
    <w:p>
      <w:pPr>
        <w:spacing w:after="0" w:line="202" w:lineRule="exact"/>
        <w:rPr>
          <w:sz w:val="20"/>
          <w:szCs w:val="20"/>
          <w:color w:val="auto"/>
        </w:rPr>
      </w:pPr>
    </w:p>
    <w:p>
      <w:pPr>
        <w:jc w:val="both"/>
        <w:ind w:right="20" w:firstLine="1143"/>
        <w:spacing w:after="0" w:line="287" w:lineRule="auto"/>
        <w:tabs>
          <w:tab w:leader="none" w:pos="1364" w:val="left"/>
        </w:tabs>
        <w:numPr>
          <w:ilvl w:val="0"/>
          <w:numId w:val="76"/>
        </w:numPr>
        <w:rPr>
          <w:rFonts w:ascii="Arial" w:cs="Arial" w:eastAsia="Arial" w:hAnsi="Arial"/>
          <w:sz w:val="15"/>
          <w:szCs w:val="15"/>
          <w:color w:val="auto"/>
        </w:rPr>
      </w:pPr>
      <w:r>
        <w:rPr>
          <w:rFonts w:ascii="Arial" w:cs="Arial" w:eastAsia="Arial" w:hAnsi="Arial"/>
          <w:sz w:val="15"/>
          <w:szCs w:val="15"/>
          <w:color w:val="auto"/>
        </w:rPr>
        <w:t xml:space="preserve">During the Interim Period, except as set forth on </w:t>
      </w:r>
      <w:r>
        <w:rPr>
          <w:rFonts w:ascii="Arial" w:cs="Arial" w:eastAsia="Arial" w:hAnsi="Arial"/>
          <w:sz w:val="15"/>
          <w:szCs w:val="15"/>
          <w:u w:val="single" w:color="auto"/>
          <w:color w:val="auto"/>
        </w:rPr>
        <w:t>Schedule 7.03</w:t>
      </w:r>
      <w:r>
        <w:rPr>
          <w:rFonts w:ascii="Arial" w:cs="Arial" w:eastAsia="Arial" w:hAnsi="Arial"/>
          <w:sz w:val="15"/>
          <w:szCs w:val="15"/>
          <w:color w:val="auto"/>
        </w:rPr>
        <w:t xml:space="preserve"> or as expressly contemplated by this Agreement (including, for the avoidance for doubt, the execution and delivery of the Subscription Agreements and performance of the Acquiror’s obligations thereunder) or as consented to by the Company in writing (which consent shall not be unreasonably conditioned, withheld or delayed), Acquiror shall not and each shall not permit any of its Subsidiaries to:</w:t>
      </w:r>
    </w:p>
    <w:p>
      <w:pPr>
        <w:spacing w:after="0" w:line="146" w:lineRule="exact"/>
        <w:rPr>
          <w:rFonts w:ascii="Arial" w:cs="Arial" w:eastAsia="Arial" w:hAnsi="Arial"/>
          <w:sz w:val="15"/>
          <w:szCs w:val="15"/>
          <w:color w:val="auto"/>
        </w:rPr>
      </w:pPr>
    </w:p>
    <w:p>
      <w:pPr>
        <w:ind w:left="1900" w:hanging="184"/>
        <w:spacing w:after="0"/>
        <w:tabs>
          <w:tab w:leader="none" w:pos="19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change, modify or amend the Trust Agreement, the Acquiror Organizational Documents or the organizational documents of First Merger Sub or</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Second Merger Sub;</w:t>
      </w:r>
    </w:p>
    <w:p>
      <w:pPr>
        <w:spacing w:after="0" w:line="185" w:lineRule="exact"/>
        <w:rPr>
          <w:rFonts w:ascii="Arial" w:cs="Arial" w:eastAsia="Arial" w:hAnsi="Arial"/>
          <w:sz w:val="14"/>
          <w:szCs w:val="14"/>
          <w:color w:val="auto"/>
        </w:rPr>
      </w:pPr>
    </w:p>
    <w:p>
      <w:pPr>
        <w:jc w:val="both"/>
        <w:ind w:firstLine="1716"/>
        <w:spacing w:after="0" w:line="255" w:lineRule="auto"/>
        <w:tabs>
          <w:tab w:leader="none" w:pos="1955" w:val="left"/>
        </w:tabs>
        <w:numPr>
          <w:ilvl w:val="1"/>
          <w:numId w:val="76"/>
        </w:numPr>
        <w:rPr>
          <w:rFonts w:ascii="Arial" w:cs="Arial" w:eastAsia="Arial" w:hAnsi="Arial"/>
          <w:sz w:val="16"/>
          <w:szCs w:val="16"/>
          <w:color w:val="auto"/>
        </w:rPr>
      </w:pPr>
      <w:r>
        <w:rPr>
          <w:rFonts w:ascii="Arial" w:cs="Arial" w:eastAsia="Arial" w:hAnsi="Arial"/>
          <w:sz w:val="16"/>
          <w:szCs w:val="16"/>
          <w:color w:val="auto"/>
        </w:rPr>
        <w:t>(A) make, declare, set aside or pay any dividends on, or make any other distribution (whether in cash, stock or property) in respect of any of its outstanding capital stock or other equity interests; (B) split, combine, reclassify or otherwise change any of its capital stock or other equity interests; or (C) other than the redemption of any shares of Acquiror Common Stock required by the Offer or as otherwise required by Acquiror’s Organizational Documents in order to consummate the transactions contemplated hereby, repurchase, redeem or otherwise acquire, or offer to repurchase, redeem or otherwise acquire, any capital stock of, or other equity interests in, Acquiror;</w:t>
      </w:r>
    </w:p>
    <w:p>
      <w:pPr>
        <w:spacing w:after="0" w:line="169" w:lineRule="exact"/>
        <w:rPr>
          <w:rFonts w:ascii="Arial" w:cs="Arial" w:eastAsia="Arial" w:hAnsi="Arial"/>
          <w:sz w:val="16"/>
          <w:szCs w:val="16"/>
          <w:color w:val="auto"/>
        </w:rPr>
      </w:pPr>
    </w:p>
    <w:p>
      <w:pPr>
        <w:jc w:val="both"/>
        <w:ind w:firstLine="1716"/>
        <w:spacing w:after="0" w:line="255" w:lineRule="auto"/>
        <w:tabs>
          <w:tab w:leader="none" w:pos="2011" w:val="left"/>
        </w:tabs>
        <w:numPr>
          <w:ilvl w:val="1"/>
          <w:numId w:val="76"/>
        </w:numPr>
        <w:rPr>
          <w:rFonts w:ascii="Arial" w:cs="Arial" w:eastAsia="Arial" w:hAnsi="Arial"/>
          <w:sz w:val="16"/>
          <w:szCs w:val="16"/>
          <w:color w:val="auto"/>
        </w:rPr>
      </w:pPr>
      <w:r>
        <w:rPr>
          <w:rFonts w:ascii="Arial" w:cs="Arial" w:eastAsia="Arial" w:hAnsi="Arial"/>
          <w:sz w:val="16"/>
          <w:szCs w:val="16"/>
          <w:color w:val="auto"/>
        </w:rPr>
        <w:t>make, revoke or change any material Tax election, adopt or change any material Tax accounting method or period, file any amendment to a material Tax Return, enter into any agreement with a Governmental Authority with respect to a material amount of Taxes, settle or compromise any examination, audit or other Action with a Governmental Authority of or relating to any material Taxes or settle or compromise any claim or assessment by a Governmental Authority in respect of material Taxes, consent to any extension or waiver of the statutory period of limitations applicable to any claim or assessment in respect of Taxes, or enter into any Tax sharing or similar agreement (excluding any commercial contract not primarily related to Taxes);</w:t>
      </w:r>
    </w:p>
    <w:p>
      <w:pPr>
        <w:spacing w:after="0" w:line="169" w:lineRule="exact"/>
        <w:rPr>
          <w:rFonts w:ascii="Arial" w:cs="Arial" w:eastAsia="Arial" w:hAnsi="Arial"/>
          <w:sz w:val="16"/>
          <w:szCs w:val="16"/>
          <w:color w:val="auto"/>
        </w:rPr>
      </w:pPr>
    </w:p>
    <w:p>
      <w:pPr>
        <w:ind w:right="20" w:firstLine="1716"/>
        <w:spacing w:after="0" w:line="275" w:lineRule="auto"/>
        <w:tabs>
          <w:tab w:leader="none" w:pos="2002" w:val="left"/>
        </w:tabs>
        <w:numPr>
          <w:ilvl w:val="1"/>
          <w:numId w:val="76"/>
        </w:numPr>
        <w:rPr>
          <w:rFonts w:ascii="Arial" w:cs="Arial" w:eastAsia="Arial" w:hAnsi="Arial"/>
          <w:sz w:val="16"/>
          <w:szCs w:val="16"/>
          <w:color w:val="auto"/>
        </w:rPr>
      </w:pPr>
      <w:r>
        <w:rPr>
          <w:rFonts w:ascii="Arial" w:cs="Arial" w:eastAsia="Arial" w:hAnsi="Arial"/>
          <w:sz w:val="16"/>
          <w:szCs w:val="16"/>
          <w:color w:val="auto"/>
        </w:rPr>
        <w:t>take any action, or knowingly fail to take any action, which action or failure to act could reasonably be expected to prevent or impede the Transactions from qualifying for the Intended Tax Treatment;</w:t>
      </w:r>
    </w:p>
    <w:p>
      <w:pPr>
        <w:spacing w:after="0" w:line="151" w:lineRule="exact"/>
        <w:rPr>
          <w:rFonts w:ascii="Arial" w:cs="Arial" w:eastAsia="Arial" w:hAnsi="Arial"/>
          <w:sz w:val="16"/>
          <w:szCs w:val="16"/>
          <w:color w:val="auto"/>
        </w:rPr>
      </w:pPr>
    </w:p>
    <w:p>
      <w:pPr>
        <w:ind w:right="20" w:firstLine="1716"/>
        <w:spacing w:after="0" w:line="275" w:lineRule="auto"/>
        <w:tabs>
          <w:tab w:leader="none" w:pos="1946"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other than as set forth on </w:t>
      </w:r>
      <w:r>
        <w:rPr>
          <w:rFonts w:ascii="Arial" w:cs="Arial" w:eastAsia="Arial" w:hAnsi="Arial"/>
          <w:sz w:val="16"/>
          <w:szCs w:val="16"/>
          <w:u w:val="single" w:color="auto"/>
          <w:color w:val="auto"/>
        </w:rPr>
        <w:t>Schedule 7.03</w:t>
      </w:r>
      <w:r>
        <w:rPr>
          <w:rFonts w:ascii="Arial" w:cs="Arial" w:eastAsia="Arial" w:hAnsi="Arial"/>
          <w:sz w:val="16"/>
          <w:szCs w:val="16"/>
          <w:color w:val="auto"/>
        </w:rPr>
        <w:t>, enter into, renew or amend in any material respect, any Acquiror Affiliate Agreement (or any Contract, that if existing on the date hereof, would have constitute an Acquiror Affiliate Agreement);</w:t>
      </w:r>
    </w:p>
    <w:p>
      <w:pPr>
        <w:spacing w:after="0" w:line="151" w:lineRule="exact"/>
        <w:rPr>
          <w:rFonts w:ascii="Arial" w:cs="Arial" w:eastAsia="Arial" w:hAnsi="Arial"/>
          <w:sz w:val="16"/>
          <w:szCs w:val="16"/>
          <w:color w:val="auto"/>
        </w:rPr>
      </w:pPr>
    </w:p>
    <w:p>
      <w:pPr>
        <w:jc w:val="both"/>
        <w:ind w:right="20" w:firstLine="1716"/>
        <w:spacing w:after="0" w:line="255" w:lineRule="auto"/>
        <w:tabs>
          <w:tab w:leader="none" w:pos="1990"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enter into, or amend or modify any material term of (in a manner adverse to the Acquiror or any of its Subsidiaries (including the Company and its Subsidiaries)), terminate (excluding any expiration in accordance with its terms), or waive or release any material rights, claims or benefits under, any Contract of a type required to be listed on </w:t>
      </w:r>
      <w:r>
        <w:rPr>
          <w:rFonts w:ascii="Arial" w:cs="Arial" w:eastAsia="Arial" w:hAnsi="Arial"/>
          <w:sz w:val="16"/>
          <w:szCs w:val="16"/>
          <w:u w:val="single" w:color="auto"/>
          <w:color w:val="auto"/>
        </w:rPr>
        <w:t>Schedule 5.16(a)</w:t>
      </w:r>
      <w:r>
        <w:rPr>
          <w:rFonts w:ascii="Arial" w:cs="Arial" w:eastAsia="Arial" w:hAnsi="Arial"/>
          <w:sz w:val="16"/>
          <w:szCs w:val="16"/>
          <w:color w:val="auto"/>
        </w:rPr>
        <w:t xml:space="preserve"> (or any Contract, that if existing on the date hereof, would have been required to be listed on </w:t>
      </w:r>
      <w:r>
        <w:rPr>
          <w:rFonts w:ascii="Arial" w:cs="Arial" w:eastAsia="Arial" w:hAnsi="Arial"/>
          <w:sz w:val="16"/>
          <w:szCs w:val="16"/>
          <w:u w:val="single" w:color="auto"/>
          <w:color w:val="auto"/>
        </w:rPr>
        <w:t>Schedule 5.16(a)</w:t>
      </w:r>
      <w:r>
        <w:rPr>
          <w:rFonts w:ascii="Arial" w:cs="Arial" w:eastAsia="Arial" w:hAnsi="Arial"/>
          <w:sz w:val="16"/>
          <w:szCs w:val="16"/>
          <w:color w:val="auto"/>
        </w:rPr>
        <w:t>) or any collective bargaining or similar agreement (including agreements with works councils and trade unions and side letters) to which the Acquiror or its Subsidiaries is a party or by which it is bound;</w:t>
      </w:r>
    </w:p>
    <w:p>
      <w:pPr>
        <w:spacing w:after="0" w:line="169" w:lineRule="exact"/>
        <w:rPr>
          <w:rFonts w:ascii="Arial" w:cs="Arial" w:eastAsia="Arial" w:hAnsi="Arial"/>
          <w:sz w:val="16"/>
          <w:szCs w:val="16"/>
          <w:color w:val="auto"/>
        </w:rPr>
      </w:pPr>
    </w:p>
    <w:p>
      <w:pPr>
        <w:ind w:right="20" w:firstLine="1716"/>
        <w:spacing w:after="0" w:line="275" w:lineRule="auto"/>
        <w:tabs>
          <w:tab w:leader="none" w:pos="2059" w:val="left"/>
        </w:tabs>
        <w:numPr>
          <w:ilvl w:val="1"/>
          <w:numId w:val="76"/>
        </w:numPr>
        <w:rPr>
          <w:rFonts w:ascii="Arial" w:cs="Arial" w:eastAsia="Arial" w:hAnsi="Arial"/>
          <w:sz w:val="16"/>
          <w:szCs w:val="16"/>
          <w:color w:val="auto"/>
        </w:rPr>
      </w:pPr>
      <w:r>
        <w:rPr>
          <w:rFonts w:ascii="Arial" w:cs="Arial" w:eastAsia="Arial" w:hAnsi="Arial"/>
          <w:sz w:val="16"/>
          <w:szCs w:val="16"/>
          <w:color w:val="auto"/>
        </w:rPr>
        <w:t>waive, release, compromise, settle or satisfy any pending or threatened claim (which shall include, but not be limited to, any pending or threatened Action) or compromise or settle any liability;</w:t>
      </w:r>
    </w:p>
    <w:p>
      <w:pPr>
        <w:spacing w:after="0" w:line="151" w:lineRule="exact"/>
        <w:rPr>
          <w:rFonts w:ascii="Arial" w:cs="Arial" w:eastAsia="Arial" w:hAnsi="Arial"/>
          <w:sz w:val="16"/>
          <w:szCs w:val="16"/>
          <w:color w:val="auto"/>
        </w:rPr>
      </w:pPr>
    </w:p>
    <w:p>
      <w:pPr>
        <w:ind w:left="2080" w:hanging="364"/>
        <w:spacing w:after="0"/>
        <w:tabs>
          <w:tab w:leader="none" w:pos="2080" w:val="left"/>
        </w:tabs>
        <w:numPr>
          <w:ilvl w:val="1"/>
          <w:numId w:val="76"/>
        </w:numPr>
        <w:rPr>
          <w:rFonts w:ascii="Arial" w:cs="Arial" w:eastAsia="Arial" w:hAnsi="Arial"/>
          <w:sz w:val="15"/>
          <w:szCs w:val="15"/>
          <w:color w:val="auto"/>
        </w:rPr>
      </w:pPr>
      <w:r>
        <w:rPr>
          <w:rFonts w:ascii="Arial" w:cs="Arial" w:eastAsia="Arial" w:hAnsi="Arial"/>
          <w:sz w:val="15"/>
          <w:szCs w:val="15"/>
          <w:color w:val="auto"/>
        </w:rPr>
        <w:t>incur, create, assume, refinance, guarantee or otherwise become liable for (whether directly, contingently or otherwise) any Indebtedness;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0" w:name="page81"/>
    <w:bookmarkEnd w:id="80"/>
    <w:p>
      <w:pPr>
        <w:jc w:val="both"/>
        <w:ind w:right="20" w:firstLine="1716"/>
        <w:spacing w:after="0" w:line="254" w:lineRule="auto"/>
        <w:tabs>
          <w:tab w:leader="none" w:pos="19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offer, issue, deliver, grant or sell, or authorize or propose to offer, issue, deliver, grant or sell, any capital stock of, or other equity interests in, Acquiror or any of its Subsidiaries or any securities convertible into, or any rights, warrants or options to acquire, any such capital stock or equity interests, other than (i) in connection with the exercise of any Acquiror Warrants or Acquiror Private Placement Warrants outstanding on the date hereof or (ii) the transactions contemplated by this Agreement (including the transactions contemplated by the Subscription Agreements) or (B) amend, modify or waive any of the terms or rights set forth in, any Acquiror Warrant, any Acquiror Private Placement Warrant or the Warrant Agreement, including any amendment, modification or reduction of the warrant price set forth therein, other than pursuant to the Sponsor Agreement;</w:t>
      </w:r>
    </w:p>
    <w:p>
      <w:pPr>
        <w:spacing w:after="0" w:line="170" w:lineRule="exact"/>
        <w:rPr>
          <w:rFonts w:ascii="Arial" w:cs="Arial" w:eastAsia="Arial" w:hAnsi="Arial"/>
          <w:sz w:val="16"/>
          <w:szCs w:val="16"/>
          <w:color w:val="auto"/>
        </w:rPr>
      </w:pPr>
    </w:p>
    <w:p>
      <w:pPr>
        <w:jc w:val="both"/>
        <w:ind w:right="20" w:firstLine="1716"/>
        <w:spacing w:after="0" w:line="258" w:lineRule="auto"/>
        <w:tabs>
          <w:tab w:leader="none" w:pos="1946" w:val="left"/>
        </w:tabs>
        <w:numPr>
          <w:ilvl w:val="0"/>
          <w:numId w:val="77"/>
        </w:numPr>
        <w:rPr>
          <w:rFonts w:ascii="Arial" w:cs="Arial" w:eastAsia="Arial" w:hAnsi="Arial"/>
          <w:sz w:val="16"/>
          <w:szCs w:val="16"/>
          <w:color w:val="auto"/>
        </w:rPr>
      </w:pPr>
      <w:r>
        <w:rPr>
          <w:rFonts w:ascii="Arial" w:cs="Arial" w:eastAsia="Arial" w:hAnsi="Arial"/>
          <w:sz w:val="16"/>
          <w:szCs w:val="16"/>
          <w:color w:val="auto"/>
        </w:rPr>
        <w:t>(i) fail to maintain its existence or acquire by merger or consolidation with, or merge or consolidate with, or purchase a material portion of the assets or equity of, any corporation, partnership, limited liability company, association, joint venture or other business organization or division thereof; or (ii) adopt or enter into a plan of complete or partial liquidation, dissolution, merger, consolidation, restructuring, recapitalization or other reorganization of the Acquiror or its Subsidiaries (other than the transactions contemplated by this Agreement);</w:t>
      </w:r>
    </w:p>
    <w:p>
      <w:pPr>
        <w:spacing w:after="0" w:line="164" w:lineRule="exact"/>
        <w:rPr>
          <w:rFonts w:ascii="Arial" w:cs="Arial" w:eastAsia="Arial" w:hAnsi="Arial"/>
          <w:sz w:val="16"/>
          <w:szCs w:val="16"/>
          <w:color w:val="auto"/>
        </w:rPr>
      </w:pPr>
    </w:p>
    <w:p>
      <w:pPr>
        <w:ind w:left="1980" w:hanging="264"/>
        <w:spacing w:after="0"/>
        <w:tabs>
          <w:tab w:leader="none" w:pos="19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make any capital expenditures;</w:t>
      </w:r>
    </w:p>
    <w:p>
      <w:pPr>
        <w:spacing w:after="0" w:line="198" w:lineRule="exact"/>
        <w:rPr>
          <w:rFonts w:ascii="Arial" w:cs="Arial" w:eastAsia="Arial" w:hAnsi="Arial"/>
          <w:sz w:val="16"/>
          <w:szCs w:val="16"/>
          <w:color w:val="auto"/>
        </w:rPr>
      </w:pPr>
    </w:p>
    <w:p>
      <w:pPr>
        <w:jc w:val="both"/>
        <w:ind w:right="20" w:firstLine="1716"/>
        <w:spacing w:after="0" w:line="262" w:lineRule="auto"/>
        <w:tabs>
          <w:tab w:leader="none" w:pos="2035" w:val="left"/>
        </w:tabs>
        <w:numPr>
          <w:ilvl w:val="0"/>
          <w:numId w:val="77"/>
        </w:numPr>
        <w:rPr>
          <w:rFonts w:ascii="Arial" w:cs="Arial" w:eastAsia="Arial" w:hAnsi="Arial"/>
          <w:sz w:val="16"/>
          <w:szCs w:val="16"/>
          <w:color w:val="auto"/>
        </w:rPr>
      </w:pPr>
      <w:r>
        <w:rPr>
          <w:rFonts w:ascii="Arial" w:cs="Arial" w:eastAsia="Arial" w:hAnsi="Arial"/>
          <w:sz w:val="16"/>
          <w:szCs w:val="16"/>
          <w:color w:val="auto"/>
        </w:rPr>
        <w:t>make any loans, advances or capital contributions to, or investments in, any other Person (including to any of its officers, directors, agents or consultants), make any change in its existing borrowing or lending arrangements for or on behalf of such Persons, or enter into any “keep well” or similar agreement to maintain the financial condition of any other Person;</w:t>
      </w:r>
    </w:p>
    <w:p>
      <w:pPr>
        <w:spacing w:after="0" w:line="162" w:lineRule="exact"/>
        <w:rPr>
          <w:rFonts w:ascii="Arial" w:cs="Arial" w:eastAsia="Arial" w:hAnsi="Arial"/>
          <w:sz w:val="16"/>
          <w:szCs w:val="16"/>
          <w:color w:val="auto"/>
        </w:rPr>
      </w:pPr>
    </w:p>
    <w:p>
      <w:pPr>
        <w:ind w:left="2080" w:hanging="364"/>
        <w:spacing w:after="0"/>
        <w:tabs>
          <w:tab w:leader="none" w:pos="20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enter into any new line of business outside of the business currently conducted by the Acquiror and its Subsidiaries as of the date of this</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w:t>
      </w:r>
    </w:p>
    <w:p>
      <w:pPr>
        <w:spacing w:after="0" w:line="185" w:lineRule="exact"/>
        <w:rPr>
          <w:rFonts w:ascii="Arial" w:cs="Arial" w:eastAsia="Arial" w:hAnsi="Arial"/>
          <w:sz w:val="15"/>
          <w:szCs w:val="15"/>
          <w:color w:val="auto"/>
        </w:rPr>
      </w:pPr>
    </w:p>
    <w:p>
      <w:pPr>
        <w:ind w:right="20" w:firstLine="1716"/>
        <w:spacing w:after="0" w:line="309" w:lineRule="auto"/>
        <w:tabs>
          <w:tab w:leader="none" w:pos="2082" w:val="left"/>
        </w:tabs>
        <w:numPr>
          <w:ilvl w:val="0"/>
          <w:numId w:val="77"/>
        </w:numPr>
        <w:rPr>
          <w:rFonts w:ascii="Arial" w:cs="Arial" w:eastAsia="Arial" w:hAnsi="Arial"/>
          <w:sz w:val="15"/>
          <w:szCs w:val="15"/>
          <w:color w:val="auto"/>
        </w:rPr>
      </w:pPr>
      <w:r>
        <w:rPr>
          <w:rFonts w:ascii="Arial" w:cs="Arial" w:eastAsia="Arial" w:hAnsi="Arial"/>
          <w:sz w:val="15"/>
          <w:szCs w:val="15"/>
          <w:color w:val="auto"/>
        </w:rPr>
        <w:t>make any change in financial accounting methods, principles or practices, except insofar as may have been required by a change in GAAP, including pursuant to standards, guidelines and interpretations of the Financial Accounting Standards Board or any similar organization, or applicable Law;</w:t>
      </w:r>
    </w:p>
    <w:p>
      <w:pPr>
        <w:spacing w:after="0" w:line="129" w:lineRule="exact"/>
        <w:rPr>
          <w:rFonts w:ascii="Arial" w:cs="Arial" w:eastAsia="Arial" w:hAnsi="Arial"/>
          <w:sz w:val="15"/>
          <w:szCs w:val="15"/>
          <w:color w:val="auto"/>
        </w:rPr>
      </w:pPr>
    </w:p>
    <w:p>
      <w:pPr>
        <w:ind w:right="20" w:firstLine="1716"/>
        <w:spacing w:after="0" w:line="275" w:lineRule="auto"/>
        <w:tabs>
          <w:tab w:leader="none" w:pos="2038" w:val="left"/>
        </w:tabs>
        <w:numPr>
          <w:ilvl w:val="0"/>
          <w:numId w:val="77"/>
        </w:numPr>
        <w:rPr>
          <w:rFonts w:ascii="Arial" w:cs="Arial" w:eastAsia="Arial" w:hAnsi="Arial"/>
          <w:sz w:val="16"/>
          <w:szCs w:val="16"/>
          <w:color w:val="auto"/>
        </w:rPr>
      </w:pPr>
      <w:r>
        <w:rPr>
          <w:rFonts w:ascii="Arial" w:cs="Arial" w:eastAsia="Arial" w:hAnsi="Arial"/>
          <w:sz w:val="16"/>
          <w:szCs w:val="16"/>
          <w:color w:val="auto"/>
        </w:rPr>
        <w:t>voluntarily fail to maintain, cancel or materially change coverage under any insurance policy in form and amount equivalent in all material respects to the insurance coverage currently maintained with respect to the Acquiror and its Subsidiaries and their assets and properties; or</w:t>
      </w:r>
    </w:p>
    <w:p>
      <w:pPr>
        <w:spacing w:after="0" w:line="151" w:lineRule="exact"/>
        <w:rPr>
          <w:rFonts w:ascii="Arial" w:cs="Arial" w:eastAsia="Arial" w:hAnsi="Arial"/>
          <w:sz w:val="16"/>
          <w:szCs w:val="16"/>
          <w:color w:val="auto"/>
        </w:rPr>
      </w:pPr>
    </w:p>
    <w:p>
      <w:pPr>
        <w:ind w:left="2060" w:hanging="344"/>
        <w:spacing w:after="0"/>
        <w:tabs>
          <w:tab w:leader="none" w:pos="2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enter into any agreement to do any action prohibited under this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spacing w:after="0" w:line="198" w:lineRule="exact"/>
        <w:rPr>
          <w:sz w:val="20"/>
          <w:szCs w:val="20"/>
          <w:color w:val="auto"/>
        </w:rPr>
      </w:pPr>
    </w:p>
    <w:p>
      <w:pPr>
        <w:ind w:firstLine="1143"/>
        <w:spacing w:after="0" w:line="275" w:lineRule="auto"/>
        <w:tabs>
          <w:tab w:leader="none" w:pos="13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During the Interim Period, Acquiror shall, and shall cause its Subsidiaries to comply with, and continue performing under, as applicable, the Acquiror Organizational Documents, the Trust Agreement and all other agreements or Contracts to which Acquiror or its Subsidiaries may be a party.</w:t>
      </w:r>
    </w:p>
    <w:p>
      <w:pPr>
        <w:spacing w:after="0" w:line="148" w:lineRule="exact"/>
        <w:rPr>
          <w:sz w:val="20"/>
          <w:szCs w:val="20"/>
          <w:color w:val="auto"/>
        </w:rPr>
      </w:pPr>
    </w:p>
    <w:p>
      <w:pPr>
        <w:jc w:val="both"/>
        <w:ind w:firstLine="574"/>
        <w:spacing w:after="0" w:line="308" w:lineRule="auto"/>
        <w:rPr>
          <w:sz w:val="20"/>
          <w:szCs w:val="20"/>
          <w:color w:val="auto"/>
        </w:rPr>
      </w:pPr>
      <w:r>
        <w:rPr>
          <w:rFonts w:ascii="Arial" w:cs="Arial" w:eastAsia="Arial" w:hAnsi="Arial"/>
          <w:sz w:val="14"/>
          <w:szCs w:val="14"/>
          <w:b w:val="1"/>
          <w:bCs w:val="1"/>
          <w:color w:val="auto"/>
        </w:rPr>
        <w:t xml:space="preserve">Section 7.04 </w:t>
      </w:r>
      <w:r>
        <w:rPr>
          <w:rFonts w:ascii="Arial" w:cs="Arial" w:eastAsia="Arial" w:hAnsi="Arial"/>
          <w:sz w:val="14"/>
          <w:szCs w:val="14"/>
          <w:b w:val="1"/>
          <w:bCs w:val="1"/>
          <w:u w:val="single" w:color="auto"/>
          <w:color w:val="auto"/>
        </w:rPr>
        <w:t>Trust Account</w:t>
      </w:r>
      <w:r>
        <w:rPr>
          <w:rFonts w:ascii="Arial" w:cs="Arial" w:eastAsia="Arial" w:hAnsi="Arial"/>
          <w:sz w:val="14"/>
          <w:szCs w:val="14"/>
          <w:color w:val="auto"/>
        </w:rPr>
        <w:t>. Prior to or at the Closing (subject to the satisfaction or waiver of the conditions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IX</w:t>
      </w:r>
      <w:r>
        <w:rPr>
          <w:rFonts w:ascii="Arial" w:cs="Arial" w:eastAsia="Arial" w:hAnsi="Arial"/>
          <w:sz w:val="14"/>
          <w:szCs w:val="14"/>
          <w:color w:val="auto"/>
        </w:rPr>
        <w:t>), Acquiror shall make appropriate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arrangements to cause the funds in the Trust Account to be disbursed in accordance with the Trust Agreement for the following: (a) the redemption of any shares of Acquiror Common Stock in connection with the Offer; (b) the payment of the Outstanding Company Expenses and Outstanding Acquiror Expenses pursuant to </w:t>
      </w:r>
      <w:r>
        <w:rPr>
          <w:rFonts w:ascii="Arial" w:cs="Arial" w:eastAsia="Arial" w:hAnsi="Arial"/>
          <w:sz w:val="14"/>
          <w:szCs w:val="14"/>
          <w:u w:val="single" w:color="auto"/>
          <w:color w:val="auto"/>
        </w:rPr>
        <w:t>Section 3.10</w:t>
      </w:r>
      <w:r>
        <w:rPr>
          <w:rFonts w:ascii="Arial" w:cs="Arial" w:eastAsia="Arial" w:hAnsi="Arial"/>
          <w:sz w:val="14"/>
          <w:szCs w:val="14"/>
          <w:color w:val="auto"/>
        </w:rPr>
        <w:t>; and (c) the balance of the assets in the Trust Account, if any, after payment of the amounts required under the foregoing clauses (a) and (b), to be disbursed to Acquiror.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1" w:name="page82"/>
    <w:bookmarkEnd w:id="81"/>
    <w:p>
      <w:pPr>
        <w:jc w:val="both"/>
        <w:ind w:firstLine="574"/>
        <w:spacing w:after="0" w:line="293" w:lineRule="auto"/>
        <w:rPr>
          <w:sz w:val="20"/>
          <w:szCs w:val="20"/>
          <w:color w:val="auto"/>
        </w:rPr>
      </w:pPr>
      <w:r>
        <w:rPr>
          <w:rFonts w:ascii="Arial" w:cs="Arial" w:eastAsia="Arial" w:hAnsi="Arial"/>
          <w:sz w:val="14"/>
          <w:szCs w:val="14"/>
          <w:b w:val="1"/>
          <w:bCs w:val="1"/>
          <w:color w:val="auto"/>
        </w:rPr>
        <w:t xml:space="preserve">Section 7.05 </w:t>
      </w:r>
      <w:r>
        <w:rPr>
          <w:rFonts w:ascii="Arial" w:cs="Arial" w:eastAsia="Arial" w:hAnsi="Arial"/>
          <w:sz w:val="14"/>
          <w:szCs w:val="14"/>
          <w:b w:val="1"/>
          <w:bCs w:val="1"/>
          <w:u w:val="single" w:color="auto"/>
          <w:color w:val="auto"/>
        </w:rPr>
        <w:t>Inspection</w:t>
      </w:r>
      <w:r>
        <w:rPr>
          <w:rFonts w:ascii="Arial" w:cs="Arial" w:eastAsia="Arial" w:hAnsi="Arial"/>
          <w:sz w:val="14"/>
          <w:szCs w:val="14"/>
          <w:color w:val="auto"/>
        </w:rPr>
        <w:t>. Subject to confidentiality obligations and similar restrictions that may be applicable to information furnished to Acquiror or its Subsidiaries</w:t>
      </w:r>
      <w:r>
        <w:rPr>
          <w:rFonts w:ascii="Arial" w:cs="Arial" w:eastAsia="Arial" w:hAnsi="Arial"/>
          <w:sz w:val="14"/>
          <w:szCs w:val="14"/>
          <w:b w:val="1"/>
          <w:bCs w:val="1"/>
          <w:color w:val="auto"/>
        </w:rPr>
        <w:t xml:space="preserve"> </w:t>
      </w:r>
      <w:r>
        <w:rPr>
          <w:rFonts w:ascii="Arial" w:cs="Arial" w:eastAsia="Arial" w:hAnsi="Arial"/>
          <w:sz w:val="14"/>
          <w:szCs w:val="14"/>
          <w:color w:val="auto"/>
        </w:rPr>
        <w:t>by third parties that may be in Acquiror’s or its Subsidiaries’ possession from time to time, and except for any information which in the opinion of legal counsel of Acquiror would result in the loss of attorney-client privilege or other privilege from disclosure or would conflict with any applicable Law or confidentiality obligations to which Acquiror or any of its Subsidiaries is bound, Acquiror shall afford to the Company, its Affiliates and their respective Representatives reasonable access during the Interim Period, during normal business hours and with reasonable advance notice, to all of their respective properties, books, projections, plans, systems, Contracts, commitments, Tax Returns, records, commitments, analyses and appropriate officers and employees of Acquiror, and shall furnish such Representatives with all financial and operating data and other information concerning the affairs of Acquiror that are in the possession of Acquiror as such Representatives may reasonably request. The parties shall use commercially reasonable efforts to make alternative arrangements for such disclosure where the restrictions in the preceding sentence apply. All information obtained by the Company, its Affiliates and their respective Representatives under this Agreement shall be subject to the Confidentiality Agreement prior to the Effective Time.</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7.06 </w:t>
      </w:r>
      <w:r>
        <w:rPr>
          <w:rFonts w:ascii="Arial" w:cs="Arial" w:eastAsia="Arial" w:hAnsi="Arial"/>
          <w:sz w:val="16"/>
          <w:szCs w:val="16"/>
          <w:b w:val="1"/>
          <w:bCs w:val="1"/>
          <w:u w:val="single" w:color="auto"/>
          <w:color w:val="auto"/>
        </w:rPr>
        <w:t>Acquiror Nasdaq Listing</w:t>
      </w:r>
      <w:r>
        <w:rPr>
          <w:rFonts w:ascii="Arial" w:cs="Arial" w:eastAsia="Arial" w:hAnsi="Arial"/>
          <w:sz w:val="16"/>
          <w:szCs w:val="16"/>
          <w:color w:val="auto"/>
        </w:rPr>
        <w:t>.</w:t>
      </w:r>
    </w:p>
    <w:p>
      <w:pPr>
        <w:spacing w:after="0" w:line="202" w:lineRule="exact"/>
        <w:rPr>
          <w:sz w:val="20"/>
          <w:szCs w:val="20"/>
          <w:color w:val="auto"/>
        </w:rPr>
      </w:pPr>
    </w:p>
    <w:p>
      <w:pPr>
        <w:ind w:right="20" w:firstLine="1143"/>
        <w:spacing w:after="0" w:line="275" w:lineRule="auto"/>
        <w:tabs>
          <w:tab w:leader="none" w:pos="1364" w:val="left"/>
        </w:tabs>
        <w:numPr>
          <w:ilvl w:val="0"/>
          <w:numId w:val="79"/>
        </w:numPr>
        <w:rPr>
          <w:rFonts w:ascii="Arial" w:cs="Arial" w:eastAsia="Arial" w:hAnsi="Arial"/>
          <w:sz w:val="16"/>
          <w:szCs w:val="16"/>
          <w:color w:val="auto"/>
        </w:rPr>
      </w:pPr>
      <w:r>
        <w:rPr>
          <w:rFonts w:ascii="Arial" w:cs="Arial" w:eastAsia="Arial" w:hAnsi="Arial"/>
          <w:sz w:val="16"/>
          <w:szCs w:val="16"/>
          <w:color w:val="auto"/>
        </w:rPr>
        <w:t>From the date hereof through the Closing, Acquiror shall use commercially reasonable efforts to ensure Acquiror remains listed as a public company on, and for shares of Acquiror Common Stock to be listed on, Nasdaq.</w:t>
      </w:r>
    </w:p>
    <w:p>
      <w:pPr>
        <w:spacing w:after="0" w:line="151" w:lineRule="exact"/>
        <w:rPr>
          <w:rFonts w:ascii="Arial" w:cs="Arial" w:eastAsia="Arial" w:hAnsi="Arial"/>
          <w:sz w:val="16"/>
          <w:szCs w:val="16"/>
          <w:color w:val="auto"/>
        </w:rPr>
      </w:pPr>
    </w:p>
    <w:p>
      <w:pPr>
        <w:jc w:val="both"/>
        <w:ind w:firstLine="1143"/>
        <w:spacing w:after="0" w:line="317" w:lineRule="auto"/>
        <w:tabs>
          <w:tab w:leader="none" w:pos="1373"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Acquiror shall use commercially reasonable efforts to cause the Acquiror Common Stock to be issued in connection with the Transactions (including the Earnout Shares) to be approved for listing on remains as promptly as practicable following the issuance thereof, subject to official notice of issuance, prior to the Closing Date. The Company shall cooperate with Acquiror, including by providing all information and materials necessary, to accomplish the requirements of this </w:t>
      </w:r>
      <w:r>
        <w:rPr>
          <w:rFonts w:ascii="Arial" w:cs="Arial" w:eastAsia="Arial" w:hAnsi="Arial"/>
          <w:sz w:val="14"/>
          <w:szCs w:val="14"/>
          <w:u w:val="single" w:color="auto"/>
          <w:color w:val="auto"/>
        </w:rPr>
        <w:t>Section 7.06</w:t>
      </w:r>
      <w:r>
        <w:rPr>
          <w:rFonts w:ascii="Arial" w:cs="Arial" w:eastAsia="Arial" w:hAnsi="Arial"/>
          <w:sz w:val="14"/>
          <w:szCs w:val="14"/>
          <w:color w:val="auto"/>
        </w:rPr>
        <w:t>.</w:t>
      </w:r>
    </w:p>
    <w:p>
      <w:pPr>
        <w:spacing w:after="0" w:line="123"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b w:val="1"/>
          <w:bCs w:val="1"/>
          <w:color w:val="auto"/>
        </w:rPr>
        <w:t xml:space="preserve">Section 7.07 </w:t>
      </w:r>
      <w:r>
        <w:rPr>
          <w:rFonts w:ascii="Arial" w:cs="Arial" w:eastAsia="Arial" w:hAnsi="Arial"/>
          <w:sz w:val="16"/>
          <w:szCs w:val="16"/>
          <w:b w:val="1"/>
          <w:bCs w:val="1"/>
          <w:u w:val="single" w:color="auto"/>
          <w:color w:val="auto"/>
        </w:rPr>
        <w:t>Acquiror Public Filings</w:t>
      </w:r>
      <w:r>
        <w:rPr>
          <w:rFonts w:ascii="Arial" w:cs="Arial" w:eastAsia="Arial" w:hAnsi="Arial"/>
          <w:sz w:val="16"/>
          <w:szCs w:val="16"/>
          <w:color w:val="auto"/>
        </w:rPr>
        <w:t>. From the date hereof through the Closing, Acquiror will keep current and timely file all reports required to be filed or furnished</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SEC and otherwise comply in all material respects with its reporting obligations under applicable Securities Laws.</w:t>
      </w:r>
    </w:p>
    <w:p>
      <w:pPr>
        <w:spacing w:after="0" w:line="144" w:lineRule="exact"/>
        <w:rPr>
          <w:sz w:val="20"/>
          <w:szCs w:val="20"/>
          <w:color w:val="auto"/>
        </w:rPr>
      </w:pPr>
    </w:p>
    <w:p>
      <w:pPr>
        <w:jc w:val="both"/>
        <w:ind w:right="20" w:firstLine="574"/>
        <w:spacing w:after="0" w:line="282" w:lineRule="auto"/>
        <w:rPr>
          <w:sz w:val="20"/>
          <w:szCs w:val="20"/>
          <w:color w:val="auto"/>
        </w:rPr>
      </w:pPr>
      <w:r>
        <w:rPr>
          <w:rFonts w:ascii="Arial" w:cs="Arial" w:eastAsia="Arial" w:hAnsi="Arial"/>
          <w:sz w:val="15"/>
          <w:szCs w:val="15"/>
          <w:b w:val="1"/>
          <w:bCs w:val="1"/>
          <w:color w:val="auto"/>
        </w:rPr>
        <w:t xml:space="preserve">Section 7.08 </w:t>
      </w:r>
      <w:r>
        <w:rPr>
          <w:rFonts w:ascii="Arial" w:cs="Arial" w:eastAsia="Arial" w:hAnsi="Arial"/>
          <w:sz w:val="15"/>
          <w:szCs w:val="15"/>
          <w:b w:val="1"/>
          <w:bCs w:val="1"/>
          <w:u w:val="single" w:color="auto"/>
          <w:color w:val="auto"/>
        </w:rPr>
        <w:t>Financing</w:t>
      </w:r>
      <w:r>
        <w:rPr>
          <w:rFonts w:ascii="Arial" w:cs="Arial" w:eastAsia="Arial" w:hAnsi="Arial"/>
          <w:sz w:val="15"/>
          <w:szCs w:val="15"/>
          <w:color w:val="auto"/>
        </w:rPr>
        <w:t>. Acquiror, First Merger Sub and Second Merger Sub shall take, or cause to be taken, as promptly as practicable after the date hereof, all</w:t>
      </w:r>
      <w:r>
        <w:rPr>
          <w:rFonts w:ascii="Arial" w:cs="Arial" w:eastAsia="Arial" w:hAnsi="Arial"/>
          <w:sz w:val="15"/>
          <w:szCs w:val="15"/>
          <w:b w:val="1"/>
          <w:bCs w:val="1"/>
          <w:color w:val="auto"/>
        </w:rPr>
        <w:t xml:space="preserve"> </w:t>
      </w:r>
      <w:r>
        <w:rPr>
          <w:rFonts w:ascii="Arial" w:cs="Arial" w:eastAsia="Arial" w:hAnsi="Arial"/>
          <w:sz w:val="15"/>
          <w:szCs w:val="15"/>
          <w:color w:val="auto"/>
        </w:rPr>
        <w:t>actions, and to do, or cause to be done, all things necessary, on or prior to the Closing Date, to consummate the purchases contemplated by the Subscription Agreements on the terms and conditions described or contemplated therein. Notwithstanding anything herein to the contrary, Acquiror shall not enter into Subscription Agreements in amounts in excess of the Base Subscription Amount without the prior written consent of the Company in its sole discretion.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2" w:name="page83"/>
    <w:bookmarkEnd w:id="82"/>
    <w:p>
      <w:pPr>
        <w:jc w:val="both"/>
        <w:ind w:firstLine="574"/>
        <w:spacing w:after="0" w:line="255" w:lineRule="auto"/>
        <w:rPr>
          <w:sz w:val="20"/>
          <w:szCs w:val="20"/>
          <w:color w:val="auto"/>
        </w:rPr>
      </w:pPr>
      <w:r>
        <w:rPr>
          <w:rFonts w:ascii="Arial" w:cs="Arial" w:eastAsia="Arial" w:hAnsi="Arial"/>
          <w:sz w:val="16"/>
          <w:szCs w:val="16"/>
          <w:b w:val="1"/>
          <w:bCs w:val="1"/>
          <w:color w:val="auto"/>
        </w:rPr>
        <w:t xml:space="preserve">Section 7.09 </w:t>
      </w:r>
      <w:r>
        <w:rPr>
          <w:rFonts w:ascii="Arial" w:cs="Arial" w:eastAsia="Arial" w:hAnsi="Arial"/>
          <w:sz w:val="16"/>
          <w:szCs w:val="16"/>
          <w:b w:val="1"/>
          <w:bCs w:val="1"/>
          <w:u w:val="single" w:color="auto"/>
          <w:color w:val="auto"/>
        </w:rPr>
        <w:t>Additional Insurance Matters</w:t>
      </w:r>
      <w:r>
        <w:rPr>
          <w:rFonts w:ascii="Arial" w:cs="Arial" w:eastAsia="Arial" w:hAnsi="Arial"/>
          <w:sz w:val="16"/>
          <w:szCs w:val="16"/>
          <w:color w:val="auto"/>
        </w:rPr>
        <w:t>. Prior to the Closing, Acquiror shall obtain directors’ and officers’ liability insurance that shall be effective as of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and will cover those Persons who will be the directors and officers of Acquiror and its Subsidiaries (including the directors and officers of the Company and its Subsidiaries) at and after the Closing on terms not less favorable than the better of (a) the terms of the current directors’ and officers’ liability insurance in place for the Company’s and its Subsidiaries’ directors and officers and (b)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Acquiror and its Subsidiaries (including the Company and its Subsidiaries).</w:t>
      </w:r>
    </w:p>
    <w:p>
      <w:pPr>
        <w:spacing w:after="0" w:line="165" w:lineRule="exact"/>
        <w:rPr>
          <w:sz w:val="20"/>
          <w:szCs w:val="20"/>
          <w:color w:val="auto"/>
        </w:rPr>
      </w:pPr>
    </w:p>
    <w:p>
      <w:pPr>
        <w:jc w:val="both"/>
        <w:ind w:right="20" w:firstLine="574"/>
        <w:spacing w:after="0" w:line="257" w:lineRule="auto"/>
        <w:rPr>
          <w:sz w:val="20"/>
          <w:szCs w:val="20"/>
          <w:color w:val="auto"/>
        </w:rPr>
      </w:pPr>
      <w:r>
        <w:rPr>
          <w:rFonts w:ascii="Arial" w:cs="Arial" w:eastAsia="Arial" w:hAnsi="Arial"/>
          <w:sz w:val="16"/>
          <w:szCs w:val="16"/>
          <w:b w:val="1"/>
          <w:bCs w:val="1"/>
          <w:color w:val="auto"/>
        </w:rPr>
        <w:t xml:space="preserve">Section 7.10 </w:t>
      </w:r>
      <w:r>
        <w:rPr>
          <w:rFonts w:ascii="Arial" w:cs="Arial" w:eastAsia="Arial" w:hAnsi="Arial"/>
          <w:sz w:val="16"/>
          <w:szCs w:val="16"/>
          <w:b w:val="1"/>
          <w:bCs w:val="1"/>
          <w:u w:val="single" w:color="auto"/>
          <w:color w:val="auto"/>
        </w:rPr>
        <w:t>Section 16 Matters</w:t>
      </w:r>
      <w:r>
        <w:rPr>
          <w:rFonts w:ascii="Arial" w:cs="Arial" w:eastAsia="Arial" w:hAnsi="Arial"/>
          <w:sz w:val="16"/>
          <w:szCs w:val="16"/>
          <w:color w:val="auto"/>
        </w:rPr>
        <w:t>. Prior to the Closing, the board of directors of Acquiror, or an appropriate committee of “non-employee directors” (as defined in Rule</w:t>
      </w:r>
      <w:r>
        <w:rPr>
          <w:rFonts w:ascii="Arial" w:cs="Arial" w:eastAsia="Arial" w:hAnsi="Arial"/>
          <w:sz w:val="16"/>
          <w:szCs w:val="16"/>
          <w:b w:val="1"/>
          <w:bCs w:val="1"/>
          <w:color w:val="auto"/>
        </w:rPr>
        <w:t xml:space="preserve"> </w:t>
      </w:r>
      <w:r>
        <w:rPr>
          <w:rFonts w:ascii="Arial" w:cs="Arial" w:eastAsia="Arial" w:hAnsi="Arial"/>
          <w:sz w:val="16"/>
          <w:szCs w:val="16"/>
          <w:color w:val="auto"/>
        </w:rPr>
        <w:t>16b-3 of the Exchange Act) thereof, shall adopt a resolution consistent with the interpretive guidance of the SEC so that the acquisition of Acquiror Common Stock pursuant to this Agreement (including the Earnout Shares) and the other agreements contemplated hereby, by any person owning securities of the Company who is expected to become a director or officer (as defined under Rule 16a-1(f) under the Exchange Act) of Acquiror following the Closing shall be an exempt transaction for purposes of Section 16(b) of the Exchange Act pursuant to Rule 16b-3 thereunder.</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7.11 </w:t>
      </w:r>
      <w:r>
        <w:rPr>
          <w:rFonts w:ascii="Arial" w:cs="Arial" w:eastAsia="Arial" w:hAnsi="Arial"/>
          <w:sz w:val="16"/>
          <w:szCs w:val="16"/>
          <w:b w:val="1"/>
          <w:bCs w:val="1"/>
          <w:u w:val="single" w:color="auto"/>
          <w:color w:val="auto"/>
        </w:rPr>
        <w:t>No Solicitation</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89" w:lineRule="auto"/>
        <w:tabs>
          <w:tab w:leader="none" w:pos="1364"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From the date of this Agreement until the Effective Time or, if earlier, the valid termination of this Agreement in accordance with </w:t>
      </w:r>
      <w:r>
        <w:rPr>
          <w:rFonts w:ascii="Arial" w:cs="Arial" w:eastAsia="Arial" w:hAnsi="Arial"/>
          <w:sz w:val="14"/>
          <w:szCs w:val="14"/>
          <w:u w:val="single" w:color="auto"/>
          <w:color w:val="auto"/>
        </w:rPr>
        <w:t>Section 10.01</w:t>
      </w:r>
      <w:r>
        <w:rPr>
          <w:rFonts w:ascii="Arial" w:cs="Arial" w:eastAsia="Arial" w:hAnsi="Arial"/>
          <w:sz w:val="14"/>
          <w:szCs w:val="14"/>
          <w:color w:val="auto"/>
        </w:rPr>
        <w:t>, Acquiror will not, and will cause each of its Affiliates and its and their respective directors, officers and employees not to, and shall instruct and use its reasonable best efforts to cause Acquiror’s and its Affiliates’ other Representatives not to, directly or indirectly: (i) solicit, initiate, assist, knowingly encourage or facilitate or cooperate with any inquiries regarding, or the submission or announcement by any Person or “group” (as defined in the Exchange Act and the rules thereunder) (other than the Company) of, any proposal or offer that constitutes, or would reasonably be expected to lead to, any offer, inquiry, proposal or indication of interest, written or oral relating to any Business Combination (a “</w:t>
      </w:r>
      <w:r>
        <w:rPr>
          <w:rFonts w:ascii="Arial" w:cs="Arial" w:eastAsia="Arial" w:hAnsi="Arial"/>
          <w:sz w:val="14"/>
          <w:szCs w:val="14"/>
          <w:u w:val="single" w:color="auto"/>
          <w:color w:val="auto"/>
        </w:rPr>
        <w:t>Business Combination Proposal</w:t>
      </w:r>
      <w:r>
        <w:rPr>
          <w:rFonts w:ascii="Arial" w:cs="Arial" w:eastAsia="Arial" w:hAnsi="Arial"/>
          <w:sz w:val="14"/>
          <w:szCs w:val="14"/>
          <w:color w:val="auto"/>
        </w:rPr>
        <w:t>”); (ii) furnish, or afford access to (including through any virtual data room), any information regarding Acquiror or its businesses, operations, assets, liabilities, financial condition, books and records, prospects or employees to any Person or “group” (as defined in the Exchange Act and the rules thereunder) (other than to the Company or any of its Affiliates or Representatives) in connection with, for the purpose of assisting, soliciting, initiating, encouraging or facilitating, or in response to, or that would reasonably be expected to lead to, any Business Combination Proposal; (iii) enter into, continue, engage in or otherwise participate in any discussions or negotiations with any Person or “group” (as defined in the Exchange Act and the rules thereunder) (other than the Company or its Representatives) with respect to, any Business Combination Proposal, or any agreement, arrangement or understanding (including any letter of intent or similar document, agreement, commitment, or agreement in principle with respect to any Business Combination Proposal), or any inquiry, proposal or offer that would reasonably be expected to lead to any Business Combination Proposal, or announce an intention to do so; (iv) approve, adopt, endorse, recommend or enter into, or propose to approve, adopt, endorse, recommend or enter into, any letter of intent or similar document, agreement, commitment or agreement in principle with respect to any Business Combination Proposal; or (v) release any third Person, or waive any provision of, any confidentiality agreement to which such Person is a party and which directly relates to a potential Business Combination Proposal.</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3" w:name="page84"/>
    <w:bookmarkEnd w:id="83"/>
    <w:p>
      <w:pPr>
        <w:jc w:val="both"/>
        <w:ind w:firstLine="1143"/>
        <w:spacing w:after="0" w:line="253" w:lineRule="auto"/>
        <w:tabs>
          <w:tab w:leader="none" w:pos="13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Acquiror, any of its Affiliates or, to the Acquiror’s knowledge, any of its or their Representatives, receives a Business Combination Proposal or any inquiry, proposal or offer, request for information or request for discussions or negotiations, regarding or constituting a Business Combination Proposal or that is reasonably likely to lead to a Business Combination Proposal, then Acquiror shall promptly (and in no event later than forty eight (48) hours after receipt of such Company Acquisition Proposal or such inquiry, proposal, offer or request) notify the Company in writing of such Business Combination Proposal or such written inquiry, proposal, offer or request (which notification shall, unless expressly prohibited by a confidentiality agreement in effect as of the date hereof, include the identity of the Person making or submitting such Business Combination Proposal or such inquiry, proposal, offer or request and a copy of any such written Business Combination Proposal or such inquiry, proposal, offer or request (or, if not in writing, the material terms and conditions thereof)). Acquiror shall keep the Company promptly informed of the status of any such Business Combination Proposals, inquiries, proposals, offers or requests.</w:t>
      </w:r>
    </w:p>
    <w:p>
      <w:pPr>
        <w:spacing w:after="0" w:line="169" w:lineRule="exact"/>
        <w:rPr>
          <w:rFonts w:ascii="Arial" w:cs="Arial" w:eastAsia="Arial" w:hAnsi="Arial"/>
          <w:sz w:val="16"/>
          <w:szCs w:val="16"/>
          <w:color w:val="auto"/>
        </w:rPr>
      </w:pPr>
    </w:p>
    <w:p>
      <w:pPr>
        <w:jc w:val="both"/>
        <w:ind w:right="20" w:firstLine="1143"/>
        <w:spacing w:after="0" w:line="297" w:lineRule="auto"/>
        <w:tabs>
          <w:tab w:leader="none" w:pos="1387" w:val="left"/>
        </w:tabs>
        <w:numPr>
          <w:ilvl w:val="0"/>
          <w:numId w:val="81"/>
        </w:numPr>
        <w:rPr>
          <w:rFonts w:ascii="Arial" w:cs="Arial" w:eastAsia="Arial" w:hAnsi="Arial"/>
          <w:sz w:val="14"/>
          <w:szCs w:val="14"/>
          <w:color w:val="auto"/>
        </w:rPr>
      </w:pPr>
      <w:r>
        <w:rPr>
          <w:rFonts w:ascii="Arial" w:cs="Arial" w:eastAsia="Arial" w:hAnsi="Arial"/>
          <w:sz w:val="14"/>
          <w:szCs w:val="14"/>
          <w:color w:val="auto"/>
        </w:rPr>
        <w:t>Promptly following the execution and delivery of this Agreement, Acquiror shall, and shall cause each of its Affiliates and its and their respective directors, officers and employees, and shall instruct and use reasonable best efforts to cause Acquiror’s and its Affiliates’ and its and their other respective Representatives to (and the parties to the Sponsor Agreement have acknowledged to the Company that they shall), immediately cease and cause to be terminated any existing solicitation of, or discussions or negotiations with, any Person or “group” (as defined in the Exchange Act and the rules thereunder) (other than the Company or its Representatives) relating to any Business Combination Proposal made on, prior to or after the date hereof. Acquiror shall not, and shall cause its Affiliates not to, release any third party from, or waive, amend or modify any provision of, or grant permission under, or fail to enforce, any standstill provision in any agreement to which Acquiror or any of its Affiliates is a party.</w:t>
      </w:r>
    </w:p>
    <w:p>
      <w:pPr>
        <w:spacing w:after="0" w:line="143" w:lineRule="exact"/>
        <w:rPr>
          <w:rFonts w:ascii="Arial" w:cs="Arial" w:eastAsia="Arial" w:hAnsi="Arial"/>
          <w:sz w:val="14"/>
          <w:szCs w:val="14"/>
          <w:color w:val="auto"/>
        </w:rPr>
      </w:pPr>
    </w:p>
    <w:p>
      <w:pPr>
        <w:ind w:right="20" w:firstLine="1143"/>
        <w:spacing w:after="0" w:line="309" w:lineRule="auto"/>
        <w:tabs>
          <w:tab w:leader="none" w:pos="1373"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Without limiting the foregoing, it is understood that any violation of the restrictions contained in this </w:t>
      </w:r>
      <w:r>
        <w:rPr>
          <w:rFonts w:ascii="Arial" w:cs="Arial" w:eastAsia="Arial" w:hAnsi="Arial"/>
          <w:sz w:val="15"/>
          <w:szCs w:val="15"/>
          <w:u w:val="single" w:color="auto"/>
          <w:color w:val="auto"/>
        </w:rPr>
        <w:t>Section 7.11</w:t>
      </w:r>
      <w:r>
        <w:rPr>
          <w:rFonts w:ascii="Arial" w:cs="Arial" w:eastAsia="Arial" w:hAnsi="Arial"/>
          <w:sz w:val="15"/>
          <w:szCs w:val="15"/>
          <w:color w:val="auto"/>
        </w:rPr>
        <w:t xml:space="preserve"> by any of Acquiror’s Affiliates, or any of the Acquiror’s or its Affiliates’ respective Representatives acting on Acquiror’s behalf, shall be deemed to be a breach of this </w:t>
      </w:r>
      <w:r>
        <w:rPr>
          <w:rFonts w:ascii="Arial" w:cs="Arial" w:eastAsia="Arial" w:hAnsi="Arial"/>
          <w:sz w:val="15"/>
          <w:szCs w:val="15"/>
          <w:u w:val="single" w:color="auto"/>
          <w:color w:val="auto"/>
        </w:rPr>
        <w:t>Section 7.11</w:t>
      </w:r>
      <w:r>
        <w:rPr>
          <w:rFonts w:ascii="Arial" w:cs="Arial" w:eastAsia="Arial" w:hAnsi="Arial"/>
          <w:sz w:val="15"/>
          <w:szCs w:val="15"/>
          <w:color w:val="auto"/>
        </w:rPr>
        <w:t xml:space="preserve"> by Acquiror.</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7.12 </w:t>
      </w:r>
      <w:r>
        <w:rPr>
          <w:rFonts w:ascii="Arial" w:cs="Arial" w:eastAsia="Arial" w:hAnsi="Arial"/>
          <w:sz w:val="16"/>
          <w:szCs w:val="16"/>
          <w:b w:val="1"/>
          <w:bCs w:val="1"/>
          <w:u w:val="single" w:color="auto"/>
          <w:color w:val="auto"/>
        </w:rPr>
        <w:t>Bylaws</w:t>
      </w:r>
      <w:r>
        <w:rPr>
          <w:rFonts w:ascii="Arial" w:cs="Arial" w:eastAsia="Arial" w:hAnsi="Arial"/>
          <w:sz w:val="16"/>
          <w:szCs w:val="16"/>
          <w:color w:val="auto"/>
        </w:rPr>
        <w:t>. Prior to the consummation of the Transactions, Acquiror shall adopt the Acquiror A&amp;R Bylaws.</w:t>
      </w:r>
    </w:p>
    <w:p>
      <w:pPr>
        <w:spacing w:after="0" w:line="19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color w:val="auto"/>
        </w:rPr>
        <w:t xml:space="preserve">Section 7.13 </w:t>
      </w:r>
      <w:r>
        <w:rPr>
          <w:rFonts w:ascii="Arial" w:cs="Arial" w:eastAsia="Arial" w:hAnsi="Arial"/>
          <w:sz w:val="16"/>
          <w:szCs w:val="16"/>
          <w:b w:val="1"/>
          <w:bCs w:val="1"/>
          <w:u w:val="single" w:color="auto"/>
          <w:color w:val="auto"/>
        </w:rPr>
        <w:t>Director Appointments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agreed in writing by the Company and Acquiror prior to the Closing, and conditioned upon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Closing, subject to any limitation imposed under applicable Laws and Nasdaq listing requirements, Acquiror shall take all actions necessary or appropriate to cause (a) the Acquiror Board to consist of seven (7) directors, divided into three (3) classes, designated Class I, II and III, with Class I consisting of two (2) directors with an initial term that expires in 2022, Class II consisting of two (2) directors with an initial term that expires in 2023, and Class III consisting of three (3) directors with an initial term that expires in 2024 and (b) the individuals set forth on Schedule 7.13 to be elected as members of the Acquiror Board, effective as of the Closing. On the Closing Date, Acquiror shall enter into customary indemnification agreements reasonably satisfactory to the Company with the individuals set forth on Schedule 7.13, which indemnification agreements shall continue to be effective following the Closing.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4" w:name="page85"/>
    <w:bookmarkEnd w:id="84"/>
    <w:p>
      <w:pPr>
        <w:ind w:left="560"/>
        <w:spacing w:after="0"/>
        <w:rPr>
          <w:sz w:val="20"/>
          <w:szCs w:val="20"/>
          <w:color w:val="auto"/>
        </w:rPr>
      </w:pPr>
      <w:r>
        <w:rPr>
          <w:rFonts w:ascii="Arial" w:cs="Arial" w:eastAsia="Arial" w:hAnsi="Arial"/>
          <w:sz w:val="16"/>
          <w:szCs w:val="16"/>
          <w:b w:val="1"/>
          <w:bCs w:val="1"/>
          <w:color w:val="auto"/>
        </w:rPr>
        <w:t xml:space="preserve">Section 7.14 </w:t>
      </w:r>
      <w:r>
        <w:rPr>
          <w:rFonts w:ascii="Arial" w:cs="Arial" w:eastAsia="Arial" w:hAnsi="Arial"/>
          <w:sz w:val="16"/>
          <w:szCs w:val="16"/>
          <w:b w:val="1"/>
          <w:bCs w:val="1"/>
          <w:u w:val="single" w:color="auto"/>
          <w:color w:val="auto"/>
        </w:rPr>
        <w:t>Employee Matters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80" w:lineRule="auto"/>
        <w:tabs>
          <w:tab w:leader="none" w:pos="1364" w:val="left"/>
        </w:tabs>
        <w:numPr>
          <w:ilvl w:val="0"/>
          <w:numId w:val="82"/>
        </w:numPr>
        <w:rPr>
          <w:rFonts w:ascii="Arial" w:cs="Arial" w:eastAsia="Arial" w:hAnsi="Arial"/>
          <w:sz w:val="15"/>
          <w:szCs w:val="15"/>
          <w:color w:val="auto"/>
        </w:rPr>
      </w:pPr>
      <w:r>
        <w:rPr>
          <w:rFonts w:ascii="Arial" w:cs="Arial" w:eastAsia="Arial" w:hAnsi="Arial"/>
          <w:sz w:val="15"/>
          <w:szCs w:val="15"/>
          <w:color w:val="auto"/>
        </w:rPr>
        <w:t>As soon as practicable following the date that is sixty (60) days after the Closing and subject to applicable securities Laws, Acquiror shall file an effective registration statement on Form S-8 (or other applicable form) with respect to the Acquiror Common Stock issuable under the Acquiror Incentive Plan and the Acquiror ESPP, and Acquiror shall use commercially reasonable efforts to maintain the effectiveness of such registration statement(s) (and maintain the current status of the prospectus or prospectuses contained therein) for so long as awards granted pursuant to the Acquiror Incentive Plan and the Acquiror ESPP remain outstanding.</w:t>
      </w:r>
    </w:p>
    <w:p>
      <w:pPr>
        <w:spacing w:after="0" w:line="151" w:lineRule="exact"/>
        <w:rPr>
          <w:rFonts w:ascii="Arial" w:cs="Arial" w:eastAsia="Arial" w:hAnsi="Arial"/>
          <w:sz w:val="15"/>
          <w:szCs w:val="15"/>
          <w:color w:val="auto"/>
        </w:rPr>
      </w:pPr>
    </w:p>
    <w:p>
      <w:pPr>
        <w:jc w:val="both"/>
        <w:ind w:right="20" w:firstLine="1143"/>
        <w:spacing w:after="0" w:line="253" w:lineRule="auto"/>
        <w:tabs>
          <w:tab w:leader="none" w:pos="1385"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Acquiror, First Merger Sub, Second Merger Sub and the Company acknowledge and agree that all provisions contained in this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are included for the sole benefit of Acquiror and the Company, and that nothing in this Agreement, whether express or implied, (i) shall be construed to establish, amend, or modify any employee benefit plan, program, agreement or arrangement, (ii) shall limit the right of Acquiror, the Company or their respective Affiliates to amend, terminate or otherwise modify any Company Benefit Plan or other employee benefit plan, agreement or other arrangement following the Closing Date, or (iii) shall confer upon any person who is not a party to this Agreement (including any equityholder, any current or former director, manager, officer, employee or independent contractor of the Company, or any participant in any Company Benefit Plan or other employee benefit plan, agreement or other arrangement (or any dependent or beneficiary thereof)), any right to continued or resumed employment or recall, any right to compensation or benefits, or any third-party beneficiary or other right of any kind or nature whatsoever.</w:t>
      </w:r>
    </w:p>
    <w:p>
      <w:pPr>
        <w:spacing w:after="0" w:line="165"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color w:val="auto"/>
        </w:rPr>
        <w:t xml:space="preserve">Section 7.15 </w:t>
      </w:r>
      <w:r>
        <w:rPr>
          <w:rFonts w:ascii="Arial" w:cs="Arial" w:eastAsia="Arial" w:hAnsi="Arial"/>
          <w:sz w:val="16"/>
          <w:szCs w:val="16"/>
          <w:b w:val="1"/>
          <w:bCs w:val="1"/>
          <w:u w:val="single" w:color="auto"/>
          <w:color w:val="auto"/>
        </w:rPr>
        <w:t>Transaction Litigation</w:t>
      </w:r>
      <w:r>
        <w:rPr>
          <w:rFonts w:ascii="Arial" w:cs="Arial" w:eastAsia="Arial" w:hAnsi="Arial"/>
          <w:sz w:val="16"/>
          <w:szCs w:val="16"/>
          <w:color w:val="auto"/>
        </w:rPr>
        <w:t>. In the event that any stockholder litigation related to this Agreement, the agreements ancillary to the Agreement,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contemplated hereby or thereby is brought or threatened in writing against Acquiror, or any of the members of its board of directors, after the date of this Agreement and prior to the Effective Time (the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Acquiror shall promptly (and in any event within forty-eight (48) hours) notify the Company in writing (e-mail being sufficient) of any such Transaction Litigation and shall keep the Company reasonably informed with respect to the status thereof. Acquiror shall give the Company the opportunity to participate in the defense of any Transaction Litigation and keep the Company reasonably apprised of, and consult with the Company (and consider in good faith the Company’s advice), with respect to, proposed strategy and any material decisions related thereto. Acquiror shall not settle or agree to settle any Transaction Litigation without the Company’s prior written consent.</w:t>
      </w:r>
    </w:p>
    <w:p>
      <w:pPr>
        <w:spacing w:after="0" w:line="167"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b w:val="1"/>
          <w:bCs w:val="1"/>
          <w:color w:val="auto"/>
        </w:rPr>
        <w:t xml:space="preserve">Section 7.16 </w:t>
      </w:r>
      <w:r>
        <w:rPr>
          <w:rFonts w:ascii="Arial" w:cs="Arial" w:eastAsia="Arial" w:hAnsi="Arial"/>
          <w:sz w:val="16"/>
          <w:szCs w:val="16"/>
          <w:b w:val="1"/>
          <w:bCs w:val="1"/>
          <w:u w:val="single" w:color="auto"/>
          <w:color w:val="auto"/>
        </w:rPr>
        <w:t>Termination of Acquiror Affiliate Agreements</w:t>
      </w:r>
      <w:r>
        <w:rPr>
          <w:rFonts w:ascii="Arial" w:cs="Arial" w:eastAsia="Arial" w:hAnsi="Arial"/>
          <w:sz w:val="16"/>
          <w:szCs w:val="16"/>
          <w:color w:val="auto"/>
        </w:rPr>
        <w:t>. Acquiror shall cause all Acquiror Affiliate Agreements, including those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5.19</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liabilities and obligations of Acquiror pursuant thereto to be terminated as of the Effective Time, in each case, without further liability or obligation of any kind to Acquiror, First Merger Sub, Second Merger Sub, the Company or any of the Company’s Subsidiaries.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b w:val="1"/>
          <w:bCs w:val="1"/>
          <w:color w:val="auto"/>
        </w:rPr>
        <w:t>ARTICLE VIII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JOINT COVENANTS</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b w:val="1"/>
          <w:bCs w:val="1"/>
          <w:color w:val="auto"/>
        </w:rPr>
        <w:t xml:space="preserve">Section 8.01 </w:t>
      </w:r>
      <w:r>
        <w:rPr>
          <w:rFonts w:ascii="Arial" w:cs="Arial" w:eastAsia="Arial" w:hAnsi="Arial"/>
          <w:sz w:val="15"/>
          <w:szCs w:val="15"/>
          <w:b w:val="1"/>
          <w:bCs w:val="1"/>
          <w:u w:val="single" w:color="auto"/>
          <w:color w:val="auto"/>
        </w:rPr>
        <w:t>Support of Transaction</w:t>
      </w:r>
      <w:r>
        <w:rPr>
          <w:rFonts w:ascii="Arial" w:cs="Arial" w:eastAsia="Arial" w:hAnsi="Arial"/>
          <w:sz w:val="15"/>
          <w:szCs w:val="15"/>
          <w:color w:val="auto"/>
        </w:rPr>
        <w:t>. Without limiting any covenant contained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VI</w:t>
      </w:r>
      <w:r>
        <w:rPr>
          <w:rFonts w:ascii="Arial" w:cs="Arial" w:eastAsia="Arial" w:hAnsi="Arial"/>
          <w:sz w:val="15"/>
          <w:szCs w:val="15"/>
          <w:b w:val="1"/>
          <w:bCs w:val="1"/>
          <w:color w:val="auto"/>
        </w:rPr>
        <w:t xml:space="preserve"> </w:t>
      </w:r>
      <w:r>
        <w:rPr>
          <w:rFonts w:ascii="Arial" w:cs="Arial" w:eastAsia="Arial" w:hAnsi="Arial"/>
          <w:sz w:val="15"/>
          <w:szCs w:val="15"/>
          <w:color w:val="auto"/>
        </w:rPr>
        <w:t>or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VII</w:t>
      </w:r>
      <w:r>
        <w:rPr>
          <w:rFonts w:ascii="Arial" w:cs="Arial" w:eastAsia="Arial" w:hAnsi="Arial"/>
          <w:sz w:val="15"/>
          <w:szCs w:val="15"/>
          <w:color w:val="auto"/>
        </w:rPr>
        <w:t>, including the obligations of the Company and Acquiror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respect to the notifications, filings, reaffirmations and applications described in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respectively, which obligations shall control to the extent of any conflict with the succeeding provisions of this </w:t>
      </w:r>
      <w:r>
        <w:rPr>
          <w:rFonts w:ascii="Arial" w:cs="Arial" w:eastAsia="Arial" w:hAnsi="Arial"/>
          <w:sz w:val="15"/>
          <w:szCs w:val="15"/>
          <w:u w:val="single" w:color="auto"/>
          <w:color w:val="auto"/>
        </w:rPr>
        <w:t>Section 8.01</w:t>
      </w:r>
      <w:r>
        <w:rPr>
          <w:rFonts w:ascii="Arial" w:cs="Arial" w:eastAsia="Arial" w:hAnsi="Arial"/>
          <w:sz w:val="15"/>
          <w:szCs w:val="15"/>
          <w:color w:val="auto"/>
        </w:rPr>
        <w:t xml:space="preserve">, Acquiror and the Company shall each, and shall each cause their respective Subsidiaries to: (a) use commercially reasonable efforts to assemble, prepare and file any information (and, as needed, to supplement such information) as may be reasonably necessary to obtain as promptly as practicable all governmental and regulatory consents required to be obtained in connection with the Transactions, (b) use commercially reasonable efforts to obtain all material consents and approvals of third parties that any of Acquiror, the Company, or their respective Affiliates are required to obtain in order to consummate the Transactions, including any required approvals of parties to material Contracts with the Company or its Subsidiaries, and (c) take such other action as may reasonably be necessary or as another party may reasonably request to satisfy the conditions of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or otherwise to comply with this Agreement and to consummate the Transactions as soon as practicable. Notwithstanding the foregoing, in no event shall Acquiror, First Merger Sub, Second Merger Sub, the Company or its Subsidiaries be obligated to bear any expense or pay any fee or grant any concession in connection with obtaining any consents, authorizations or approvals pursuant to the terms of any Contract to which the Company or its Subsidiaries is a party or otherwise in connection with the consummation of the Transactions.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8.02 </w:t>
      </w:r>
      <w:r>
        <w:rPr>
          <w:rFonts w:ascii="Arial" w:cs="Arial" w:eastAsia="Arial" w:hAnsi="Arial"/>
          <w:sz w:val="16"/>
          <w:szCs w:val="16"/>
          <w:b w:val="1"/>
          <w:bCs w:val="1"/>
          <w:u w:val="single" w:color="auto"/>
          <w:color w:val="auto"/>
        </w:rPr>
        <w:t>Preparation of Proxy Statement/Registration Statement; Shareholders’ Meeting and Approvals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70" w:lineRule="auto"/>
        <w:tabs>
          <w:tab w:leader="none" w:pos="1376" w:val="left"/>
        </w:tabs>
        <w:numPr>
          <w:ilvl w:val="0"/>
          <w:numId w:val="83"/>
        </w:numPr>
        <w:rPr>
          <w:rFonts w:ascii="Arial" w:cs="Arial" w:eastAsia="Arial" w:hAnsi="Arial"/>
          <w:sz w:val="15"/>
          <w:szCs w:val="15"/>
          <w:color w:val="auto"/>
        </w:rPr>
      </w:pPr>
      <w:r>
        <w:rPr>
          <w:rFonts w:ascii="Arial" w:cs="Arial" w:eastAsia="Arial" w:hAnsi="Arial"/>
          <w:sz w:val="15"/>
          <w:szCs w:val="15"/>
          <w:color w:val="auto"/>
        </w:rPr>
        <w:t>As soon as reasonably practicable, and using commercially reasonable efforts, the Company shall deliver to Acquiror (A) audited consolidated balance sheets as of June 30, 2021 and 2020 and consolidated statements of operations and comprehensive (loss) income, stockholders’ deficit and cash flows of the Company for the 12-month periods ended June 30, 2021 and 2020 together with the auditor’s reports thereon, which comply in all material respects with the applicable accounting requirements and with the rules and regulations of the SEC, the Exchange Act and the Securities Act applicable to a registrant (collectively, the “</w:t>
      </w:r>
      <w:r>
        <w:rPr>
          <w:rFonts w:ascii="Arial" w:cs="Arial" w:eastAsia="Arial" w:hAnsi="Arial"/>
          <w:sz w:val="15"/>
          <w:szCs w:val="15"/>
          <w:u w:val="single" w:color="auto"/>
          <w:color w:val="auto"/>
        </w:rPr>
        <w:t>PCAOB Financial Statements</w:t>
      </w:r>
      <w:r>
        <w:rPr>
          <w:rFonts w:ascii="Arial" w:cs="Arial" w:eastAsia="Arial" w:hAnsi="Arial"/>
          <w:sz w:val="15"/>
          <w:szCs w:val="15"/>
          <w:color w:val="auto"/>
        </w:rPr>
        <w:t xml:space="preserve">”); provided, that, upon delivery of such PCAOB Financial Statements, such financial statements shall be deemed “Financial Statements” for all the purposes of this Agreement and the representation and warranties set forth in </w:t>
      </w:r>
      <w:r>
        <w:rPr>
          <w:rFonts w:ascii="Arial" w:cs="Arial" w:eastAsia="Arial" w:hAnsi="Arial"/>
          <w:sz w:val="15"/>
          <w:szCs w:val="15"/>
          <w:u w:val="single" w:color="auto"/>
          <w:color w:val="auto"/>
        </w:rPr>
        <w:t>Section 4.07</w:t>
      </w:r>
      <w:r>
        <w:rPr>
          <w:rFonts w:ascii="Arial" w:cs="Arial" w:eastAsia="Arial" w:hAnsi="Arial"/>
          <w:sz w:val="15"/>
          <w:szCs w:val="15"/>
          <w:color w:val="auto"/>
        </w:rPr>
        <w:t xml:space="preserve"> shall be deemed to apply to such Financial Statements with the same force and effect as if made as of the date of this Agreement; (B) all other audited and unaudited financial statements of the Company and any company or business units acquired by it, as applicable, required under the applicable rules and regulations of the SEC and applicable Law to be included in the Proxy Statement/Prospectus and any required Current Report on Form 8-K (including pro forma financial information); (C) all selected financial data of the Company required by Item 301 of Regulation S-K, as necessary for inclusion in the Proxy Statement/Prospectus and any required Current Report on Form 8-K; and (D) management’s discussion and analysis of financial condition and results of operations prepared in accordance with Item 303 of Regulation S-K of the SEC with respect to the periods ended June 30, 2020 and 2019, as necessary for inclusion in the Proxy Statement/Prospectus and any required Current Report on Form 8-K (including pro forma financial information).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6" w:name="page87"/>
    <w:bookmarkEnd w:id="86"/>
    <w:p>
      <w:pPr>
        <w:jc w:val="both"/>
        <w:ind w:firstLine="1143"/>
        <w:spacing w:after="0" w:line="269" w:lineRule="auto"/>
        <w:tabs>
          <w:tab w:leader="none" w:pos="1373" w:val="left"/>
        </w:tabs>
        <w:numPr>
          <w:ilvl w:val="0"/>
          <w:numId w:val="84"/>
        </w:numPr>
        <w:rPr>
          <w:rFonts w:ascii="Arial" w:cs="Arial" w:eastAsia="Arial" w:hAnsi="Arial"/>
          <w:sz w:val="15"/>
          <w:szCs w:val="15"/>
          <w:color w:val="auto"/>
        </w:rPr>
      </w:pPr>
      <w:r>
        <w:rPr>
          <w:rFonts w:ascii="Arial" w:cs="Arial" w:eastAsia="Arial" w:hAnsi="Arial"/>
          <w:sz w:val="15"/>
          <w:szCs w:val="15"/>
          <w:color w:val="auto"/>
        </w:rPr>
        <w:t>As promptly as practicable and with the parties hereto using commercially reasonable efforts to file after the execution of this Agreement and the delivery of the PCAOB Financial Statements, (i) Acquiror, First Merger Sub, Second Merger Sub and the Company shall jointly prepare, and upon the prior approval of both Acquiror and the Company, Acquiror shall file with the SEC, a registration statement on Form S-4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containing a proxy statement/prospectus (the “</w:t>
      </w:r>
      <w:r>
        <w:rPr>
          <w:rFonts w:ascii="Arial" w:cs="Arial" w:eastAsia="Arial" w:hAnsi="Arial"/>
          <w:sz w:val="15"/>
          <w:szCs w:val="15"/>
          <w:u w:val="single" w:color="auto"/>
          <w:color w:val="auto"/>
        </w:rPr>
        <w:t>Proxy</w:t>
      </w:r>
      <w:r>
        <w:rPr>
          <w:rFonts w:ascii="Arial" w:cs="Arial" w:eastAsia="Arial" w:hAnsi="Arial"/>
          <w:sz w:val="15"/>
          <w:szCs w:val="15"/>
          <w:color w:val="auto"/>
        </w:rPr>
        <w:t xml:space="preserve"> </w:t>
      </w:r>
      <w:r>
        <w:rPr>
          <w:rFonts w:ascii="Arial" w:cs="Arial" w:eastAsia="Arial" w:hAnsi="Arial"/>
          <w:sz w:val="15"/>
          <w:szCs w:val="15"/>
          <w:u w:val="single" w:color="auto"/>
          <w:color w:val="auto"/>
        </w:rPr>
        <w:t>Statement/Prospectus</w:t>
      </w:r>
      <w:r>
        <w:rPr>
          <w:rFonts w:ascii="Arial" w:cs="Arial" w:eastAsia="Arial" w:hAnsi="Arial"/>
          <w:sz w:val="15"/>
          <w:szCs w:val="15"/>
          <w:color w:val="auto"/>
        </w:rPr>
        <w:t>”), in preliminary form, to be filed with the SEC in connection with the Special Meeting for the purpose of, among other things: soliciting proxies from holders of Acquiror Common Stock to vote at the Special Meeting in favor of: (i) approval of the Acquiror A&amp;R Charter (the “</w:t>
      </w:r>
      <w:r>
        <w:rPr>
          <w:rFonts w:ascii="Arial" w:cs="Arial" w:eastAsia="Arial" w:hAnsi="Arial"/>
          <w:sz w:val="15"/>
          <w:szCs w:val="15"/>
          <w:u w:val="single" w:color="auto"/>
          <w:color w:val="auto"/>
        </w:rPr>
        <w:t>Amendment Proposal</w:t>
      </w:r>
      <w:r>
        <w:rPr>
          <w:rFonts w:ascii="Arial" w:cs="Arial" w:eastAsia="Arial" w:hAnsi="Arial"/>
          <w:sz w:val="15"/>
          <w:szCs w:val="15"/>
          <w:color w:val="auto"/>
        </w:rPr>
        <w:t>”), (ii) approval of the issuance of Acquiror Common Stock as contemplated by this Agreement (the “</w:t>
      </w:r>
      <w:r>
        <w:rPr>
          <w:rFonts w:ascii="Arial" w:cs="Arial" w:eastAsia="Arial" w:hAnsi="Arial"/>
          <w:sz w:val="15"/>
          <w:szCs w:val="15"/>
          <w:u w:val="single" w:color="auto"/>
          <w:color w:val="auto"/>
        </w:rPr>
        <w:t>Issuance Proposal</w:t>
      </w:r>
      <w:r>
        <w:rPr>
          <w:rFonts w:ascii="Arial" w:cs="Arial" w:eastAsia="Arial" w:hAnsi="Arial"/>
          <w:sz w:val="15"/>
          <w:szCs w:val="15"/>
          <w:color w:val="auto"/>
        </w:rPr>
        <w:t>”), (iii) approval of the issuance of Acquiror Common Stock pursuant to each Subscription Agreement and any other issuance of Acquiror Common Stock in connection with the Transactions in accordance with this Agreement, in each case to the extent required by Nasdaq listing rules (the “</w:t>
      </w:r>
      <w:r>
        <w:rPr>
          <w:rFonts w:ascii="Arial" w:cs="Arial" w:eastAsia="Arial" w:hAnsi="Arial"/>
          <w:sz w:val="15"/>
          <w:szCs w:val="15"/>
          <w:u w:val="single" w:color="auto"/>
          <w:color w:val="auto"/>
        </w:rPr>
        <w:t>Subscription Proposals</w:t>
      </w:r>
      <w:r>
        <w:rPr>
          <w:rFonts w:ascii="Arial" w:cs="Arial" w:eastAsia="Arial" w:hAnsi="Arial"/>
          <w:sz w:val="15"/>
          <w:szCs w:val="15"/>
          <w:color w:val="auto"/>
        </w:rPr>
        <w:t>”), (iv) the adoption of the Acquiror Incentive Plan (the “</w:t>
      </w:r>
      <w:r>
        <w:rPr>
          <w:rFonts w:ascii="Arial" w:cs="Arial" w:eastAsia="Arial" w:hAnsi="Arial"/>
          <w:sz w:val="15"/>
          <w:szCs w:val="15"/>
          <w:u w:val="single" w:color="auto"/>
          <w:color w:val="auto"/>
        </w:rPr>
        <w:t>Incentive Plan Proposal</w:t>
      </w:r>
      <w:r>
        <w:rPr>
          <w:rFonts w:ascii="Arial" w:cs="Arial" w:eastAsia="Arial" w:hAnsi="Arial"/>
          <w:sz w:val="15"/>
          <w:szCs w:val="15"/>
          <w:color w:val="auto"/>
        </w:rPr>
        <w:t>”), (v) the adoption of the Acquiror ESPP (the “</w:t>
      </w:r>
      <w:r>
        <w:rPr>
          <w:rFonts w:ascii="Arial" w:cs="Arial" w:eastAsia="Arial" w:hAnsi="Arial"/>
          <w:sz w:val="15"/>
          <w:szCs w:val="15"/>
          <w:u w:val="single" w:color="auto"/>
          <w:color w:val="auto"/>
        </w:rPr>
        <w:t>Employee Stock Purchase Plan Proposal</w:t>
      </w:r>
      <w:r>
        <w:rPr>
          <w:rFonts w:ascii="Arial" w:cs="Arial" w:eastAsia="Arial" w:hAnsi="Arial"/>
          <w:sz w:val="15"/>
          <w:szCs w:val="15"/>
          <w:color w:val="auto"/>
        </w:rPr>
        <w:t>”) and (vi) approval of any other proposals reasonably agreed by Acquiror and the Company to be necessary or appropriate in connection with the transaction contemplated hereby (the “</w:t>
      </w:r>
      <w:r>
        <w:rPr>
          <w:rFonts w:ascii="Arial" w:cs="Arial" w:eastAsia="Arial" w:hAnsi="Arial"/>
          <w:sz w:val="15"/>
          <w:szCs w:val="15"/>
          <w:u w:val="single" w:color="auto"/>
          <w:color w:val="auto"/>
        </w:rPr>
        <w:t>Additional Proposal</w:t>
      </w:r>
      <w:r>
        <w:rPr>
          <w:rFonts w:ascii="Arial" w:cs="Arial" w:eastAsia="Arial" w:hAnsi="Arial"/>
          <w:sz w:val="15"/>
          <w:szCs w:val="15"/>
          <w:color w:val="auto"/>
        </w:rPr>
        <w:t>” and, together with the Amendment Proposal, Issuance Proposal, Subscription Proposals, Incentive Plan Proposal, and Employee Stock Purchase Plan Proposal, the “</w:t>
      </w:r>
      <w:r>
        <w:rPr>
          <w:rFonts w:ascii="Arial" w:cs="Arial" w:eastAsia="Arial" w:hAnsi="Arial"/>
          <w:sz w:val="15"/>
          <w:szCs w:val="15"/>
          <w:u w:val="single" w:color="auto"/>
          <w:color w:val="auto"/>
        </w:rPr>
        <w:t>Proposals</w:t>
      </w:r>
      <w:r>
        <w:rPr>
          <w:rFonts w:ascii="Arial" w:cs="Arial" w:eastAsia="Arial" w:hAnsi="Arial"/>
          <w:sz w:val="15"/>
          <w:szCs w:val="15"/>
          <w:color w:val="auto"/>
        </w:rPr>
        <w:t>”). The Acquiror Incentive Plan shall provide that an aggregate number of shares of Acquiror Common Stock equal to 5% of the outstanding shares of Acquiror Common Stock as of Closing shall be reserved for issuance pursuant to the Acquiror Incentive Plan, subject to annual increases as provided therein. The Acquiror ESPP shall initially reserve a number of shares of Acquiror Common Stock constituting no less than 2.5% of the outstanding shares of Acquiror Common Stock as of Closing.</w:t>
      </w:r>
    </w:p>
    <w:p>
      <w:pPr>
        <w:spacing w:after="0" w:line="161" w:lineRule="exact"/>
        <w:rPr>
          <w:rFonts w:ascii="Arial" w:cs="Arial" w:eastAsia="Arial" w:hAnsi="Arial"/>
          <w:sz w:val="15"/>
          <w:szCs w:val="15"/>
          <w:color w:val="auto"/>
        </w:rPr>
      </w:pPr>
    </w:p>
    <w:p>
      <w:pPr>
        <w:jc w:val="both"/>
        <w:ind w:firstLine="1143"/>
        <w:spacing w:after="0" w:line="270" w:lineRule="auto"/>
        <w:tabs>
          <w:tab w:leader="none" w:pos="1376" w:val="left"/>
        </w:tabs>
        <w:numPr>
          <w:ilvl w:val="0"/>
          <w:numId w:val="84"/>
        </w:numPr>
        <w:rPr>
          <w:rFonts w:ascii="Arial" w:cs="Arial" w:eastAsia="Arial" w:hAnsi="Arial"/>
          <w:sz w:val="15"/>
          <w:szCs w:val="15"/>
          <w:color w:val="auto"/>
        </w:rPr>
      </w:pPr>
      <w:r>
        <w:rPr>
          <w:rFonts w:ascii="Arial" w:cs="Arial" w:eastAsia="Arial" w:hAnsi="Arial"/>
          <w:sz w:val="15"/>
          <w:szCs w:val="15"/>
          <w:color w:val="auto"/>
        </w:rPr>
        <w:t>Each of Acquiror, First Merger Sub, Second Merger Sub and the Company shall use its reasonable efforts to cause the Registration Statement and the Proxy Statement/Prospectus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contemplated hereby, and to obtain all necessary state securities law or “Blue Sky” approvals required to carry out the transactions contemplated hereby. Each of Acquiror, First Merger Sub, Second Merger Sub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Registration Statement, the Proxy Statement/Prospectus, a current report on Form 8-K pursuant to the Exchange Act in connection with the transactions, or any other statement, filing, notice or application made by or on behalf of Acquiror, First Merger Sub, Second Merger Sub and the Company or their respective Subsidiaries to any regulatory authority (including Nasdaq) in connection with the Transactions (the “</w:t>
      </w:r>
      <w:r>
        <w:rPr>
          <w:rFonts w:ascii="Arial" w:cs="Arial" w:eastAsia="Arial" w:hAnsi="Arial"/>
          <w:sz w:val="15"/>
          <w:szCs w:val="15"/>
          <w:u w:val="single" w:color="auto"/>
          <w:color w:val="auto"/>
        </w:rPr>
        <w:t>Solicitation Documents</w:t>
      </w:r>
      <w:r>
        <w:rPr>
          <w:rFonts w:ascii="Arial" w:cs="Arial" w:eastAsia="Arial" w:hAnsi="Arial"/>
          <w:sz w:val="15"/>
          <w:szCs w:val="15"/>
          <w:color w:val="auto"/>
        </w:rPr>
        <w:t>”). Acquiror shall file an amendment to the Registration Statement containing a definitive Proxy Statement/Prospectus with the SEC and, as promptly as practicable after the Registration Statement is declared effective under the Securities Act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Effective Date</w:t>
      </w:r>
      <w:r>
        <w:rPr>
          <w:rFonts w:ascii="Arial" w:cs="Arial" w:eastAsia="Arial" w:hAnsi="Arial"/>
          <w:sz w:val="15"/>
          <w:szCs w:val="15"/>
          <w:color w:val="auto"/>
        </w:rPr>
        <w:t>”), cause the definitive Proxy Statement/Prospectus to be mailed to its stockholders of record, as of the record date to be established by the board of directors of Acquiror.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7" w:name="page88"/>
    <w:bookmarkEnd w:id="87"/>
    <w:p>
      <w:pPr>
        <w:jc w:val="both"/>
        <w:ind w:firstLine="1143"/>
        <w:spacing w:after="0" w:line="272" w:lineRule="auto"/>
        <w:tabs>
          <w:tab w:leader="none" w:pos="1385"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Company will give Acquiror prompt written notice of any action taken or not taken by the Company or its Subsidiaries or of any development regarding the Company or its Subsidiaries, in any such case which is known by the Company, that would cause the Proxy Statement to contain an untrue statement of a material fact or omit to state a material fact necessary in order to make the statements, in light of the circumstances under which they were made, not misleading; provided, that, if any such action shall be taken or fail to be taken or such development shall otherwise occur, Acquiror and the Company shall cooperate fully to cause an amendment or supplement to be made promptly to the Proxy Statement, such that the Proxy Statement no longer contains an untrue statement of a material fact or omit to state a material fact necessary in order to make the statements, in light of the circumstances under which they were made, not misleading; provided, further, however, that no information received by Acquiror pursuant to this Section 6.06 shall operate as a waiver or otherwise affect any representation, warranty or agreement given or made by the party who disclosed such information, and no such information shall be deemed to change, supplement or amend the Schedules.</w:t>
      </w:r>
    </w:p>
    <w:p>
      <w:pPr>
        <w:spacing w:after="0" w:line="156" w:lineRule="exact"/>
        <w:rPr>
          <w:rFonts w:ascii="Arial" w:cs="Arial" w:eastAsia="Arial" w:hAnsi="Arial"/>
          <w:sz w:val="15"/>
          <w:szCs w:val="15"/>
          <w:color w:val="auto"/>
        </w:rPr>
      </w:pPr>
    </w:p>
    <w:p>
      <w:pPr>
        <w:jc w:val="both"/>
        <w:ind w:firstLine="1143"/>
        <w:spacing w:after="0" w:line="274" w:lineRule="auto"/>
        <w:tabs>
          <w:tab w:leader="none" w:pos="1364" w:val="left"/>
        </w:tabs>
        <w:numPr>
          <w:ilvl w:val="0"/>
          <w:numId w:val="85"/>
        </w:numPr>
        <w:rPr>
          <w:rFonts w:ascii="Arial" w:cs="Arial" w:eastAsia="Arial" w:hAnsi="Arial"/>
          <w:sz w:val="15"/>
          <w:szCs w:val="15"/>
          <w:color w:val="auto"/>
        </w:rPr>
      </w:pPr>
      <w:r>
        <w:rPr>
          <w:rFonts w:ascii="Arial" w:cs="Arial" w:eastAsia="Arial" w:hAnsi="Arial"/>
          <w:sz w:val="15"/>
          <w:szCs w:val="15"/>
          <w:color w:val="auto"/>
        </w:rPr>
        <w:t>If, at any time prior to the Closing, Acquiror or the Company discovers or becomes aware of any information that should be set forth in an amendment or supplement to the Registration Statement or the Proxy Statement/Prospectus so that the Proxy Statement/Prospectus would not include any misstatement of a material fact or omit to state any material fact necessary to make the statements therein, in light of the circumstances under which they were made, not misleading, such party shall inform the other parties, and Acquiror shall prepare (and the Company shall cooperate in preparing, to the extent necessary) and promptly file an appropriate amendment or supplement to the Registration Statement or the Proxy Statement/Prospectus containing such information and, to the extent required by applicable Laws, transmit to Acquiror’s stockholders such amendment or supplement to the Proxy Statement/Prospectus containing such information.</w:t>
      </w:r>
    </w:p>
    <w:p>
      <w:pPr>
        <w:spacing w:after="0" w:line="156" w:lineRule="exact"/>
        <w:rPr>
          <w:rFonts w:ascii="Arial" w:cs="Arial" w:eastAsia="Arial" w:hAnsi="Arial"/>
          <w:sz w:val="15"/>
          <w:szCs w:val="15"/>
          <w:color w:val="auto"/>
        </w:rPr>
      </w:pPr>
    </w:p>
    <w:p>
      <w:pPr>
        <w:jc w:val="both"/>
        <w:ind w:firstLine="1143"/>
        <w:spacing w:after="0" w:line="288" w:lineRule="auto"/>
        <w:tabs>
          <w:tab w:leader="none" w:pos="1473" w:val="left"/>
        </w:tabs>
        <w:numPr>
          <w:ilvl w:val="0"/>
          <w:numId w:val="85"/>
        </w:numPr>
        <w:rPr>
          <w:rFonts w:ascii="Arial" w:cs="Arial" w:eastAsia="Arial" w:hAnsi="Arial"/>
          <w:sz w:val="14"/>
          <w:szCs w:val="14"/>
          <w:color w:val="auto"/>
        </w:rPr>
      </w:pPr>
      <w:r>
        <w:rPr>
          <w:rFonts w:ascii="Arial" w:cs="Arial" w:eastAsia="Arial" w:hAnsi="Arial"/>
          <w:sz w:val="14"/>
          <w:szCs w:val="14"/>
          <w:color w:val="auto"/>
        </w:rPr>
        <w:t>Acquiror shall, as promptly as practicable following the Registration Statement Effective Date, establish a record date (which date shall be mutually agreed with the Company) for, duly call and give notice of, the Special Meeting. Acquiror shall convene and hold, no later than 45 days (which may be extended to 60 days if Acquiror determines it is desirable to do so, after consultation with the Company) after the Proxy Statement/Prospectus is mailed, a meeting of Acquiror’s stockholders (the “</w:t>
      </w:r>
      <w:r>
        <w:rPr>
          <w:rFonts w:ascii="Arial" w:cs="Arial" w:eastAsia="Arial" w:hAnsi="Arial"/>
          <w:sz w:val="14"/>
          <w:szCs w:val="14"/>
          <w:u w:val="single" w:color="auto"/>
          <w:color w:val="auto"/>
        </w:rPr>
        <w:t>Special Meeting</w:t>
      </w:r>
      <w:r>
        <w:rPr>
          <w:rFonts w:ascii="Arial" w:cs="Arial" w:eastAsia="Arial" w:hAnsi="Arial"/>
          <w:sz w:val="14"/>
          <w:szCs w:val="14"/>
          <w:color w:val="auto"/>
        </w:rPr>
        <w:t>”), for the purpose of obtaining the approval of the Proposals. Acquiror shall use its reasonable best efforts to obtain the approval of the Proposals at the Special Meeting, including by soliciting proxies as promptly as practicable in accordance with applicable Law for the purpose of seeking the approval of the Proposals. Acquiror shall, through the Acquiror Board, recommend to its stockholders that they approve the Proposals (the “</w:t>
      </w:r>
      <w:r>
        <w:rPr>
          <w:rFonts w:ascii="Arial" w:cs="Arial" w:eastAsia="Arial" w:hAnsi="Arial"/>
          <w:sz w:val="14"/>
          <w:szCs w:val="14"/>
          <w:u w:val="single" w:color="auto"/>
          <w:color w:val="auto"/>
        </w:rPr>
        <w:t>Acquiror Board Recommendation</w:t>
      </w:r>
      <w:r>
        <w:rPr>
          <w:rFonts w:ascii="Arial" w:cs="Arial" w:eastAsia="Arial" w:hAnsi="Arial"/>
          <w:sz w:val="14"/>
          <w:szCs w:val="14"/>
          <w:color w:val="auto"/>
        </w:rPr>
        <w:t>”) and shall include the Acquiror Board Recommendation in the Proxy Statement/Prospectus. The board of directors of Acquiror shall not (and no committee or subgroup thereof shall) change, withdraw, withhold, qualify or modify, or publicly propose to change, withdraw, withhold, qualify or modify, the Acquiror Board Recommendation (a “</w:t>
      </w:r>
      <w:r>
        <w:rPr>
          <w:rFonts w:ascii="Arial" w:cs="Arial" w:eastAsia="Arial" w:hAnsi="Arial"/>
          <w:sz w:val="14"/>
          <w:szCs w:val="14"/>
          <w:u w:val="single" w:color="auto"/>
          <w:color w:val="auto"/>
        </w:rPr>
        <w:t>Change in</w:t>
      </w:r>
      <w:r>
        <w:rPr>
          <w:rFonts w:ascii="Arial" w:cs="Arial" w:eastAsia="Arial" w:hAnsi="Arial"/>
          <w:sz w:val="14"/>
          <w:szCs w:val="14"/>
          <w:color w:val="auto"/>
        </w:rPr>
        <w:t xml:space="preserve"> </w:t>
      </w:r>
      <w:r>
        <w:rPr>
          <w:rFonts w:ascii="Arial" w:cs="Arial" w:eastAsia="Arial" w:hAnsi="Arial"/>
          <w:sz w:val="14"/>
          <w:szCs w:val="14"/>
          <w:u w:val="single" w:color="auto"/>
          <w:color w:val="auto"/>
        </w:rPr>
        <w:t>Recommendation</w:t>
      </w:r>
      <w:r>
        <w:rPr>
          <w:rFonts w:ascii="Arial" w:cs="Arial" w:eastAsia="Arial" w:hAnsi="Arial"/>
          <w:sz w:val="14"/>
          <w:szCs w:val="14"/>
          <w:color w:val="auto"/>
        </w:rPr>
        <w:t xml:space="preserve">”). Acquiror agrees that its obligation to establish a record date for, duly call, give notice of, convene and hold the Special Meeting for the purpose of seeking approval of the Proposals shall not be affected by any Change in Recommendation, and Acquiror agrees to establish a record date for, duly call, give notice of, convene and hold the Special Meeting and submit for the approval of its stockholders the matters contemplated by the Proxy Statement/Prospectus as contemplated by this </w:t>
      </w:r>
      <w:r>
        <w:rPr>
          <w:rFonts w:ascii="Arial" w:cs="Arial" w:eastAsia="Arial" w:hAnsi="Arial"/>
          <w:sz w:val="14"/>
          <w:szCs w:val="14"/>
          <w:u w:val="single" w:color="auto"/>
          <w:color w:val="auto"/>
        </w:rPr>
        <w:t>Section 8.02(f)</w:t>
      </w:r>
      <w:r>
        <w:rPr>
          <w:rFonts w:ascii="Arial" w:cs="Arial" w:eastAsia="Arial" w:hAnsi="Arial"/>
          <w:sz w:val="14"/>
          <w:szCs w:val="14"/>
          <w:color w:val="auto"/>
        </w:rPr>
        <w:t xml:space="preserve">, regardless of whether or not there shall have occurred any Change in Recommendation. Notwithstanding anything to the contrary contained in this Agreement, Acquiror shall be entitled to postpone or adjourn the Special Meeting: (i) to ensure that any supplement or amendment to the Proxy Statement/Prospectus that the board of directors of Acquiror has determined in good faith is required by applicable Law is disclosed to Acquiror’s stockholders and for such supplement or amendment to be promptly disseminated to Acquiror’s stockholders prior to the Special Meeting; (ii) if, as of the time for which the Special Meeting is originally scheduled (as set forth in the Proxy Statement/Prospectus), there are insufficient shares of Acquiror Common Stock represented (either in person or by proxy) to constitute a quorum necessary to conduct the business to be conducted at the Special Meeting; (iii) in order to solicit additional proxies from stockholders for purposes of obtaining approval of the Proposals; or (iv) if the holders of Acquiror Common Stock have elected to redeem a number of Acquiror Common Stock as of such time that would reasonably be expected to result in Acquiror not satisfying the condition set forth in </w:t>
      </w:r>
      <w:r>
        <w:rPr>
          <w:rFonts w:ascii="Arial" w:cs="Arial" w:eastAsia="Arial" w:hAnsi="Arial"/>
          <w:sz w:val="14"/>
          <w:szCs w:val="14"/>
          <w:u w:val="single" w:color="auto"/>
          <w:color w:val="auto"/>
        </w:rPr>
        <w:t>Section 9.03(e)</w:t>
      </w:r>
      <w:r>
        <w:rPr>
          <w:rFonts w:ascii="Arial" w:cs="Arial" w:eastAsia="Arial" w:hAnsi="Arial"/>
          <w:sz w:val="14"/>
          <w:szCs w:val="14"/>
          <w:color w:val="auto"/>
        </w:rPr>
        <w:t>; provided, that in the event of a postponement or adjournment pursuant to clauses (i), (ii), (iii) or (iv) above, the Special Meeting shall be reconvened as promptly as practicable following such time as the matters described in such clauses have been resolved.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8" w:name="page89"/>
    <w:bookmarkEnd w:id="88"/>
    <w:p>
      <w:pPr>
        <w:ind w:left="564"/>
        <w:spacing w:after="0"/>
        <w:rPr>
          <w:sz w:val="20"/>
          <w:szCs w:val="20"/>
          <w:color w:val="auto"/>
        </w:rPr>
      </w:pPr>
      <w:r>
        <w:rPr>
          <w:rFonts w:ascii="Arial" w:cs="Arial" w:eastAsia="Arial" w:hAnsi="Arial"/>
          <w:sz w:val="16"/>
          <w:szCs w:val="16"/>
          <w:b w:val="1"/>
          <w:bCs w:val="1"/>
          <w:color w:val="auto"/>
        </w:rPr>
        <w:t xml:space="preserve">Section 8.03 </w:t>
      </w:r>
      <w:r>
        <w:rPr>
          <w:rFonts w:ascii="Arial" w:cs="Arial" w:eastAsia="Arial" w:hAnsi="Arial"/>
          <w:sz w:val="16"/>
          <w:szCs w:val="16"/>
          <w:b w:val="1"/>
          <w:bCs w:val="1"/>
          <w:u w:val="single" w:color="auto"/>
          <w:color w:val="auto"/>
        </w:rPr>
        <w:t>Company Requisite Approval.</w:t>
      </w:r>
    </w:p>
    <w:p>
      <w:pPr>
        <w:spacing w:after="0" w:line="202" w:lineRule="exact"/>
        <w:rPr>
          <w:sz w:val="20"/>
          <w:szCs w:val="20"/>
          <w:color w:val="auto"/>
        </w:rPr>
      </w:pPr>
    </w:p>
    <w:p>
      <w:pPr>
        <w:jc w:val="both"/>
        <w:ind w:left="4" w:firstLine="1143"/>
        <w:spacing w:after="0" w:line="255" w:lineRule="auto"/>
        <w:tabs>
          <w:tab w:leader="none" w:pos="1368"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Company shall, through the Company Board, recommend to the Company Stockholders that they adopt this Agreement. The Company shall take all action necessary to solicit the Company Requisite Approval via written consent as soon as practicable after the Registration Statement Effective Date. The Company will provide Acquiror with copies of all written consents it receives within five (5) Business Days of receipt of the Company Requisite Approval. If the Company Requisite Approval is obtained, then promptly following the receipt of the required written consents, the Company will prepare and deliver to its stockholders who have not consented the notice required by Section 228(e) and 262 of the DGCL.</w:t>
      </w:r>
    </w:p>
    <w:p>
      <w:pPr>
        <w:spacing w:after="0" w:line="169" w:lineRule="exact"/>
        <w:rPr>
          <w:rFonts w:ascii="Arial" w:cs="Arial" w:eastAsia="Arial" w:hAnsi="Arial"/>
          <w:sz w:val="16"/>
          <w:szCs w:val="16"/>
          <w:color w:val="auto"/>
        </w:rPr>
      </w:pPr>
    </w:p>
    <w:p>
      <w:pPr>
        <w:jc w:val="both"/>
        <w:ind w:left="4" w:firstLine="1143"/>
        <w:spacing w:after="0" w:line="288" w:lineRule="auto"/>
        <w:tabs>
          <w:tab w:leader="none" w:pos="1389" w:val="left"/>
        </w:tabs>
        <w:numPr>
          <w:ilvl w:val="1"/>
          <w:numId w:val="86"/>
        </w:numPr>
        <w:rPr>
          <w:rFonts w:ascii="Arial" w:cs="Arial" w:eastAsia="Arial" w:hAnsi="Arial"/>
          <w:sz w:val="14"/>
          <w:szCs w:val="14"/>
          <w:color w:val="auto"/>
        </w:rPr>
      </w:pPr>
      <w:r>
        <w:rPr>
          <w:rFonts w:ascii="Arial" w:cs="Arial" w:eastAsia="Arial" w:hAnsi="Arial"/>
          <w:sz w:val="14"/>
          <w:szCs w:val="14"/>
          <w:color w:val="auto"/>
        </w:rPr>
        <w:t xml:space="preserve">To the extent the Company Requisite Approval is not delivered pursuant to </w:t>
      </w:r>
      <w:r>
        <w:rPr>
          <w:rFonts w:ascii="Arial" w:cs="Arial" w:eastAsia="Arial" w:hAnsi="Arial"/>
          <w:sz w:val="14"/>
          <w:szCs w:val="14"/>
          <w:u w:val="single" w:color="auto"/>
          <w:color w:val="auto"/>
        </w:rPr>
        <w:t>Section 8.03(a)</w:t>
      </w:r>
      <w:r>
        <w:rPr>
          <w:rFonts w:ascii="Arial" w:cs="Arial" w:eastAsia="Arial" w:hAnsi="Arial"/>
          <w:sz w:val="14"/>
          <w:szCs w:val="14"/>
          <w:color w:val="auto"/>
        </w:rPr>
        <w:t xml:space="preserve"> within one (1) day following the Registration Statement Effective Date, then the Company shall take all action necessary to duly call, given notice, convene and hold the Company Stockholders Meeting as soon as practicable, and, in connection therewith, the Company shall (i) mail a stockholder information statement and proxy solicitation which shall include, without limitation, the Proxy Statement/Prospectus and a notice of dissent and appraisal rights as required under applicable Delaware law to the holders of Company Common Stock in advance of such meeting for the purpose of soliciting from the holders of Company Common Stock proxies to vote in favor of the adoption of this Agreement and approval of the Mergers; and</w:t>
      </w:r>
    </w:p>
    <w:p>
      <w:pPr>
        <w:spacing w:after="0" w:line="2" w:lineRule="exact"/>
        <w:rPr>
          <w:rFonts w:ascii="Arial" w:cs="Arial" w:eastAsia="Arial" w:hAnsi="Arial"/>
          <w:sz w:val="14"/>
          <w:szCs w:val="14"/>
          <w:color w:val="auto"/>
        </w:rPr>
      </w:pPr>
    </w:p>
    <w:p>
      <w:pPr>
        <w:jc w:val="both"/>
        <w:ind w:left="4" w:hanging="4"/>
        <w:spacing w:after="0" w:line="300" w:lineRule="auto"/>
        <w:tabs>
          <w:tab w:leader="none" w:pos="243" w:val="left"/>
        </w:tabs>
        <w:numPr>
          <w:ilvl w:val="0"/>
          <w:numId w:val="87"/>
        </w:numPr>
        <w:rPr>
          <w:rFonts w:ascii="Arial" w:cs="Arial" w:eastAsia="Arial" w:hAnsi="Arial"/>
          <w:sz w:val="14"/>
          <w:szCs w:val="14"/>
          <w:color w:val="auto"/>
        </w:rPr>
      </w:pPr>
      <w:r>
        <w:rPr>
          <w:rFonts w:ascii="Arial" w:cs="Arial" w:eastAsia="Arial" w:hAnsi="Arial"/>
          <w:sz w:val="14"/>
          <w:szCs w:val="14"/>
          <w:color w:val="auto"/>
        </w:rPr>
        <w:t>take all other actions necessary or advisable to secure the vote or consent of the Company Stockholders required by applicable Law to obtain such approval. The Company shall keep Acquiror, First Merger Sub and Second Merger Sub updated with respect to proxy solicitation results as requested by Acquiror, First Merger Sub or Second Merger Sub. Once the Company Stockholders Meeting has been called and noticed, the Company shall not postpone or adjourn the Company Stockholders Meeting without the consent of Acquiror (other than: (i) in order to obtain a quorum of its stockholders; or (ii) as reasonably determined by the Company to comply with applicable Law).</w:t>
      </w:r>
    </w:p>
    <w:p>
      <w:pPr>
        <w:spacing w:after="0" w:line="138" w:lineRule="exact"/>
        <w:rPr>
          <w:rFonts w:ascii="Arial" w:cs="Arial" w:eastAsia="Arial" w:hAnsi="Arial"/>
          <w:sz w:val="14"/>
          <w:szCs w:val="14"/>
          <w:color w:val="auto"/>
        </w:rPr>
      </w:pPr>
    </w:p>
    <w:p>
      <w:pPr>
        <w:jc w:val="both"/>
        <w:ind w:left="4" w:right="20" w:firstLine="1143"/>
        <w:spacing w:after="0" w:line="262" w:lineRule="auto"/>
        <w:tabs>
          <w:tab w:leader="none" w:pos="1392"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Unless this Agreement has been terminated in accordance with its terms, the Company’s obligation to solicit written consents from the Company Stockholders to give the Company Requisite Approval in accordance with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shall not be limited or otherwise affected by the making, commencement, disclosure, announcement or submission of any other acquisition proposal.</w:t>
      </w:r>
    </w:p>
    <w:p>
      <w:pPr>
        <w:spacing w:after="0" w:line="158" w:lineRule="exact"/>
        <w:rPr>
          <w:sz w:val="20"/>
          <w:szCs w:val="20"/>
          <w:color w:val="auto"/>
        </w:rPr>
      </w:pPr>
    </w:p>
    <w:p>
      <w:pPr>
        <w:ind w:left="564"/>
        <w:spacing w:after="0"/>
        <w:rPr>
          <w:sz w:val="20"/>
          <w:szCs w:val="20"/>
          <w:color w:val="auto"/>
        </w:rPr>
      </w:pPr>
      <w:r>
        <w:rPr>
          <w:rFonts w:ascii="Arial" w:cs="Arial" w:eastAsia="Arial" w:hAnsi="Arial"/>
          <w:sz w:val="16"/>
          <w:szCs w:val="16"/>
          <w:b w:val="1"/>
          <w:bCs w:val="1"/>
          <w:color w:val="auto"/>
        </w:rPr>
        <w:t xml:space="preserve">Section 8.04 </w:t>
      </w:r>
      <w:r>
        <w:rPr>
          <w:rFonts w:ascii="Arial" w:cs="Arial" w:eastAsia="Arial" w:hAnsi="Arial"/>
          <w:sz w:val="16"/>
          <w:szCs w:val="16"/>
          <w:b w:val="1"/>
          <w:bCs w:val="1"/>
          <w:u w:val="single" w:color="auto"/>
          <w:color w:val="auto"/>
        </w:rPr>
        <w:t>Tax Matters.</w:t>
      </w:r>
    </w:p>
    <w:p>
      <w:pPr>
        <w:spacing w:after="0" w:line="202" w:lineRule="exact"/>
        <w:rPr>
          <w:sz w:val="20"/>
          <w:szCs w:val="20"/>
          <w:color w:val="auto"/>
        </w:rPr>
      </w:pPr>
    </w:p>
    <w:p>
      <w:pPr>
        <w:jc w:val="both"/>
        <w:ind w:left="4" w:firstLine="1143"/>
        <w:spacing w:after="0" w:line="262" w:lineRule="auto"/>
        <w:tabs>
          <w:tab w:leader="none" w:pos="1404"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Notwithstanding anything to the contrary contained herein, the Company shall pay all transfer, documentary, sales, use, stamp, registration, value added or other similar Taxes incurred in connection with the Transactions. The Company shall, at its own expense, file all necessary Tax Returns with respect to all such Taxes, and, if required by applicable Law, Acquiror will join in the execution of any such Tax Returns.</w:t>
      </w:r>
    </w:p>
    <w:p>
      <w:pPr>
        <w:spacing w:after="0" w:line="162" w:lineRule="exact"/>
        <w:rPr>
          <w:rFonts w:ascii="Arial" w:cs="Arial" w:eastAsia="Arial" w:hAnsi="Arial"/>
          <w:sz w:val="16"/>
          <w:szCs w:val="16"/>
          <w:color w:val="auto"/>
        </w:rPr>
      </w:pPr>
    </w:p>
    <w:p>
      <w:pPr>
        <w:jc w:val="both"/>
        <w:ind w:left="4" w:right="20" w:firstLine="1143"/>
        <w:spacing w:after="0" w:line="271" w:lineRule="auto"/>
        <w:tabs>
          <w:tab w:leader="none" w:pos="1401"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Tax Treatment</w:t>
      </w:r>
      <w:r>
        <w:rPr>
          <w:rFonts w:ascii="Arial" w:cs="Arial" w:eastAsia="Arial" w:hAnsi="Arial"/>
          <w:sz w:val="15"/>
          <w:szCs w:val="15"/>
          <w:color w:val="auto"/>
        </w:rPr>
        <w:t>. Acquiror, First Merger Sub, Second Merger Sub and the Company intend that the Transactions shall qualify for the Intended Tax Treatment. None of the parties or their respective Affiliates shall knowingly take or cause to be taken, or knowingly fail to take or knowingly cause to be failed to be taken, any action that would reasonably be expected to prevent qualification for such Intended Tax Treatment. Each party shall, unless otherwise required by a final determination within the meaning of Section 1313(a) of the Code (or any similar state, local or non-U.S. final determination) or a change in applicable Law, or based on a change in the facts and circumstances underlying the Transactions from the terms described in this Agreement, cause all Tax Returns to be filed on a basis of treating the Mergers as a “reorganization” within the meaning of Section 368(a) of the Code. Each of the parties agrees to use reasonable best efforts to promptly notify all other parties of any challenge to the Intended Tax Treatment by any Governmental Authority. Acquiror and the Company shall execute and deliver officer’s certificates containing customary representations at such time or times as may be reasonably requested by counsel to the Company in connection with the delivery of any opinion by such counsel to the Company with respect to the tax treatment of the Transactions.</w:t>
      </w:r>
    </w:p>
    <w:p>
      <w:pPr>
        <w:spacing w:after="0" w:line="35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89" w:name="page90"/>
    <w:bookmarkEnd w:id="89"/>
    <w:p>
      <w:pPr>
        <w:ind w:right="20" w:firstLine="1143"/>
        <w:spacing w:after="0" w:line="275" w:lineRule="auto"/>
        <w:tabs>
          <w:tab w:leader="none" w:pos="1376"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Acquiror, First Merger Sub and Second Merger Sub hereby adopt this Agreement as a “plan of reorganization” within the meaning of Treasury Regulation Sections 1.368-2(g) and 1.368-3(a).</w:t>
      </w:r>
    </w:p>
    <w:p>
      <w:pPr>
        <w:spacing w:after="0" w:line="151" w:lineRule="exact"/>
        <w:rPr>
          <w:rFonts w:ascii="Arial" w:cs="Arial" w:eastAsia="Arial" w:hAnsi="Arial"/>
          <w:sz w:val="16"/>
          <w:szCs w:val="16"/>
          <w:color w:val="auto"/>
        </w:rPr>
      </w:pPr>
    </w:p>
    <w:p>
      <w:pPr>
        <w:ind w:firstLine="1143"/>
        <w:spacing w:after="0" w:line="275" w:lineRule="auto"/>
        <w:tabs>
          <w:tab w:leader="none" w:pos="1385" w:val="left"/>
        </w:tabs>
        <w:numPr>
          <w:ilvl w:val="0"/>
          <w:numId w:val="89"/>
        </w:numPr>
        <w:rPr>
          <w:rFonts w:ascii="Arial" w:cs="Arial" w:eastAsia="Arial" w:hAnsi="Arial"/>
          <w:sz w:val="16"/>
          <w:szCs w:val="16"/>
          <w:color w:val="auto"/>
        </w:rPr>
      </w:pPr>
      <w:r>
        <w:rPr>
          <w:rFonts w:ascii="Arial" w:cs="Arial" w:eastAsia="Arial" w:hAnsi="Arial"/>
          <w:sz w:val="16"/>
          <w:szCs w:val="16"/>
          <w:color w:val="auto"/>
        </w:rPr>
        <w:t>On or prior to the Closing Date, the Company shall deliver to Acquiror a certification from the Company pursuant to Treasury Regulations Section 1.1445-2(c) dated no more than thirty (30) days prior to the Closing Date and signed by a responsible corporate officer of the Company.</w:t>
      </w:r>
    </w:p>
    <w:p>
      <w:pPr>
        <w:spacing w:after="0" w:line="151" w:lineRule="exact"/>
        <w:rPr>
          <w:rFonts w:ascii="Arial" w:cs="Arial" w:eastAsia="Arial" w:hAnsi="Arial"/>
          <w:sz w:val="16"/>
          <w:szCs w:val="16"/>
          <w:color w:val="auto"/>
        </w:rPr>
      </w:pPr>
    </w:p>
    <w:p>
      <w:pPr>
        <w:ind w:right="20" w:firstLine="1143"/>
        <w:spacing w:after="0" w:line="275" w:lineRule="auto"/>
        <w:tabs>
          <w:tab w:leader="none" w:pos="1364" w:val="left"/>
        </w:tabs>
        <w:numPr>
          <w:ilvl w:val="0"/>
          <w:numId w:val="89"/>
        </w:numPr>
        <w:rPr>
          <w:rFonts w:ascii="Arial" w:cs="Arial" w:eastAsia="Arial" w:hAnsi="Arial"/>
          <w:sz w:val="16"/>
          <w:szCs w:val="16"/>
          <w:color w:val="auto"/>
        </w:rPr>
      </w:pPr>
      <w:r>
        <w:rPr>
          <w:rFonts w:ascii="Arial" w:cs="Arial" w:eastAsia="Arial" w:hAnsi="Arial"/>
          <w:sz w:val="16"/>
          <w:szCs w:val="16"/>
          <w:color w:val="auto"/>
        </w:rPr>
        <w:t>Second Merger Sub shall file an election to be treated as an entity disregarded as separate from its owner for U.S. federal income tax effective as of the date of formation of Second Merger Sub.</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8.05 </w:t>
      </w:r>
      <w:r>
        <w:rPr>
          <w:rFonts w:ascii="Arial" w:cs="Arial" w:eastAsia="Arial" w:hAnsi="Arial"/>
          <w:sz w:val="16"/>
          <w:szCs w:val="16"/>
          <w:b w:val="1"/>
          <w:bCs w:val="1"/>
          <w:u w:val="single" w:color="auto"/>
          <w:color w:val="auto"/>
        </w:rPr>
        <w:t>Confidentiality; Publicity</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62" w:lineRule="auto"/>
        <w:tabs>
          <w:tab w:leader="none" w:pos="1399" w:val="left"/>
        </w:tabs>
        <w:numPr>
          <w:ilvl w:val="0"/>
          <w:numId w:val="90"/>
        </w:numPr>
        <w:rPr>
          <w:rFonts w:ascii="Arial" w:cs="Arial" w:eastAsia="Arial" w:hAnsi="Arial"/>
          <w:sz w:val="16"/>
          <w:szCs w:val="16"/>
          <w:color w:val="auto"/>
        </w:rPr>
      </w:pPr>
      <w:r>
        <w:rPr>
          <w:rFonts w:ascii="Arial" w:cs="Arial" w:eastAsia="Arial" w:hAnsi="Arial"/>
          <w:sz w:val="16"/>
          <w:szCs w:val="16"/>
          <w:color w:val="auto"/>
        </w:rPr>
        <w:t>Acquiror acknowledges that the information being provided to it in connection with this Agreement and the consummation of the transactions contemplated hereby is subject to the terms of the Confidentiality Agreement, the terms of which are incorporated herein by reference. At the Effective Time, the Confidentiality Agreement shall terminate with respect to information relating to the Company and its Subsidiaries.</w:t>
      </w:r>
    </w:p>
    <w:p>
      <w:pPr>
        <w:spacing w:after="0" w:line="162" w:lineRule="exact"/>
        <w:rPr>
          <w:rFonts w:ascii="Arial" w:cs="Arial" w:eastAsia="Arial" w:hAnsi="Arial"/>
          <w:sz w:val="16"/>
          <w:szCs w:val="16"/>
          <w:color w:val="auto"/>
        </w:rPr>
      </w:pPr>
    </w:p>
    <w:p>
      <w:pPr>
        <w:jc w:val="both"/>
        <w:ind w:firstLine="1143"/>
        <w:spacing w:after="0" w:line="270" w:lineRule="auto"/>
        <w:tabs>
          <w:tab w:leader="none" w:pos="1373"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Prior to the Effective Time, none of Acquiror, the Company or any of their respective Affiliates shall make any public announcement or issue any public communication regarding this Agreement or the transactions contemplated hereby, or any matter related to the foregoing, without first obtaining the prior written consent of the Company or Acquiror, as applicable (which consent shall not be unreasonably withheld, conditioned or delayed), except if such announcement or other communication is required by applicable Law or legal process (including pursuant to the Securities Law or the rules of any national securities exchange), in which case Acquiror or the Company, as applicable, shall use their commercially reasonable efforts to coordinate such announcement or communication with the other party, prior to announcement or issuance and allow the other party a reasonable opportunity to comment thereon (which shall be considered by Acquiror or the Company, as applicable, in good faith); provided, however, that, notwithstanding anything contained in this Agreement to the contrary, each party and its Affiliates may make announcements and may provide information regarding this Agreement and the transactions contemplated hereby to their respective owners, their Affiliates, and its and their respective directors, officers, employees, managers, advisors, direct and indirect investors and prospective investors, and in the case of the Company and its Subsidiaries, customers, vendors, and suppliers, without the consent of any other party hereto; and provided, further, that subject to </w:t>
      </w:r>
      <w:r>
        <w:rPr>
          <w:rFonts w:ascii="Arial" w:cs="Arial" w:eastAsia="Arial" w:hAnsi="Arial"/>
          <w:sz w:val="15"/>
          <w:szCs w:val="15"/>
          <w:u w:val="single" w:color="auto"/>
          <w:color w:val="auto"/>
        </w:rPr>
        <w:t>Section 6.02</w:t>
      </w:r>
      <w:r>
        <w:rPr>
          <w:rFonts w:ascii="Arial" w:cs="Arial" w:eastAsia="Arial" w:hAnsi="Arial"/>
          <w:sz w:val="15"/>
          <w:szCs w:val="15"/>
          <w:color w:val="auto"/>
        </w:rPr>
        <w:t xml:space="preserve"> and this </w:t>
      </w:r>
      <w:r>
        <w:rPr>
          <w:rFonts w:ascii="Arial" w:cs="Arial" w:eastAsia="Arial" w:hAnsi="Arial"/>
          <w:sz w:val="15"/>
          <w:szCs w:val="15"/>
          <w:u w:val="single" w:color="auto"/>
          <w:color w:val="auto"/>
        </w:rPr>
        <w:t>Section 8.05</w:t>
      </w:r>
      <w:r>
        <w:rPr>
          <w:rFonts w:ascii="Arial" w:cs="Arial" w:eastAsia="Arial" w:hAnsi="Arial"/>
          <w:sz w:val="15"/>
          <w:szCs w:val="15"/>
          <w:color w:val="auto"/>
        </w:rPr>
        <w:t>, the foregoing shall not prohibit any party hereto from communicating with third parties to the extent necessary for the purpose of seeking any third party consent.</w:t>
      </w:r>
    </w:p>
    <w:p>
      <w:pPr>
        <w:spacing w:after="0" w:line="156"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b w:val="1"/>
          <w:bCs w:val="1"/>
          <w:color w:val="auto"/>
        </w:rPr>
        <w:t xml:space="preserve">Section 8.06 </w:t>
      </w:r>
      <w:r>
        <w:rPr>
          <w:rFonts w:ascii="Arial" w:cs="Arial" w:eastAsia="Arial" w:hAnsi="Arial"/>
          <w:sz w:val="16"/>
          <w:szCs w:val="16"/>
          <w:b w:val="1"/>
          <w:bCs w:val="1"/>
          <w:u w:val="single" w:color="auto"/>
          <w:color w:val="auto"/>
        </w:rPr>
        <w:t>Post-Closing Cooperation; Further Assurances</w:t>
      </w:r>
      <w:r>
        <w:rPr>
          <w:rFonts w:ascii="Arial" w:cs="Arial" w:eastAsia="Arial" w:hAnsi="Arial"/>
          <w:sz w:val="16"/>
          <w:szCs w:val="16"/>
          <w:color w:val="auto"/>
        </w:rPr>
        <w:t>. Following the Closing, each party shall, on the request of any other party, execute such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and perform such further acts, as may be reasonably necessary or appropriate to give full effect to the allocation of rights, benefits, obligations and liabilities contemplated by this Agreement and the transactions contemplated hereby.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b w:val="1"/>
          <w:bCs w:val="1"/>
          <w:color w:val="auto"/>
        </w:rPr>
        <w:t>ARTICLE IX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CONDITIONS TO OBLIGATIONS</w:t>
      </w:r>
    </w:p>
    <w:p>
      <w:pPr>
        <w:spacing w:after="0" w:line="198"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b w:val="1"/>
          <w:bCs w:val="1"/>
          <w:color w:val="auto"/>
        </w:rPr>
        <w:t xml:space="preserve">Section 9.01 </w:t>
      </w:r>
      <w:r>
        <w:rPr>
          <w:rFonts w:ascii="Arial" w:cs="Arial" w:eastAsia="Arial" w:hAnsi="Arial"/>
          <w:sz w:val="16"/>
          <w:szCs w:val="16"/>
          <w:b w:val="1"/>
          <w:bCs w:val="1"/>
          <w:u w:val="single" w:color="auto"/>
          <w:color w:val="auto"/>
        </w:rPr>
        <w:t>Conditions to Obligations of All Parties</w:t>
      </w:r>
      <w:r>
        <w:rPr>
          <w:rFonts w:ascii="Arial" w:cs="Arial" w:eastAsia="Arial" w:hAnsi="Arial"/>
          <w:sz w:val="16"/>
          <w:szCs w:val="16"/>
          <w:color w:val="auto"/>
        </w:rPr>
        <w:t>. The obligations of the parties hereto to consummate, or cause to be consummated, the Mergers are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satisfaction of the following conditions, any one or more of which may be waived (if legally permitted) in writing by all of such parties:</w:t>
      </w:r>
    </w:p>
    <w:p>
      <w:pPr>
        <w:spacing w:after="0" w:line="148" w:lineRule="exact"/>
        <w:rPr>
          <w:sz w:val="20"/>
          <w:szCs w:val="20"/>
          <w:color w:val="auto"/>
        </w:rPr>
      </w:pPr>
    </w:p>
    <w:p>
      <w:pPr>
        <w:ind w:firstLine="1143"/>
        <w:spacing w:after="0" w:line="275" w:lineRule="auto"/>
        <w:tabs>
          <w:tab w:leader="none" w:pos="137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HSR Act</w:t>
      </w:r>
      <w:r>
        <w:rPr>
          <w:rFonts w:ascii="Arial" w:cs="Arial" w:eastAsia="Arial" w:hAnsi="Arial"/>
          <w:sz w:val="16"/>
          <w:szCs w:val="16"/>
          <w:color w:val="auto"/>
        </w:rPr>
        <w:t>. The applicable waiting period(s) under the HSR Act and, if required, any other applicable Antitrust Law in respect of the Transactions shall have expired or been terminated.</w:t>
      </w:r>
    </w:p>
    <w:p>
      <w:pPr>
        <w:spacing w:after="0" w:line="151" w:lineRule="exact"/>
        <w:rPr>
          <w:rFonts w:ascii="Arial" w:cs="Arial" w:eastAsia="Arial" w:hAnsi="Arial"/>
          <w:sz w:val="16"/>
          <w:szCs w:val="16"/>
          <w:color w:val="auto"/>
        </w:rPr>
      </w:pPr>
    </w:p>
    <w:p>
      <w:pPr>
        <w:ind w:right="20" w:firstLine="1143"/>
        <w:spacing w:after="0" w:line="275" w:lineRule="auto"/>
        <w:tabs>
          <w:tab w:leader="none" w:pos="139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No Prohibition</w:t>
      </w:r>
      <w:r>
        <w:rPr>
          <w:rFonts w:ascii="Arial" w:cs="Arial" w:eastAsia="Arial" w:hAnsi="Arial"/>
          <w:sz w:val="16"/>
          <w:szCs w:val="16"/>
          <w:color w:val="auto"/>
        </w:rPr>
        <w:t>. There shall not have been enacted or promulgated any Governmental Order, statute, rule or regulation enjoining or prohibiting the consummation of the Transactions, except those initiated by a party seeking to terminate this Agreement.</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Offer Completion</w:t>
      </w:r>
      <w:r>
        <w:rPr>
          <w:rFonts w:ascii="Arial" w:cs="Arial" w:eastAsia="Arial" w:hAnsi="Arial"/>
          <w:sz w:val="16"/>
          <w:szCs w:val="16"/>
          <w:color w:val="auto"/>
        </w:rPr>
        <w:t>. The Offer shall have been completed in accordance with the terms hereof and the Proxy Statement.</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Acquiror Stockholder Approval</w:t>
      </w:r>
      <w:r>
        <w:rPr>
          <w:rFonts w:ascii="Arial" w:cs="Arial" w:eastAsia="Arial" w:hAnsi="Arial"/>
          <w:sz w:val="16"/>
          <w:szCs w:val="16"/>
          <w:color w:val="auto"/>
        </w:rPr>
        <w:t>. The Acquiror Stockholder Approval shall have been obtained.</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Company Requisite Approval</w:t>
      </w:r>
      <w:r>
        <w:rPr>
          <w:rFonts w:ascii="Arial" w:cs="Arial" w:eastAsia="Arial" w:hAnsi="Arial"/>
          <w:sz w:val="16"/>
          <w:szCs w:val="16"/>
          <w:color w:val="auto"/>
        </w:rPr>
        <w:t>. The Company Requisite Approval shall have been obtained.</w:t>
      </w:r>
    </w:p>
    <w:p>
      <w:pPr>
        <w:spacing w:after="0" w:line="198" w:lineRule="exact"/>
        <w:rPr>
          <w:rFonts w:ascii="Arial" w:cs="Arial" w:eastAsia="Arial" w:hAnsi="Arial"/>
          <w:sz w:val="16"/>
          <w:szCs w:val="16"/>
          <w:color w:val="auto"/>
        </w:rPr>
      </w:pPr>
    </w:p>
    <w:p>
      <w:pPr>
        <w:ind w:right="20" w:firstLine="1143"/>
        <w:spacing w:after="0" w:line="275" w:lineRule="auto"/>
        <w:tabs>
          <w:tab w:leader="none" w:pos="1449"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Nasdaq</w:t>
      </w:r>
      <w:r>
        <w:rPr>
          <w:rFonts w:ascii="Arial" w:cs="Arial" w:eastAsia="Arial" w:hAnsi="Arial"/>
          <w:sz w:val="16"/>
          <w:szCs w:val="16"/>
          <w:color w:val="auto"/>
        </w:rPr>
        <w:t>. The Acquiror Common Stock to be issued in connection with the Transactions shall have been approved for listing on Nasdaq, subject only to official notice of issuance thereof.</w:t>
      </w:r>
    </w:p>
    <w:p>
      <w:pPr>
        <w:spacing w:after="0" w:line="148" w:lineRule="exact"/>
        <w:rPr>
          <w:sz w:val="20"/>
          <w:szCs w:val="20"/>
          <w:color w:val="auto"/>
        </w:rPr>
      </w:pPr>
    </w:p>
    <w:p>
      <w:pPr>
        <w:ind w:right="20" w:firstLine="574"/>
        <w:spacing w:after="0" w:line="280" w:lineRule="auto"/>
        <w:rPr>
          <w:sz w:val="20"/>
          <w:szCs w:val="20"/>
          <w:color w:val="auto"/>
        </w:rPr>
      </w:pPr>
      <w:r>
        <w:rPr>
          <w:rFonts w:ascii="Arial" w:cs="Arial" w:eastAsia="Arial" w:hAnsi="Arial"/>
          <w:sz w:val="16"/>
          <w:szCs w:val="16"/>
          <w:b w:val="1"/>
          <w:bCs w:val="1"/>
          <w:color w:val="auto"/>
        </w:rPr>
        <w:t xml:space="preserve">Section 9.02 </w:t>
      </w:r>
      <w:r>
        <w:rPr>
          <w:rFonts w:ascii="Arial" w:cs="Arial" w:eastAsia="Arial" w:hAnsi="Arial"/>
          <w:sz w:val="16"/>
          <w:szCs w:val="16"/>
          <w:b w:val="1"/>
          <w:bCs w:val="1"/>
          <w:u w:val="single" w:color="auto"/>
          <w:color w:val="auto"/>
        </w:rPr>
        <w:t>Additional Conditions to Obligations of Acquiror</w:t>
      </w:r>
      <w:r>
        <w:rPr>
          <w:rFonts w:ascii="Arial" w:cs="Arial" w:eastAsia="Arial" w:hAnsi="Arial"/>
          <w:sz w:val="16"/>
          <w:szCs w:val="16"/>
          <w:color w:val="auto"/>
        </w:rPr>
        <w:t>. The obligations of Acquiror to consummate, or cause to be consummated, the Mergers are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satisfaction of the following additional conditions, any one or more of which may be waived in writing by Acquiror:</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1" w:name="page92"/>
    <w:bookmarkEnd w:id="91"/>
    <w:p>
      <w:pPr>
        <w:ind w:left="1360" w:hanging="217"/>
        <w:spacing w:after="0"/>
        <w:tabs>
          <w:tab w:leader="none" w:pos="136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716"/>
        <w:spacing w:after="0" w:line="255" w:lineRule="auto"/>
        <w:tabs>
          <w:tab w:leader="none" w:pos="1911"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of the Company contained in the first sentence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(Due Incorporation), </w:t>
      </w:r>
      <w:r>
        <w:rPr>
          <w:rFonts w:ascii="Arial" w:cs="Arial" w:eastAsia="Arial" w:hAnsi="Arial"/>
          <w:sz w:val="16"/>
          <w:szCs w:val="16"/>
          <w:u w:val="single" w:color="auto"/>
          <w:color w:val="auto"/>
        </w:rPr>
        <w:t>Section 4.06(b)</w:t>
      </w:r>
      <w:r>
        <w:rPr>
          <w:rFonts w:ascii="Arial" w:cs="Arial" w:eastAsia="Arial" w:hAnsi="Arial"/>
          <w:sz w:val="16"/>
          <w:szCs w:val="16"/>
          <w:color w:val="auto"/>
        </w:rPr>
        <w:t xml:space="preserve"> (Capitalization – Equity Awards),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(Due Authorization), </w:t>
      </w:r>
      <w:r>
        <w:rPr>
          <w:rFonts w:ascii="Arial" w:cs="Arial" w:eastAsia="Arial" w:hAnsi="Arial"/>
          <w:sz w:val="16"/>
          <w:szCs w:val="16"/>
          <w:u w:val="single" w:color="auto"/>
          <w:color w:val="auto"/>
        </w:rPr>
        <w:t>Section 4.16</w:t>
      </w:r>
      <w:r>
        <w:rPr>
          <w:rFonts w:ascii="Arial" w:cs="Arial" w:eastAsia="Arial" w:hAnsi="Arial"/>
          <w:sz w:val="16"/>
          <w:szCs w:val="16"/>
          <w:color w:val="auto"/>
        </w:rPr>
        <w:t xml:space="preserve"> (Brokers’ Fees) and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(Affiliate Arrangements), in each case shall be true and correct (without giving any effect to any limitation as to “materiality” or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or any similar limitation set forth therein) in all material respects as of the Closing Date as though then made (except to the extent such representations and warranties expressly relate to an earlier date, and in such case, shall be true and correct on and as of such earlier date).</w:t>
      </w:r>
    </w:p>
    <w:p>
      <w:pPr>
        <w:spacing w:after="0" w:line="169" w:lineRule="exact"/>
        <w:rPr>
          <w:rFonts w:ascii="Arial" w:cs="Arial" w:eastAsia="Arial" w:hAnsi="Arial"/>
          <w:sz w:val="16"/>
          <w:szCs w:val="16"/>
          <w:color w:val="auto"/>
        </w:rPr>
      </w:pPr>
    </w:p>
    <w:p>
      <w:pPr>
        <w:ind w:left="1960" w:hanging="244"/>
        <w:spacing w:after="0"/>
        <w:tabs>
          <w:tab w:leader="none" w:pos="1960" w:val="left"/>
        </w:tabs>
        <w:numPr>
          <w:ilvl w:val="1"/>
          <w:numId w:val="92"/>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the Company contained in </w:t>
      </w:r>
      <w:r>
        <w:rPr>
          <w:rFonts w:ascii="Arial" w:cs="Arial" w:eastAsia="Arial" w:hAnsi="Arial"/>
          <w:sz w:val="15"/>
          <w:szCs w:val="15"/>
          <w:u w:val="single" w:color="auto"/>
          <w:color w:val="auto"/>
        </w:rPr>
        <w:t>Section 4.20(a)</w:t>
      </w:r>
      <w:r>
        <w:rPr>
          <w:rFonts w:ascii="Arial" w:cs="Arial" w:eastAsia="Arial" w:hAnsi="Arial"/>
          <w:sz w:val="15"/>
          <w:szCs w:val="15"/>
          <w:color w:val="auto"/>
        </w:rPr>
        <w:t xml:space="preserve"> (No Material Adverse Effect) shall be true and correct in all</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respects as of the date hereof.</w:t>
      </w:r>
    </w:p>
    <w:p>
      <w:pPr>
        <w:spacing w:after="0" w:line="185" w:lineRule="exact"/>
        <w:rPr>
          <w:rFonts w:ascii="Arial" w:cs="Arial" w:eastAsia="Arial" w:hAnsi="Arial"/>
          <w:sz w:val="15"/>
          <w:szCs w:val="15"/>
          <w:color w:val="auto"/>
        </w:rPr>
      </w:pPr>
    </w:p>
    <w:p>
      <w:pPr>
        <w:jc w:val="both"/>
        <w:ind w:right="20" w:firstLine="1716"/>
        <w:spacing w:after="0" w:line="258" w:lineRule="auto"/>
        <w:tabs>
          <w:tab w:leader="none" w:pos="2023"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contained in </w:t>
      </w:r>
      <w:r>
        <w:rPr>
          <w:rFonts w:ascii="Arial" w:cs="Arial" w:eastAsia="Arial" w:hAnsi="Arial"/>
          <w:sz w:val="16"/>
          <w:szCs w:val="16"/>
          <w:u w:val="single" w:color="auto"/>
          <w:color w:val="auto"/>
        </w:rPr>
        <w:t>Section 4.06(a)</w:t>
      </w:r>
      <w:r>
        <w:rPr>
          <w:rFonts w:ascii="Arial" w:cs="Arial" w:eastAsia="Arial" w:hAnsi="Arial"/>
          <w:sz w:val="16"/>
          <w:szCs w:val="16"/>
          <w:color w:val="auto"/>
        </w:rPr>
        <w:t xml:space="preserve"> (Capitalization) shall be true and correct other than “de minimis” inaccuracies as of Closing Date as though then made (except to the extent such representations and warranties expressly relate to an earlier date, and in such case, shall be true and correct on and as of such earlier date); provided that a “de minimis” inaccuracy for purposes of this </w:t>
      </w:r>
      <w:r>
        <w:rPr>
          <w:rFonts w:ascii="Arial" w:cs="Arial" w:eastAsia="Arial" w:hAnsi="Arial"/>
          <w:sz w:val="16"/>
          <w:szCs w:val="16"/>
          <w:u w:val="single" w:color="auto"/>
          <w:color w:val="auto"/>
        </w:rPr>
        <w:t>Section 9.02(a)(iii)</w:t>
      </w:r>
      <w:r>
        <w:rPr>
          <w:rFonts w:ascii="Arial" w:cs="Arial" w:eastAsia="Arial" w:hAnsi="Arial"/>
          <w:sz w:val="16"/>
          <w:szCs w:val="16"/>
          <w:color w:val="auto"/>
        </w:rPr>
        <w:t xml:space="preserve"> means an inaccuracy that would reasonably be expected to result in damages to Acquiror of less than $2,000,000.</w:t>
      </w:r>
    </w:p>
    <w:p>
      <w:pPr>
        <w:spacing w:after="0" w:line="164" w:lineRule="exact"/>
        <w:rPr>
          <w:rFonts w:ascii="Arial" w:cs="Arial" w:eastAsia="Arial" w:hAnsi="Arial"/>
          <w:sz w:val="16"/>
          <w:szCs w:val="16"/>
          <w:color w:val="auto"/>
        </w:rPr>
      </w:pPr>
    </w:p>
    <w:p>
      <w:pPr>
        <w:jc w:val="both"/>
        <w:ind w:firstLine="1716"/>
        <w:spacing w:after="0" w:line="301" w:lineRule="auto"/>
        <w:tabs>
          <w:tab w:leader="none" w:pos="2082" w:val="left"/>
        </w:tabs>
        <w:numPr>
          <w:ilvl w:val="1"/>
          <w:numId w:val="92"/>
        </w:numPr>
        <w:rPr>
          <w:rFonts w:ascii="Arial" w:cs="Arial" w:eastAsia="Arial" w:hAnsi="Arial"/>
          <w:sz w:val="14"/>
          <w:szCs w:val="14"/>
          <w:color w:val="auto"/>
        </w:rPr>
      </w:pPr>
      <w:r>
        <w:rPr>
          <w:rFonts w:ascii="Arial" w:cs="Arial" w:eastAsia="Arial" w:hAnsi="Arial"/>
          <w:sz w:val="14"/>
          <w:szCs w:val="14"/>
          <w:color w:val="auto"/>
        </w:rPr>
        <w:t xml:space="preserve">Each of the representations and warranties of the Company contained in this Agreement (other than the representations and warranties of the Company described in </w:t>
      </w:r>
      <w:r>
        <w:rPr>
          <w:rFonts w:ascii="Arial" w:cs="Arial" w:eastAsia="Arial" w:hAnsi="Arial"/>
          <w:sz w:val="14"/>
          <w:szCs w:val="14"/>
          <w:u w:val="single" w:color="auto"/>
          <w:color w:val="auto"/>
        </w:rPr>
        <w:t>Section 9.02(a)(i)</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9.02(a)(ii)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9.02(a)(iii)</w:t>
      </w:r>
      <w:r>
        <w:rPr>
          <w:rFonts w:ascii="Arial" w:cs="Arial" w:eastAsia="Arial" w:hAnsi="Arial"/>
          <w:sz w:val="14"/>
          <w:szCs w:val="14"/>
          <w:color w:val="auto"/>
        </w:rPr>
        <w:t>), shall be true and correct (without giving any effect to any limitation as to “materiality” or “Material Adverse Effect” or any similar limitation set forth therein) as of the Closing Date as though then made (except to the extent such representations and warranties expressly relate to an earlier date, and in such case, shall be true and correct on and as of such earlier date), except where the failure of such representations and warranties to be so true and correct, individually or in the aggregate, has not had, and would not reasonably be expected to result in, a Material Adverse Effect.</w:t>
      </w:r>
    </w:p>
    <w:p>
      <w:pPr>
        <w:spacing w:after="0" w:line="137" w:lineRule="exact"/>
        <w:rPr>
          <w:rFonts w:ascii="Arial" w:cs="Arial" w:eastAsia="Arial" w:hAnsi="Arial"/>
          <w:sz w:val="14"/>
          <w:szCs w:val="14"/>
          <w:color w:val="auto"/>
        </w:rPr>
      </w:pPr>
    </w:p>
    <w:p>
      <w:pPr>
        <w:ind w:right="20" w:firstLine="1143"/>
        <w:spacing w:after="0" w:line="275" w:lineRule="auto"/>
        <w:tabs>
          <w:tab w:leader="none" w:pos="138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Agreements and Covenants</w:t>
      </w:r>
      <w:r>
        <w:rPr>
          <w:rFonts w:ascii="Arial" w:cs="Arial" w:eastAsia="Arial" w:hAnsi="Arial"/>
          <w:sz w:val="16"/>
          <w:szCs w:val="16"/>
          <w:color w:val="auto"/>
        </w:rPr>
        <w:t>. Each of the covenants of the Company to be performed or complied with as of or prior to the Closing shall have been performed or complied with in all material respects.</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Material Adverse Effect</w:t>
      </w:r>
      <w:r>
        <w:rPr>
          <w:rFonts w:ascii="Arial" w:cs="Arial" w:eastAsia="Arial" w:hAnsi="Arial"/>
          <w:sz w:val="16"/>
          <w:szCs w:val="16"/>
          <w:color w:val="auto"/>
        </w:rPr>
        <w:t>. No Material Adverse Effect shall have occurred since the date of this Agreement that is continuing.</w:t>
      </w:r>
    </w:p>
    <w:p>
      <w:pPr>
        <w:spacing w:after="0" w:line="198" w:lineRule="exact"/>
        <w:rPr>
          <w:rFonts w:ascii="Arial" w:cs="Arial" w:eastAsia="Arial" w:hAnsi="Arial"/>
          <w:sz w:val="16"/>
          <w:szCs w:val="16"/>
          <w:color w:val="auto"/>
        </w:rPr>
      </w:pPr>
    </w:p>
    <w:p>
      <w:pPr>
        <w:ind w:right="20" w:firstLine="1143"/>
        <w:spacing w:after="0" w:line="309" w:lineRule="auto"/>
        <w:tabs>
          <w:tab w:leader="none" w:pos="1373"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Officer’s Certificate</w:t>
      </w:r>
      <w:r>
        <w:rPr>
          <w:rFonts w:ascii="Arial" w:cs="Arial" w:eastAsia="Arial" w:hAnsi="Arial"/>
          <w:sz w:val="15"/>
          <w:szCs w:val="15"/>
          <w:color w:val="auto"/>
        </w:rPr>
        <w:t xml:space="preserve">. The Company shall have delivered to Acquiror a certificate signed by an officer of the Company, dated the Closing Date, certifying that, to the knowledge and belief of such officer, the conditions specified in </w:t>
      </w:r>
      <w:r>
        <w:rPr>
          <w:rFonts w:ascii="Arial" w:cs="Arial" w:eastAsia="Arial" w:hAnsi="Arial"/>
          <w:sz w:val="15"/>
          <w:szCs w:val="15"/>
          <w:u w:val="single" w:color="auto"/>
          <w:color w:val="auto"/>
        </w:rPr>
        <w:t>Section 9.02(a)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9.02(b)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9.02(c)</w:t>
      </w:r>
      <w:r>
        <w:rPr>
          <w:rFonts w:ascii="Arial" w:cs="Arial" w:eastAsia="Arial" w:hAnsi="Arial"/>
          <w:sz w:val="15"/>
          <w:szCs w:val="15"/>
          <w:color w:val="auto"/>
        </w:rPr>
        <w:t xml:space="preserve"> have been fulfilled.</w:t>
      </w:r>
    </w:p>
    <w:p>
      <w:pPr>
        <w:spacing w:after="0" w:line="129" w:lineRule="exact"/>
        <w:rPr>
          <w:rFonts w:ascii="Arial" w:cs="Arial" w:eastAsia="Arial" w:hAnsi="Arial"/>
          <w:sz w:val="15"/>
          <w:szCs w:val="15"/>
          <w:color w:val="auto"/>
        </w:rPr>
      </w:pPr>
    </w:p>
    <w:p>
      <w:pPr>
        <w:ind w:left="1360" w:hanging="217"/>
        <w:spacing w:after="0"/>
        <w:tabs>
          <w:tab w:leader="none" w:pos="1360"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Subscription Agreements</w:t>
      </w:r>
      <w:r>
        <w:rPr>
          <w:rFonts w:ascii="Arial" w:cs="Arial" w:eastAsia="Arial" w:hAnsi="Arial"/>
          <w:sz w:val="15"/>
          <w:szCs w:val="15"/>
          <w:color w:val="auto"/>
        </w:rPr>
        <w:t>. The transactions contemplated by the Subscription Agreements have been consummated concurrently with the Closing.</w:t>
      </w:r>
    </w:p>
    <w:p>
      <w:pPr>
        <w:spacing w:after="0" w:line="206" w:lineRule="exact"/>
        <w:rPr>
          <w:sz w:val="20"/>
          <w:szCs w:val="20"/>
          <w:color w:val="auto"/>
        </w:rPr>
      </w:pPr>
    </w:p>
    <w:p>
      <w:pPr>
        <w:ind w:right="20" w:firstLine="574"/>
        <w:spacing w:after="0" w:line="280" w:lineRule="auto"/>
        <w:rPr>
          <w:sz w:val="20"/>
          <w:szCs w:val="20"/>
          <w:color w:val="auto"/>
        </w:rPr>
      </w:pPr>
      <w:r>
        <w:rPr>
          <w:rFonts w:ascii="Arial" w:cs="Arial" w:eastAsia="Arial" w:hAnsi="Arial"/>
          <w:sz w:val="16"/>
          <w:szCs w:val="16"/>
          <w:b w:val="1"/>
          <w:bCs w:val="1"/>
          <w:color w:val="auto"/>
        </w:rPr>
        <w:t xml:space="preserve">Section 9.03 </w:t>
      </w:r>
      <w:r>
        <w:rPr>
          <w:rFonts w:ascii="Arial" w:cs="Arial" w:eastAsia="Arial" w:hAnsi="Arial"/>
          <w:sz w:val="16"/>
          <w:szCs w:val="16"/>
          <w:b w:val="1"/>
          <w:bCs w:val="1"/>
          <w:u w:val="single" w:color="auto"/>
          <w:color w:val="auto"/>
        </w:rPr>
        <w:t>Additional Conditions to the Obligations of the Company</w:t>
      </w:r>
      <w:r>
        <w:rPr>
          <w:rFonts w:ascii="Arial" w:cs="Arial" w:eastAsia="Arial" w:hAnsi="Arial"/>
          <w:sz w:val="16"/>
          <w:szCs w:val="16"/>
          <w:color w:val="auto"/>
        </w:rPr>
        <w:t>. The obligation of the Company to consummate the Mergers is subject to the satisfaction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additional conditions, any one or more of which may be waived in writing by the Company: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2" w:name="page93"/>
    <w:bookmarkEnd w:id="92"/>
    <w:p>
      <w:pPr>
        <w:ind w:left="1360" w:hanging="217"/>
        <w:spacing w:after="0"/>
        <w:tabs>
          <w:tab w:leader="none" w:pos="136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right="20" w:firstLine="1716"/>
        <w:spacing w:after="0" w:line="301" w:lineRule="auto"/>
        <w:tabs>
          <w:tab w:leader="none" w:pos="1923" w:val="left"/>
        </w:tabs>
        <w:numPr>
          <w:ilvl w:val="1"/>
          <w:numId w:val="93"/>
        </w:numPr>
        <w:rPr>
          <w:rFonts w:ascii="Arial" w:cs="Arial" w:eastAsia="Arial" w:hAnsi="Arial"/>
          <w:sz w:val="14"/>
          <w:szCs w:val="14"/>
          <w:color w:val="auto"/>
        </w:rPr>
      </w:pPr>
      <w:r>
        <w:rPr>
          <w:rFonts w:ascii="Arial" w:cs="Arial" w:eastAsia="Arial" w:hAnsi="Arial"/>
          <w:sz w:val="14"/>
          <w:szCs w:val="14"/>
          <w:color w:val="auto"/>
        </w:rPr>
        <w:t xml:space="preserve">Each of the representations and warranties of Acquiror contained in this Agreement (other than the representations and warranties of Acquiror contained in </w:t>
      </w:r>
      <w:r>
        <w:rPr>
          <w:rFonts w:ascii="Arial" w:cs="Arial" w:eastAsia="Arial" w:hAnsi="Arial"/>
          <w:sz w:val="14"/>
          <w:szCs w:val="14"/>
          <w:u w:val="single" w:color="auto"/>
          <w:color w:val="auto"/>
        </w:rPr>
        <w:t>Section 5.14(a)</w:t>
      </w:r>
      <w:r>
        <w:rPr>
          <w:rFonts w:ascii="Arial" w:cs="Arial" w:eastAsia="Arial" w:hAnsi="Arial"/>
          <w:sz w:val="14"/>
          <w:szCs w:val="14"/>
          <w:color w:val="auto"/>
        </w:rPr>
        <w:t xml:space="preserve"> (Capitalization)) (without giving effect to any limitation as to “materiality”, “material adverse effect” or any similar limitation set forth therein) shall be true and correct in all respects as of the Closing Date, as if made anew at and as of that time (except with respect to representations and warranties which speak as to an earlier date, which representations and warranties shall be true and correct in all respects at and as of such date), where the failure of such representations and warranties to be so true and correct, individually or in the aggregate, has not had, and would not reasonably be expected to result in, an Acquiror Material Adverse Effect.</w:t>
      </w:r>
    </w:p>
    <w:p>
      <w:pPr>
        <w:spacing w:after="0" w:line="137" w:lineRule="exact"/>
        <w:rPr>
          <w:rFonts w:ascii="Arial" w:cs="Arial" w:eastAsia="Arial" w:hAnsi="Arial"/>
          <w:sz w:val="14"/>
          <w:szCs w:val="14"/>
          <w:color w:val="auto"/>
        </w:rPr>
      </w:pPr>
    </w:p>
    <w:p>
      <w:pPr>
        <w:jc w:val="both"/>
        <w:ind w:firstLine="1716"/>
        <w:spacing w:after="0" w:line="317" w:lineRule="auto"/>
        <w:tabs>
          <w:tab w:leader="none" w:pos="1955" w:val="left"/>
        </w:tabs>
        <w:numPr>
          <w:ilvl w:val="1"/>
          <w:numId w:val="93"/>
        </w:numPr>
        <w:rPr>
          <w:rFonts w:ascii="Arial" w:cs="Arial" w:eastAsia="Arial" w:hAnsi="Arial"/>
          <w:sz w:val="14"/>
          <w:szCs w:val="14"/>
          <w:color w:val="auto"/>
        </w:rPr>
      </w:pPr>
      <w:r>
        <w:rPr>
          <w:rFonts w:ascii="Arial" w:cs="Arial" w:eastAsia="Arial" w:hAnsi="Arial"/>
          <w:sz w:val="14"/>
          <w:szCs w:val="14"/>
          <w:color w:val="auto"/>
        </w:rPr>
        <w:t xml:space="preserve">The representations and warranties of Acquiror contained in </w:t>
      </w:r>
      <w:r>
        <w:rPr>
          <w:rFonts w:ascii="Arial" w:cs="Arial" w:eastAsia="Arial" w:hAnsi="Arial"/>
          <w:sz w:val="14"/>
          <w:szCs w:val="14"/>
          <w:u w:val="single" w:color="auto"/>
          <w:color w:val="auto"/>
        </w:rPr>
        <w:t>Section 5.14(a)</w:t>
      </w:r>
      <w:r>
        <w:rPr>
          <w:rFonts w:ascii="Arial" w:cs="Arial" w:eastAsia="Arial" w:hAnsi="Arial"/>
          <w:sz w:val="14"/>
          <w:szCs w:val="14"/>
          <w:color w:val="auto"/>
        </w:rPr>
        <w:t>, shall be true and correct, other than “de minimis” inaccuracies as of the Closing Date (immediately prior to the effectiveness of the Acquiror A&amp;R Charter), as if made anew at and as of that time; provided that a “de minimis” inaccuracy for purposes of this Section 9.03(a)(ii) means an inaccuracy that would reasonably be expected to result in damages to the Company or its Subsidiaries of less than $2,000,000.</w:t>
      </w:r>
    </w:p>
    <w:p>
      <w:pPr>
        <w:spacing w:after="0" w:line="126" w:lineRule="exact"/>
        <w:rPr>
          <w:rFonts w:ascii="Arial" w:cs="Arial" w:eastAsia="Arial" w:hAnsi="Arial"/>
          <w:sz w:val="14"/>
          <w:szCs w:val="14"/>
          <w:color w:val="auto"/>
        </w:rPr>
      </w:pPr>
    </w:p>
    <w:p>
      <w:pPr>
        <w:ind w:right="20" w:firstLine="1143"/>
        <w:spacing w:after="0" w:line="275" w:lineRule="auto"/>
        <w:tabs>
          <w:tab w:leader="none" w:pos="1373"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Agreements and Covenants</w:t>
      </w:r>
      <w:r>
        <w:rPr>
          <w:rFonts w:ascii="Arial" w:cs="Arial" w:eastAsia="Arial" w:hAnsi="Arial"/>
          <w:sz w:val="16"/>
          <w:szCs w:val="16"/>
          <w:color w:val="auto"/>
        </w:rPr>
        <w:t>. Each of the covenants of Acquiror to be performed or complied with as of or prior to the Closing shall have been performed or complied with in all material respects.</w:t>
      </w:r>
    </w:p>
    <w:p>
      <w:pPr>
        <w:spacing w:after="0" w:line="151" w:lineRule="exact"/>
        <w:rPr>
          <w:rFonts w:ascii="Arial" w:cs="Arial" w:eastAsia="Arial" w:hAnsi="Arial"/>
          <w:sz w:val="16"/>
          <w:szCs w:val="16"/>
          <w:color w:val="auto"/>
        </w:rPr>
      </w:pPr>
    </w:p>
    <w:p>
      <w:pPr>
        <w:ind w:right="20" w:firstLine="1143"/>
        <w:spacing w:after="0" w:line="275" w:lineRule="auto"/>
        <w:tabs>
          <w:tab w:leader="none" w:pos="1364"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Acquiror shall have delivered to the Company a certificate signed by an officer of Acquiror, dated the Closing Date, certifying that, to the knowledge and belief of such officer, the conditions specified in </w:t>
      </w:r>
      <w:r>
        <w:rPr>
          <w:rFonts w:ascii="Arial" w:cs="Arial" w:eastAsia="Arial" w:hAnsi="Arial"/>
          <w:sz w:val="16"/>
          <w:szCs w:val="16"/>
          <w:u w:val="single" w:color="auto"/>
          <w:color w:val="auto"/>
        </w:rPr>
        <w:t>Section 9.03(a)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9.03(b)</w:t>
      </w:r>
      <w:r>
        <w:rPr>
          <w:rFonts w:ascii="Arial" w:cs="Arial" w:eastAsia="Arial" w:hAnsi="Arial"/>
          <w:sz w:val="16"/>
          <w:szCs w:val="16"/>
          <w:color w:val="auto"/>
        </w:rPr>
        <w:t xml:space="preserve"> have been fulfilled.</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Acquiror A&amp;R Charter</w:t>
      </w:r>
      <w:r>
        <w:rPr>
          <w:rFonts w:ascii="Arial" w:cs="Arial" w:eastAsia="Arial" w:hAnsi="Arial"/>
          <w:sz w:val="16"/>
          <w:szCs w:val="16"/>
          <w:color w:val="auto"/>
        </w:rPr>
        <w:t>. The Certificate of Incorporation shall be amended and restated substantially in the form of the Acquiror A&amp;R Charter.</w:t>
      </w:r>
    </w:p>
    <w:p>
      <w:pPr>
        <w:spacing w:after="0" w:line="198" w:lineRule="exact"/>
        <w:rPr>
          <w:rFonts w:ascii="Arial" w:cs="Arial" w:eastAsia="Arial" w:hAnsi="Arial"/>
          <w:sz w:val="16"/>
          <w:szCs w:val="16"/>
          <w:color w:val="auto"/>
        </w:rPr>
      </w:pPr>
    </w:p>
    <w:p>
      <w:pPr>
        <w:jc w:val="both"/>
        <w:ind w:firstLine="1143"/>
        <w:spacing w:after="0" w:line="306" w:lineRule="auto"/>
        <w:tabs>
          <w:tab w:leader="none" w:pos="1364"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Acquiror Assets</w:t>
      </w:r>
      <w:r>
        <w:rPr>
          <w:rFonts w:ascii="Arial" w:cs="Arial" w:eastAsia="Arial" w:hAnsi="Arial"/>
          <w:sz w:val="14"/>
          <w:szCs w:val="14"/>
          <w:color w:val="auto"/>
        </w:rPr>
        <w:t>. Acquiror shall have delivered to the Company evidence reasonably satisfactory to the Company that, immediately after the Closing (after deducting all amounts in connection with the redemption of any shares of Acquiror Common Stock required by the Offer, but before deducting (i) all Outstanding Acquiror Expenses and Outstanding Company Expenses, and (ii) without duplication of Outstanding Company Expenses, all audit and pre-audit consulting expenses incurred by the Company) the funds in the Trust Account, together with the funding of any amounts payable under the Subscription Agreements, will be no less than the $85,000,000.</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auto"/>
        </w:rPr>
        <w:t>ARTICLE 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TERMINATION/EFFECTIVENESS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10.01 </w:t>
      </w: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This Agreement may be terminated and the transactions contemplated hereby abandoned:</w:t>
      </w:r>
    </w:p>
    <w:p>
      <w:pPr>
        <w:spacing w:after="0" w:line="202" w:lineRule="exact"/>
        <w:rPr>
          <w:sz w:val="20"/>
          <w:szCs w:val="20"/>
          <w:color w:val="auto"/>
        </w:rPr>
      </w:pPr>
    </w:p>
    <w:p>
      <w:pPr>
        <w:ind w:left="1360" w:hanging="217"/>
        <w:spacing w:after="0"/>
        <w:tabs>
          <w:tab w:leader="none" w:pos="13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by written consent of the Company and Acquiror;</w:t>
      </w:r>
    </w:p>
    <w:p>
      <w:pPr>
        <w:spacing w:after="0" w:line="198" w:lineRule="exact"/>
        <w:rPr>
          <w:rFonts w:ascii="Arial" w:cs="Arial" w:eastAsia="Arial" w:hAnsi="Arial"/>
          <w:sz w:val="16"/>
          <w:szCs w:val="16"/>
          <w:color w:val="auto"/>
        </w:rPr>
      </w:pPr>
    </w:p>
    <w:p>
      <w:pPr>
        <w:jc w:val="both"/>
        <w:ind w:firstLine="1143"/>
        <w:spacing w:after="0" w:line="290" w:lineRule="auto"/>
        <w:tabs>
          <w:tab w:leader="none" w:pos="1373" w:val="left"/>
        </w:tabs>
        <w:numPr>
          <w:ilvl w:val="0"/>
          <w:numId w:val="94"/>
        </w:numPr>
        <w:rPr>
          <w:rFonts w:ascii="Arial" w:cs="Arial" w:eastAsia="Arial" w:hAnsi="Arial"/>
          <w:sz w:val="14"/>
          <w:szCs w:val="14"/>
          <w:color w:val="auto"/>
        </w:rPr>
      </w:pPr>
      <w:r>
        <w:rPr>
          <w:rFonts w:ascii="Arial" w:cs="Arial" w:eastAsia="Arial" w:hAnsi="Arial"/>
          <w:sz w:val="14"/>
          <w:szCs w:val="14"/>
          <w:color w:val="auto"/>
        </w:rPr>
        <w:t xml:space="preserve">prior to the Closing, by written notice to the Company from Acquiror if (i) there is any breach of any representation, warranty, covenant or agreement on the part of the Company set forth in this Agreement (or any breach of Section 1 of the Support Agreement), such that the conditions specified in </w:t>
      </w:r>
      <w:r>
        <w:rPr>
          <w:rFonts w:ascii="Arial" w:cs="Arial" w:eastAsia="Arial" w:hAnsi="Arial"/>
          <w:sz w:val="14"/>
          <w:szCs w:val="14"/>
          <w:u w:val="single" w:color="auto"/>
          <w:color w:val="auto"/>
        </w:rPr>
        <w:t>Section 9.02(a)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9.02(b)</w:t>
      </w:r>
      <w:r>
        <w:rPr>
          <w:rFonts w:ascii="Arial" w:cs="Arial" w:eastAsia="Arial" w:hAnsi="Arial"/>
          <w:sz w:val="14"/>
          <w:szCs w:val="14"/>
          <w:color w:val="auto"/>
        </w:rPr>
        <w:t xml:space="preserve"> would not be satisfied at the Closing (a “</w:t>
      </w:r>
      <w:r>
        <w:rPr>
          <w:rFonts w:ascii="Arial" w:cs="Arial" w:eastAsia="Arial" w:hAnsi="Arial"/>
          <w:sz w:val="14"/>
          <w:szCs w:val="14"/>
          <w:u w:val="single" w:color="auto"/>
          <w:color w:val="auto"/>
        </w:rPr>
        <w:t>Terminating Company Breach</w:t>
      </w:r>
      <w:r>
        <w:rPr>
          <w:rFonts w:ascii="Arial" w:cs="Arial" w:eastAsia="Arial" w:hAnsi="Arial"/>
          <w:sz w:val="14"/>
          <w:szCs w:val="14"/>
          <w:color w:val="auto"/>
        </w:rPr>
        <w:t>”), except that, if such Terminating Company Breach is curable by the Company through the exercise of its commercially reasonable efforts, then, for a period of up to 30 days (or any shorter period of the time that remains between the date Acquiror provides written notice of such violation or breach and the Termination Date) after receipt by the Company of notice from Acquiror of such breach, but only as long as the Company continues to use its commercially reasonable efforts to cure such Terminating Company Breach (the “</w:t>
      </w:r>
      <w:r>
        <w:rPr>
          <w:rFonts w:ascii="Arial" w:cs="Arial" w:eastAsia="Arial" w:hAnsi="Arial"/>
          <w:sz w:val="14"/>
          <w:szCs w:val="14"/>
          <w:u w:val="single" w:color="auto"/>
          <w:color w:val="auto"/>
        </w:rPr>
        <w:t>Company Cure Period</w:t>
      </w:r>
      <w:r>
        <w:rPr>
          <w:rFonts w:ascii="Arial" w:cs="Arial" w:eastAsia="Arial" w:hAnsi="Arial"/>
          <w:sz w:val="14"/>
          <w:szCs w:val="14"/>
          <w:color w:val="auto"/>
        </w:rPr>
        <w:t>”), such termination shall not be effective, and such termination shall become effective only if the Terminating Company Breach is not cured within the Company Cure Period, (ii) (A) in the event that PCAOB Financial Statements have been delivered by the Company to Acquiror by February 15, 2022, the Closing has not occurred on or before June 30, 2022, and (B) in the event that PCAOB Financial Statements have not been delivered by the Company to Acquiror by February 15, 2022, the Closing has not occurred on or before August 31, 2022 (such applicable date, the “</w:t>
      </w:r>
      <w:r>
        <w:rPr>
          <w:rFonts w:ascii="Arial" w:cs="Arial" w:eastAsia="Arial" w:hAnsi="Arial"/>
          <w:sz w:val="14"/>
          <w:szCs w:val="14"/>
          <w:u w:val="single" w:color="auto"/>
          <w:color w:val="auto"/>
        </w:rPr>
        <w:t>Termination Date</w:t>
      </w:r>
      <w:r>
        <w:rPr>
          <w:rFonts w:ascii="Arial" w:cs="Arial" w:eastAsia="Arial" w:hAnsi="Arial"/>
          <w:sz w:val="14"/>
          <w:szCs w:val="14"/>
          <w:color w:val="auto"/>
        </w:rPr>
        <w:t xml:space="preserve">”), or (iii) the consummation of the Mergers is permanently enjoined or prohibited by the terms of a final, non-appealable Governmental Order or a statute, rule or regulation; provided, that the right to terminate this Agreement under </w:t>
      </w:r>
      <w:r>
        <w:rPr>
          <w:rFonts w:ascii="Arial" w:cs="Arial" w:eastAsia="Arial" w:hAnsi="Arial"/>
          <w:sz w:val="14"/>
          <w:szCs w:val="14"/>
          <w:u w:val="single" w:color="auto"/>
          <w:color w:val="auto"/>
        </w:rPr>
        <w:t>Section 10.01(b)(ii)</w:t>
      </w:r>
      <w:r>
        <w:rPr>
          <w:rFonts w:ascii="Arial" w:cs="Arial" w:eastAsia="Arial" w:hAnsi="Arial"/>
          <w:sz w:val="14"/>
          <w:szCs w:val="14"/>
          <w:color w:val="auto"/>
        </w:rPr>
        <w:t xml:space="preserve"> shall not be available if Acquiror’s failure to fulfill any obligation under this Agreement has been the primary cause of, or primarily resulted in, the failure of the Closing to occur on or before such date; provided, further, that the right to terminate this Agreement under </w:t>
      </w:r>
      <w:r>
        <w:rPr>
          <w:rFonts w:ascii="Arial" w:cs="Arial" w:eastAsia="Arial" w:hAnsi="Arial"/>
          <w:sz w:val="14"/>
          <w:szCs w:val="14"/>
          <w:u w:val="single" w:color="auto"/>
          <w:color w:val="auto"/>
        </w:rPr>
        <w:t>Section 10.01(b)(ii)</w:t>
      </w:r>
      <w:r>
        <w:rPr>
          <w:rFonts w:ascii="Arial" w:cs="Arial" w:eastAsia="Arial" w:hAnsi="Arial"/>
          <w:sz w:val="14"/>
          <w:szCs w:val="14"/>
          <w:color w:val="auto"/>
        </w:rPr>
        <w:t xml:space="preserve"> shall not be available if Acquiror is in material breach of its obligations under </w:t>
      </w:r>
      <w:r>
        <w:rPr>
          <w:rFonts w:ascii="Arial" w:cs="Arial" w:eastAsia="Arial" w:hAnsi="Arial"/>
          <w:sz w:val="14"/>
          <w:szCs w:val="14"/>
          <w:u w:val="single" w:color="auto"/>
          <w:color w:val="auto"/>
        </w:rPr>
        <w:t>Section 7.06</w:t>
      </w:r>
      <w:r>
        <w:rPr>
          <w:rFonts w:ascii="Arial" w:cs="Arial" w:eastAsia="Arial" w:hAnsi="Arial"/>
          <w:sz w:val="14"/>
          <w:szCs w:val="14"/>
          <w:color w:val="auto"/>
        </w:rPr>
        <w:t xml:space="preserve"> on such date;</w:t>
      </w:r>
    </w:p>
    <w:p>
      <w:pPr>
        <w:spacing w:after="0" w:line="147" w:lineRule="exact"/>
        <w:rPr>
          <w:rFonts w:ascii="Arial" w:cs="Arial" w:eastAsia="Arial" w:hAnsi="Arial"/>
          <w:sz w:val="14"/>
          <w:szCs w:val="14"/>
          <w:color w:val="auto"/>
        </w:rPr>
      </w:pPr>
    </w:p>
    <w:p>
      <w:pPr>
        <w:jc w:val="both"/>
        <w:ind w:firstLine="1143"/>
        <w:spacing w:after="0" w:line="270" w:lineRule="auto"/>
        <w:tabs>
          <w:tab w:leader="none" w:pos="1364" w:val="left"/>
        </w:tabs>
        <w:numPr>
          <w:ilvl w:val="0"/>
          <w:numId w:val="94"/>
        </w:numPr>
        <w:rPr>
          <w:rFonts w:ascii="Arial" w:cs="Arial" w:eastAsia="Arial" w:hAnsi="Arial"/>
          <w:sz w:val="15"/>
          <w:szCs w:val="15"/>
          <w:color w:val="auto"/>
        </w:rPr>
      </w:pPr>
      <w:r>
        <w:rPr>
          <w:rFonts w:ascii="Arial" w:cs="Arial" w:eastAsia="Arial" w:hAnsi="Arial"/>
          <w:sz w:val="15"/>
          <w:szCs w:val="15"/>
          <w:color w:val="auto"/>
        </w:rPr>
        <w:t xml:space="preserve">prior to the Closing, by written notice to Acquiror from the Company if (i) there is any breach of any representation, warranty, covenant or agreement on the part of Acquiror set forth in this Agreement, such that the conditions specified in </w:t>
      </w:r>
      <w:r>
        <w:rPr>
          <w:rFonts w:ascii="Arial" w:cs="Arial" w:eastAsia="Arial" w:hAnsi="Arial"/>
          <w:sz w:val="15"/>
          <w:szCs w:val="15"/>
          <w:u w:val="single" w:color="auto"/>
          <w:color w:val="auto"/>
        </w:rPr>
        <w:t>Section 9.03(a)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9.03(b)</w:t>
      </w:r>
      <w:r>
        <w:rPr>
          <w:rFonts w:ascii="Arial" w:cs="Arial" w:eastAsia="Arial" w:hAnsi="Arial"/>
          <w:sz w:val="15"/>
          <w:szCs w:val="15"/>
          <w:color w:val="auto"/>
        </w:rPr>
        <w:t xml:space="preserve"> would not be satisfied at the Closing (a “</w:t>
      </w:r>
      <w:r>
        <w:rPr>
          <w:rFonts w:ascii="Arial" w:cs="Arial" w:eastAsia="Arial" w:hAnsi="Arial"/>
          <w:sz w:val="15"/>
          <w:szCs w:val="15"/>
          <w:u w:val="single" w:color="auto"/>
          <w:color w:val="auto"/>
        </w:rPr>
        <w:t>Terminating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Acquiror Breach</w:t>
      </w:r>
      <w:r>
        <w:rPr>
          <w:rFonts w:ascii="Arial" w:cs="Arial" w:eastAsia="Arial" w:hAnsi="Arial"/>
          <w:sz w:val="15"/>
          <w:szCs w:val="15"/>
          <w:color w:val="auto"/>
        </w:rPr>
        <w:t>”), except that, if any such Terminating Acquiror Breach is curable by Acquiror through the exercise of its commercially reasonable efforts, then, for a period of up to 30 days (or any shorter period of the time that remains between the date the Company provides written notice of such violation or breach and the Termination Date) after receipt by Acquiror of notice from the Company of such breach, but only as long as Acquiror continues to exercise such commercially reasonable efforts to cure such Terminating Acquiror Breach (the “</w:t>
      </w:r>
      <w:r>
        <w:rPr>
          <w:rFonts w:ascii="Arial" w:cs="Arial" w:eastAsia="Arial" w:hAnsi="Arial"/>
          <w:sz w:val="15"/>
          <w:szCs w:val="15"/>
          <w:u w:val="single" w:color="auto"/>
          <w:color w:val="auto"/>
        </w:rPr>
        <w:t>Acquiror Cure Period</w:t>
      </w:r>
      <w:r>
        <w:rPr>
          <w:rFonts w:ascii="Arial" w:cs="Arial" w:eastAsia="Arial" w:hAnsi="Arial"/>
          <w:sz w:val="15"/>
          <w:szCs w:val="15"/>
          <w:color w:val="auto"/>
        </w:rPr>
        <w:t xml:space="preserve">”), such termination shall not be effective, and such termination shall become effective only if the Terminating Acquiror Breach is not cured within the Acquiror Cure Period, (ii) the Closing has not occurred on or before the Termination Date, or (iii) the consummation of the Mergers is permanently enjoined or prohibited by the terms of a final, non-appealable Governmental Order or a statute, rule or regulation; provided, that the right to terminate this Agreement under </w:t>
      </w:r>
      <w:r>
        <w:rPr>
          <w:rFonts w:ascii="Arial" w:cs="Arial" w:eastAsia="Arial" w:hAnsi="Arial"/>
          <w:sz w:val="15"/>
          <w:szCs w:val="15"/>
          <w:u w:val="single" w:color="auto"/>
          <w:color w:val="auto"/>
        </w:rPr>
        <w:t>Section 10.01(c)(ii)</w:t>
      </w:r>
      <w:r>
        <w:rPr>
          <w:rFonts w:ascii="Arial" w:cs="Arial" w:eastAsia="Arial" w:hAnsi="Arial"/>
          <w:sz w:val="15"/>
          <w:szCs w:val="15"/>
          <w:color w:val="auto"/>
        </w:rPr>
        <w:t xml:space="preserve"> shall not be available if the Company’s failure to fulfill any obligation under this Agreement has been the primary cause of, or primarily resulted in, the failure of the Closing to occur on or before such date;</w:t>
      </w:r>
    </w:p>
    <w:p>
      <w:pPr>
        <w:spacing w:after="0" w:line="162" w:lineRule="exact"/>
        <w:rPr>
          <w:rFonts w:ascii="Arial" w:cs="Arial" w:eastAsia="Arial" w:hAnsi="Arial"/>
          <w:sz w:val="15"/>
          <w:szCs w:val="15"/>
          <w:color w:val="auto"/>
        </w:rPr>
      </w:pPr>
    </w:p>
    <w:p>
      <w:pPr>
        <w:ind w:right="20" w:firstLine="1143"/>
        <w:spacing w:after="0" w:line="275" w:lineRule="auto"/>
        <w:tabs>
          <w:tab w:leader="none" w:pos="1373" w:val="left"/>
        </w:tabs>
        <w:numPr>
          <w:ilvl w:val="0"/>
          <w:numId w:val="94"/>
        </w:numPr>
        <w:rPr>
          <w:rFonts w:ascii="Arial" w:cs="Arial" w:eastAsia="Arial" w:hAnsi="Arial"/>
          <w:sz w:val="16"/>
          <w:szCs w:val="16"/>
          <w:color w:val="auto"/>
        </w:rPr>
      </w:pPr>
      <w:r>
        <w:rPr>
          <w:rFonts w:ascii="Arial" w:cs="Arial" w:eastAsia="Arial" w:hAnsi="Arial"/>
          <w:sz w:val="16"/>
          <w:szCs w:val="16"/>
          <w:color w:val="auto"/>
        </w:rPr>
        <w:t>by written notice from either the Company or Acquiror to the other if the Acquiror Stockholder Approval is not obtained at the Special Meeting (subject to any adjournment or recess of the meeting); or</w:t>
      </w:r>
    </w:p>
    <w:p>
      <w:pPr>
        <w:spacing w:after="0" w:line="151" w:lineRule="exact"/>
        <w:rPr>
          <w:rFonts w:ascii="Arial" w:cs="Arial" w:eastAsia="Arial" w:hAnsi="Arial"/>
          <w:sz w:val="16"/>
          <w:szCs w:val="16"/>
          <w:color w:val="auto"/>
        </w:rPr>
      </w:pPr>
    </w:p>
    <w:p>
      <w:pPr>
        <w:ind w:right="20" w:firstLine="1143"/>
        <w:spacing w:after="0" w:line="275" w:lineRule="auto"/>
        <w:tabs>
          <w:tab w:leader="none" w:pos="1376" w:val="left"/>
        </w:tabs>
        <w:numPr>
          <w:ilvl w:val="0"/>
          <w:numId w:val="94"/>
        </w:numPr>
        <w:rPr>
          <w:rFonts w:ascii="Arial" w:cs="Arial" w:eastAsia="Arial" w:hAnsi="Arial"/>
          <w:sz w:val="16"/>
          <w:szCs w:val="16"/>
          <w:color w:val="auto"/>
        </w:rPr>
      </w:pPr>
      <w:r>
        <w:rPr>
          <w:rFonts w:ascii="Arial" w:cs="Arial" w:eastAsia="Arial" w:hAnsi="Arial"/>
          <w:sz w:val="16"/>
          <w:szCs w:val="16"/>
          <w:color w:val="auto"/>
        </w:rPr>
        <w:t>by written notice from Acquiror if the Company shall have failed to obtain the Company Requisite Approval within five (5) Business Days after the Registration Statement Effective Date.</w:t>
      </w:r>
    </w:p>
    <w:p>
      <w:pPr>
        <w:spacing w:after="0" w:line="148"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b w:val="1"/>
          <w:bCs w:val="1"/>
          <w:color w:val="auto"/>
        </w:rPr>
        <w:t xml:space="preserve">Section 10.02 </w:t>
      </w:r>
      <w:r>
        <w:rPr>
          <w:rFonts w:ascii="Arial" w:cs="Arial" w:eastAsia="Arial" w:hAnsi="Arial"/>
          <w:sz w:val="15"/>
          <w:szCs w:val="15"/>
          <w:b w:val="1"/>
          <w:bCs w:val="1"/>
          <w:u w:val="single" w:color="auto"/>
          <w:color w:val="auto"/>
        </w:rPr>
        <w:t>Effect of Termination</w:t>
      </w:r>
      <w:r>
        <w:rPr>
          <w:rFonts w:ascii="Arial" w:cs="Arial" w:eastAsia="Arial" w:hAnsi="Arial"/>
          <w:sz w:val="15"/>
          <w:szCs w:val="15"/>
          <w:color w:val="auto"/>
        </w:rPr>
        <w:t>. Except as otherwise set forth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10.02</w:t>
      </w:r>
      <w:r>
        <w:rPr>
          <w:rFonts w:ascii="Arial" w:cs="Arial" w:eastAsia="Arial" w:hAnsi="Arial"/>
          <w:sz w:val="15"/>
          <w:szCs w:val="15"/>
          <w:color w:val="auto"/>
        </w:rPr>
        <w:t>, in the event of the termination of this Agreement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10.01</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Agreement shall forthwith become void and have no effect, without any liability on the part of any party hereto or its respective Affiliates, officers, directors, employees or stockholders, other than liability of any party hereto for any Willful Breach of this Agreement by such party occurring prior to such termination subject to </w:t>
      </w:r>
      <w:r>
        <w:rPr>
          <w:rFonts w:ascii="Arial" w:cs="Arial" w:eastAsia="Arial" w:hAnsi="Arial"/>
          <w:sz w:val="15"/>
          <w:szCs w:val="15"/>
          <w:u w:val="single" w:color="auto"/>
          <w:color w:val="auto"/>
        </w:rPr>
        <w:t>Section 6.05</w:t>
      </w:r>
      <w:r>
        <w:rPr>
          <w:rFonts w:ascii="Arial" w:cs="Arial" w:eastAsia="Arial" w:hAnsi="Arial"/>
          <w:sz w:val="15"/>
          <w:szCs w:val="15"/>
          <w:color w:val="auto"/>
        </w:rPr>
        <w:t xml:space="preserve">. The provisions of </w:t>
      </w:r>
      <w:r>
        <w:rPr>
          <w:rFonts w:ascii="Arial" w:cs="Arial" w:eastAsia="Arial" w:hAnsi="Arial"/>
          <w:sz w:val="15"/>
          <w:szCs w:val="15"/>
          <w:u w:val="single" w:color="auto"/>
          <w:color w:val="auto"/>
        </w:rPr>
        <w:t>Section 6.05</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8.04</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10.02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XI</w:t>
      </w:r>
      <w:r>
        <w:rPr>
          <w:rFonts w:ascii="Arial" w:cs="Arial" w:eastAsia="Arial" w:hAnsi="Arial"/>
          <w:sz w:val="15"/>
          <w:szCs w:val="15"/>
          <w:color w:val="auto"/>
        </w:rPr>
        <w:t xml:space="preserve"> (collectively, the “</w:t>
      </w:r>
      <w:r>
        <w:rPr>
          <w:rFonts w:ascii="Arial" w:cs="Arial" w:eastAsia="Arial" w:hAnsi="Arial"/>
          <w:sz w:val="15"/>
          <w:szCs w:val="15"/>
          <w:u w:val="single" w:color="auto"/>
          <w:color w:val="auto"/>
        </w:rPr>
        <w:t>Surviving Provisions</w:t>
      </w:r>
      <w:r>
        <w:rPr>
          <w:rFonts w:ascii="Arial" w:cs="Arial" w:eastAsia="Arial" w:hAnsi="Arial"/>
          <w:sz w:val="15"/>
          <w:szCs w:val="15"/>
          <w:color w:val="auto"/>
        </w:rPr>
        <w:t>”) and the Confidentiality Agreement, and any other Section or Article of this Agreement referenced in the Surviving Provisions, which are required to survive in order to give appropriate effect to the Surviving Provisions, shall in each case survive any termination of this Agreement. Notwithstanding the foregoing, a failure by Acquiror, First Merger Sub and Second Merger Sub to close in accordance with this Agreement when they are obligated to do so shall be deemed to be a Willful Breach of this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ARTICLE XI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198"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b w:val="1"/>
          <w:bCs w:val="1"/>
          <w:color w:val="auto"/>
        </w:rPr>
        <w:t xml:space="preserve">Section 11.01 </w:t>
      </w:r>
      <w:r>
        <w:rPr>
          <w:rFonts w:ascii="Arial" w:cs="Arial" w:eastAsia="Arial" w:hAnsi="Arial"/>
          <w:sz w:val="16"/>
          <w:szCs w:val="16"/>
          <w:b w:val="1"/>
          <w:bCs w:val="1"/>
          <w:u w:val="single" w:color="auto"/>
          <w:color w:val="auto"/>
        </w:rPr>
        <w:t>Waiver</w:t>
      </w:r>
      <w:r>
        <w:rPr>
          <w:rFonts w:ascii="Arial" w:cs="Arial" w:eastAsia="Arial" w:hAnsi="Arial"/>
          <w:sz w:val="16"/>
          <w:szCs w:val="16"/>
          <w:color w:val="auto"/>
        </w:rPr>
        <w:t>. Any party to this Agreement may, at any time prior to the Closing, by action taken by its board of directors, or officers thereunto duly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authorized, waive any of the terms or conditions of this Agreement, or agree to an amendment or modification to this Agreement in the manner contemplated by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and by an agreement in writing executed in the same manner (but not necessarily by the same Persons) as this Agreement.</w:t>
      </w:r>
    </w:p>
    <w:p>
      <w:pPr>
        <w:spacing w:after="0" w:line="155"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6"/>
          <w:szCs w:val="16"/>
          <w:b w:val="1"/>
          <w:bCs w:val="1"/>
          <w:color w:val="auto"/>
        </w:rPr>
        <w:t xml:space="preserve">Section 11.02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and other communications among the parties shall be in writing and shall be deemed to have been duly given (i) when delivered in</w:t>
      </w:r>
      <w:r>
        <w:rPr>
          <w:rFonts w:ascii="Arial" w:cs="Arial" w:eastAsia="Arial" w:hAnsi="Arial"/>
          <w:sz w:val="16"/>
          <w:szCs w:val="16"/>
          <w:b w:val="1"/>
          <w:bCs w:val="1"/>
          <w:color w:val="auto"/>
        </w:rPr>
        <w:t xml:space="preserve"> </w:t>
      </w:r>
      <w:r>
        <w:rPr>
          <w:rFonts w:ascii="Arial" w:cs="Arial" w:eastAsia="Arial" w:hAnsi="Arial"/>
          <w:sz w:val="16"/>
          <w:szCs w:val="16"/>
          <w:color w:val="auto"/>
        </w:rPr>
        <w:t>person, (ii) when delivered after posting in the United States mail having been sent registered or certified mail return receipt requested, postage prepaid, (iii) when delivered by FedEx or other nationally recognized overnight delivery service or (iv) when e-mailed during normal business hours (and otherwise as of the immediately following Business Day), addressed as follows:</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 If to Acquiror, First Merger Sub or Second Merger Sub, to:</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Ventoux CCM Acquisition Corp.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 East Putnam Avenue, Floor 4</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Greenwich, CT 06830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copy (which shall not constitute actual or constructive notice) to:</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Woolery &amp; Co.</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 Pier 76</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408 12th Ave</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New York, NY 10018</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Mathew J. Saur</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Mathew@wooleryco.com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Dentons US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New York, NY 10020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Attention: Ilan Katz and Brian Lee</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ilan.katz@dentons.com and brian.lee@dentons.com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 If to the Company to:</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 La Carte, Inc.</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816 Hamilton Street</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Redwood City, CA 94063</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Rajat Suri and Ashish Gupta</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raj@presto.com and ashish@presto.com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copy (which shall not constitute actual or constructive notice) to:</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New York, NY 10020-1095</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Colin Diamond</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colin.diamond@whitecase.com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5" w:name="page96"/>
    <w:bookmarkEnd w:id="95"/>
    <w:p>
      <w:pPr>
        <w:ind w:left="17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3000 El Camino Real</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2 Palo Alto Square, Suite 900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Palo Alto, California 94306-2109</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Tali Sealman</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tali.sealman@whitecase.com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609 Main Street Suite 2900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Houston, Texas 77007</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Emery Choi</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emery.choi@whitecase.com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or to such other address or addresses as the parties may from time to time designate in writing.</w:t>
      </w:r>
    </w:p>
    <w:p>
      <w:pPr>
        <w:spacing w:after="0" w:line="194"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b w:val="1"/>
          <w:bCs w:val="1"/>
          <w:color w:val="auto"/>
        </w:rPr>
        <w:t xml:space="preserve">Section 11.03 </w:t>
      </w:r>
      <w:r>
        <w:rPr>
          <w:rFonts w:ascii="Arial" w:cs="Arial" w:eastAsia="Arial" w:hAnsi="Arial"/>
          <w:sz w:val="16"/>
          <w:szCs w:val="16"/>
          <w:b w:val="1"/>
          <w:bCs w:val="1"/>
          <w:u w:val="single" w:color="auto"/>
          <w:color w:val="auto"/>
        </w:rPr>
        <w:t>Assignment</w:t>
      </w:r>
      <w:r>
        <w:rPr>
          <w:rFonts w:ascii="Arial" w:cs="Arial" w:eastAsia="Arial" w:hAnsi="Arial"/>
          <w:sz w:val="16"/>
          <w:szCs w:val="16"/>
          <w:color w:val="auto"/>
        </w:rPr>
        <w:t>. No party hereto shall assign this Agreement or any part hereof without the prior written consent of the other parties.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foregoing, this Agreement shall be binding upon and inure to the benefit of the parties hereto and their respective permitted successors and assigns. Any attempted assignment in violation of the terms of this Section 11.03 shall be null and void, ab initio.</w:t>
      </w:r>
    </w:p>
    <w:p>
      <w:pPr>
        <w:spacing w:after="0" w:line="155"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b w:val="1"/>
          <w:bCs w:val="1"/>
          <w:color w:val="auto"/>
        </w:rPr>
        <w:t xml:space="preserve">Section 11.04 </w:t>
      </w:r>
      <w:r>
        <w:rPr>
          <w:rFonts w:ascii="Arial" w:cs="Arial" w:eastAsia="Arial" w:hAnsi="Arial"/>
          <w:sz w:val="16"/>
          <w:szCs w:val="16"/>
          <w:b w:val="1"/>
          <w:bCs w:val="1"/>
          <w:u w:val="single" w:color="auto"/>
          <w:color w:val="auto"/>
        </w:rPr>
        <w:t>Rights of Third Parties</w:t>
      </w:r>
      <w:r>
        <w:rPr>
          <w:rFonts w:ascii="Arial" w:cs="Arial" w:eastAsia="Arial" w:hAnsi="Arial"/>
          <w:sz w:val="16"/>
          <w:szCs w:val="16"/>
          <w:color w:val="auto"/>
        </w:rPr>
        <w:t>. Nothing expressed or implied in this Agreement is intended or shall be construed to confer upon or give any Person,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parties hereto, any right or remedies under or by reason of this Agreement; provided, however, that, notwithstanding the foregoing (a) in the event the Closing occurs, the present and former officers and directors of the Company and Acquiror (and their successors, heirs and representatives) are intended third-party beneficiaries of, and may enforce,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(b) the past, present and future directors,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Sections 11.14 and 11.16.</w:t>
      </w:r>
    </w:p>
    <w:p>
      <w:pPr>
        <w:spacing w:after="0" w:line="165"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b w:val="1"/>
          <w:bCs w:val="1"/>
          <w:color w:val="auto"/>
        </w:rPr>
        <w:t xml:space="preserve">Section 11.05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Except as otherwise provided herein (including</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3.08</w:t>
      </w:r>
      <w:r>
        <w:rPr>
          <w:rFonts w:ascii="Arial" w:cs="Arial" w:eastAsia="Arial" w:hAnsi="Arial"/>
          <w:sz w:val="16"/>
          <w:szCs w:val="16"/>
          <w:color w:val="auto"/>
        </w:rPr>
        <w:t>, Section 7.01(e) and Section 8.04(a)), each party hereto shall bear its own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incurred in connection with this Agreement and the transactions herein contemplated whether or not such transactions shall be consummated, including all fees of its legal counsel, financial advisers and accountants.</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b w:val="1"/>
          <w:bCs w:val="1"/>
          <w:color w:val="auto"/>
        </w:rPr>
        <w:t xml:space="preserve">Section 11.06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all claims or causes of action based upon, arising out of, or related to this Agreement or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55"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b w:val="1"/>
          <w:bCs w:val="1"/>
          <w:color w:val="auto"/>
        </w:rPr>
        <w:t xml:space="preserve">Section 11.07 </w:t>
      </w:r>
      <w:r>
        <w:rPr>
          <w:rFonts w:ascii="Arial" w:cs="Arial" w:eastAsia="Arial" w:hAnsi="Arial"/>
          <w:sz w:val="16"/>
          <w:szCs w:val="16"/>
          <w:b w:val="1"/>
          <w:bCs w:val="1"/>
          <w:u w:val="single" w:color="auto"/>
          <w:color w:val="auto"/>
        </w:rPr>
        <w:t>Captions; Counterparts</w:t>
      </w:r>
      <w:r>
        <w:rPr>
          <w:rFonts w:ascii="Arial" w:cs="Arial" w:eastAsia="Arial" w:hAnsi="Arial"/>
          <w:sz w:val="16"/>
          <w:szCs w:val="16"/>
          <w:color w:val="auto"/>
        </w:rPr>
        <w:t>. The captions in this Agreement are for convenience only and shall not be considered a part of or affect the construction or</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interpretation of any provision of this Agreement. This Agreement may be executed in two or more counterparts, each of which shall be deemed an original, but all of which together shall constitute one and the same instrument.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6" w:name="page97"/>
    <w:bookmarkEnd w:id="96"/>
    <w:p>
      <w:pPr>
        <w:jc w:val="both"/>
        <w:ind w:right="20" w:firstLine="574"/>
        <w:spacing w:after="0" w:line="257" w:lineRule="auto"/>
        <w:rPr>
          <w:sz w:val="20"/>
          <w:szCs w:val="20"/>
          <w:color w:val="auto"/>
        </w:rPr>
      </w:pPr>
      <w:r>
        <w:rPr>
          <w:rFonts w:ascii="Arial" w:cs="Arial" w:eastAsia="Arial" w:hAnsi="Arial"/>
          <w:sz w:val="16"/>
          <w:szCs w:val="16"/>
          <w:b w:val="1"/>
          <w:bCs w:val="1"/>
          <w:color w:val="auto"/>
        </w:rPr>
        <w:t xml:space="preserve">Section 11.08 </w:t>
      </w:r>
      <w:r>
        <w:rPr>
          <w:rFonts w:ascii="Arial" w:cs="Arial" w:eastAsia="Arial" w:hAnsi="Arial"/>
          <w:sz w:val="16"/>
          <w:szCs w:val="16"/>
          <w:b w:val="1"/>
          <w:bCs w:val="1"/>
          <w:u w:val="single" w:color="auto"/>
          <w:color w:val="auto"/>
        </w:rPr>
        <w:t>Schedules and Exhibits</w:t>
      </w:r>
      <w:r>
        <w:rPr>
          <w:rFonts w:ascii="Arial" w:cs="Arial" w:eastAsia="Arial" w:hAnsi="Arial"/>
          <w:sz w:val="16"/>
          <w:szCs w:val="16"/>
          <w:color w:val="auto"/>
        </w:rPr>
        <w:t>. The Schedules and Exhibits referenced herein are a part of this Agreement as if fully set forth herein. All references herein to</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Schedules and Exhibits shall be deemed references to such parts of this Agreement, unless the context shall otherwise require. Any disclosure made by a party in the Schedules with reference to any section or schedule of this Agreement shall be deemed to be a disclosure with respect to all other sections or schedules to which such disclosure may apply solely to the extent the relevance of such disclosure is reasonably apparent on the face of the disclosure in such Schedule. Certain information set forth in the Schedules is included solely for informational purposes.</w:t>
      </w:r>
    </w:p>
    <w:p>
      <w:pPr>
        <w:spacing w:after="0" w:line="16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5"/>
          <w:szCs w:val="15"/>
          <w:b w:val="1"/>
          <w:bCs w:val="1"/>
          <w:color w:val="auto"/>
        </w:rPr>
        <w:t xml:space="preserve">Section 11.09 </w:t>
      </w:r>
      <w:r>
        <w:rPr>
          <w:rFonts w:ascii="Arial" w:cs="Arial" w:eastAsia="Arial" w:hAnsi="Arial"/>
          <w:sz w:val="15"/>
          <w:szCs w:val="15"/>
          <w:b w:val="1"/>
          <w:bCs w:val="1"/>
          <w:u w:val="single" w:color="auto"/>
          <w:color w:val="auto"/>
        </w:rPr>
        <w:t>Entire Agreement</w:t>
      </w:r>
      <w:r>
        <w:rPr>
          <w:rFonts w:ascii="Arial" w:cs="Arial" w:eastAsia="Arial" w:hAnsi="Arial"/>
          <w:sz w:val="15"/>
          <w:szCs w:val="15"/>
          <w:color w:val="auto"/>
        </w:rPr>
        <w:t>. This Agreement (together with the Schedules and Exhibits to this Agreement), that certain Confidentiality Agreement, dated January</w:t>
      </w:r>
      <w:r>
        <w:rPr>
          <w:rFonts w:ascii="Arial" w:cs="Arial" w:eastAsia="Arial" w:hAnsi="Arial"/>
          <w:sz w:val="15"/>
          <w:szCs w:val="15"/>
          <w:b w:val="1"/>
          <w:bCs w:val="1"/>
          <w:color w:val="auto"/>
        </w:rPr>
        <w:t xml:space="preserve"> </w:t>
      </w:r>
      <w:r>
        <w:rPr>
          <w:rFonts w:ascii="Arial" w:cs="Arial" w:eastAsia="Arial" w:hAnsi="Arial"/>
          <w:sz w:val="15"/>
          <w:szCs w:val="15"/>
          <w:color w:val="auto"/>
        </w:rPr>
        <w:t>12, 2021, between Acquiror and the Company (the “</w:t>
      </w:r>
      <w:r>
        <w:rPr>
          <w:rFonts w:ascii="Arial" w:cs="Arial" w:eastAsia="Arial" w:hAnsi="Arial"/>
          <w:sz w:val="15"/>
          <w:szCs w:val="15"/>
          <w:u w:val="single" w:color="auto"/>
          <w:color w:val="auto"/>
        </w:rPr>
        <w:t>Confidentiality Agreement</w:t>
      </w:r>
      <w:r>
        <w:rPr>
          <w:rFonts w:ascii="Arial" w:cs="Arial" w:eastAsia="Arial" w:hAnsi="Arial"/>
          <w:sz w:val="15"/>
          <w:szCs w:val="15"/>
          <w:color w:val="auto"/>
        </w:rPr>
        <w:t>”), and any other documents, instruments, and agreements among the parties hereto as contemplated by or referred to herein, constitute the entire agreement among the parties relating to the transactions contemplated hereby and supersede any other agreements, whether written or oral, that may have been made or entered into by or among any of the parties hereto or any of their respective Subsidiaries relating to the transactions contemplated hereby. No representations, warranties, covenants, understandings, agreements, oral or otherwise, relating to the transactions contemplated by this Agreement exist between the parties except as expressly set forth or referenced in this Agreement and the Confidentiality Agreement.</w:t>
      </w:r>
    </w:p>
    <w:p>
      <w:pPr>
        <w:spacing w:after="0" w:line="153"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6"/>
          <w:szCs w:val="16"/>
          <w:b w:val="1"/>
          <w:bCs w:val="1"/>
          <w:color w:val="auto"/>
        </w:rPr>
        <w:t xml:space="preserve">Section 11.10 </w:t>
      </w:r>
      <w:r>
        <w:rPr>
          <w:rFonts w:ascii="Arial" w:cs="Arial" w:eastAsia="Arial" w:hAnsi="Arial"/>
          <w:sz w:val="16"/>
          <w:szCs w:val="16"/>
          <w:b w:val="1"/>
          <w:bCs w:val="1"/>
          <w:u w:val="single" w:color="auto"/>
          <w:color w:val="auto"/>
        </w:rPr>
        <w:t>Amendments</w:t>
      </w:r>
      <w:r>
        <w:rPr>
          <w:rFonts w:ascii="Arial" w:cs="Arial" w:eastAsia="Arial" w:hAnsi="Arial"/>
          <w:sz w:val="16"/>
          <w:szCs w:val="16"/>
          <w:color w:val="auto"/>
        </w:rPr>
        <w:t>. This Agreement may be amended or modified in whole or in part, only by a duly authorized agreement in writing executed in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manner as this Agreement and which makes reference to this Agreement. The approval of this Agreement by the stockholders of any of the parties shall not restrict the ability of the board of directors of any of the parties to terminate this Agreement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to cause such party to enter into an amendment to this Agreement pursuant to this </w:t>
      </w:r>
      <w:r>
        <w:rPr>
          <w:rFonts w:ascii="Arial" w:cs="Arial" w:eastAsia="Arial" w:hAnsi="Arial"/>
          <w:sz w:val="16"/>
          <w:szCs w:val="16"/>
          <w:u w:val="single" w:color="auto"/>
          <w:color w:val="auto"/>
        </w:rPr>
        <w:t>Section 11.10</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4"/>
        <w:spacing w:after="0" w:line="257" w:lineRule="auto"/>
        <w:rPr>
          <w:sz w:val="20"/>
          <w:szCs w:val="20"/>
          <w:color w:val="auto"/>
        </w:rPr>
      </w:pPr>
      <w:r>
        <w:rPr>
          <w:rFonts w:ascii="Arial" w:cs="Arial" w:eastAsia="Arial" w:hAnsi="Arial"/>
          <w:sz w:val="16"/>
          <w:szCs w:val="16"/>
          <w:b w:val="1"/>
          <w:bCs w:val="1"/>
          <w:color w:val="auto"/>
        </w:rPr>
        <w:t xml:space="preserve">Section 11.11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provision of this Agreement is held invalid or unenforceable by any court of competent jurisdiction, the other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6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b w:val="1"/>
          <w:bCs w:val="1"/>
          <w:color w:val="auto"/>
        </w:rPr>
        <w:t xml:space="preserve">Section 11.12 </w:t>
      </w:r>
      <w:r>
        <w:rPr>
          <w:rFonts w:ascii="Arial" w:cs="Arial" w:eastAsia="Arial" w:hAnsi="Arial"/>
          <w:sz w:val="16"/>
          <w:szCs w:val="16"/>
          <w:b w:val="1"/>
          <w:bCs w:val="1"/>
          <w:u w:val="single" w:color="auto"/>
          <w:color w:val="auto"/>
        </w:rPr>
        <w:t>Jurisdiction; WAIVER OF TRIAL BY JURY</w:t>
      </w:r>
      <w:r>
        <w:rPr>
          <w:rFonts w:ascii="Arial" w:cs="Arial" w:eastAsia="Arial" w:hAnsi="Arial"/>
          <w:sz w:val="16"/>
          <w:szCs w:val="16"/>
          <w:color w:val="auto"/>
        </w:rPr>
        <w:t>. Any Action based upon, arising out of or related to this Agreement, or the transactions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shall be brought in the Court of Chancery of the State of Delaware or, if such court declines to exercise jurisdiction, the District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Arial" w:cs="Arial" w:eastAsia="Arial" w:hAnsi="Arial"/>
          <w:sz w:val="16"/>
          <w:szCs w:val="16"/>
          <w:u w:val="single" w:color="auto"/>
          <w:color w:val="auto"/>
        </w:rPr>
        <w:t>Section 11.12</w:t>
      </w:r>
      <w:r>
        <w:rPr>
          <w:rFonts w:ascii="Arial" w:cs="Arial" w:eastAsia="Arial" w:hAnsi="Arial"/>
          <w:sz w:val="16"/>
          <w:szCs w:val="16"/>
          <w:color w:val="auto"/>
        </w:rPr>
        <w:t>. EACH OF THE PARTIES HERETO HEREBY IRREVOCABLY WAIVES ANY AND ALL RIGHT TO TRIAL BY JURY IN ANY ACTION BASED UPON, ARISING OUT OF OR RELATED TO THIS AGREEMENT OR THE TRANSACTIONS CONTEMPLATED HEREBY.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7" w:name="page98"/>
    <w:bookmarkEnd w:id="97"/>
    <w:p>
      <w:pPr>
        <w:jc w:val="both"/>
        <w:ind w:right="20" w:firstLine="574"/>
        <w:spacing w:after="0" w:line="292" w:lineRule="auto"/>
        <w:rPr>
          <w:sz w:val="20"/>
          <w:szCs w:val="20"/>
          <w:color w:val="auto"/>
        </w:rPr>
      </w:pPr>
      <w:r>
        <w:rPr>
          <w:rFonts w:ascii="Arial" w:cs="Arial" w:eastAsia="Arial" w:hAnsi="Arial"/>
          <w:sz w:val="14"/>
          <w:szCs w:val="14"/>
          <w:b w:val="1"/>
          <w:bCs w:val="1"/>
          <w:color w:val="auto"/>
        </w:rPr>
        <w:t xml:space="preserve">Section 11.13 </w:t>
      </w:r>
      <w:r>
        <w:rPr>
          <w:rFonts w:ascii="Arial" w:cs="Arial" w:eastAsia="Arial" w:hAnsi="Arial"/>
          <w:sz w:val="14"/>
          <w:szCs w:val="14"/>
          <w:b w:val="1"/>
          <w:bCs w:val="1"/>
          <w:u w:val="single" w:color="auto"/>
          <w:color w:val="auto"/>
        </w:rPr>
        <w:t>Enforcement</w:t>
      </w:r>
      <w:r>
        <w:rPr>
          <w:rFonts w:ascii="Arial" w:cs="Arial" w:eastAsia="Arial" w:hAnsi="Arial"/>
          <w:sz w:val="14"/>
          <w:szCs w:val="14"/>
          <w:color w:val="auto"/>
        </w:rPr>
        <w:t>. (a) The parties agree that irreparable damage for which monetary damages, even if available, would not be an adequate remedy, would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The parties acknowledge and agree that (a) the parties shall be entitled to an injunction, specific performance, or other equitable relief, to prevent breaches of this Agreement and to enforce specifically the terms and provisions hereof, without proof of damages, prior to the valid termination of this Agreement in accordance with </w:t>
      </w:r>
      <w:r>
        <w:rPr>
          <w:rFonts w:ascii="Arial" w:cs="Arial" w:eastAsia="Arial" w:hAnsi="Arial"/>
          <w:sz w:val="14"/>
          <w:szCs w:val="14"/>
          <w:u w:val="single" w:color="auto"/>
          <w:color w:val="auto"/>
        </w:rPr>
        <w:t>Section 10.01</w:t>
      </w:r>
      <w:r>
        <w:rPr>
          <w:rFonts w:ascii="Arial" w:cs="Arial" w:eastAsia="Arial" w:hAnsi="Arial"/>
          <w:sz w:val="14"/>
          <w:szCs w:val="14"/>
          <w:color w:val="auto"/>
        </w:rPr>
        <w:t xml:space="preserve">, this being in addition to any other remedy to which they are entitled under this Agreement, and (b) the right of specific enforcement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and to enforce specifically the terms and provisions of this Agreement in accordance with this </w:t>
      </w:r>
      <w:r>
        <w:rPr>
          <w:rFonts w:ascii="Arial" w:cs="Arial" w:eastAsia="Arial" w:hAnsi="Arial"/>
          <w:sz w:val="14"/>
          <w:szCs w:val="14"/>
          <w:u w:val="single" w:color="auto"/>
          <w:color w:val="auto"/>
        </w:rPr>
        <w:t>Section 11.13</w:t>
      </w:r>
      <w:r>
        <w:rPr>
          <w:rFonts w:ascii="Arial" w:cs="Arial" w:eastAsia="Arial" w:hAnsi="Arial"/>
          <w:sz w:val="14"/>
          <w:szCs w:val="14"/>
          <w:color w:val="auto"/>
        </w:rPr>
        <w:t xml:space="preserve"> shall not be required to provide any bond or other security in connection with any such injunction.</w:t>
      </w:r>
    </w:p>
    <w:p>
      <w:pPr>
        <w:spacing w:after="0" w:line="144"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b w:val="1"/>
          <w:bCs w:val="1"/>
          <w:color w:val="auto"/>
        </w:rPr>
        <w:t xml:space="preserve">Section 11.14 </w:t>
      </w:r>
      <w:r>
        <w:rPr>
          <w:rFonts w:ascii="Arial" w:cs="Arial" w:eastAsia="Arial" w:hAnsi="Arial"/>
          <w:sz w:val="14"/>
          <w:szCs w:val="14"/>
          <w:b w:val="1"/>
          <w:bCs w:val="1"/>
          <w:u w:val="single" w:color="auto"/>
          <w:color w:val="auto"/>
        </w:rPr>
        <w:t>Non-Recourse</w:t>
      </w:r>
      <w:r>
        <w:rPr>
          <w:rFonts w:ascii="Arial" w:cs="Arial" w:eastAsia="Arial" w:hAnsi="Arial"/>
          <w:sz w:val="14"/>
          <w:szCs w:val="14"/>
          <w:color w:val="auto"/>
        </w:rPr>
        <w:t>. This Agreement may only be enforced against, and any claim or cause of action based upon, arising out of, or related to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or the transactions contemplated hereby may only be brought against, the entities that are expressly named as parties hereto, and then only with respect to the specific obligations set forth herein with respect to such party. Except to the extent named as a party to this Agreement (and then only to the extent of the specific obligations undertaken by such named party in this Agreement), (a) no past, present or future director, officer, employee, incorporator, member, partner, stockholder, Affiliate, agent, attorney, advisor or representative or Affiliate of any named party to this Agreement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Acquiror, First Merger Sub or Second Merger Sub under this Agreement of or for any claim based on, arising out of, or related to this Agreement or the transactions contemplated hereby.</w:t>
      </w:r>
    </w:p>
    <w:p>
      <w:pPr>
        <w:spacing w:after="0" w:line="138" w:lineRule="exact"/>
        <w:rPr>
          <w:sz w:val="20"/>
          <w:szCs w:val="20"/>
          <w:color w:val="auto"/>
        </w:rPr>
      </w:pPr>
    </w:p>
    <w:p>
      <w:pPr>
        <w:jc w:val="both"/>
        <w:ind w:firstLine="574"/>
        <w:spacing w:after="0" w:line="278" w:lineRule="auto"/>
        <w:rPr>
          <w:sz w:val="20"/>
          <w:szCs w:val="20"/>
          <w:color w:val="auto"/>
        </w:rPr>
      </w:pPr>
      <w:r>
        <w:rPr>
          <w:rFonts w:ascii="Arial" w:cs="Arial" w:eastAsia="Arial" w:hAnsi="Arial"/>
          <w:sz w:val="15"/>
          <w:szCs w:val="15"/>
          <w:b w:val="1"/>
          <w:bCs w:val="1"/>
          <w:color w:val="auto"/>
        </w:rPr>
        <w:t xml:space="preserve">Section 11.15 </w:t>
      </w:r>
      <w:r>
        <w:rPr>
          <w:rFonts w:ascii="Arial" w:cs="Arial" w:eastAsia="Arial" w:hAnsi="Arial"/>
          <w:sz w:val="15"/>
          <w:szCs w:val="15"/>
          <w:b w:val="1"/>
          <w:bCs w:val="1"/>
          <w:u w:val="single" w:color="auto"/>
          <w:color w:val="auto"/>
        </w:rPr>
        <w:t>Nonsurvival of Representations, Warranties and Covenants</w:t>
      </w:r>
      <w:r>
        <w:rPr>
          <w:rFonts w:ascii="Arial" w:cs="Arial" w:eastAsia="Arial" w:hAnsi="Arial"/>
          <w:sz w:val="15"/>
          <w:szCs w:val="15"/>
          <w:color w:val="auto"/>
        </w:rPr>
        <w:t>. None of the representations, warranties, covenants, obligations or other agreements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after the Closing and (b) this </w:t>
      </w:r>
      <w:r>
        <w:rPr>
          <w:rFonts w:ascii="Arial" w:cs="Arial" w:eastAsia="Arial" w:hAnsi="Arial"/>
          <w:sz w:val="15"/>
          <w:szCs w:val="15"/>
          <w:u w:val="single" w:color="auto"/>
          <w:color w:val="auto"/>
        </w:rPr>
        <w:t>Section 11.15</w:t>
      </w:r>
      <w:r>
        <w:rPr>
          <w:rFonts w:ascii="Arial" w:cs="Arial" w:eastAsia="Arial" w:hAnsi="Arial"/>
          <w:sz w:val="15"/>
          <w:szCs w:val="15"/>
          <w:color w:val="auto"/>
        </w:rPr>
        <w: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8" w:name="page99"/>
    <w:bookmarkEnd w:id="98"/>
    <w:p>
      <w:pPr>
        <w:jc w:val="both"/>
        <w:ind w:firstLine="574"/>
        <w:spacing w:after="0" w:line="289" w:lineRule="auto"/>
        <w:rPr>
          <w:sz w:val="20"/>
          <w:szCs w:val="20"/>
          <w:color w:val="auto"/>
        </w:rPr>
      </w:pPr>
      <w:r>
        <w:rPr>
          <w:rFonts w:ascii="Arial" w:cs="Arial" w:eastAsia="Arial" w:hAnsi="Arial"/>
          <w:sz w:val="14"/>
          <w:szCs w:val="14"/>
          <w:b w:val="1"/>
          <w:bCs w:val="1"/>
          <w:color w:val="auto"/>
        </w:rPr>
        <w:t xml:space="preserve">Section 11.16 </w:t>
      </w:r>
      <w:r>
        <w:rPr>
          <w:rFonts w:ascii="Arial" w:cs="Arial" w:eastAsia="Arial" w:hAnsi="Arial"/>
          <w:sz w:val="14"/>
          <w:szCs w:val="14"/>
          <w:b w:val="1"/>
          <w:bCs w:val="1"/>
          <w:u w:val="single" w:color="auto"/>
          <w:color w:val="auto"/>
        </w:rPr>
        <w:t>Acknowledgements</w:t>
      </w:r>
      <w:r>
        <w:rPr>
          <w:rFonts w:ascii="Arial" w:cs="Arial" w:eastAsia="Arial" w:hAnsi="Arial"/>
          <w:sz w:val="14"/>
          <w:szCs w:val="14"/>
          <w:color w:val="auto"/>
        </w:rPr>
        <w:t>. Each of the parties acknowledges and agrees (on its own behalf and on behalf of its respective Affiliates and its and their</w:t>
      </w:r>
      <w:r>
        <w:rPr>
          <w:rFonts w:ascii="Arial" w:cs="Arial" w:eastAsia="Arial" w:hAnsi="Arial"/>
          <w:sz w:val="14"/>
          <w:szCs w:val="14"/>
          <w:b w:val="1"/>
          <w:bCs w:val="1"/>
          <w:color w:val="auto"/>
        </w:rPr>
        <w:t xml:space="preserve"> </w:t>
      </w:r>
      <w:r>
        <w:rPr>
          <w:rFonts w:ascii="Arial" w:cs="Arial" w:eastAsia="Arial" w:hAnsi="Arial"/>
          <w:sz w:val="14"/>
          <w:szCs w:val="14"/>
          <w:color w:val="auto"/>
        </w:rPr>
        <w:t>respective Representatives) that: (i) it has conducted its own independent investigation of the financial condition, results of operations, assets, liabilities, properties and projected operations of the other parties (and their respective Subsidiaries) and has been afforded satisfactory access to the books and records, facilities and personnel of the other parties (and their respective Subsidiaries) for purposes of conducting such investigation; (ii) the Company Representations constitute the sole and exclusive representations and warranties of the Company in connection with the transactions contemplated hereby; (iii) the Acquiror and Merger Sub Representations constitute the sole and exclusive representations and warranties of Acquiror, First Merger Sub and Second Merger Sub; (iv) except for the Company Representations by the Company, the Acquiror and Merger Sub Representations by Acquiror, First Merger Sub and Second Merger Sub, none of the parties hereto or any other Person makes, or has made, any other express or implied representation or warranty with respect to any party hereto (or any party’s Affiliates) or the transactions contemplated by this Agreement and all other representations and warranties of any kind or nature expressed or implied (including (x) regarding the completeness or accuracy of, or any omission to state or to disclose, any information, including in the estimates, projections or forecasts or any other information, document or material provided to or made available to any party hereto or their respective Affiliates or Representatives in certain “data rooms,” management presentations or in any other form in expectation of the Transactions, including meetings, calls or correspondence with management of any party hereto (or any party’s Subsidiaries), and (y) any relating to the future or historical business, condition (financial or otherwise), results of operations, prospects, assets or liabilities of any party hereto (or its Subsidiaries), or the quality, quantity or condition of any party’s or its Subsidiaries’ assets) are specifically disclaimed by all parties hereto and their respective Subsidiaries and all other Persons (including the Representatives and Affiliates of any party hereto or its Subsidiaries); and (v) each party hereto and its respective Affiliates are not relying on any representations and warranties in connection with the Transactions except the Company Representations by the Company, the Acquiror and Merger Sub Representations by Acquiror, First Merger Sub and Second Merger Sub and the other representations expressly made by a Person in the Subscription Agreements, the Sponsor Agreement and the Support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9" w:name="page100"/>
    <w:bookmarkEnd w:id="99"/>
    <w:p>
      <w:pPr>
        <w:ind w:firstLine="574"/>
        <w:spacing w:after="0" w:line="275" w:lineRule="auto"/>
        <w:rPr>
          <w:sz w:val="20"/>
          <w:szCs w:val="20"/>
          <w:color w:val="auto"/>
        </w:rPr>
      </w:pPr>
      <w:r>
        <w:rPr>
          <w:rFonts w:ascii="Arial" w:cs="Arial" w:eastAsia="Arial" w:hAnsi="Arial"/>
          <w:sz w:val="16"/>
          <w:szCs w:val="16"/>
          <w:color w:val="auto"/>
        </w:rPr>
        <w:t>IN WITNESS WHEREOF, Acquiror, First Merger Sub, Second Merger Sub and the Company have caused this Agreement to be executed and delivered as of the date first written above by their respective officers thereunto duly authorized.</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MERGER SUB I INC.</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MERGER SUB II LLC</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E LA CARTE, INC.</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Rajat Suri</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6"/>
          <w:szCs w:val="16"/>
          <w:b w:val="1"/>
          <w:bCs w:val="1"/>
          <w:color w:val="auto"/>
        </w:rPr>
        <w:t>EXHIBIT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Amended and Restated Certificate of Incorporation of Acquiror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391795</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EXHIBIT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Amended and Restated Bylaws of Acquiror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391795</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b w:val="1"/>
          <w:bCs w:val="1"/>
          <w:color w:val="auto"/>
        </w:rPr>
        <w:t>EXHIBIT 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Registration Rights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376555</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03" w:name="page104"/>
    <w:bookmarkEnd w:id="103"/>
    <w:p>
      <w:pPr>
        <w:jc w:val="right"/>
        <w:ind w:right="40"/>
        <w:spacing w:after="0"/>
        <w:rPr>
          <w:sz w:val="20"/>
          <w:szCs w:val="20"/>
          <w:color w:val="auto"/>
        </w:rPr>
      </w:pPr>
      <w:r>
        <w:rPr>
          <w:rFonts w:ascii="Arial" w:cs="Arial" w:eastAsia="Arial" w:hAnsi="Arial"/>
          <w:sz w:val="16"/>
          <w:szCs w:val="16"/>
          <w:b w:val="1"/>
          <w:bCs w:val="1"/>
          <w:color w:val="auto"/>
        </w:rPr>
        <w:t>Exhibit 4.1</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A</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as Issuer,</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the Guarantors from time to time party hereto</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U.S. Bank National Association,</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as Trustee</w:t>
      </w:r>
      <w:r>
        <w:rPr>
          <w:rFonts w:ascii="Arial" w:cs="Arial" w:eastAsia="Arial" w:hAnsi="Arial"/>
          <w:sz w:val="26"/>
          <w:szCs w:val="26"/>
          <w:color w:val="auto"/>
          <w:vertAlign w:val="superscript"/>
        </w:rPr>
        <w:t>1</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INDENTURE</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Dated as of [●], 2022</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9.0%/11.0%</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Convertible Senior PIK Toggle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179070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5" w:lineRule="exact"/>
        <w:rPr>
          <w:sz w:val="20"/>
          <w:szCs w:val="20"/>
          <w:color w:val="auto"/>
        </w:rPr>
      </w:pPr>
    </w:p>
    <w:p>
      <w:pPr>
        <w:ind w:left="284" w:hanging="284"/>
        <w:spacing w:after="0"/>
        <w:tabs>
          <w:tab w:leader="none" w:pos="284" w:val="left"/>
        </w:tabs>
        <w:numPr>
          <w:ilvl w:val="0"/>
          <w:numId w:val="95"/>
        </w:numPr>
        <w:rPr>
          <w:rFonts w:ascii="Arial" w:cs="Arial" w:eastAsia="Arial" w:hAnsi="Arial"/>
          <w:sz w:val="27"/>
          <w:szCs w:val="27"/>
          <w:color w:val="auto"/>
          <w:vertAlign w:val="superscript"/>
        </w:rPr>
      </w:pPr>
      <w:r>
        <w:rPr>
          <w:rFonts w:ascii="Arial" w:cs="Arial" w:eastAsia="Arial" w:hAnsi="Arial"/>
          <w:sz w:val="16"/>
          <w:szCs w:val="16"/>
          <w:color w:val="auto"/>
        </w:rPr>
        <w:t>NTD: This Indenture is subject to comments from the trustee that are reasonably acceptable to both parties.</w:t>
      </w:r>
    </w:p>
    <w:p>
      <w:pPr>
        <w:ind w:left="284" w:hanging="284"/>
        <w:spacing w:after="0" w:line="181" w:lineRule="auto"/>
        <w:tabs>
          <w:tab w:leader="none" w:pos="284" w:val="left"/>
        </w:tabs>
        <w:numPr>
          <w:ilvl w:val="0"/>
          <w:numId w:val="96"/>
        </w:numPr>
        <w:rPr>
          <w:rFonts w:ascii="Arial" w:cs="Arial" w:eastAsia="Arial" w:hAnsi="Arial"/>
          <w:sz w:val="22"/>
          <w:szCs w:val="22"/>
          <w:color w:val="auto"/>
          <w:vertAlign w:val="superscript"/>
        </w:rPr>
      </w:pPr>
      <w:r>
        <w:rPr>
          <w:rFonts w:ascii="Arial" w:cs="Arial" w:eastAsia="Arial" w:hAnsi="Arial"/>
          <w:sz w:val="14"/>
          <w:szCs w:val="14"/>
          <w:color w:val="auto"/>
        </w:rPr>
        <w:t>NTD: Interest rate to be increased by 1.5% should the gross proceeds of the concurrent stock offering be less than $35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379730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9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TABLE OF CONTENTS</w:t>
            </w:r>
          </w:p>
        </w:tc>
        <w:tc>
          <w:tcPr>
            <w:tcW w:w="1140" w:type="dxa"/>
            <w:vAlign w:val="bottom"/>
          </w:tcPr>
          <w:p>
            <w:pPr>
              <w:spacing w:after="0"/>
              <w:rPr>
                <w:sz w:val="16"/>
                <w:szCs w:val="16"/>
                <w:color w:val="auto"/>
              </w:rPr>
            </w:pPr>
          </w:p>
        </w:tc>
      </w:tr>
      <w:tr>
        <w:trPr>
          <w:trHeight w:val="414"/>
        </w:trPr>
        <w:tc>
          <w:tcPr>
            <w:tcW w:w="110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1700" w:type="dxa"/>
            <w:vAlign w:val="bottom"/>
            <w:tcBorders>
              <w:top w:val="single" w:sz="8" w:color="auto"/>
              <w:bottom w:val="single" w:sz="8" w:color="CCEEFF"/>
            </w:tcBorders>
          </w:tcPr>
          <w:p>
            <w:pPr>
              <w:spacing w:after="0"/>
              <w:rPr>
                <w:sz w:val="24"/>
                <w:szCs w:val="24"/>
                <w:color w:val="auto"/>
              </w:rPr>
            </w:pPr>
          </w:p>
        </w:tc>
        <w:tc>
          <w:tcPr>
            <w:tcW w:w="36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P</w:t>
            </w:r>
            <w:r>
              <w:rPr>
                <w:rFonts w:ascii="Arial" w:cs="Arial" w:eastAsia="Arial" w:hAnsi="Arial"/>
                <w:sz w:val="10"/>
                <w:szCs w:val="10"/>
                <w:color w:val="auto"/>
              </w:rPr>
              <w:t>AGE</w:t>
            </w:r>
          </w:p>
        </w:tc>
      </w:tr>
      <w:tr>
        <w:trPr>
          <w:trHeight w:val="179"/>
        </w:trPr>
        <w:tc>
          <w:tcPr>
            <w:tcW w:w="110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5340" w:type="dxa"/>
            <w:vAlign w:val="bottom"/>
            <w:gridSpan w:val="2"/>
            <w:shd w:val="clear" w:color="auto" w:fill="CCEEFF"/>
          </w:tcPr>
          <w:p>
            <w:pPr>
              <w:jc w:val="center"/>
              <w:ind w:right="3640"/>
              <w:spacing w:after="0" w:line="179" w:lineRule="exact"/>
              <w:rPr>
                <w:sz w:val="20"/>
                <w:szCs w:val="20"/>
                <w:color w:val="auto"/>
              </w:rPr>
            </w:pPr>
            <w:r>
              <w:rPr>
                <w:rFonts w:ascii="Arial" w:cs="Arial" w:eastAsia="Arial" w:hAnsi="Arial"/>
                <w:sz w:val="16"/>
                <w:szCs w:val="16"/>
                <w:color w:val="auto"/>
                <w:w w:val="96"/>
              </w:rPr>
              <w:t>ARTICLE 1</w:t>
            </w:r>
          </w:p>
        </w:tc>
        <w:tc>
          <w:tcPr>
            <w:tcW w:w="1140" w:type="dxa"/>
            <w:vAlign w:val="bottom"/>
            <w:shd w:val="clear" w:color="auto" w:fill="CCEEFF"/>
          </w:tcPr>
          <w:p>
            <w:pPr>
              <w:spacing w:after="0"/>
              <w:rPr>
                <w:sz w:val="15"/>
                <w:szCs w:val="15"/>
                <w:color w:val="auto"/>
              </w:rPr>
            </w:pP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340" w:type="dxa"/>
            <w:vAlign w:val="bottom"/>
            <w:gridSpan w:val="2"/>
          </w:tcPr>
          <w:p>
            <w:pPr>
              <w:jc w:val="center"/>
              <w:ind w:right="3640"/>
              <w:spacing w:after="0"/>
              <w:rPr>
                <w:sz w:val="20"/>
                <w:szCs w:val="20"/>
                <w:color w:val="auto"/>
              </w:rPr>
            </w:pPr>
            <w:r>
              <w:rPr>
                <w:rFonts w:ascii="Arial" w:cs="Arial" w:eastAsia="Arial" w:hAnsi="Arial"/>
                <w:sz w:val="16"/>
                <w:szCs w:val="16"/>
                <w:color w:val="auto"/>
              </w:rPr>
              <w:t>D</w:t>
            </w:r>
            <w:r>
              <w:rPr>
                <w:rFonts w:ascii="Arial" w:cs="Arial" w:eastAsia="Arial" w:hAnsi="Arial"/>
                <w:sz w:val="10"/>
                <w:szCs w:val="10"/>
                <w:color w:val="auto"/>
              </w:rPr>
              <w:t>EFINITIONS</w:t>
            </w: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1.01.</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Definitions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1.02.</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References to Interest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5340" w:type="dxa"/>
            <w:vAlign w:val="bottom"/>
            <w:gridSpan w:val="2"/>
            <w:shd w:val="clear" w:color="auto" w:fill="CCEEFF"/>
          </w:tcPr>
          <w:p>
            <w:pPr>
              <w:jc w:val="center"/>
              <w:ind w:right="3640"/>
              <w:spacing w:after="0"/>
              <w:rPr>
                <w:sz w:val="20"/>
                <w:szCs w:val="20"/>
                <w:color w:val="auto"/>
              </w:rPr>
            </w:pPr>
            <w:r>
              <w:rPr>
                <w:rFonts w:ascii="Arial" w:cs="Arial" w:eastAsia="Arial" w:hAnsi="Arial"/>
                <w:sz w:val="16"/>
                <w:szCs w:val="16"/>
                <w:color w:val="auto"/>
                <w:w w:val="96"/>
              </w:rPr>
              <w:t>ARTICLE 2</w:t>
            </w: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9020" w:type="dxa"/>
            <w:vAlign w:val="bottom"/>
            <w:gridSpan w:val="3"/>
          </w:tcPr>
          <w:p>
            <w:pPr>
              <w:jc w:val="center"/>
              <w:spacing w:after="0"/>
              <w:rPr>
                <w:sz w:val="20"/>
                <w:szCs w:val="20"/>
                <w:color w:val="auto"/>
              </w:rPr>
            </w:pPr>
            <w:r>
              <w:rPr>
                <w:rFonts w:ascii="Arial" w:cs="Arial" w:eastAsia="Arial" w:hAnsi="Arial"/>
                <w:sz w:val="16"/>
                <w:szCs w:val="16"/>
                <w:color w:val="auto"/>
              </w:rPr>
              <w:t>I</w:t>
            </w:r>
            <w:r>
              <w:rPr>
                <w:rFonts w:ascii="Arial" w:cs="Arial" w:eastAsia="Arial" w:hAnsi="Arial"/>
                <w:sz w:val="10"/>
                <w:szCs w:val="10"/>
                <w:color w:val="auto"/>
              </w:rPr>
              <w:t>SSUE</w:t>
            </w:r>
            <w:r>
              <w:rPr>
                <w:rFonts w:ascii="Arial" w:cs="Arial" w:eastAsia="Arial" w:hAnsi="Arial"/>
                <w:sz w:val="16"/>
                <w:szCs w:val="16"/>
                <w:color w:val="auto"/>
              </w:rPr>
              <w:t>, D</w:t>
            </w:r>
            <w:r>
              <w:rPr>
                <w:rFonts w:ascii="Arial" w:cs="Arial" w:eastAsia="Arial" w:hAnsi="Arial"/>
                <w:sz w:val="10"/>
                <w:szCs w:val="10"/>
                <w:color w:val="auto"/>
              </w:rPr>
              <w:t>ESCRIPTION</w:t>
            </w:r>
            <w:r>
              <w:rPr>
                <w:rFonts w:ascii="Arial" w:cs="Arial" w:eastAsia="Arial" w:hAnsi="Arial"/>
                <w:sz w:val="16"/>
                <w:szCs w:val="16"/>
                <w:color w:val="auto"/>
              </w:rPr>
              <w:t>, E</w:t>
            </w:r>
            <w:r>
              <w:rPr>
                <w:rFonts w:ascii="Arial" w:cs="Arial" w:eastAsia="Arial" w:hAnsi="Arial"/>
                <w:sz w:val="10"/>
                <w:szCs w:val="10"/>
                <w:color w:val="auto"/>
              </w:rPr>
              <w:t>XECUTION</w:t>
            </w:r>
            <w:r>
              <w:rPr>
                <w:rFonts w:ascii="Arial" w:cs="Arial" w:eastAsia="Arial" w:hAnsi="Arial"/>
                <w:sz w:val="16"/>
                <w:szCs w:val="16"/>
                <w:color w:val="auto"/>
              </w:rPr>
              <w:t>, R</w:t>
            </w:r>
            <w:r>
              <w:rPr>
                <w:rFonts w:ascii="Arial" w:cs="Arial" w:eastAsia="Arial" w:hAnsi="Arial"/>
                <w:sz w:val="10"/>
                <w:szCs w:val="10"/>
                <w:color w:val="auto"/>
              </w:rPr>
              <w:t>EGISTRATION AND</w:t>
            </w:r>
            <w:r>
              <w:rPr>
                <w:rFonts w:ascii="Arial" w:cs="Arial" w:eastAsia="Arial" w:hAnsi="Arial"/>
                <w:sz w:val="16"/>
                <w:szCs w:val="16"/>
                <w:color w:val="auto"/>
              </w:rPr>
              <w:t xml:space="preserve"> E</w:t>
            </w:r>
            <w:r>
              <w:rPr>
                <w:rFonts w:ascii="Arial" w:cs="Arial" w:eastAsia="Arial" w:hAnsi="Arial"/>
                <w:sz w:val="10"/>
                <w:szCs w:val="10"/>
                <w:color w:val="auto"/>
              </w:rPr>
              <w:t>XCHANGE OF</w:t>
            </w:r>
            <w:r>
              <w:rPr>
                <w:rFonts w:ascii="Arial" w:cs="Arial" w:eastAsia="Arial" w:hAnsi="Arial"/>
                <w:sz w:val="16"/>
                <w:szCs w:val="16"/>
                <w:color w:val="auto"/>
              </w:rPr>
              <w:t xml:space="preserve"> N</w:t>
            </w:r>
            <w:r>
              <w:rPr>
                <w:rFonts w:ascii="Arial" w:cs="Arial" w:eastAsia="Arial" w:hAnsi="Arial"/>
                <w:sz w:val="10"/>
                <w:szCs w:val="10"/>
                <w:color w:val="auto"/>
              </w:rPr>
              <w:t>OTES</w:t>
            </w: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2.01.</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Designation and Amount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21</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2.02.</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Form of Notes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2.03.</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Date and Denomination of Notes; Payments of Interest and Defaulted Amounts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22</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2.04.</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Execution, Authentication and Delivery of Notes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2.05.</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Exchange and Registration of Transfer of Notes; Restrictions on Transfer; Depositary.</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24</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2.06.</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Mutilated, Destroyed, Lost or Stolen Notes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2.07.</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Temporary Notes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2.08.</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Cancellation of Notes Paid, Converted, Etc</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2.09.</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CUSIP Numbers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2.10.</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Additional Notes; Repurchases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5340" w:type="dxa"/>
            <w:vAlign w:val="bottom"/>
            <w:gridSpan w:val="2"/>
            <w:shd w:val="clear" w:color="auto" w:fill="CCEEFF"/>
          </w:tcPr>
          <w:p>
            <w:pPr>
              <w:jc w:val="center"/>
              <w:ind w:right="3640"/>
              <w:spacing w:after="0"/>
              <w:rPr>
                <w:sz w:val="20"/>
                <w:szCs w:val="20"/>
                <w:color w:val="auto"/>
              </w:rPr>
            </w:pPr>
            <w:r>
              <w:rPr>
                <w:rFonts w:ascii="Arial" w:cs="Arial" w:eastAsia="Arial" w:hAnsi="Arial"/>
                <w:sz w:val="16"/>
                <w:szCs w:val="16"/>
                <w:color w:val="auto"/>
                <w:w w:val="96"/>
              </w:rPr>
              <w:t>ARTICLE 3</w:t>
            </w: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9020" w:type="dxa"/>
            <w:vAlign w:val="bottom"/>
            <w:gridSpan w:val="3"/>
          </w:tcPr>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ATISFACTION AND</w:t>
            </w:r>
            <w:r>
              <w:rPr>
                <w:rFonts w:ascii="Arial" w:cs="Arial" w:eastAsia="Arial" w:hAnsi="Arial"/>
                <w:sz w:val="16"/>
                <w:szCs w:val="16"/>
                <w:color w:val="auto"/>
              </w:rPr>
              <w:t xml:space="preserve"> D</w:t>
            </w:r>
            <w:r>
              <w:rPr>
                <w:rFonts w:ascii="Arial" w:cs="Arial" w:eastAsia="Arial" w:hAnsi="Arial"/>
                <w:sz w:val="10"/>
                <w:szCs w:val="10"/>
                <w:color w:val="auto"/>
              </w:rPr>
              <w:t>ISCHARGE</w:t>
            </w: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3.01.</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Satisfaction and Discharge</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340" w:type="dxa"/>
            <w:vAlign w:val="bottom"/>
            <w:gridSpan w:val="2"/>
          </w:tcPr>
          <w:p>
            <w:pPr>
              <w:jc w:val="center"/>
              <w:ind w:right="3640"/>
              <w:spacing w:after="0"/>
              <w:rPr>
                <w:sz w:val="20"/>
                <w:szCs w:val="20"/>
                <w:color w:val="auto"/>
              </w:rPr>
            </w:pPr>
            <w:r>
              <w:rPr>
                <w:rFonts w:ascii="Arial" w:cs="Arial" w:eastAsia="Arial" w:hAnsi="Arial"/>
                <w:sz w:val="16"/>
                <w:szCs w:val="16"/>
                <w:color w:val="auto"/>
                <w:w w:val="96"/>
              </w:rPr>
              <w:t>ARTICLE 4</w:t>
            </w: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90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P</w:t>
            </w:r>
            <w:r>
              <w:rPr>
                <w:rFonts w:ascii="Arial" w:cs="Arial" w:eastAsia="Arial" w:hAnsi="Arial"/>
                <w:sz w:val="10"/>
                <w:szCs w:val="10"/>
                <w:color w:val="auto"/>
              </w:rPr>
              <w:t>ARTICULAR</w:t>
            </w:r>
            <w:r>
              <w:rPr>
                <w:rFonts w:ascii="Arial" w:cs="Arial" w:eastAsia="Arial" w:hAnsi="Arial"/>
                <w:sz w:val="16"/>
                <w:szCs w:val="16"/>
                <w:color w:val="auto"/>
              </w:rPr>
              <w:t xml:space="preserve"> C</w:t>
            </w:r>
            <w:r>
              <w:rPr>
                <w:rFonts w:ascii="Arial" w:cs="Arial" w:eastAsia="Arial" w:hAnsi="Arial"/>
                <w:sz w:val="10"/>
                <w:szCs w:val="10"/>
                <w:color w:val="auto"/>
              </w:rPr>
              <w:t>OVENANTS OF THE</w:t>
            </w:r>
            <w:r>
              <w:rPr>
                <w:rFonts w:ascii="Arial" w:cs="Arial" w:eastAsia="Arial" w:hAnsi="Arial"/>
                <w:sz w:val="16"/>
                <w:szCs w:val="16"/>
                <w:color w:val="auto"/>
              </w:rPr>
              <w:t xml:space="preserve"> C</w:t>
            </w:r>
            <w:r>
              <w:rPr>
                <w:rFonts w:ascii="Arial" w:cs="Arial" w:eastAsia="Arial" w:hAnsi="Arial"/>
                <w:sz w:val="10"/>
                <w:szCs w:val="10"/>
                <w:color w:val="auto"/>
              </w:rPr>
              <w:t>OMPANY</w:t>
            </w: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4.01.</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Payment of Principal and Interest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4.02.</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Maintenance of Office or Agency</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32</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4.03.</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Appointments to Fill Vacancies in Trustee’s Office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4.04.</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Provisions as to Paying Agent.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32</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4.05.</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Existence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4.06.</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Rule 144A Information Requirement and Annual Reports.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4.07.</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Stay, Extension and Usury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4.08.</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Compliance Certificate; Statements as to Defaults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4.09.</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Further Instruments and Acts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4.10.</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Limitations on Certain Restricted Payments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4.11.</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Limitation on Incurrence of Additional Indebtedness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4.12.</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Transactions with Affiliates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37</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4.13.</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Limitation on Liens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4.14.</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Subsidiary Guarantees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4.15.</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Registration Rights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4.16.</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Payment of Taxes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4.17.</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Compliance with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4.18.</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Limitation on Sales of Assets.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340" w:type="dxa"/>
            <w:vAlign w:val="bottom"/>
            <w:gridSpan w:val="2"/>
          </w:tcPr>
          <w:p>
            <w:pPr>
              <w:jc w:val="center"/>
              <w:ind w:right="3640"/>
              <w:spacing w:after="0"/>
              <w:rPr>
                <w:sz w:val="20"/>
                <w:szCs w:val="20"/>
                <w:color w:val="auto"/>
              </w:rPr>
            </w:pPr>
            <w:r>
              <w:rPr>
                <w:rFonts w:ascii="Arial" w:cs="Arial" w:eastAsia="Arial" w:hAnsi="Arial"/>
                <w:sz w:val="16"/>
                <w:szCs w:val="16"/>
                <w:color w:val="auto"/>
                <w:w w:val="96"/>
              </w:rPr>
              <w:t>ARTICLE 5</w:t>
            </w: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90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L</w:t>
            </w:r>
            <w:r>
              <w:rPr>
                <w:rFonts w:ascii="Arial" w:cs="Arial" w:eastAsia="Arial" w:hAnsi="Arial"/>
                <w:sz w:val="10"/>
                <w:szCs w:val="10"/>
                <w:color w:val="auto"/>
              </w:rPr>
              <w:t>ISTS OF</w:t>
            </w:r>
            <w:r>
              <w:rPr>
                <w:rFonts w:ascii="Arial" w:cs="Arial" w:eastAsia="Arial" w:hAnsi="Arial"/>
                <w:sz w:val="16"/>
                <w:szCs w:val="16"/>
                <w:color w:val="auto"/>
              </w:rPr>
              <w:t xml:space="preserve"> H</w:t>
            </w:r>
            <w:r>
              <w:rPr>
                <w:rFonts w:ascii="Arial" w:cs="Arial" w:eastAsia="Arial" w:hAnsi="Arial"/>
                <w:sz w:val="10"/>
                <w:szCs w:val="10"/>
                <w:color w:val="auto"/>
              </w:rPr>
              <w:t>OLDERS AND</w:t>
            </w:r>
            <w:r>
              <w:rPr>
                <w:rFonts w:ascii="Arial" w:cs="Arial" w:eastAsia="Arial" w:hAnsi="Arial"/>
                <w:sz w:val="16"/>
                <w:szCs w:val="16"/>
                <w:color w:val="auto"/>
              </w:rPr>
              <w:t xml:space="preserve"> R</w:t>
            </w:r>
            <w:r>
              <w:rPr>
                <w:rFonts w:ascii="Arial" w:cs="Arial" w:eastAsia="Arial" w:hAnsi="Arial"/>
                <w:sz w:val="10"/>
                <w:szCs w:val="10"/>
                <w:color w:val="auto"/>
              </w:rPr>
              <w:t>EPORTS BY THE</w:t>
            </w:r>
            <w:r>
              <w:rPr>
                <w:rFonts w:ascii="Arial" w:cs="Arial" w:eastAsia="Arial" w:hAnsi="Arial"/>
                <w:sz w:val="16"/>
                <w:szCs w:val="16"/>
                <w:color w:val="auto"/>
              </w:rPr>
              <w:t xml:space="preserve"> C</w:t>
            </w:r>
            <w:r>
              <w:rPr>
                <w:rFonts w:ascii="Arial" w:cs="Arial" w:eastAsia="Arial" w:hAnsi="Arial"/>
                <w:sz w:val="10"/>
                <w:szCs w:val="10"/>
                <w:color w:val="auto"/>
              </w:rPr>
              <w:t>OMPANY AND THE</w:t>
            </w:r>
            <w:r>
              <w:rPr>
                <w:rFonts w:ascii="Arial" w:cs="Arial" w:eastAsia="Arial" w:hAnsi="Arial"/>
                <w:sz w:val="16"/>
                <w:szCs w:val="16"/>
                <w:color w:val="auto"/>
              </w:rPr>
              <w:t xml:space="preserve"> T</w:t>
            </w:r>
            <w:r>
              <w:rPr>
                <w:rFonts w:ascii="Arial" w:cs="Arial" w:eastAsia="Arial" w:hAnsi="Arial"/>
                <w:sz w:val="10"/>
                <w:szCs w:val="10"/>
                <w:color w:val="auto"/>
              </w:rPr>
              <w:t>RUSTEE</w:t>
            </w: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5.01.</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Lists of Holders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204"/>
        </w:trPr>
        <w:tc>
          <w:tcPr>
            <w:tcW w:w="1100" w:type="dxa"/>
            <w:vAlign w:val="bottom"/>
          </w:tcPr>
          <w:p>
            <w:pPr>
              <w:spacing w:after="0"/>
              <w:rPr>
                <w:sz w:val="20"/>
                <w:szCs w:val="20"/>
                <w:color w:val="auto"/>
              </w:rPr>
            </w:pPr>
            <w:r>
              <w:rPr>
                <w:rFonts w:ascii="Arial" w:cs="Arial" w:eastAsia="Arial" w:hAnsi="Arial"/>
                <w:sz w:val="16"/>
                <w:szCs w:val="16"/>
                <w:color w:val="auto"/>
              </w:rPr>
              <w:t>Section 5.02.</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Preservation and Disclosure of Lists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39</w:t>
            </w: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jc w:val="center"/>
              <w:ind w:left="1560"/>
              <w:spacing w:after="0"/>
              <w:rPr>
                <w:sz w:val="20"/>
                <w:szCs w:val="20"/>
                <w:color w:val="auto"/>
              </w:rPr>
            </w:pPr>
            <w:r>
              <w:rPr>
                <w:rFonts w:ascii="Arial" w:cs="Arial" w:eastAsia="Arial" w:hAnsi="Arial"/>
                <w:sz w:val="16"/>
                <w:szCs w:val="16"/>
                <w:color w:val="auto"/>
                <w:w w:val="96"/>
              </w:rPr>
              <w:t>ARTICLE 6</w:t>
            </w: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7420" w:type="dxa"/>
            <w:vAlign w:val="bottom"/>
          </w:tcPr>
          <w:p>
            <w:pPr>
              <w:jc w:val="center"/>
              <w:ind w:left="1560"/>
              <w:spacing w:after="0"/>
              <w:rPr>
                <w:sz w:val="20"/>
                <w:szCs w:val="20"/>
                <w:color w:val="auto"/>
              </w:rPr>
            </w:pPr>
            <w:r>
              <w:rPr>
                <w:rFonts w:ascii="Arial" w:cs="Arial" w:eastAsia="Arial" w:hAnsi="Arial"/>
                <w:sz w:val="16"/>
                <w:szCs w:val="16"/>
                <w:color w:val="auto"/>
              </w:rPr>
              <w:t>D</w:t>
            </w:r>
            <w:r>
              <w:rPr>
                <w:rFonts w:ascii="Arial" w:cs="Arial" w:eastAsia="Arial" w:hAnsi="Arial"/>
                <w:sz w:val="10"/>
                <w:szCs w:val="10"/>
                <w:color w:val="auto"/>
              </w:rPr>
              <w:t>EFAULTS AND</w:t>
            </w:r>
            <w:r>
              <w:rPr>
                <w:rFonts w:ascii="Arial" w:cs="Arial" w:eastAsia="Arial" w:hAnsi="Arial"/>
                <w:sz w:val="16"/>
                <w:szCs w:val="16"/>
                <w:color w:val="auto"/>
              </w:rPr>
              <w:t xml:space="preserve"> R</w:t>
            </w:r>
            <w:r>
              <w:rPr>
                <w:rFonts w:ascii="Arial" w:cs="Arial" w:eastAsia="Arial" w:hAnsi="Arial"/>
                <w:sz w:val="10"/>
                <w:szCs w:val="10"/>
                <w:color w:val="auto"/>
              </w:rPr>
              <w:t>EMEDIES</w:t>
            </w: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6.01.</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Events of Default</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39</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6.02.</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Acceleration; Rescission and Annulment</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40</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6.03.</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Additional Interest</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41</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6.04.</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Payments of Notes on Default; Suit Therefor</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41</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6.05.</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Application of Monies Collected by Trustee</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42</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6.06.</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Proceedings by Holders</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42</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6.07.</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Proceedings by Trustee</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43</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6.08.</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Remedies Cumulative and Continuing</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43</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6.09.</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Direction of Proceedings and Waiver of Defaults by Majority of Holders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43</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6.10.</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Notice of Defaults</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44</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6.11.</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Undertaking to Pay Costs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44</w:t>
            </w: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7420" w:type="dxa"/>
            <w:vAlign w:val="bottom"/>
          </w:tcPr>
          <w:p>
            <w:pPr>
              <w:jc w:val="center"/>
              <w:ind w:left="1560"/>
              <w:spacing w:after="0"/>
              <w:rPr>
                <w:sz w:val="20"/>
                <w:szCs w:val="20"/>
                <w:color w:val="auto"/>
              </w:rPr>
            </w:pPr>
            <w:r>
              <w:rPr>
                <w:rFonts w:ascii="Arial" w:cs="Arial" w:eastAsia="Arial" w:hAnsi="Arial"/>
                <w:sz w:val="16"/>
                <w:szCs w:val="16"/>
                <w:color w:val="auto"/>
                <w:w w:val="96"/>
              </w:rPr>
              <w:t>ARTICLE 7</w:t>
            </w: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jc w:val="center"/>
              <w:ind w:left="1560"/>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ONCERNING THE</w:t>
            </w:r>
            <w:r>
              <w:rPr>
                <w:rFonts w:ascii="Arial" w:cs="Arial" w:eastAsia="Arial" w:hAnsi="Arial"/>
                <w:sz w:val="16"/>
                <w:szCs w:val="16"/>
                <w:color w:val="auto"/>
              </w:rPr>
              <w:t xml:space="preserve"> T</w:t>
            </w:r>
            <w:r>
              <w:rPr>
                <w:rFonts w:ascii="Arial" w:cs="Arial" w:eastAsia="Arial" w:hAnsi="Arial"/>
                <w:sz w:val="10"/>
                <w:szCs w:val="10"/>
                <w:color w:val="auto"/>
              </w:rPr>
              <w:t>RUSTEE</w:t>
            </w: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7.01.</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Duties and Responsibilities of Trustee</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44</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7.02.</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Reliance on Documents, Opinions, Etc</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45</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7.03.</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No Responsibility for Recitals, Etc</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46</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7.04.</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Trustee, Paying Agents, Conversion Agents or Note Registrar May Own Notes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46</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7.05.</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Monies and Shares of Common Stock to Be Held in Trust</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46</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7.06.</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Compensation and Expenses of Trustee</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46</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7.07.</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Officer’s Certificate and Opinion of Counsel as Evidence</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47</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7.08.</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Eligibility of Trustee</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47</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7.09.</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Resignation or Removal of Trustee</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47</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7.10.</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Acceptance by Successor Trustee</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48</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7.11.</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Succession by Merger, Etc</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48</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7.12.</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Trustee’s Application for Instructions from the Company</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48</w:t>
            </w: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7420" w:type="dxa"/>
            <w:vAlign w:val="bottom"/>
          </w:tcPr>
          <w:p>
            <w:pPr>
              <w:jc w:val="center"/>
              <w:ind w:left="1560"/>
              <w:spacing w:after="0"/>
              <w:rPr>
                <w:sz w:val="20"/>
                <w:szCs w:val="20"/>
                <w:color w:val="auto"/>
              </w:rPr>
            </w:pPr>
            <w:r>
              <w:rPr>
                <w:rFonts w:ascii="Arial" w:cs="Arial" w:eastAsia="Arial" w:hAnsi="Arial"/>
                <w:sz w:val="16"/>
                <w:szCs w:val="16"/>
                <w:color w:val="auto"/>
                <w:w w:val="96"/>
              </w:rPr>
              <w:t>ARTICLE 8</w:t>
            </w: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jc w:val="center"/>
              <w:ind w:left="1540"/>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ONCERNING</w:t>
            </w:r>
            <w:r>
              <w:rPr>
                <w:rFonts w:ascii="Arial" w:cs="Arial" w:eastAsia="Arial" w:hAnsi="Arial"/>
                <w:sz w:val="16"/>
                <w:szCs w:val="16"/>
                <w:color w:val="auto"/>
              </w:rPr>
              <w:t xml:space="preserve"> T</w:t>
            </w:r>
            <w:r>
              <w:rPr>
                <w:rFonts w:ascii="Arial" w:cs="Arial" w:eastAsia="Arial" w:hAnsi="Arial"/>
                <w:sz w:val="10"/>
                <w:szCs w:val="10"/>
                <w:color w:val="auto"/>
              </w:rPr>
              <w:t>HE</w:t>
            </w:r>
            <w:r>
              <w:rPr>
                <w:rFonts w:ascii="Arial" w:cs="Arial" w:eastAsia="Arial" w:hAnsi="Arial"/>
                <w:sz w:val="16"/>
                <w:szCs w:val="16"/>
                <w:color w:val="auto"/>
              </w:rPr>
              <w:t xml:space="preserve"> H</w:t>
            </w:r>
            <w:r>
              <w:rPr>
                <w:rFonts w:ascii="Arial" w:cs="Arial" w:eastAsia="Arial" w:hAnsi="Arial"/>
                <w:sz w:val="10"/>
                <w:szCs w:val="10"/>
                <w:color w:val="auto"/>
              </w:rPr>
              <w:t>OLDERS</w:t>
            </w: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8.01.</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Action by Holders</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48</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8.02.</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Proof of Execution by Holders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49</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8.03.</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Who Are Deemed Absolute Owners</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49</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8.04.</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Company-Owned Notes Disregarded</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49</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8.05.</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Revocation of Consents; Future Holders Bound</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49</w:t>
            </w:r>
          </w:p>
        </w:tc>
      </w:tr>
      <w:tr>
        <w:trPr>
          <w:trHeight w:val="191"/>
        </w:trPr>
        <w:tc>
          <w:tcPr>
            <w:tcW w:w="11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jc w:val="center"/>
              <w:ind w:left="1560"/>
              <w:spacing w:after="0"/>
              <w:rPr>
                <w:sz w:val="20"/>
                <w:szCs w:val="20"/>
                <w:color w:val="auto"/>
              </w:rPr>
            </w:pPr>
            <w:r>
              <w:rPr>
                <w:rFonts w:ascii="Arial" w:cs="Arial" w:eastAsia="Arial" w:hAnsi="Arial"/>
                <w:sz w:val="16"/>
                <w:szCs w:val="16"/>
                <w:color w:val="auto"/>
                <w:w w:val="96"/>
              </w:rPr>
              <w:t>ARTICLE 9</w:t>
            </w: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7420" w:type="dxa"/>
            <w:vAlign w:val="bottom"/>
          </w:tcPr>
          <w:p>
            <w:pPr>
              <w:jc w:val="center"/>
              <w:ind w:left="1540"/>
              <w:spacing w:after="0"/>
              <w:rPr>
                <w:sz w:val="20"/>
                <w:szCs w:val="20"/>
                <w:color w:val="auto"/>
              </w:rPr>
            </w:pPr>
            <w:r>
              <w:rPr>
                <w:rFonts w:ascii="Arial" w:cs="Arial" w:eastAsia="Arial" w:hAnsi="Arial"/>
                <w:sz w:val="16"/>
                <w:szCs w:val="16"/>
                <w:color w:val="auto"/>
              </w:rPr>
              <w:t>H</w:t>
            </w:r>
            <w:r>
              <w:rPr>
                <w:rFonts w:ascii="Arial" w:cs="Arial" w:eastAsia="Arial" w:hAnsi="Arial"/>
                <w:sz w:val="10"/>
                <w:szCs w:val="10"/>
                <w:color w:val="auto"/>
              </w:rPr>
              <w:t>OLDERS</w:t>
            </w:r>
            <w:r>
              <w:rPr>
                <w:rFonts w:ascii="Arial" w:cs="Arial" w:eastAsia="Arial" w:hAnsi="Arial"/>
                <w:sz w:val="16"/>
                <w:szCs w:val="16"/>
                <w:color w:val="auto"/>
              </w:rPr>
              <w:t>’ M</w:t>
            </w:r>
            <w:r>
              <w:rPr>
                <w:rFonts w:ascii="Arial" w:cs="Arial" w:eastAsia="Arial" w:hAnsi="Arial"/>
                <w:sz w:val="10"/>
                <w:szCs w:val="10"/>
                <w:color w:val="auto"/>
              </w:rPr>
              <w:t>EETINGS</w:t>
            </w: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9.01.</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Purpose of Meetings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49</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9.02.</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Call of Meetings by Trustee</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50</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9.03.</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Call of Meetings by Company or Holders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50</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9.04.</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Qualifications for Voting</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50</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9.05.</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Regulations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50</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9.06.</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Voting</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50</w:t>
            </w:r>
          </w:p>
        </w:tc>
      </w:tr>
      <w:tr>
        <w:trPr>
          <w:trHeight w:val="204"/>
        </w:trPr>
        <w:tc>
          <w:tcPr>
            <w:tcW w:w="1100" w:type="dxa"/>
            <w:vAlign w:val="bottom"/>
          </w:tcPr>
          <w:p>
            <w:pPr>
              <w:spacing w:after="0"/>
              <w:rPr>
                <w:sz w:val="20"/>
                <w:szCs w:val="20"/>
                <w:color w:val="auto"/>
              </w:rPr>
            </w:pPr>
            <w:r>
              <w:rPr>
                <w:rFonts w:ascii="Arial" w:cs="Arial" w:eastAsia="Arial" w:hAnsi="Arial"/>
                <w:sz w:val="16"/>
                <w:szCs w:val="16"/>
                <w:color w:val="auto"/>
              </w:rPr>
              <w:t>Section 9.07.</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No Delay of Rights by Meeting</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51</w:t>
            </w: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6"/>
          <w:szCs w:val="16"/>
          <w:color w:val="auto"/>
        </w:rPr>
        <w:t>ARTICLE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212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UPPLEMENTAL</w:t>
      </w:r>
      <w:r>
        <w:rPr>
          <w:rFonts w:ascii="Arial" w:cs="Arial" w:eastAsia="Arial" w:hAnsi="Arial"/>
          <w:sz w:val="16"/>
          <w:szCs w:val="16"/>
          <w:color w:val="auto"/>
        </w:rPr>
        <w:t xml:space="preserve"> I</w:t>
      </w:r>
      <w:r>
        <w:rPr>
          <w:rFonts w:ascii="Arial" w:cs="Arial" w:eastAsia="Arial" w:hAnsi="Arial"/>
          <w:sz w:val="10"/>
          <w:szCs w:val="10"/>
          <w:color w:val="auto"/>
        </w:rPr>
        <w:t>NDENTURES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shd w:val="clear" w:color="auto" w:fill="CCEEFF"/>
          </w:tcPr>
          <w:p>
            <w:pPr>
              <w:spacing w:after="0"/>
              <w:rPr>
                <w:sz w:val="14"/>
                <w:szCs w:val="14"/>
                <w:color w:val="auto"/>
              </w:rPr>
            </w:pPr>
          </w:p>
        </w:tc>
        <w:tc>
          <w:tcPr>
            <w:tcW w:w="9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10.01.</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Supplemental Indentures Without Consent of Holders</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51</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10.02.</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Supplemental Indentures with Consent of Holders</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52</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10.03.</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Effect of Supplemental Indentures</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52</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10.04.</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Notation on Notes</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52</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10.05.</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Evidence of Compliance of Supplemental Indenture to Be Furnished Trustee</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52</w:t>
            </w: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jc w:val="center"/>
              <w:ind w:right="160"/>
              <w:spacing w:after="0"/>
              <w:rPr>
                <w:sz w:val="20"/>
                <w:szCs w:val="20"/>
                <w:color w:val="auto"/>
              </w:rPr>
            </w:pPr>
            <w:r>
              <w:rPr>
                <w:rFonts w:ascii="Arial" w:cs="Arial" w:eastAsia="Arial" w:hAnsi="Arial"/>
                <w:sz w:val="16"/>
                <w:szCs w:val="16"/>
                <w:color w:val="auto"/>
                <w:w w:val="95"/>
              </w:rPr>
              <w:t>ARTICLE 11</w:t>
            </w: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ONSOLIDATION</w:t>
            </w:r>
            <w:r>
              <w:rPr>
                <w:rFonts w:ascii="Arial" w:cs="Arial" w:eastAsia="Arial" w:hAnsi="Arial"/>
                <w:sz w:val="16"/>
                <w:szCs w:val="16"/>
                <w:color w:val="auto"/>
              </w:rPr>
              <w:t>, M</w:t>
            </w:r>
            <w:r>
              <w:rPr>
                <w:rFonts w:ascii="Arial" w:cs="Arial" w:eastAsia="Arial" w:hAnsi="Arial"/>
                <w:sz w:val="10"/>
                <w:szCs w:val="10"/>
                <w:color w:val="auto"/>
              </w:rPr>
              <w:t>ERGER</w:t>
            </w:r>
            <w:r>
              <w:rPr>
                <w:rFonts w:ascii="Arial" w:cs="Arial" w:eastAsia="Arial" w:hAnsi="Arial"/>
                <w:sz w:val="16"/>
                <w:szCs w:val="16"/>
                <w:color w:val="auto"/>
              </w:rPr>
              <w:t>, S</w:t>
            </w:r>
            <w:r>
              <w:rPr>
                <w:rFonts w:ascii="Arial" w:cs="Arial" w:eastAsia="Arial" w:hAnsi="Arial"/>
                <w:sz w:val="10"/>
                <w:szCs w:val="10"/>
                <w:color w:val="auto"/>
              </w:rPr>
              <w:t>ALE</w:t>
            </w:r>
            <w:r>
              <w:rPr>
                <w:rFonts w:ascii="Arial" w:cs="Arial" w:eastAsia="Arial" w:hAnsi="Arial"/>
                <w:sz w:val="16"/>
                <w:szCs w:val="16"/>
                <w:color w:val="auto"/>
              </w:rPr>
              <w:t>, C</w:t>
            </w:r>
            <w:r>
              <w:rPr>
                <w:rFonts w:ascii="Arial" w:cs="Arial" w:eastAsia="Arial" w:hAnsi="Arial"/>
                <w:sz w:val="10"/>
                <w:szCs w:val="10"/>
                <w:color w:val="auto"/>
              </w:rPr>
              <w:t>ONVEYANCE AND</w:t>
            </w:r>
            <w:r>
              <w:rPr>
                <w:rFonts w:ascii="Arial" w:cs="Arial" w:eastAsia="Arial" w:hAnsi="Arial"/>
                <w:sz w:val="16"/>
                <w:szCs w:val="16"/>
                <w:color w:val="auto"/>
              </w:rPr>
              <w:t xml:space="preserve"> L</w:t>
            </w:r>
            <w:r>
              <w:rPr>
                <w:rFonts w:ascii="Arial" w:cs="Arial" w:eastAsia="Arial" w:hAnsi="Arial"/>
                <w:sz w:val="10"/>
                <w:szCs w:val="10"/>
                <w:color w:val="auto"/>
              </w:rPr>
              <w:t>EASE</w:t>
            </w: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11.01.</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Company May Consolidate, Etc. on Certain Terms</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53</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11.02.</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Successor Corporation to Be Substituted</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53</w:t>
            </w: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jc w:val="center"/>
              <w:ind w:right="160"/>
              <w:spacing w:after="0"/>
              <w:rPr>
                <w:sz w:val="20"/>
                <w:szCs w:val="20"/>
                <w:color w:val="auto"/>
              </w:rPr>
            </w:pPr>
            <w:r>
              <w:rPr>
                <w:rFonts w:ascii="Arial" w:cs="Arial" w:eastAsia="Arial" w:hAnsi="Arial"/>
                <w:sz w:val="16"/>
                <w:szCs w:val="16"/>
                <w:color w:val="auto"/>
                <w:w w:val="95"/>
              </w:rPr>
              <w:t>ARTICLE 12</w:t>
            </w: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rPr>
              <w:t>I</w:t>
            </w:r>
            <w:r>
              <w:rPr>
                <w:rFonts w:ascii="Arial" w:cs="Arial" w:eastAsia="Arial" w:hAnsi="Arial"/>
                <w:sz w:val="10"/>
                <w:szCs w:val="10"/>
                <w:color w:val="auto"/>
              </w:rPr>
              <w:t>MMUNITY OF</w:t>
            </w:r>
            <w:r>
              <w:rPr>
                <w:rFonts w:ascii="Arial" w:cs="Arial" w:eastAsia="Arial" w:hAnsi="Arial"/>
                <w:sz w:val="16"/>
                <w:szCs w:val="16"/>
                <w:color w:val="auto"/>
              </w:rPr>
              <w:t xml:space="preserve"> I</w:t>
            </w:r>
            <w:r>
              <w:rPr>
                <w:rFonts w:ascii="Arial" w:cs="Arial" w:eastAsia="Arial" w:hAnsi="Arial"/>
                <w:sz w:val="10"/>
                <w:szCs w:val="10"/>
                <w:color w:val="auto"/>
              </w:rPr>
              <w:t>NCORPORATORS</w:t>
            </w:r>
            <w:r>
              <w:rPr>
                <w:rFonts w:ascii="Arial" w:cs="Arial" w:eastAsia="Arial" w:hAnsi="Arial"/>
                <w:sz w:val="16"/>
                <w:szCs w:val="16"/>
                <w:color w:val="auto"/>
              </w:rPr>
              <w:t>, S</w:t>
            </w:r>
            <w:r>
              <w:rPr>
                <w:rFonts w:ascii="Arial" w:cs="Arial" w:eastAsia="Arial" w:hAnsi="Arial"/>
                <w:sz w:val="10"/>
                <w:szCs w:val="10"/>
                <w:color w:val="auto"/>
              </w:rPr>
              <w:t>TOCKHOLDERS</w:t>
            </w:r>
            <w:r>
              <w:rPr>
                <w:rFonts w:ascii="Arial" w:cs="Arial" w:eastAsia="Arial" w:hAnsi="Arial"/>
                <w:sz w:val="16"/>
                <w:szCs w:val="16"/>
                <w:color w:val="auto"/>
              </w:rPr>
              <w:t>, O</w:t>
            </w:r>
            <w:r>
              <w:rPr>
                <w:rFonts w:ascii="Arial" w:cs="Arial" w:eastAsia="Arial" w:hAnsi="Arial"/>
                <w:sz w:val="10"/>
                <w:szCs w:val="10"/>
                <w:color w:val="auto"/>
              </w:rPr>
              <w:t>FFICERS AND</w:t>
            </w:r>
            <w:r>
              <w:rPr>
                <w:rFonts w:ascii="Arial" w:cs="Arial" w:eastAsia="Arial" w:hAnsi="Arial"/>
                <w:sz w:val="16"/>
                <w:szCs w:val="16"/>
                <w:color w:val="auto"/>
              </w:rPr>
              <w:t xml:space="preserve"> D</w:t>
            </w:r>
            <w:r>
              <w:rPr>
                <w:rFonts w:ascii="Arial" w:cs="Arial" w:eastAsia="Arial" w:hAnsi="Arial"/>
                <w:sz w:val="10"/>
                <w:szCs w:val="10"/>
                <w:color w:val="auto"/>
              </w:rPr>
              <w:t>IRECTORS</w:t>
            </w: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12.01.</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Indenture and Notes Solely Corporate Obligations</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54</w:t>
            </w:r>
          </w:p>
        </w:tc>
      </w:tr>
      <w:tr>
        <w:trPr>
          <w:trHeight w:val="191"/>
        </w:trPr>
        <w:tc>
          <w:tcPr>
            <w:tcW w:w="11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w w:val="95"/>
              </w:rPr>
              <w:t>ARTICLE 13</w:t>
            </w: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jc w:val="center"/>
              <w:ind w:right="180"/>
              <w:spacing w:after="0"/>
              <w:rPr>
                <w:sz w:val="20"/>
                <w:szCs w:val="20"/>
                <w:color w:val="auto"/>
              </w:rPr>
            </w:pPr>
            <w:r>
              <w:rPr>
                <w:rFonts w:ascii="Arial" w:cs="Arial" w:eastAsia="Arial" w:hAnsi="Arial"/>
                <w:sz w:val="16"/>
                <w:szCs w:val="16"/>
                <w:color w:val="auto"/>
                <w:w w:val="99"/>
              </w:rPr>
              <w:t>[R</w:t>
            </w:r>
            <w:r>
              <w:rPr>
                <w:rFonts w:ascii="Arial" w:cs="Arial" w:eastAsia="Arial" w:hAnsi="Arial"/>
                <w:sz w:val="10"/>
                <w:szCs w:val="10"/>
                <w:color w:val="auto"/>
                <w:w w:val="99"/>
              </w:rPr>
              <w:t>ESERVED</w:t>
            </w:r>
            <w:r>
              <w:rPr>
                <w:rFonts w:ascii="Arial" w:cs="Arial" w:eastAsia="Arial" w:hAnsi="Arial"/>
                <w:sz w:val="16"/>
                <w:szCs w:val="16"/>
                <w:color w:val="auto"/>
                <w:w w:val="99"/>
              </w:rPr>
              <w:t>]</w:t>
            </w: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jc w:val="center"/>
              <w:ind w:right="160"/>
              <w:spacing w:after="0"/>
              <w:rPr>
                <w:sz w:val="20"/>
                <w:szCs w:val="20"/>
                <w:color w:val="auto"/>
              </w:rPr>
            </w:pPr>
            <w:r>
              <w:rPr>
                <w:rFonts w:ascii="Arial" w:cs="Arial" w:eastAsia="Arial" w:hAnsi="Arial"/>
                <w:sz w:val="16"/>
                <w:szCs w:val="16"/>
                <w:color w:val="auto"/>
                <w:w w:val="95"/>
              </w:rPr>
              <w:t>ARTICLE 14</w:t>
            </w: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jc w:val="center"/>
              <w:ind w:right="180"/>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ONVERSION OF</w:t>
            </w:r>
            <w:r>
              <w:rPr>
                <w:rFonts w:ascii="Arial" w:cs="Arial" w:eastAsia="Arial" w:hAnsi="Arial"/>
                <w:sz w:val="16"/>
                <w:szCs w:val="16"/>
                <w:color w:val="auto"/>
              </w:rPr>
              <w:t xml:space="preserve"> N</w:t>
            </w:r>
            <w:r>
              <w:rPr>
                <w:rFonts w:ascii="Arial" w:cs="Arial" w:eastAsia="Arial" w:hAnsi="Arial"/>
                <w:sz w:val="10"/>
                <w:szCs w:val="10"/>
                <w:color w:val="auto"/>
              </w:rPr>
              <w:t>OTES</w:t>
            </w: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14.01.</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Conversion Privilege</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54</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14.02.</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Conversion Procedure; Settlement Upon Conversion</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54</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14.03.</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Company’s Mandatory Conversion Option.</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56</w:t>
            </w:r>
          </w:p>
        </w:tc>
      </w:tr>
      <w:tr>
        <w:trPr>
          <w:trHeight w:val="179"/>
        </w:trPr>
        <w:tc>
          <w:tcPr>
            <w:tcW w:w="1140" w:type="dxa"/>
            <w:vAlign w:val="bottom"/>
          </w:tcPr>
          <w:p>
            <w:pPr>
              <w:spacing w:after="0" w:line="179" w:lineRule="exact"/>
              <w:rPr>
                <w:sz w:val="20"/>
                <w:szCs w:val="20"/>
                <w:color w:val="auto"/>
              </w:rPr>
            </w:pPr>
            <w:r>
              <w:rPr>
                <w:rFonts w:ascii="Arial" w:cs="Arial" w:eastAsia="Arial" w:hAnsi="Arial"/>
                <w:sz w:val="16"/>
                <w:szCs w:val="16"/>
                <w:color w:val="auto"/>
              </w:rPr>
              <w:t>Section 14.04.</w:t>
            </w:r>
          </w:p>
        </w:tc>
        <w:tc>
          <w:tcPr>
            <w:tcW w:w="9220" w:type="dxa"/>
            <w:vAlign w:val="bottom"/>
          </w:tcPr>
          <w:p>
            <w:pPr>
              <w:ind w:left="220"/>
              <w:spacing w:after="0" w:line="179" w:lineRule="exact"/>
              <w:rPr>
                <w:sz w:val="20"/>
                <w:szCs w:val="20"/>
                <w:color w:val="auto"/>
              </w:rPr>
            </w:pPr>
            <w:r>
              <w:rPr>
                <w:rFonts w:ascii="Arial" w:cs="Arial" w:eastAsia="Arial" w:hAnsi="Arial"/>
                <w:sz w:val="16"/>
                <w:szCs w:val="16"/>
                <w:i w:val="1"/>
                <w:iCs w:val="1"/>
                <w:color w:val="auto"/>
                <w:w w:val="93"/>
              </w:rPr>
              <w:t>Increased Conversion Rate Applicable to Certain Notes Surrendered in Connection with Make-Whole Fundamental Changes or during a</w:t>
            </w:r>
          </w:p>
        </w:tc>
        <w:tc>
          <w:tcPr>
            <w:tcW w:w="900" w:type="dxa"/>
            <w:vAlign w:val="bottom"/>
          </w:tcPr>
          <w:p>
            <w:pPr>
              <w:jc w:val="right"/>
              <w:ind w:right="400"/>
              <w:spacing w:after="0" w:line="179" w:lineRule="exact"/>
              <w:rPr>
                <w:sz w:val="20"/>
                <w:szCs w:val="20"/>
                <w:color w:val="auto"/>
              </w:rPr>
            </w:pPr>
            <w:r>
              <w:rPr>
                <w:rFonts w:ascii="Arial" w:cs="Arial" w:eastAsia="Arial" w:hAnsi="Arial"/>
                <w:sz w:val="16"/>
                <w:szCs w:val="16"/>
                <w:color w:val="auto"/>
              </w:rPr>
              <w:t>57</w:t>
            </w:r>
          </w:p>
        </w:tc>
      </w:tr>
      <w:tr>
        <w:trPr>
          <w:trHeight w:val="204"/>
        </w:trPr>
        <w:tc>
          <w:tcPr>
            <w:tcW w:w="1140" w:type="dxa"/>
            <w:vAlign w:val="bottom"/>
          </w:tcPr>
          <w:p>
            <w:pPr>
              <w:spacing w:after="0"/>
              <w:rPr>
                <w:sz w:val="17"/>
                <w:szCs w:val="17"/>
                <w:color w:val="auto"/>
              </w:rPr>
            </w:pP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Redemption Period</w:t>
            </w:r>
          </w:p>
        </w:tc>
        <w:tc>
          <w:tcPr>
            <w:tcW w:w="900" w:type="dxa"/>
            <w:vAlign w:val="bottom"/>
          </w:tcPr>
          <w:p>
            <w:pPr>
              <w:spacing w:after="0"/>
              <w:rPr>
                <w:sz w:val="17"/>
                <w:szCs w:val="17"/>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14.05.</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Adjustment of Conversion Rate</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59</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14.06.</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Adjustments of Prices</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67</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14.07.</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Shares to Be Fully Paid</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67</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14.08.</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Effect of Recapitalizations, Reclassifications and Changes of the Common Stock</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67</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14.09.</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Certain Covenants</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69</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14.10.</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Responsibility of Trustee</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69</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14.11.</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Notice to Holders Prior to Certain Actions</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70</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14.12.</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Stockholder Rights Plans</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70</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14.13.</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Exchange in Lieu of Conversion</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70</w:t>
            </w:r>
          </w:p>
        </w:tc>
      </w:tr>
      <w:tr>
        <w:trPr>
          <w:trHeight w:val="191"/>
        </w:trPr>
        <w:tc>
          <w:tcPr>
            <w:tcW w:w="11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w w:val="95"/>
              </w:rPr>
              <w:t>ARTICLE 15</w:t>
            </w: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jc w:val="center"/>
              <w:ind w:right="180"/>
              <w:spacing w:after="0"/>
              <w:rPr>
                <w:sz w:val="20"/>
                <w:szCs w:val="20"/>
                <w:color w:val="auto"/>
              </w:rPr>
            </w:pPr>
            <w:r>
              <w:rPr>
                <w:rFonts w:ascii="Arial" w:cs="Arial" w:eastAsia="Arial" w:hAnsi="Arial"/>
                <w:sz w:val="16"/>
                <w:szCs w:val="16"/>
                <w:color w:val="auto"/>
              </w:rPr>
              <w:t>R</w:t>
            </w:r>
            <w:r>
              <w:rPr>
                <w:rFonts w:ascii="Arial" w:cs="Arial" w:eastAsia="Arial" w:hAnsi="Arial"/>
                <w:sz w:val="10"/>
                <w:szCs w:val="10"/>
                <w:color w:val="auto"/>
              </w:rPr>
              <w:t>EPURCHASE OF</w:t>
            </w:r>
            <w:r>
              <w:rPr>
                <w:rFonts w:ascii="Arial" w:cs="Arial" w:eastAsia="Arial" w:hAnsi="Arial"/>
                <w:sz w:val="16"/>
                <w:szCs w:val="16"/>
                <w:color w:val="auto"/>
              </w:rPr>
              <w:t xml:space="preserve"> N</w:t>
            </w:r>
            <w:r>
              <w:rPr>
                <w:rFonts w:ascii="Arial" w:cs="Arial" w:eastAsia="Arial" w:hAnsi="Arial"/>
                <w:sz w:val="10"/>
                <w:szCs w:val="10"/>
                <w:color w:val="auto"/>
              </w:rPr>
              <w:t>OTES AT</w:t>
            </w:r>
            <w:r>
              <w:rPr>
                <w:rFonts w:ascii="Arial" w:cs="Arial" w:eastAsia="Arial" w:hAnsi="Arial"/>
                <w:sz w:val="16"/>
                <w:szCs w:val="16"/>
                <w:color w:val="auto"/>
              </w:rPr>
              <w:t xml:space="preserve"> O</w:t>
            </w:r>
            <w:r>
              <w:rPr>
                <w:rFonts w:ascii="Arial" w:cs="Arial" w:eastAsia="Arial" w:hAnsi="Arial"/>
                <w:sz w:val="10"/>
                <w:szCs w:val="10"/>
                <w:color w:val="auto"/>
              </w:rPr>
              <w:t>PTION OF</w:t>
            </w:r>
            <w:r>
              <w:rPr>
                <w:rFonts w:ascii="Arial" w:cs="Arial" w:eastAsia="Arial" w:hAnsi="Arial"/>
                <w:sz w:val="16"/>
                <w:szCs w:val="16"/>
                <w:color w:val="auto"/>
              </w:rPr>
              <w:t xml:space="preserve"> H</w:t>
            </w:r>
            <w:r>
              <w:rPr>
                <w:rFonts w:ascii="Arial" w:cs="Arial" w:eastAsia="Arial" w:hAnsi="Arial"/>
                <w:sz w:val="10"/>
                <w:szCs w:val="10"/>
                <w:color w:val="auto"/>
              </w:rPr>
              <w:t>OLDERS</w:t>
            </w: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15.01.</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[Intentionally Omitted]</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71</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15.02.</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Repurchase at Option of Holders Upon a Fundamental Change</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71</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15.03.</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Withdrawal of Fundamental Change Repurchase Notice</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73</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15.04.</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Deposit of Fundamental Change Repurchase Price</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73</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15.05.</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Covenant to Comply with Applicable Laws Upon Repurchase of Notes</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74</w:t>
            </w: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jc w:val="center"/>
              <w:ind w:right="160"/>
              <w:spacing w:after="0"/>
              <w:rPr>
                <w:sz w:val="20"/>
                <w:szCs w:val="20"/>
                <w:color w:val="auto"/>
              </w:rPr>
            </w:pPr>
            <w:r>
              <w:rPr>
                <w:rFonts w:ascii="Arial" w:cs="Arial" w:eastAsia="Arial" w:hAnsi="Arial"/>
                <w:sz w:val="16"/>
                <w:szCs w:val="16"/>
                <w:color w:val="auto"/>
                <w:w w:val="95"/>
              </w:rPr>
              <w:t>ARTICLE 16</w:t>
            </w: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rPr>
              <w:t>O</w:t>
            </w:r>
            <w:r>
              <w:rPr>
                <w:rFonts w:ascii="Arial" w:cs="Arial" w:eastAsia="Arial" w:hAnsi="Arial"/>
                <w:sz w:val="10"/>
                <w:szCs w:val="10"/>
                <w:color w:val="auto"/>
              </w:rPr>
              <w:t>PTIONAL</w:t>
            </w:r>
            <w:r>
              <w:rPr>
                <w:rFonts w:ascii="Arial" w:cs="Arial" w:eastAsia="Arial" w:hAnsi="Arial"/>
                <w:sz w:val="16"/>
                <w:szCs w:val="16"/>
                <w:color w:val="auto"/>
              </w:rPr>
              <w:t xml:space="preserve"> R</w:t>
            </w:r>
            <w:r>
              <w:rPr>
                <w:rFonts w:ascii="Arial" w:cs="Arial" w:eastAsia="Arial" w:hAnsi="Arial"/>
                <w:sz w:val="10"/>
                <w:szCs w:val="10"/>
                <w:color w:val="auto"/>
              </w:rPr>
              <w:t>EDEMPTION</w:t>
            </w: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16.01.</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Optional Redemption</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74</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16.02.</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Notice of Optional Redemption; Selection of Notes</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75</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16.03.</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Payment of Notes Called for Redemption</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76</w:t>
            </w:r>
          </w:p>
        </w:tc>
      </w:tr>
      <w:tr>
        <w:trPr>
          <w:trHeight w:val="204"/>
        </w:trPr>
        <w:tc>
          <w:tcPr>
            <w:tcW w:w="1140" w:type="dxa"/>
            <w:vAlign w:val="bottom"/>
          </w:tcPr>
          <w:p>
            <w:pPr>
              <w:spacing w:after="0"/>
              <w:rPr>
                <w:sz w:val="20"/>
                <w:szCs w:val="20"/>
                <w:color w:val="auto"/>
              </w:rPr>
            </w:pPr>
            <w:r>
              <w:rPr>
                <w:rFonts w:ascii="Arial" w:cs="Arial" w:eastAsia="Arial" w:hAnsi="Arial"/>
                <w:sz w:val="16"/>
                <w:szCs w:val="16"/>
                <w:color w:val="auto"/>
              </w:rPr>
              <w:t>Section 16.04.</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Restrictions on Redemption</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76</w:t>
            </w: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1"/>
        </w:trPr>
        <w:tc>
          <w:tcPr>
            <w:tcW w:w="1140" w:type="dxa"/>
            <w:vAlign w:val="bottom"/>
            <w:shd w:val="clear" w:color="auto" w:fill="CCEEFF"/>
          </w:tcPr>
          <w:p>
            <w:pPr>
              <w:spacing w:after="0"/>
              <w:rPr>
                <w:sz w:val="16"/>
                <w:szCs w:val="16"/>
                <w:color w:val="auto"/>
              </w:rPr>
            </w:pPr>
          </w:p>
        </w:tc>
        <w:tc>
          <w:tcPr>
            <w:tcW w:w="8040" w:type="dxa"/>
            <w:vAlign w:val="bottom"/>
            <w:shd w:val="clear" w:color="auto" w:fill="CCEEFF"/>
          </w:tcPr>
          <w:p>
            <w:pPr>
              <w:jc w:val="center"/>
              <w:ind w:left="840"/>
              <w:spacing w:after="0"/>
              <w:rPr>
                <w:sz w:val="20"/>
                <w:szCs w:val="20"/>
                <w:color w:val="auto"/>
              </w:rPr>
            </w:pPr>
            <w:r>
              <w:rPr>
                <w:rFonts w:ascii="Arial" w:cs="Arial" w:eastAsia="Arial" w:hAnsi="Arial"/>
                <w:sz w:val="16"/>
                <w:szCs w:val="16"/>
                <w:color w:val="auto"/>
                <w:w w:val="99"/>
              </w:rPr>
              <w:t>ARTICLE 17 G</w:t>
            </w:r>
            <w:r>
              <w:rPr>
                <w:rFonts w:ascii="Arial" w:cs="Arial" w:eastAsia="Arial" w:hAnsi="Arial"/>
                <w:sz w:val="10"/>
                <w:szCs w:val="10"/>
                <w:color w:val="auto"/>
                <w:w w:val="99"/>
              </w:rPr>
              <w:t>UARANTEE</w:t>
            </w:r>
          </w:p>
        </w:tc>
        <w:tc>
          <w:tcPr>
            <w:tcW w:w="208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17.01.</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Guarantee</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76</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17.02.</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Limitation on Guarantor Liability</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77</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17.03.</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Release of Guarantees</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78</w:t>
            </w:r>
          </w:p>
        </w:tc>
      </w:tr>
      <w:tr>
        <w:trPr>
          <w:trHeight w:val="191"/>
        </w:trPr>
        <w:tc>
          <w:tcPr>
            <w:tcW w:w="114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8040" w:type="dxa"/>
            <w:vAlign w:val="bottom"/>
            <w:shd w:val="clear" w:color="auto" w:fill="CCEEFF"/>
          </w:tcPr>
          <w:p>
            <w:pPr>
              <w:jc w:val="center"/>
              <w:ind w:left="860"/>
              <w:spacing w:after="0"/>
              <w:rPr>
                <w:sz w:val="20"/>
                <w:szCs w:val="20"/>
                <w:color w:val="auto"/>
              </w:rPr>
            </w:pPr>
            <w:r>
              <w:rPr>
                <w:rFonts w:ascii="Arial" w:cs="Arial" w:eastAsia="Arial" w:hAnsi="Arial"/>
                <w:sz w:val="16"/>
                <w:szCs w:val="16"/>
                <w:color w:val="auto"/>
                <w:w w:val="95"/>
              </w:rPr>
              <w:t>ARTICLE 18</w:t>
            </w:r>
          </w:p>
        </w:tc>
        <w:tc>
          <w:tcPr>
            <w:tcW w:w="208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8040" w:type="dxa"/>
            <w:vAlign w:val="bottom"/>
          </w:tcPr>
          <w:p>
            <w:pPr>
              <w:jc w:val="center"/>
              <w:ind w:left="840"/>
              <w:spacing w:after="0"/>
              <w:rPr>
                <w:sz w:val="20"/>
                <w:szCs w:val="20"/>
                <w:color w:val="auto"/>
              </w:rPr>
            </w:pPr>
            <w:r>
              <w:rPr>
                <w:rFonts w:ascii="Arial" w:cs="Arial" w:eastAsia="Arial" w:hAnsi="Arial"/>
                <w:sz w:val="16"/>
                <w:szCs w:val="16"/>
                <w:color w:val="auto"/>
              </w:rPr>
              <w:t>M</w:t>
            </w:r>
            <w:r>
              <w:rPr>
                <w:rFonts w:ascii="Arial" w:cs="Arial" w:eastAsia="Arial" w:hAnsi="Arial"/>
                <w:sz w:val="10"/>
                <w:szCs w:val="10"/>
                <w:color w:val="auto"/>
              </w:rPr>
              <w:t>ISCELLANEOUS</w:t>
            </w:r>
            <w:r>
              <w:rPr>
                <w:rFonts w:ascii="Arial" w:cs="Arial" w:eastAsia="Arial" w:hAnsi="Arial"/>
                <w:sz w:val="16"/>
                <w:szCs w:val="16"/>
                <w:color w:val="auto"/>
              </w:rPr>
              <w:t xml:space="preserve"> P</w:t>
            </w:r>
            <w:r>
              <w:rPr>
                <w:rFonts w:ascii="Arial" w:cs="Arial" w:eastAsia="Arial" w:hAnsi="Arial"/>
                <w:sz w:val="10"/>
                <w:szCs w:val="10"/>
                <w:color w:val="auto"/>
              </w:rPr>
              <w:t>ROVISIONS</w:t>
            </w:r>
          </w:p>
        </w:tc>
        <w:tc>
          <w:tcPr>
            <w:tcW w:w="208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80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18.01.</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Provisions Binding on Company’s Successors</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78</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18.02.</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Official Acts by Successor Corporation</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78</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18.03.</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Addresses for Notices, Etc</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78</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18.04.</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Governing Law; Jurisdiction</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79</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18.05.</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Evidence of Compliance with Conditions Precedent; Certificates and Opinions of Counsel to Trustee</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79</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18.06.</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Legal Holidays</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80</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18.07.</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No Security Interest Created</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80</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18.08.</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Benefits of Indenture</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80</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18.09.</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Table of Contents, Headings, Etc</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80</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18.10.</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Authenticating Agent</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80</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18.11.</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Execution in Counterparts</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81</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18.12.</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Severability</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81</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18.13.</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Waiver of Jury Trial</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81</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18.14.</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Force Majeure</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81</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18.15.</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Calculations</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82</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18.16.</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USA PATRIOT Act</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82</w:t>
            </w:r>
          </w:p>
        </w:tc>
      </w:tr>
      <w:tr>
        <w:trPr>
          <w:trHeight w:val="383"/>
        </w:trPr>
        <w:tc>
          <w:tcPr>
            <w:tcW w:w="1140" w:type="dxa"/>
            <w:vAlign w:val="bottom"/>
          </w:tcPr>
          <w:p>
            <w:pPr>
              <w:spacing w:after="0"/>
              <w:rPr>
                <w:sz w:val="24"/>
                <w:szCs w:val="24"/>
                <w:color w:val="auto"/>
              </w:rPr>
            </w:pPr>
          </w:p>
        </w:tc>
        <w:tc>
          <w:tcPr>
            <w:tcW w:w="8040" w:type="dxa"/>
            <w:vAlign w:val="bottom"/>
          </w:tcPr>
          <w:p>
            <w:pPr>
              <w:jc w:val="center"/>
              <w:ind w:left="840"/>
              <w:spacing w:after="0"/>
              <w:rPr>
                <w:sz w:val="20"/>
                <w:szCs w:val="20"/>
                <w:color w:val="auto"/>
              </w:rPr>
            </w:pPr>
            <w:r>
              <w:rPr>
                <w:rFonts w:ascii="Arial" w:cs="Arial" w:eastAsia="Arial" w:hAnsi="Arial"/>
                <w:sz w:val="16"/>
                <w:szCs w:val="16"/>
                <w:b w:val="1"/>
                <w:bCs w:val="1"/>
                <w:color w:val="auto"/>
              </w:rPr>
              <w:t>EXHIBIT</w:t>
            </w:r>
          </w:p>
        </w:tc>
        <w:tc>
          <w:tcPr>
            <w:tcW w:w="2080" w:type="dxa"/>
            <w:vAlign w:val="bottom"/>
          </w:tcPr>
          <w:p>
            <w:pPr>
              <w:spacing w:after="0"/>
              <w:rPr>
                <w:sz w:val="24"/>
                <w:szCs w:val="24"/>
                <w:color w:val="auto"/>
              </w:rPr>
            </w:pPr>
          </w:p>
        </w:tc>
      </w:tr>
      <w:tr>
        <w:trPr>
          <w:trHeight w:val="191"/>
        </w:trPr>
        <w:tc>
          <w:tcPr>
            <w:tcW w:w="114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Exhibit A</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Form of Note</w:t>
            </w:r>
          </w:p>
        </w:tc>
        <w:tc>
          <w:tcPr>
            <w:tcW w:w="2080" w:type="dxa"/>
            <w:vAlign w:val="bottom"/>
            <w:shd w:val="clear" w:color="auto" w:fill="CCEEFF"/>
          </w:tcPr>
          <w:p>
            <w:pPr>
              <w:jc w:val="center"/>
              <w:ind w:left="860"/>
              <w:spacing w:after="0"/>
              <w:rPr>
                <w:sz w:val="20"/>
                <w:szCs w:val="20"/>
                <w:color w:val="auto"/>
              </w:rPr>
            </w:pPr>
            <w:r>
              <w:rPr>
                <w:rFonts w:ascii="Arial" w:cs="Arial" w:eastAsia="Arial" w:hAnsi="Arial"/>
                <w:sz w:val="16"/>
                <w:szCs w:val="16"/>
                <w:color w:val="auto"/>
              </w:rPr>
              <w:t>A-1</w:t>
            </w:r>
          </w:p>
        </w:tc>
      </w:tr>
      <w:tr>
        <w:trPr>
          <w:trHeight w:val="191"/>
        </w:trPr>
        <w:tc>
          <w:tcPr>
            <w:tcW w:w="114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Exhibit B</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Form of PIK Election Notice</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96"/>
              </w:rPr>
              <w:t>B-1</w:t>
            </w: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108" w:name="page109"/>
    <w:bookmarkEnd w:id="108"/>
    <w:p>
      <w:pPr>
        <w:jc w:val="both"/>
        <w:ind w:right="20" w:firstLine="574"/>
        <w:spacing w:after="0" w:line="280" w:lineRule="auto"/>
        <w:rPr>
          <w:sz w:val="20"/>
          <w:szCs w:val="20"/>
          <w:color w:val="auto"/>
        </w:rPr>
      </w:pPr>
      <w:r>
        <w:rPr>
          <w:rFonts w:ascii="Arial" w:cs="Arial" w:eastAsia="Arial" w:hAnsi="Arial"/>
          <w:sz w:val="16"/>
          <w:szCs w:val="16"/>
          <w:color w:val="auto"/>
        </w:rPr>
        <w:t>INDENTURE dated as of [ ● ], 2022 between [ ● ], a Delaware corporation, as issuer (the “</w:t>
      </w:r>
      <w:r>
        <w:rPr>
          <w:rFonts w:ascii="Arial" w:cs="Arial" w:eastAsia="Arial" w:hAnsi="Arial"/>
          <w:sz w:val="16"/>
          <w:szCs w:val="16"/>
          <w:b w:val="1"/>
          <w:bCs w:val="1"/>
          <w:color w:val="auto"/>
        </w:rPr>
        <w:t>Company</w:t>
      </w:r>
      <w:r>
        <w:rPr>
          <w:rFonts w:ascii="Arial" w:cs="Arial" w:eastAsia="Arial" w:hAnsi="Arial"/>
          <w:sz w:val="16"/>
          <w:szCs w:val="16"/>
          <w:color w:val="auto"/>
        </w:rPr>
        <w:t>,” as more fully set forth in Section 1.01)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more fully set forth in Section 1.01).</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 I T N E S S E T H:</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for its lawful corporate purposes, the Company has duly authorized the issuance of its 9.0%/11.0% Convertible Senior PIK Toggle Notes due 2026 (the “</w:t>
      </w:r>
      <w:r>
        <w:rPr>
          <w:rFonts w:ascii="Arial" w:cs="Arial" w:eastAsia="Arial" w:hAnsi="Arial"/>
          <w:sz w:val="16"/>
          <w:szCs w:val="16"/>
          <w:b w:val="1"/>
          <w:bCs w:val="1"/>
          <w:color w:val="auto"/>
        </w:rPr>
        <w:t>Notes</w:t>
      </w:r>
      <w:r>
        <w:rPr>
          <w:rFonts w:ascii="Arial" w:cs="Arial" w:eastAsia="Arial" w:hAnsi="Arial"/>
          <w:sz w:val="16"/>
          <w:szCs w:val="16"/>
          <w:color w:val="auto"/>
        </w:rPr>
        <w:t>”), initially in an aggregate principal amount not to exceed $70,000,000, and in order to provide the terms and conditions upon which the Notes are to be authenticated, issued and delivered, the Company has duly authorized the execution and delivery of this Indenture; and</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 provided; and</w:t>
      </w:r>
    </w:p>
    <w:p>
      <w:pPr>
        <w:spacing w:after="0" w:line="15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NOW, THEREFORE, THIS INDENTURE WITNESSETH:</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w:t>
      </w:r>
      <w:r>
        <w:rPr>
          <w:rFonts w:ascii="Arial" w:cs="Arial" w:eastAsia="Arial" w:hAnsi="Arial"/>
          <w:sz w:val="10"/>
          <w:szCs w:val="10"/>
          <w:color w:val="auto"/>
        </w:rPr>
        <w:t>EFINITIONS</w:t>
      </w:r>
    </w:p>
    <w:p>
      <w:pPr>
        <w:spacing w:after="0" w:line="186"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Definitions</w:t>
      </w:r>
      <w:r>
        <w:rPr>
          <w:rFonts w:ascii="Arial" w:cs="Arial" w:eastAsia="Arial" w:hAnsi="Arial"/>
          <w:sz w:val="16"/>
          <w:szCs w:val="16"/>
          <w:color w:val="auto"/>
        </w:rPr>
        <w:t>.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 Provision</w:t>
      </w:r>
      <w:r>
        <w:rPr>
          <w:rFonts w:ascii="Arial" w:cs="Arial" w:eastAsia="Arial" w:hAnsi="Arial"/>
          <w:sz w:val="16"/>
          <w:szCs w:val="16"/>
          <w:color w:val="auto"/>
        </w:rPr>
        <w:t>” shall have the meaning specified in Section 14.05(l).</w:t>
      </w:r>
    </w:p>
    <w:p>
      <w:pPr>
        <w:spacing w:after="0" w:line="198"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30-Day ADTV</w:t>
      </w:r>
      <w:r>
        <w:rPr>
          <w:rFonts w:ascii="Arial" w:cs="Arial" w:eastAsia="Arial" w:hAnsi="Arial"/>
          <w:sz w:val="15"/>
          <w:szCs w:val="15"/>
          <w:color w:val="auto"/>
        </w:rPr>
        <w:t>” means, as of any date and with respect to any shares of Common Stock, an amount equal to the arithmetic average of the products, for each Trading Day in the 30 Trading Day period ending on, and including, the Trading Day immediately preceding such date, of (i) the daily trading volume in such shares of Common Stock on the applicable exchange for such Trading Day and (ii) the Daily VWAP for such Trading Day; provided that in the case of calculating the amount in this clause (ii) with respect to any shares of Common Stock, in respect of any Trading Day occurring on or subsequent to the Ex-Dividend Date for such dividend or distribution, such amount shall be increased by an amount of cash in U.S. dollars per share of Common Stock distributed, or to be distributed, in such dividend or distribution, net of any applicable withholding taxes, as determined by the Conversion Agent, unless such dividend or distribution does not occur, in which case such amount shall be reduced to the amount that would then be in effect if such dividend or distribution had not been declared.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9" w:name="page110"/>
    <w:bookmarkEnd w:id="109"/>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Interest</w:t>
      </w:r>
      <w:r>
        <w:rPr>
          <w:rFonts w:ascii="Arial" w:cs="Arial" w:eastAsia="Arial" w:hAnsi="Arial"/>
          <w:sz w:val="16"/>
          <w:szCs w:val="16"/>
          <w:color w:val="auto"/>
        </w:rPr>
        <w:t>” means all amounts, if any, payable pursuant to Section 4.06(d) and Section 6.03, as applicable.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w:t>
      </w:r>
      <w:r>
        <w:rPr>
          <w:rFonts w:ascii="Arial" w:cs="Arial" w:eastAsia="Arial" w:hAnsi="Arial"/>
          <w:sz w:val="16"/>
          <w:szCs w:val="16"/>
          <w:color w:val="auto"/>
        </w:rPr>
        <w:t>” shall have the meaning specified in Section 14.04(a).</w:t>
      </w:r>
    </w:p>
    <w:p>
      <w:pPr>
        <w:spacing w:after="0" w:line="198" w:lineRule="exact"/>
        <w:rPr>
          <w:sz w:val="20"/>
          <w:szCs w:val="20"/>
          <w:color w:val="auto"/>
        </w:rPr>
      </w:pPr>
    </w:p>
    <w:p>
      <w:pPr>
        <w:jc w:val="both"/>
        <w:ind w:left="4" w:firstLine="574"/>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Warrants</w:t>
      </w:r>
      <w:r>
        <w:rPr>
          <w:rFonts w:ascii="Arial" w:cs="Arial" w:eastAsia="Arial" w:hAnsi="Arial"/>
          <w:sz w:val="16"/>
          <w:szCs w:val="16"/>
          <w:color w:val="auto"/>
        </w:rPr>
        <w:t>” shall mean warrants to purchase a number of shares of Common Stock equal to 50% of the number of shares of Common Stock into which the Notes redeemed pursuant to Section 16.01 were convertible on the Trading Day immediately prior to the Redemption Date. The Additional Warrants shall be identical to the Warrants (as such term is defined in the Subscription Agreement dated [●], 2021 by and between the Company, [***] and [***] except that the exercise period of the Additional Warrants shall terminate on [●], 2026.</w:t>
      </w:r>
      <w:r>
        <w:rPr>
          <w:rFonts w:ascii="Arial" w:cs="Arial" w:eastAsia="Arial" w:hAnsi="Arial"/>
          <w:sz w:val="26"/>
          <w:szCs w:val="26"/>
          <w:color w:val="auto"/>
          <w:vertAlign w:val="superscript"/>
        </w:rPr>
        <w:t>3</w:t>
      </w:r>
    </w:p>
    <w:p>
      <w:pPr>
        <w:spacing w:after="0" w:line="45" w:lineRule="exact"/>
        <w:rPr>
          <w:sz w:val="20"/>
          <w:szCs w:val="20"/>
          <w:color w:val="auto"/>
        </w:rPr>
      </w:pPr>
    </w:p>
    <w:p>
      <w:pPr>
        <w:jc w:val="both"/>
        <w:ind w:left="4"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Indebtedness</w:t>
      </w:r>
      <w:r>
        <w:rPr>
          <w:rFonts w:ascii="Arial" w:cs="Arial" w:eastAsia="Arial" w:hAnsi="Arial"/>
          <w:sz w:val="16"/>
          <w:szCs w:val="16"/>
          <w:color w:val="auto"/>
        </w:rPr>
        <w:t>” means Indebtedness of a Person or any of its Subsidiaries existing at the time such Person becomes a Subsidiary of the Company or at the time it merges or consolidates with or into the Company or any of its Subsidiaries or assumed in connection with the acquisition of assets from such Person and in each case whether or not incurred by such Person in connection with, or in anticipation or contemplation of, such Person becoming a Subsidiary of the Company or such acquisition, merger or consolidation.</w:t>
      </w:r>
    </w:p>
    <w:p>
      <w:pPr>
        <w:spacing w:after="0" w:line="162" w:lineRule="exact"/>
        <w:rPr>
          <w:sz w:val="20"/>
          <w:szCs w:val="20"/>
          <w:color w:val="auto"/>
        </w:rPr>
      </w:pPr>
    </w:p>
    <w:p>
      <w:pPr>
        <w:jc w:val="both"/>
        <w:ind w:left="4" w:firstLine="574"/>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Arial" w:cs="Arial" w:eastAsia="Arial" w:hAnsi="Arial"/>
          <w:sz w:val="14"/>
          <w:szCs w:val="14"/>
          <w:b w:val="1"/>
          <w:bCs w:val="1"/>
          <w:color w:val="auto"/>
        </w:rPr>
        <w:t>Affiliate</w:t>
      </w:r>
      <w:r>
        <w:rPr>
          <w:rFonts w:ascii="Arial" w:cs="Arial" w:eastAsia="Arial" w:hAnsi="Arial"/>
          <w:sz w:val="14"/>
          <w:szCs w:val="14"/>
          <w:color w:val="auto"/>
        </w:rPr>
        <w:t>” of another Person for purposes of this Indenture shall be made based on the facts at the time such determination is made or required to be made, as the case may be, hereunder.</w:t>
      </w:r>
    </w:p>
    <w:p>
      <w:pPr>
        <w:spacing w:after="0" w:line="142" w:lineRule="exact"/>
        <w:rPr>
          <w:sz w:val="20"/>
          <w:szCs w:val="20"/>
          <w:color w:val="auto"/>
        </w:rPr>
      </w:pPr>
    </w:p>
    <w:p>
      <w:pPr>
        <w:jc w:val="both"/>
        <w:ind w:left="4" w:right="20" w:firstLine="574"/>
        <w:spacing w:after="0" w:line="20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Applicable Premium</w:t>
      </w:r>
      <w:r>
        <w:rPr>
          <w:rFonts w:ascii="Arial" w:cs="Arial" w:eastAsia="Arial" w:hAnsi="Arial"/>
          <w:sz w:val="14"/>
          <w:szCs w:val="14"/>
          <w:color w:val="auto"/>
        </w:rPr>
        <w:t>” means, with respect to a Note at any Redemption Date occurring (i) before [●], 2025,</w:t>
      </w:r>
      <w:r>
        <w:rPr>
          <w:rFonts w:ascii="Arial" w:cs="Arial" w:eastAsia="Arial" w:hAnsi="Arial"/>
          <w:sz w:val="23"/>
          <w:szCs w:val="23"/>
          <w:color w:val="auto"/>
          <w:vertAlign w:val="superscript"/>
        </w:rPr>
        <w:t>4</w:t>
      </w:r>
      <w:r>
        <w:rPr>
          <w:rFonts w:ascii="Arial" w:cs="Arial" w:eastAsia="Arial" w:hAnsi="Arial"/>
          <w:sz w:val="14"/>
          <w:szCs w:val="14"/>
          <w:color w:val="auto"/>
        </w:rPr>
        <w:t xml:space="preserve"> (x) the present value at such Redemption Date of all required remaining scheduled interest payments (calculated based on the PIK interest rate) due on such Note through [●], 2025</w:t>
      </w:r>
      <w:r>
        <w:rPr>
          <w:rFonts w:ascii="Arial" w:cs="Arial" w:eastAsia="Arial" w:hAnsi="Arial"/>
          <w:sz w:val="23"/>
          <w:szCs w:val="23"/>
          <w:color w:val="auto"/>
          <w:vertAlign w:val="superscript"/>
        </w:rPr>
        <w:t>5</w:t>
      </w:r>
      <w:r>
        <w:rPr>
          <w:rFonts w:ascii="Arial" w:cs="Arial" w:eastAsia="Arial" w:hAnsi="Arial"/>
          <w:sz w:val="14"/>
          <w:szCs w:val="14"/>
          <w:color w:val="auto"/>
        </w:rPr>
        <w:t xml:space="preserve"> (but excluding accrued and unpaid interest to the Redemption Date), computed using a discount rate equal to the Treasury Rate plus 0.50% and (y) the Additional Warrants, or (ii) on or after [●], 2025</w:t>
      </w:r>
      <w:r>
        <w:rPr>
          <w:rFonts w:ascii="Arial" w:cs="Arial" w:eastAsia="Arial" w:hAnsi="Arial"/>
          <w:sz w:val="23"/>
          <w:szCs w:val="23"/>
          <w:color w:val="auto"/>
          <w:vertAlign w:val="superscript"/>
        </w:rPr>
        <w:t>6</w:t>
      </w:r>
      <w:r>
        <w:rPr>
          <w:rFonts w:ascii="Arial" w:cs="Arial" w:eastAsia="Arial" w:hAnsi="Arial"/>
          <w:sz w:val="14"/>
          <w:szCs w:val="14"/>
          <w:color w:val="auto"/>
        </w:rPr>
        <w:t>, the present value at</w:t>
      </w:r>
    </w:p>
    <w:p>
      <w:pPr>
        <w:jc w:val="both"/>
        <w:ind w:left="4"/>
        <w:spacing w:after="0" w:line="207" w:lineRule="auto"/>
        <w:rPr>
          <w:sz w:val="20"/>
          <w:szCs w:val="20"/>
          <w:color w:val="auto"/>
        </w:rPr>
      </w:pPr>
      <w:r>
        <w:rPr>
          <w:rFonts w:ascii="Arial" w:cs="Arial" w:eastAsia="Arial" w:hAnsi="Arial"/>
          <w:sz w:val="16"/>
          <w:szCs w:val="16"/>
          <w:color w:val="auto"/>
        </w:rPr>
        <w:t>such Redemption Date of all required remaining scheduled interest payments (calculated based on the PIK interest rate) due on such Note through [●], 2026</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(but excluding accrued and unpaid interest to the Redemption Date), computed using a discount rate equal to the Treasury Rate.</w:t>
      </w:r>
    </w:p>
    <w:p>
      <w:pPr>
        <w:spacing w:after="0" w:line="179"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“Asset Sale” means:</w:t>
      </w:r>
    </w:p>
    <w:p>
      <w:pPr>
        <w:spacing w:after="0" w:line="198" w:lineRule="exact"/>
        <w:rPr>
          <w:sz w:val="20"/>
          <w:szCs w:val="20"/>
          <w:color w:val="auto"/>
        </w:rPr>
      </w:pPr>
    </w:p>
    <w:p>
      <w:pPr>
        <w:ind w:left="4" w:firstLine="569"/>
        <w:spacing w:after="0" w:line="349" w:lineRule="auto"/>
        <w:tabs>
          <w:tab w:leader="none" w:pos="807"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sale, lease, conveyance or other disposition of any assets or rights; provided that the sale, lease, conveyance or other disposition of all or substantially all of the assets of the Company and its Subsidiaries, taken as a whole, will be governed by Article 11 and/or Article 15 and not by the provisions of the Asset Sale covenant; and</w:t>
      </w:r>
    </w:p>
    <w:p>
      <w:pPr>
        <w:spacing w:after="0" w:line="105" w:lineRule="exact"/>
        <w:rPr>
          <w:rFonts w:ascii="Arial" w:cs="Arial" w:eastAsia="Arial" w:hAnsi="Arial"/>
          <w:sz w:val="14"/>
          <w:szCs w:val="14"/>
          <w:color w:val="auto"/>
        </w:rPr>
      </w:pPr>
    </w:p>
    <w:p>
      <w:pPr>
        <w:ind w:left="804" w:hanging="231"/>
        <w:spacing w:after="0"/>
        <w:tabs>
          <w:tab w:leader="none" w:pos="804"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issuance of Equity Interests in any of the Company’s Subsidiaries or the sale of Equity Interests in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9070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08" w:lineRule="exact"/>
        <w:rPr>
          <w:sz w:val="20"/>
          <w:szCs w:val="20"/>
          <w:color w:val="auto"/>
        </w:rPr>
      </w:pPr>
    </w:p>
    <w:p>
      <w:pPr>
        <w:ind w:left="284" w:hanging="284"/>
        <w:spacing w:after="0"/>
        <w:tabs>
          <w:tab w:leader="none" w:pos="284" w:val="left"/>
        </w:tabs>
        <w:numPr>
          <w:ilvl w:val="0"/>
          <w:numId w:val="98"/>
        </w:numPr>
        <w:rPr>
          <w:rFonts w:ascii="Arial" w:cs="Arial" w:eastAsia="Arial" w:hAnsi="Arial"/>
          <w:sz w:val="27"/>
          <w:szCs w:val="27"/>
          <w:color w:val="auto"/>
          <w:vertAlign w:val="superscript"/>
        </w:rPr>
      </w:pPr>
      <w:r>
        <w:rPr>
          <w:rFonts w:ascii="Arial" w:cs="Arial" w:eastAsia="Arial" w:hAnsi="Arial"/>
          <w:sz w:val="16"/>
          <w:szCs w:val="16"/>
          <w:color w:val="auto"/>
        </w:rPr>
        <w:t>NTD: Insert Maturity Date.</w:t>
      </w:r>
    </w:p>
    <w:p>
      <w:pPr>
        <w:ind w:left="284" w:hanging="284"/>
        <w:spacing w:after="0" w:line="181" w:lineRule="auto"/>
        <w:tabs>
          <w:tab w:leader="none" w:pos="284" w:val="left"/>
        </w:tabs>
        <w:numPr>
          <w:ilvl w:val="0"/>
          <w:numId w:val="99"/>
        </w:numPr>
        <w:rPr>
          <w:rFonts w:ascii="Arial" w:cs="Arial" w:eastAsia="Arial" w:hAnsi="Arial"/>
          <w:sz w:val="22"/>
          <w:szCs w:val="22"/>
          <w:color w:val="auto"/>
          <w:vertAlign w:val="superscript"/>
        </w:rPr>
      </w:pPr>
      <w:r>
        <w:rPr>
          <w:rFonts w:ascii="Arial" w:cs="Arial" w:eastAsia="Arial" w:hAnsi="Arial"/>
          <w:sz w:val="14"/>
          <w:szCs w:val="14"/>
          <w:color w:val="auto"/>
        </w:rPr>
        <w:t>NTD: Insert date that is the day before the third anniversary of issuance.</w:t>
      </w:r>
    </w:p>
    <w:p>
      <w:pPr>
        <w:ind w:left="284" w:hanging="284"/>
        <w:spacing w:after="0" w:line="181" w:lineRule="auto"/>
        <w:tabs>
          <w:tab w:leader="none" w:pos="284" w:val="left"/>
        </w:tabs>
        <w:numPr>
          <w:ilvl w:val="0"/>
          <w:numId w:val="100"/>
        </w:numPr>
        <w:rPr>
          <w:rFonts w:ascii="Arial" w:cs="Arial" w:eastAsia="Arial" w:hAnsi="Arial"/>
          <w:sz w:val="22"/>
          <w:szCs w:val="22"/>
          <w:color w:val="auto"/>
          <w:vertAlign w:val="superscript"/>
        </w:rPr>
      </w:pPr>
      <w:r>
        <w:rPr>
          <w:rFonts w:ascii="Arial" w:cs="Arial" w:eastAsia="Arial" w:hAnsi="Arial"/>
          <w:sz w:val="14"/>
          <w:szCs w:val="14"/>
          <w:color w:val="auto"/>
        </w:rPr>
        <w:t>NTD: Insert date that is the third anniversary of issuance.</w:t>
      </w:r>
    </w:p>
    <w:p>
      <w:pPr>
        <w:ind w:left="284" w:hanging="284"/>
        <w:spacing w:after="0" w:line="182" w:lineRule="auto"/>
        <w:tabs>
          <w:tab w:leader="none" w:pos="284" w:val="left"/>
        </w:tabs>
        <w:numPr>
          <w:ilvl w:val="0"/>
          <w:numId w:val="101"/>
        </w:numPr>
        <w:rPr>
          <w:rFonts w:ascii="Arial" w:cs="Arial" w:eastAsia="Arial" w:hAnsi="Arial"/>
          <w:sz w:val="22"/>
          <w:szCs w:val="22"/>
          <w:color w:val="auto"/>
          <w:vertAlign w:val="superscript"/>
        </w:rPr>
      </w:pPr>
      <w:r>
        <w:rPr>
          <w:rFonts w:ascii="Arial" w:cs="Arial" w:eastAsia="Arial" w:hAnsi="Arial"/>
          <w:sz w:val="14"/>
          <w:szCs w:val="14"/>
          <w:color w:val="auto"/>
        </w:rPr>
        <w:t>NTD: Insert date that is the third anniversary of issuance.</w:t>
      </w:r>
    </w:p>
    <w:p>
      <w:pPr>
        <w:ind w:left="284" w:hanging="284"/>
        <w:spacing w:after="0" w:line="181" w:lineRule="auto"/>
        <w:tabs>
          <w:tab w:leader="none" w:pos="284" w:val="left"/>
        </w:tabs>
        <w:numPr>
          <w:ilvl w:val="0"/>
          <w:numId w:val="102"/>
        </w:numPr>
        <w:rPr>
          <w:rFonts w:ascii="Arial" w:cs="Arial" w:eastAsia="Arial" w:hAnsi="Arial"/>
          <w:sz w:val="22"/>
          <w:szCs w:val="22"/>
          <w:color w:val="auto"/>
          <w:vertAlign w:val="superscript"/>
        </w:rPr>
      </w:pPr>
      <w:r>
        <w:rPr>
          <w:rFonts w:ascii="Arial" w:cs="Arial" w:eastAsia="Arial" w:hAnsi="Arial"/>
          <w:sz w:val="14"/>
          <w:szCs w:val="14"/>
          <w:color w:val="auto"/>
        </w:rPr>
        <w:t>NTD: Insert Maturity Date.</w:t>
      </w:r>
    </w:p>
    <w:p>
      <w:pPr>
        <w:spacing w:after="0" w:line="36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10" w:name="page111"/>
    <w:bookmarkEnd w:id="110"/>
    <w:p>
      <w:pPr>
        <w:ind w:left="560"/>
        <w:spacing w:after="0"/>
        <w:rPr>
          <w:sz w:val="20"/>
          <w:szCs w:val="20"/>
          <w:color w:val="auto"/>
        </w:rPr>
      </w:pPr>
      <w:r>
        <w:rPr>
          <w:rFonts w:ascii="Arial" w:cs="Arial" w:eastAsia="Arial" w:hAnsi="Arial"/>
          <w:sz w:val="16"/>
          <w:szCs w:val="16"/>
          <w:color w:val="auto"/>
        </w:rPr>
        <w:t>Notwithstanding the preceding, none of the following items will be deemed to be an Asset Sale:</w:t>
      </w:r>
    </w:p>
    <w:p>
      <w:pPr>
        <w:spacing w:after="0" w:line="198" w:lineRule="exact"/>
        <w:rPr>
          <w:sz w:val="20"/>
          <w:szCs w:val="20"/>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single transaction or series of related transactions that involves assets having a Fair Market Value of less than $1.0 million at such time;</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transfer of assets (including Equity Interests of Subsidiaries) between or among the Company and its Subsidiaries;</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 issuance of Equity Interests by a Subsidiary of the Company to the Company or to another Subsidiary of the Company;</w:t>
      </w:r>
    </w:p>
    <w:p>
      <w:pPr>
        <w:spacing w:after="0" w:line="198" w:lineRule="exact"/>
        <w:rPr>
          <w:rFonts w:ascii="Arial" w:cs="Arial" w:eastAsia="Arial" w:hAnsi="Arial"/>
          <w:sz w:val="16"/>
          <w:szCs w:val="16"/>
          <w:color w:val="auto"/>
        </w:rPr>
      </w:pPr>
    </w:p>
    <w:p>
      <w:pPr>
        <w:jc w:val="both"/>
        <w:ind w:right="20" w:firstLine="569"/>
        <w:spacing w:after="0" w:line="258" w:lineRule="auto"/>
        <w:tabs>
          <w:tab w:leader="none" w:pos="80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sale, abandonment, disposition, lease or sublease of products, inventory, equipment, services, accounts receivable or other assets or property (including, but not limited to, real property), or the granting of any option or other right to purchase, lease or otherwise acquire such assets, in each case, in the ordinary course of business and any sale or other disposition of assets that are damaged, worn out, obsolete or otherwise unsuitable for use or unusable by the Company or its Subsidiaries in connection with the conduct of their business as determined in good faith by the Company’s executive officers;</w:t>
      </w:r>
    </w:p>
    <w:p>
      <w:pPr>
        <w:spacing w:after="0" w:line="164"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sale or other disposition of cash or Cash Equivalents;</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Restricted Payment that does not violate Section 4.10 of this Indenture or a Permitted Investment;</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sale or disposition deemed to occur in connection with the granting or creating of a Permitted Lien;</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licensing of patents, trademarks, copyrights, and other intellectual property rights in the ordinary course of business;</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involuntary loss, damage or destruction of property;</w:t>
      </w:r>
    </w:p>
    <w:p>
      <w:pPr>
        <w:spacing w:after="0" w:line="198" w:lineRule="exact"/>
        <w:rPr>
          <w:rFonts w:ascii="Arial" w:cs="Arial" w:eastAsia="Arial" w:hAnsi="Arial"/>
          <w:sz w:val="16"/>
          <w:szCs w:val="16"/>
          <w:color w:val="auto"/>
        </w:rPr>
      </w:pPr>
    </w:p>
    <w:p>
      <w:pPr>
        <w:ind w:left="880" w:hanging="311"/>
        <w:spacing w:after="0"/>
        <w:tabs>
          <w:tab w:leader="none" w:pos="8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any involuntary condemnation, seizure or taking, by exercise of the power of eminent domain or otherwise, or confiscation or requisition of use of property; and</w:t>
      </w:r>
    </w:p>
    <w:p>
      <w:pPr>
        <w:spacing w:after="0" w:line="221" w:lineRule="exact"/>
        <w:rPr>
          <w:rFonts w:ascii="Arial" w:cs="Arial" w:eastAsia="Arial" w:hAnsi="Arial"/>
          <w:sz w:val="14"/>
          <w:szCs w:val="14"/>
          <w:color w:val="auto"/>
        </w:rPr>
      </w:pPr>
    </w:p>
    <w:p>
      <w:pPr>
        <w:ind w:right="20" w:firstLine="569"/>
        <w:spacing w:after="0" w:line="275" w:lineRule="auto"/>
        <w:tabs>
          <w:tab w:leader="none" w:pos="89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lapse of registered patents, trademarks and other intellectual property of the Company and its Subsidiaries to the extent not economically desirable in the conduct of their business and so long as such lapse does not materially interfere with the business of the Company and its Subsidiaries.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 or a committee of such board duly authorized to act for it hereunder.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Resolution</w:t>
      </w:r>
      <w:r>
        <w:rPr>
          <w:rFonts w:ascii="Arial" w:cs="Arial" w:eastAsia="Arial" w:hAnsi="Arial"/>
          <w:sz w:val="16"/>
          <w:szCs w:val="16"/>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44"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Note, any day other than a Saturday, a Sunday or a day on which the Federal Reserve Bank of New York is authorized or required by law or executive order to close or be closed. However, solely for purposes of Section 18.06, a day on which the applicable place of payment is authorized or required by law or executive order to close or be closed will be deemed not to be a “Business Day.”</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means, for any entity, any and all shares, interests, rights to purchase, warrants, options, participations or other equivalents of or interests in (however designated) stock issued by that entity, but shall not include any debt securities convertible or exchangeable for any securities otherwise constituting Capital Stock pursuant to this definition until so converted or exchanged.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1" w:name="page112"/>
    <w:bookmarkEnd w:id="111"/>
    <w:p>
      <w:pPr>
        <w:jc w:val="both"/>
        <w:ind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Capitalized Lease Obligation</w:t>
      </w:r>
      <w:r>
        <w:rPr>
          <w:rFonts w:ascii="Arial" w:cs="Arial" w:eastAsia="Arial" w:hAnsi="Arial"/>
          <w:sz w:val="16"/>
          <w:szCs w:val="16"/>
          <w:color w:val="auto"/>
        </w:rPr>
        <w:t>” means, as to any Person, the obligations of such Person under a lease that are required to be classified and accounted for as capital lease obligations under GAAP and, for purposes of this definition, the amount of such obligations at any date shall be the capitalized amount of such obligations at such date, determined in accordance with GAAP.</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w:t>
      </w:r>
    </w:p>
    <w:p>
      <w:pPr>
        <w:spacing w:after="0" w:line="202" w:lineRule="exact"/>
        <w:rPr>
          <w:sz w:val="20"/>
          <w:szCs w:val="20"/>
          <w:color w:val="auto"/>
        </w:rPr>
      </w:pPr>
    </w:p>
    <w:p>
      <w:pPr>
        <w:ind w:firstLine="569"/>
        <w:spacing w:after="0" w:line="275" w:lineRule="auto"/>
        <w:tabs>
          <w:tab w:leader="none" w:pos="81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 thereof;</w:t>
      </w:r>
    </w:p>
    <w:p>
      <w:pPr>
        <w:spacing w:after="0" w:line="151" w:lineRule="exact"/>
        <w:rPr>
          <w:rFonts w:ascii="Arial" w:cs="Arial" w:eastAsia="Arial" w:hAnsi="Arial"/>
          <w:sz w:val="16"/>
          <w:szCs w:val="16"/>
          <w:color w:val="auto"/>
        </w:rPr>
      </w:pPr>
    </w:p>
    <w:p>
      <w:pPr>
        <w:jc w:val="both"/>
        <w:ind w:right="20" w:firstLine="569"/>
        <w:spacing w:after="0" w:line="262" w:lineRule="auto"/>
        <w:tabs>
          <w:tab w:leader="none" w:pos="80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marketable direct obligations issued or fully guaranteed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S&amp;P or Moody’s;</w:t>
      </w:r>
    </w:p>
    <w:p>
      <w:pPr>
        <w:spacing w:after="0" w:line="162" w:lineRule="exact"/>
        <w:rPr>
          <w:rFonts w:ascii="Arial" w:cs="Arial" w:eastAsia="Arial" w:hAnsi="Arial"/>
          <w:sz w:val="16"/>
          <w:szCs w:val="16"/>
          <w:color w:val="auto"/>
        </w:rPr>
      </w:pPr>
    </w:p>
    <w:p>
      <w:pPr>
        <w:ind w:right="20" w:firstLine="569"/>
        <w:spacing w:after="0" w:line="275" w:lineRule="auto"/>
        <w:tabs>
          <w:tab w:leader="none" w:pos="80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commercial paper maturing no more than 270 days from the date of creation thereof and, at the time of acquisition, having a rating of at least A-2 from S&amp;P or at least P-2 from Moody’s;</w:t>
      </w:r>
    </w:p>
    <w:p>
      <w:pPr>
        <w:spacing w:after="0" w:line="151" w:lineRule="exact"/>
        <w:rPr>
          <w:rFonts w:ascii="Arial" w:cs="Arial" w:eastAsia="Arial" w:hAnsi="Arial"/>
          <w:sz w:val="16"/>
          <w:szCs w:val="16"/>
          <w:color w:val="auto"/>
        </w:rPr>
      </w:pPr>
    </w:p>
    <w:p>
      <w:pPr>
        <w:ind w:right="20" w:firstLine="569"/>
        <w:spacing w:after="0" w:line="275" w:lineRule="auto"/>
        <w:tabs>
          <w:tab w:leader="none" w:pos="82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the case of any foreign Subsidiary of the Company, such local currencies held by it from time to time in the ordinary course of business and the foreign equivalent of Cash Equivalents described in clause (2) above;</w:t>
      </w:r>
    </w:p>
    <w:p>
      <w:pPr>
        <w:spacing w:after="0" w:line="151" w:lineRule="exact"/>
        <w:rPr>
          <w:rFonts w:ascii="Arial" w:cs="Arial" w:eastAsia="Arial" w:hAnsi="Arial"/>
          <w:sz w:val="16"/>
          <w:szCs w:val="16"/>
          <w:color w:val="auto"/>
        </w:rPr>
      </w:pPr>
    </w:p>
    <w:p>
      <w:pPr>
        <w:jc w:val="both"/>
        <w:ind w:firstLine="569"/>
        <w:spacing w:after="0" w:line="287" w:lineRule="auto"/>
        <w:tabs>
          <w:tab w:leader="none" w:pos="80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demand or time deposit accounts with commercial banks that satisfy the criteria described in clause (6) below or any other commercial bank organized under the laws of the United States of America, any state thereof, the District of Columbia, Canada or any province or territory thereof; provided that the full amount maintained with any such other bank is insured by the Federal Deposit Insurance Corporation or the Canadian Deposit Insurance Corporation, as applicable;</w:t>
      </w:r>
    </w:p>
    <w:p>
      <w:pPr>
        <w:spacing w:after="0" w:line="146" w:lineRule="exact"/>
        <w:rPr>
          <w:rFonts w:ascii="Arial" w:cs="Arial" w:eastAsia="Arial" w:hAnsi="Arial"/>
          <w:sz w:val="15"/>
          <w:szCs w:val="15"/>
          <w:color w:val="auto"/>
        </w:rPr>
      </w:pPr>
    </w:p>
    <w:p>
      <w:pPr>
        <w:jc w:val="both"/>
        <w:ind w:firstLine="569"/>
        <w:spacing w:after="0" w:line="255" w:lineRule="auto"/>
        <w:tabs>
          <w:tab w:leader="none" w:pos="80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obligations (including, but not limited to, overnight bank deposits, demand or time deposits, bankers’ acceptances and certificates of deposit) issued or guaranteed by a depository institution or trust company organized under the laws of the United States of America, any state thereof, the District of Columbia, Canada or any province or territory thereof or any United States branch of a foreign bank or any member of the European Union; provided that (A) such instrument has a final maturity not more than one year from the date of purchase thereof by the Company or any Subsidiary of the Company and (B) such depository institution or trust company has at the date of acquisition thereof combined capital and surplus in excess of $500.0 million;</w:t>
      </w:r>
    </w:p>
    <w:p>
      <w:pPr>
        <w:spacing w:after="0" w:line="169" w:lineRule="exact"/>
        <w:rPr>
          <w:rFonts w:ascii="Arial" w:cs="Arial" w:eastAsia="Arial" w:hAnsi="Arial"/>
          <w:sz w:val="16"/>
          <w:szCs w:val="16"/>
          <w:color w:val="auto"/>
        </w:rPr>
      </w:pPr>
    </w:p>
    <w:p>
      <w:pPr>
        <w:ind w:right="20" w:firstLine="569"/>
        <w:spacing w:after="0" w:line="275" w:lineRule="auto"/>
        <w:tabs>
          <w:tab w:leader="none" w:pos="80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debt securities with maturities of six months or less from the date of acquisition backed by standby letters of credit issued by any commercial bank satisfying the criteria described in clause (6) above;</w:t>
      </w:r>
    </w:p>
    <w:p>
      <w:pPr>
        <w:spacing w:after="0" w:line="151" w:lineRule="exact"/>
        <w:rPr>
          <w:rFonts w:ascii="Arial" w:cs="Arial" w:eastAsia="Arial" w:hAnsi="Arial"/>
          <w:sz w:val="16"/>
          <w:szCs w:val="16"/>
          <w:color w:val="auto"/>
        </w:rPr>
      </w:pPr>
    </w:p>
    <w:p>
      <w:pPr>
        <w:ind w:firstLine="569"/>
        <w:spacing w:after="0" w:line="275" w:lineRule="auto"/>
        <w:tabs>
          <w:tab w:leader="none" w:pos="80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repurchase obligations with a term of not more than seven days for underlying securities of the types described in clauses (1), (2) and (6) above entered into with any bank meeting the qualifications specified in clause (6) above; and</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investments in money market funds which invest substantially all their assets in securities of the types described in clauses (1) through (7) above.</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Interest</w:t>
      </w:r>
      <w:r>
        <w:rPr>
          <w:rFonts w:ascii="Arial" w:cs="Arial" w:eastAsia="Arial" w:hAnsi="Arial"/>
          <w:sz w:val="16"/>
          <w:szCs w:val="16"/>
          <w:color w:val="auto"/>
        </w:rPr>
        <w:t>” shall have the meaning specified in Section 4.01.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Settlement</w:t>
      </w:r>
      <w:r>
        <w:rPr>
          <w:rFonts w:ascii="Arial" w:cs="Arial" w:eastAsia="Arial" w:hAnsi="Arial"/>
          <w:sz w:val="16"/>
          <w:szCs w:val="16"/>
          <w:color w:val="auto"/>
        </w:rPr>
        <w:t>” shall have the meaning specified in Section 14.02(a)(i).</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 of Designations</w:t>
      </w:r>
      <w:r>
        <w:rPr>
          <w:rFonts w:ascii="Arial" w:cs="Arial" w:eastAsia="Arial" w:hAnsi="Arial"/>
          <w:sz w:val="16"/>
          <w:szCs w:val="16"/>
          <w:color w:val="auto"/>
        </w:rPr>
        <w:t>” means the certificate of designations of the Company in effect on the date hereof, as amended from time to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2" w:name="page113"/>
    <w:bookmarkEnd w:id="112"/>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Clause A Distribution</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Clause B Distribution</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Clause C Distribution</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close of business</w:t>
      </w:r>
      <w:r>
        <w:rPr>
          <w:rFonts w:ascii="Arial" w:cs="Arial" w:eastAsia="Arial" w:hAnsi="Arial"/>
          <w:sz w:val="16"/>
          <w:szCs w:val="16"/>
          <w:color w:val="auto"/>
        </w:rPr>
        <w:t>” means 5:00 p.m. (New York City time).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Combination Settlement</w:t>
      </w:r>
      <w:r>
        <w:rPr>
          <w:rFonts w:ascii="Arial" w:cs="Arial" w:eastAsia="Arial" w:hAnsi="Arial"/>
          <w:sz w:val="16"/>
          <w:szCs w:val="16"/>
          <w:color w:val="auto"/>
        </w:rPr>
        <w:t>” shall have the meaning specified in Section 14.02(a)(i).</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means the U.S. Securities and Exchange Commission.</w:t>
      </w:r>
    </w:p>
    <w:p>
      <w:pPr>
        <w:spacing w:after="0" w:line="198" w:lineRule="exact"/>
        <w:rPr>
          <w:sz w:val="20"/>
          <w:szCs w:val="20"/>
          <w:color w:val="auto"/>
        </w:rPr>
      </w:pPr>
    </w:p>
    <w:p>
      <w:pPr>
        <w:jc w:val="both"/>
        <w:ind w:left="4"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Equity</w:t>
      </w:r>
      <w:r>
        <w:rPr>
          <w:rFonts w:ascii="Arial" w:cs="Arial" w:eastAsia="Arial" w:hAnsi="Arial"/>
          <w:sz w:val="16"/>
          <w:szCs w:val="16"/>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63" w:lineRule="exact"/>
        <w:rPr>
          <w:sz w:val="20"/>
          <w:szCs w:val="20"/>
          <w:color w:val="auto"/>
        </w:rPr>
      </w:pPr>
    </w:p>
    <w:p>
      <w:pPr>
        <w:ind w:left="56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Common Stock</w:t>
      </w:r>
      <w:r>
        <w:rPr>
          <w:rFonts w:ascii="Arial" w:cs="Arial" w:eastAsia="Arial" w:hAnsi="Arial"/>
          <w:sz w:val="15"/>
          <w:szCs w:val="15"/>
          <w:color w:val="auto"/>
        </w:rPr>
        <w:t>” means the voting common stock of the Company, par value $[0.0001]</w:t>
      </w:r>
      <w:r>
        <w:rPr>
          <w:rFonts w:ascii="Arial" w:cs="Arial" w:eastAsia="Arial" w:hAnsi="Arial"/>
          <w:sz w:val="25"/>
          <w:szCs w:val="25"/>
          <w:color w:val="auto"/>
          <w:vertAlign w:val="superscript"/>
        </w:rPr>
        <w:t>8</w:t>
      </w:r>
      <w:r>
        <w:rPr>
          <w:rFonts w:ascii="Arial" w:cs="Arial" w:eastAsia="Arial" w:hAnsi="Arial"/>
          <w:sz w:val="15"/>
          <w:szCs w:val="15"/>
          <w:color w:val="auto"/>
        </w:rPr>
        <w:t xml:space="preserve"> per share, at the date of this Indenture, subject to Section 14.08.</w:t>
      </w:r>
    </w:p>
    <w:p>
      <w:pPr>
        <w:spacing w:after="0" w:line="123" w:lineRule="exact"/>
        <w:rPr>
          <w:sz w:val="20"/>
          <w:szCs w:val="20"/>
          <w:color w:val="auto"/>
        </w:rPr>
      </w:pPr>
    </w:p>
    <w:p>
      <w:pPr>
        <w:ind w:left="56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w:t>
      </w:r>
      <w:r>
        <w:rPr>
          <w:rFonts w:ascii="Arial" w:cs="Arial" w:eastAsia="Arial" w:hAnsi="Arial"/>
          <w:sz w:val="15"/>
          <w:szCs w:val="15"/>
          <w:color w:val="auto"/>
        </w:rPr>
        <w:t>” shall have the meaning specified in the first paragraph of this Indenture, and subject to the provisions of Article 11, shall include its successors and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assigns.</w:t>
      </w:r>
    </w:p>
    <w:p>
      <w:pPr>
        <w:spacing w:after="0" w:line="18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Order</w:t>
      </w:r>
      <w:r>
        <w:rPr>
          <w:rFonts w:ascii="Arial" w:cs="Arial" w:eastAsia="Arial" w:hAnsi="Arial"/>
          <w:sz w:val="16"/>
          <w:szCs w:val="16"/>
          <w:color w:val="auto"/>
        </w:rPr>
        <w:t>” means a written order of the Company signed by any of its Officers and delivered to the Trustee.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Agent</w:t>
      </w:r>
      <w:r>
        <w:rPr>
          <w:rFonts w:ascii="Arial" w:cs="Arial" w:eastAsia="Arial" w:hAnsi="Arial"/>
          <w:sz w:val="16"/>
          <w:szCs w:val="16"/>
          <w:color w:val="auto"/>
        </w:rPr>
        <w:t>” shall have the meaning specified in Section 4.02.</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Consideration</w:t>
      </w:r>
      <w:r>
        <w:rPr>
          <w:rFonts w:ascii="Arial" w:cs="Arial" w:eastAsia="Arial" w:hAnsi="Arial"/>
          <w:sz w:val="16"/>
          <w:szCs w:val="16"/>
          <w:color w:val="auto"/>
        </w:rPr>
        <w:t>” shall have the meaning specified in Section 14.12(a).</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Date</w:t>
      </w:r>
      <w:r>
        <w:rPr>
          <w:rFonts w:ascii="Arial" w:cs="Arial" w:eastAsia="Arial" w:hAnsi="Arial"/>
          <w:sz w:val="16"/>
          <w:szCs w:val="16"/>
          <w:color w:val="auto"/>
        </w:rPr>
        <w:t>” shall have the meaning specified in Section 14.02(c).</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Obligation</w:t>
      </w:r>
      <w:r>
        <w:rPr>
          <w:rFonts w:ascii="Arial" w:cs="Arial" w:eastAsia="Arial" w:hAnsi="Arial"/>
          <w:sz w:val="16"/>
          <w:szCs w:val="16"/>
          <w:color w:val="auto"/>
        </w:rPr>
        <w:t>” shall have the meaning specified in Section 14.01(a).</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Price</w:t>
      </w:r>
      <w:r>
        <w:rPr>
          <w:rFonts w:ascii="Arial" w:cs="Arial" w:eastAsia="Arial" w:hAnsi="Arial"/>
          <w:sz w:val="16"/>
          <w:szCs w:val="16"/>
          <w:color w:val="auto"/>
        </w:rPr>
        <w:t xml:space="preserve">” means as of any time, $1,000,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Conversion Rate as of such time.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Rate</w:t>
      </w:r>
      <w:r>
        <w:rPr>
          <w:rFonts w:ascii="Arial" w:cs="Arial" w:eastAsia="Arial" w:hAnsi="Arial"/>
          <w:sz w:val="16"/>
          <w:szCs w:val="16"/>
          <w:color w:val="auto"/>
        </w:rPr>
        <w:t>” shall have the meaning specified in Section 14.01(a).</w:t>
      </w:r>
    </w:p>
    <w:p>
      <w:pPr>
        <w:spacing w:after="0" w:line="198" w:lineRule="exact"/>
        <w:rPr>
          <w:sz w:val="20"/>
          <w:szCs w:val="20"/>
          <w:color w:val="auto"/>
        </w:rPr>
      </w:pPr>
    </w:p>
    <w:p>
      <w:pPr>
        <w:jc w:val="both"/>
        <w:ind w:left="4" w:right="20" w:firstLine="574"/>
        <w:spacing w:after="0" w:line="2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designated office of the Trustee at which at any time this Indenture shall be administered, which office at the date hereof is located at U.S. Bank National Association, [●]</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Attention: [●],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76" w:lineRule="exact"/>
        <w:rPr>
          <w:sz w:val="20"/>
          <w:szCs w:val="20"/>
          <w:color w:val="auto"/>
        </w:rPr>
      </w:pPr>
    </w:p>
    <w:p>
      <w:pPr>
        <w:jc w:val="both"/>
        <w:ind w:left="4" w:firstLine="574"/>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Credit Facility</w:t>
      </w:r>
      <w:r>
        <w:rPr>
          <w:rFonts w:ascii="Arial" w:cs="Arial" w:eastAsia="Arial" w:hAnsi="Arial"/>
          <w:sz w:val="15"/>
          <w:szCs w:val="15"/>
          <w:color w:val="auto"/>
        </w:rPr>
        <w:t>” means any credit or debt facilities, commercial paper facilities or other debt instruments, indentures or agreements, in each case providing for revolving credit loans, term loans, receivables financings, letters of credit or other Indebtedness, in each case, including all agreements, instruments and documents executed and delivered pursuant to or in connection with any of the foregoing, including but not limited to any notes and letters of credit issued pursuant thereto and any guarantee and collateral agreement, patent and trademark security agreement, mortgages or letter of credit applications and other guarantees, pledge agreements, security agreements and collateral documents, in each case as the same may be amended, supplemented, waived or otherwise modified from time to time, or refunded, refinanced, restructured, replaced, renewed, repaid, increased or extended from time to time (whether in whole or in part, whether with the original banks, lenders or institutions or other banks, lenders or institutions or otherwise, and whether provided under any original Credit Facility or one or more other credit agreements, indentures, financing agreements or other Credit Facilities or otherwise). Without limiting the generality of the foregoing, the term “Credit Facility” shall include any (i) agreement changing the maturity of any Indebtedness incurred thereunder or contemplated thereby, (ii) agreement adding Subsidiaries as additional borrowers or guarantors thereunder, (iii) agreement increasing the amount of Indebtedness incurred thereunder or available to be borrowed thereunder, (iv) Hedging Agreement or other similar agreement or arrangement with respect thereto or (v) agreement otherwise altering the terms and conditions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79070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73" w:lineRule="exact"/>
        <w:rPr>
          <w:sz w:val="20"/>
          <w:szCs w:val="20"/>
          <w:color w:val="auto"/>
        </w:rPr>
      </w:pPr>
    </w:p>
    <w:p>
      <w:pPr>
        <w:ind w:left="284" w:hanging="284"/>
        <w:spacing w:after="0"/>
        <w:tabs>
          <w:tab w:leader="none" w:pos="284" w:val="left"/>
        </w:tabs>
        <w:numPr>
          <w:ilvl w:val="0"/>
          <w:numId w:val="105"/>
        </w:numPr>
        <w:rPr>
          <w:rFonts w:ascii="Arial" w:cs="Arial" w:eastAsia="Arial" w:hAnsi="Arial"/>
          <w:sz w:val="27"/>
          <w:szCs w:val="27"/>
          <w:color w:val="auto"/>
          <w:vertAlign w:val="superscript"/>
        </w:rPr>
      </w:pPr>
      <w:r>
        <w:rPr>
          <w:rFonts w:ascii="Arial" w:cs="Arial" w:eastAsia="Arial" w:hAnsi="Arial"/>
          <w:sz w:val="16"/>
          <w:szCs w:val="16"/>
          <w:color w:val="auto"/>
        </w:rPr>
        <w:t>NTD: To be confirmed.</w:t>
      </w:r>
    </w:p>
    <w:p>
      <w:pPr>
        <w:ind w:left="284" w:hanging="284"/>
        <w:spacing w:after="0" w:line="181" w:lineRule="auto"/>
        <w:tabs>
          <w:tab w:leader="none" w:pos="284" w:val="left"/>
        </w:tabs>
        <w:numPr>
          <w:ilvl w:val="0"/>
          <w:numId w:val="106"/>
        </w:numPr>
        <w:rPr>
          <w:rFonts w:ascii="Arial" w:cs="Arial" w:eastAsia="Arial" w:hAnsi="Arial"/>
          <w:sz w:val="22"/>
          <w:szCs w:val="22"/>
          <w:color w:val="auto"/>
          <w:vertAlign w:val="superscript"/>
        </w:rPr>
      </w:pPr>
      <w:r>
        <w:rPr>
          <w:rFonts w:ascii="Arial" w:cs="Arial" w:eastAsia="Arial" w:hAnsi="Arial"/>
          <w:sz w:val="14"/>
          <w:szCs w:val="14"/>
          <w:color w:val="auto"/>
        </w:rPr>
        <w:t>NTD: Trustee to provide.</w:t>
      </w:r>
    </w:p>
    <w:p>
      <w:pPr>
        <w:spacing w:after="0" w:line="36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13" w:name="page114"/>
    <w:bookmarkEnd w:id="113"/>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Custodian</w:t>
      </w:r>
      <w:r>
        <w:rPr>
          <w:rFonts w:ascii="Arial" w:cs="Arial" w:eastAsia="Arial" w:hAnsi="Arial"/>
          <w:sz w:val="16"/>
          <w:szCs w:val="16"/>
          <w:color w:val="auto"/>
        </w:rPr>
        <w:t>” means the Trustee, as custodian for The Depository Trust Company, with respect to the Global Notes, or any successor entity thereto.</w:t>
      </w:r>
    </w:p>
    <w:p>
      <w:pPr>
        <w:spacing w:after="0" w:line="198" w:lineRule="exact"/>
        <w:rPr>
          <w:sz w:val="20"/>
          <w:szCs w:val="20"/>
          <w:color w:val="auto"/>
        </w:rPr>
      </w:pPr>
    </w:p>
    <w:p>
      <w:pPr>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Conversion Value</w:t>
      </w:r>
      <w:r>
        <w:rPr>
          <w:rFonts w:ascii="Arial" w:cs="Arial" w:eastAsia="Arial" w:hAnsi="Arial"/>
          <w:sz w:val="16"/>
          <w:szCs w:val="16"/>
          <w:color w:val="auto"/>
        </w:rPr>
        <w:t>” means, for each of the 30 consecutive Trading Days during the Observation Period, 1/30th of the product of (a) the Conversion Rate on such Trading Day and (b) the Daily VWAP for such Trading Day.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Measurement Value</w:t>
      </w:r>
      <w:r>
        <w:rPr>
          <w:rFonts w:ascii="Arial" w:cs="Arial" w:eastAsia="Arial" w:hAnsi="Arial"/>
          <w:sz w:val="16"/>
          <w:szCs w:val="16"/>
          <w:color w:val="auto"/>
        </w:rPr>
        <w:t xml:space="preserve">” means the Specified Dollar Amount (if any),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30.</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Settlement Amount</w:t>
      </w:r>
      <w:r>
        <w:rPr>
          <w:rFonts w:ascii="Arial" w:cs="Arial" w:eastAsia="Arial" w:hAnsi="Arial"/>
          <w:sz w:val="16"/>
          <w:szCs w:val="16"/>
          <w:color w:val="auto"/>
        </w:rPr>
        <w:t>,” for each of the 30 consecutive Trading Days during the Observation Period, shall consist of:</w:t>
      </w:r>
    </w:p>
    <w:p>
      <w:pPr>
        <w:spacing w:after="0" w:line="202" w:lineRule="exact"/>
        <w:rPr>
          <w:sz w:val="20"/>
          <w:szCs w:val="20"/>
          <w:color w:val="auto"/>
        </w:rPr>
      </w:pPr>
    </w:p>
    <w:p>
      <w:pPr>
        <w:ind w:left="780" w:hanging="211"/>
        <w:spacing w:after="0"/>
        <w:tabs>
          <w:tab w:leader="none" w:pos="7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cash in an amount equal to the lesser of (i) the Daily Measurement Value and (ii) the Daily Conversion Value on such Trading Day; and</w:t>
      </w:r>
    </w:p>
    <w:p>
      <w:pPr>
        <w:spacing w:after="0" w:line="198" w:lineRule="exact"/>
        <w:rPr>
          <w:rFonts w:ascii="Arial" w:cs="Arial" w:eastAsia="Arial" w:hAnsi="Arial"/>
          <w:sz w:val="16"/>
          <w:szCs w:val="16"/>
          <w:color w:val="auto"/>
        </w:rPr>
      </w:pPr>
    </w:p>
    <w:p>
      <w:pPr>
        <w:ind w:firstLine="569"/>
        <w:spacing w:after="0" w:line="275" w:lineRule="auto"/>
        <w:tabs>
          <w:tab w:leader="none" w:pos="8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if the Daily Conversion Value on such Trading Day exceeds the Daily Measurement Value, a number of shares of Common Stock equal to (i) the difference between the Daily Conversion Value and the Daily Measurement Value,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Daily VWAP for such Trading Day.</w:t>
      </w:r>
    </w:p>
    <w:p>
      <w:pPr>
        <w:spacing w:after="0" w:line="14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VWAP</w:t>
      </w:r>
      <w:r>
        <w:rPr>
          <w:rFonts w:ascii="Arial" w:cs="Arial" w:eastAsia="Arial" w:hAnsi="Arial"/>
          <w:sz w:val="16"/>
          <w:szCs w:val="16"/>
          <w:color w:val="auto"/>
        </w:rPr>
        <w:t>” means, for each of the 30 consecutive Trading Days during the relevant Observation Period, the per share volume-weighted average price as displayed under the heading “Bloomberg VWAP” on Bloomberg page “[●]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w:t>
      </w:r>
      <w:r>
        <w:rPr>
          <w:rFonts w:ascii="Arial" w:cs="Arial" w:eastAsia="Arial" w:hAnsi="Arial"/>
          <w:sz w:val="16"/>
          <w:szCs w:val="16"/>
          <w:b w:val="1"/>
          <w:bCs w:val="1"/>
          <w:color w:val="auto"/>
        </w:rPr>
        <w:t>Daily VWAP</w:t>
      </w:r>
      <w:r>
        <w:rPr>
          <w:rFonts w:ascii="Arial" w:cs="Arial" w:eastAsia="Arial" w:hAnsi="Arial"/>
          <w:sz w:val="16"/>
          <w:szCs w:val="16"/>
          <w:color w:val="auto"/>
        </w:rPr>
        <w:t>” shall be determined without regard to after-hours trading or any other trading outside of the regular trading session trading hours.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w:t>
      </w:r>
      <w:r>
        <w:rPr>
          <w:rFonts w:ascii="Arial" w:cs="Arial" w:eastAsia="Arial" w:hAnsi="Arial"/>
          <w:sz w:val="16"/>
          <w:szCs w:val="16"/>
          <w:color w:val="auto"/>
        </w:rPr>
        <w:t>” means any event that is, or after notice or passage of time, or both, would be, an Event of Default.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Defaulted Amounts</w:t>
      </w:r>
      <w:r>
        <w:rPr>
          <w:rFonts w:ascii="Arial" w:cs="Arial" w:eastAsia="Arial" w:hAnsi="Arial"/>
          <w:sz w:val="16"/>
          <w:szCs w:val="16"/>
          <w:color w:val="auto"/>
        </w:rPr>
        <w:t>” means any amounts on any Note (including, without limitation, the Redemption Price, the Fundamental Change Repurchase Price, principal and interest) that are payable but are not punctually paid or duly provided for.</w:t>
      </w:r>
    </w:p>
    <w:p>
      <w:pPr>
        <w:spacing w:after="0" w:line="144"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Default Settlement Method</w:t>
      </w:r>
      <w:r>
        <w:rPr>
          <w:rFonts w:ascii="Arial" w:cs="Arial" w:eastAsia="Arial" w:hAnsi="Arial"/>
          <w:sz w:val="15"/>
          <w:szCs w:val="15"/>
          <w:color w:val="auto"/>
        </w:rPr>
        <w:t xml:space="preserve">” means, initially, Combination Settlement with a Specified Dollar Amount of $1,000 per $1,000 principal amount of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the Company may, from time to time, change the Default Settlement Method by sending written notice of the new Default Settlement Method to the Holders, the Trustee and the Conversion Agent (if other than the Trustee);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that the Company may, by notice to all Holders, the Trustee and the Conversion Agent (if other than the Trustee), irrevocably fix the Settlement Method (to any Settlement Method that it is then permitted to elect), that will apply to all Note conversions with a Conversion Date that is on or after the date the Company sends such notice. Notwithstanding the foregoing, no such change in the Default Settlement Method or irrevocable election will affect any Settlement Method theretofore elected (or deemed to be elected) with respect to any Note pursuant to </w:t>
      </w:r>
      <w:r>
        <w:rPr>
          <w:rFonts w:ascii="Arial" w:cs="Arial" w:eastAsia="Arial" w:hAnsi="Arial"/>
          <w:sz w:val="15"/>
          <w:szCs w:val="15"/>
          <w:u w:val="single" w:color="auto"/>
          <w:color w:val="auto"/>
        </w:rPr>
        <w:t>Section 14.02</w:t>
      </w:r>
      <w:r>
        <w:rPr>
          <w:rFonts w:ascii="Arial" w:cs="Arial" w:eastAsia="Arial" w:hAnsi="Arial"/>
          <w:sz w:val="15"/>
          <w:szCs w:val="15"/>
          <w:color w:val="auto"/>
        </w:rPr>
        <w:t xml:space="preserve">. Concurrently with sending written notice to all Holders, the Trustee and the Conversion Agent (if other than the Trustee) of a change in the Default Settlement Method or an election to irrevocably fix the Settlement Method, the Company shall promptly issue a report on Form 8-K or press release, which the Company shall post on its website, announcing that it has made such change to the Default Settlement Method or elected to irrevocably fix the Settlement Method, as the case may be. For the avoidance of doubt, such an irrevocable election, if made, will be effective without the need to amend this Indenture or the Notes, including pursuant to </w:t>
      </w:r>
      <w:r>
        <w:rPr>
          <w:rFonts w:ascii="Arial" w:cs="Arial" w:eastAsia="Arial" w:hAnsi="Arial"/>
          <w:sz w:val="15"/>
          <w:szCs w:val="15"/>
          <w:u w:val="single" w:color="auto"/>
          <w:color w:val="auto"/>
        </w:rPr>
        <w:t>Section 10.01(i)</w:t>
      </w:r>
      <w:r>
        <w:rPr>
          <w:rFonts w:ascii="Arial" w:cs="Arial" w:eastAsia="Arial" w:hAnsi="Arial"/>
          <w:sz w:val="15"/>
          <w:szCs w:val="15"/>
          <w:color w:val="auto"/>
          <w:highlight w:val="white"/>
        </w:rPr>
        <w:t>.</w:t>
      </w:r>
      <w:r>
        <w:rPr>
          <w:rFonts w:ascii="Arial" w:cs="Arial" w:eastAsia="Arial" w:hAnsi="Arial"/>
          <w:sz w:val="15"/>
          <w:szCs w:val="15"/>
          <w:color w:val="auto"/>
        </w:rPr>
        <w:t xml:space="preserve"> However, the Company may nonetheless choose to execute such an amendment at its option.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4" w:name="page115"/>
    <w:bookmarkEnd w:id="114"/>
    <w:p>
      <w:pPr>
        <w:jc w:val="both"/>
        <w:ind w:right="20" w:firstLine="574"/>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Depositary</w:t>
      </w:r>
      <w:r>
        <w:rPr>
          <w:rFonts w:ascii="Arial" w:cs="Arial" w:eastAsia="Arial" w:hAnsi="Arial"/>
          <w:sz w:val="15"/>
          <w:szCs w:val="15"/>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Arial" w:cs="Arial" w:eastAsia="Arial" w:hAnsi="Arial"/>
          <w:sz w:val="15"/>
          <w:szCs w:val="15"/>
          <w:b w:val="1"/>
          <w:bCs w:val="1"/>
          <w:color w:val="auto"/>
        </w:rPr>
        <w:t>Depositary</w:t>
      </w:r>
      <w:r>
        <w:rPr>
          <w:rFonts w:ascii="Arial" w:cs="Arial" w:eastAsia="Arial" w:hAnsi="Arial"/>
          <w:sz w:val="15"/>
          <w:szCs w:val="15"/>
          <w:color w:val="auto"/>
        </w:rPr>
        <w:t>” shall mean or include such successor.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Financial Institution</w:t>
      </w:r>
      <w:r>
        <w:rPr>
          <w:rFonts w:ascii="Arial" w:cs="Arial" w:eastAsia="Arial" w:hAnsi="Arial"/>
          <w:sz w:val="16"/>
          <w:szCs w:val="16"/>
          <w:color w:val="auto"/>
        </w:rPr>
        <w:t>” shall have the meaning specified in Section 14.12(a).</w:t>
      </w:r>
    </w:p>
    <w:p>
      <w:pPr>
        <w:spacing w:after="0" w:line="198" w:lineRule="exact"/>
        <w:rPr>
          <w:sz w:val="20"/>
          <w:szCs w:val="20"/>
          <w:color w:val="auto"/>
        </w:rPr>
      </w:pPr>
    </w:p>
    <w:p>
      <w:pPr>
        <w:jc w:val="both"/>
        <w:ind w:firstLine="574"/>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Disqualified Capital Stock</w:t>
      </w:r>
      <w:r>
        <w:rPr>
          <w:rFonts w:ascii="Arial" w:cs="Arial" w:eastAsia="Arial" w:hAnsi="Arial"/>
          <w:sz w:val="14"/>
          <w:szCs w:val="14"/>
          <w:color w:val="auto"/>
        </w:rPr>
        <w:t xml:space="preserve">” means that portion of any Capital Stock which, by its terms (or by the terms of any security into which it is convertible or for which it is exchangeable at the option of the holder thereof) or upon the happening of any event, matures or is mandatorily redeemable (other than solely for Capital Stock in such Person that does not constitute Disqualified Capital Stock and cash in lieu of fractional shares of such Capital Stock), pursuant to a sinking fund obligation or otherwise, or is redeemable (other than solely for Capital Stock in such Person that does not constitute Disqualified Capital Stock and cash in lieu of fractional shares of such Capital Stock) at the sole option of the holder thereof, on or prior to the final maturity date of the Notes;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 Capital Stock in any Person is issued pursuant to any plan for the benefit of employees of the Company or any Subsidiary or by any such plan to such employees, such Capital Stock shall not constitute Disqualified Capital Stock solely because it may be required to be repurchased by the Company or any Subsidiary in order to satisfy applicable statutory or regulatory obligations of such Person.</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Distributed Property</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Subsidiary</w:t>
      </w:r>
      <w:r>
        <w:rPr>
          <w:rFonts w:ascii="Arial" w:cs="Arial" w:eastAsia="Arial" w:hAnsi="Arial"/>
          <w:sz w:val="16"/>
          <w:szCs w:val="16"/>
          <w:color w:val="auto"/>
        </w:rPr>
        <w:t>” means any Subsidiary of the Company that is organized under the laws of the United States of America or any state thereof or the District of Columbia and any Subsidiary of such Domestic Subsidiary (including, for the avoidance of doubt, any Subsidiary of the Company which is organized and existing under the laws of Puerto Rico or any other territory of the United States of America).</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shall have the meaning specified in Section 14.03(c), except that, as used in Section 14.04 and Section 14.05, “</w:t>
      </w:r>
      <w:r>
        <w:rPr>
          <w:rFonts w:ascii="Arial" w:cs="Arial" w:eastAsia="Arial" w:hAnsi="Arial"/>
          <w:sz w:val="16"/>
          <w:szCs w:val="16"/>
          <w:b w:val="1"/>
          <w:bCs w:val="1"/>
          <w:color w:val="auto"/>
        </w:rPr>
        <w:t>Effective Date</w:t>
      </w:r>
      <w:r>
        <w:rPr>
          <w:rFonts w:ascii="Arial" w:cs="Arial" w:eastAsia="Arial" w:hAnsi="Arial"/>
          <w:sz w:val="16"/>
          <w:szCs w:val="16"/>
          <w:color w:val="auto"/>
        </w:rPr>
        <w:t>” means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Common Stock under a separate ticker symbol or CUSIP number will not be considered “regular way” for this purpose.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Market</w:t>
      </w:r>
      <w:r>
        <w:rPr>
          <w:rFonts w:ascii="Arial" w:cs="Arial" w:eastAsia="Arial" w:hAnsi="Arial"/>
          <w:sz w:val="16"/>
          <w:szCs w:val="16"/>
          <w:color w:val="auto"/>
        </w:rPr>
        <w:t>” means The New York Stock Exchange or The Nasdaq Stock Market.</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Equity Conditions</w:t>
      </w:r>
      <w:r>
        <w:rPr>
          <w:rFonts w:ascii="Arial" w:cs="Arial" w:eastAsia="Arial" w:hAnsi="Arial"/>
          <w:sz w:val="14"/>
          <w:szCs w:val="14"/>
          <w:color w:val="auto"/>
        </w:rPr>
        <w:t>” means, with respect to a given date of determination: (i) on each day during the period beginning 30 days prior to such applicable date of determination and ending on and including such applicable date of determination (the “</w:t>
      </w:r>
      <w:r>
        <w:rPr>
          <w:rFonts w:ascii="Arial" w:cs="Arial" w:eastAsia="Arial" w:hAnsi="Arial"/>
          <w:sz w:val="14"/>
          <w:szCs w:val="14"/>
          <w:b w:val="1"/>
          <w:bCs w:val="1"/>
          <w:color w:val="auto"/>
        </w:rPr>
        <w:t>Equity Conditions Measuring Period</w:t>
      </w:r>
      <w:r>
        <w:rPr>
          <w:rFonts w:ascii="Arial" w:cs="Arial" w:eastAsia="Arial" w:hAnsi="Arial"/>
          <w:sz w:val="14"/>
          <w:szCs w:val="14"/>
          <w:color w:val="auto"/>
        </w:rPr>
        <w:t>”) either (x) one or more registration statements filed with the Commission shall be effective and the prospectus contained therein shall be available on such applicable date of determination (with, for the avoidance of doubt, any shares of Common Stock previously sold pursuant to such prospectus deemed unavailable) for the resale of all shares of Common Stock to be issued in connection with the event requiring this determination (without regard to any limitations on conversion set forth herein) (a “</w:t>
      </w:r>
      <w:r>
        <w:rPr>
          <w:rFonts w:ascii="Arial" w:cs="Arial" w:eastAsia="Arial" w:hAnsi="Arial"/>
          <w:sz w:val="14"/>
          <w:szCs w:val="14"/>
          <w:b w:val="1"/>
          <w:bCs w:val="1"/>
          <w:color w:val="auto"/>
        </w:rPr>
        <w:t>Required Minimum Securities Amount</w:t>
      </w:r>
      <w:r>
        <w:rPr>
          <w:rFonts w:ascii="Arial" w:cs="Arial" w:eastAsia="Arial" w:hAnsi="Arial"/>
          <w:sz w:val="14"/>
          <w:szCs w:val="14"/>
          <w:color w:val="auto"/>
        </w:rPr>
        <w:t xml:space="preserve">”) or (y) all shares of Common Stock issuable upon conversion of the applicable Notes shall be eligible for sale pursuant to Rule 144 of the Securities Act, and the Company is then current with its required filings with the Commission; (ii) on each day during the Equity Conditions Measuring Period, the Common Stock (including all shares of Common Stock issued or issuable upon conversion of the Notes) is listed or designated for quotation (as applicable) on an Eligible Market and shall not have been suspended from trading on an Eligible Market (other than suspensions of not more than two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the Notes on a timely basis in accordance herewith and to the extent required hereby and to the extent required by any other Transaction Document; (iv) any shares of Common Stock to be issued in connection with the event requiring determination (or issuable upon conversion of the portion of the Notes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 on each day during the Equity Conditions Measuring Period, no public announcement of a pending, proposed or intended Fundamental Change shall have occurred which has not been abandoned, terminated or consummated; (vi) the Company shall have no knowledge of any fact that would reasonably be expected to cause (1) any registration statement filed with the Commission to not be effective or the prospectus contained therein to not be available, in each case, for the resale of the applicable Required Minimum Securities Amount of all shares of Common Stock issuable upon conversion of the applicable Notes in accordance with the terms of the Subscription Agreement or (2) any shares of Common Stock issuable upon conversion of the applicable Notes to not be eligible for sale pursuant to Rule 144, (vii) on each Trading Day during the Equity Conditions Measuring Period there shall not have occurred any Volume Failure as of such applicable date of determination; (viii) on the applicable date of determination all shares of Common Stock to be issued in connection with the event requiring this determination (or issuable upon conversion of the portion of this Note being redeemed in the event requiring this determination (without regards to any limitations on conversion set forth herein)) may be issued in full from the authorized and available shares of Common Stock of the Company; (ix) on each day during the Equity Conditions Measuring Period, there shall not have occurred and there shall not exist an Event of Default or an event that with the passage of time or giving of notice would constitute an Event of Default; (x) the shares of Common Stock issuable pursuant to the event requiring the satisfaction of the Equity Conditions are duly authorized and will be listed and eligible upon issuance for trading on an Eligible Market; (xi) no Holder shall be in possession of any material, non-public information provided to any of them by the Company, any of its Subsidiaries or any of their respective affiliates, employees, officers, representatives, agents or the like; </w:t>
      </w:r>
      <w:r>
        <w:rPr>
          <w:rFonts w:ascii="Arial" w:cs="Arial" w:eastAsia="Arial" w:hAnsi="Arial"/>
          <w:sz w:val="14"/>
          <w:szCs w:val="14"/>
          <w:i w:val="1"/>
          <w:iCs w:val="1"/>
          <w:color w:val="auto"/>
        </w:rPr>
        <w:t>provided</w:t>
      </w:r>
      <w:r>
        <w:rPr>
          <w:rFonts w:ascii="Arial" w:cs="Arial" w:eastAsia="Arial" w:hAnsi="Arial"/>
          <w:sz w:val="14"/>
          <w:szCs w:val="14"/>
          <w:color w:val="auto"/>
        </w:rPr>
        <w:t>, however that the foregoing shall not apply to information provided to any individual serving as a member of the board of directors or as a board observer in the course of such individual’s status as a director or board observer; or (xii) the Company shall not have failed to make any payment due pursuant to any Transaction Document which failure remains incurred as of the Mandatory Conversion Date.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5" w:name="page116"/>
    <w:bookmarkEnd w:id="115"/>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Equity Conditions Failure</w:t>
      </w:r>
      <w:r>
        <w:rPr>
          <w:rFonts w:ascii="Arial" w:cs="Arial" w:eastAsia="Arial" w:hAnsi="Arial"/>
          <w:sz w:val="14"/>
          <w:szCs w:val="14"/>
          <w:color w:val="auto"/>
        </w:rPr>
        <w:t>” means, with respect to any date of determination, the Equity Conditions have not been satisfied (or waived in writing by the applicable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Holder).</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 Measuring Period</w:t>
      </w:r>
      <w:r>
        <w:rPr>
          <w:rFonts w:ascii="Arial" w:cs="Arial" w:eastAsia="Arial" w:hAnsi="Arial"/>
          <w:sz w:val="16"/>
          <w:szCs w:val="16"/>
          <w:color w:val="auto"/>
        </w:rPr>
        <w:t>” shall have the meaning specified in the definition of “</w:t>
      </w:r>
      <w:r>
        <w:rPr>
          <w:rFonts w:ascii="Arial" w:cs="Arial" w:eastAsia="Arial" w:hAnsi="Arial"/>
          <w:sz w:val="16"/>
          <w:szCs w:val="16"/>
          <w:b w:val="1"/>
          <w:bCs w:val="1"/>
          <w:color w:val="auto"/>
        </w:rPr>
        <w:t>Equity Conditions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Capital Stock and all warrants, options or other rights to acquire Capital Stock (but excluding any debt security that is convertible into, or exchangeable for Capital Stock).</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Default</w:t>
      </w:r>
      <w:r>
        <w:rPr>
          <w:rFonts w:ascii="Arial" w:cs="Arial" w:eastAsia="Arial" w:hAnsi="Arial"/>
          <w:sz w:val="16"/>
          <w:szCs w:val="16"/>
          <w:color w:val="auto"/>
        </w:rPr>
        <w:t>” shall have the meaning specified in Section 6.01.</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Ex-Dividend Date</w:t>
      </w:r>
      <w:r>
        <w:rPr>
          <w:rFonts w:ascii="Arial" w:cs="Arial" w:eastAsia="Arial" w:hAnsi="Arial"/>
          <w:sz w:val="16"/>
          <w:szCs w:val="16"/>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Election</w:t>
      </w:r>
      <w:r>
        <w:rPr>
          <w:rFonts w:ascii="Arial" w:cs="Arial" w:eastAsia="Arial" w:hAnsi="Arial"/>
          <w:sz w:val="16"/>
          <w:szCs w:val="16"/>
          <w:color w:val="auto"/>
        </w:rPr>
        <w:t>” shall have the meaning specified in Section 14.12(a).</w:t>
      </w:r>
    </w:p>
    <w:p>
      <w:pPr>
        <w:spacing w:after="0" w:line="198"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xml:space="preserve">” value of such asset or liability as determined by senior management in good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otherwise provided in this Indenture, if the fair market value exceeds $1.0 million, such determination shall be made by the Board of Directors of the Company or an authorized committee thereof in good faith (including as to the value of all non-cash assets and liabilities).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Form of Assignment and Transfer</w:t>
      </w:r>
      <w:r>
        <w:rPr>
          <w:rFonts w:ascii="Arial" w:cs="Arial" w:eastAsia="Arial" w:hAnsi="Arial"/>
          <w:sz w:val="15"/>
          <w:szCs w:val="15"/>
          <w:color w:val="auto"/>
        </w:rPr>
        <w:t>” means the “Form of Assignment and Transfer” attached as Attachment 3 to the Form of Note attached hereto as Exhibit A.</w:t>
      </w:r>
    </w:p>
    <w:p>
      <w:pPr>
        <w:spacing w:after="0" w:line="210"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Form of Fundamental Change Repurchase Notice</w:t>
      </w:r>
      <w:r>
        <w:rPr>
          <w:rFonts w:ascii="Arial" w:cs="Arial" w:eastAsia="Arial" w:hAnsi="Arial"/>
          <w:sz w:val="16"/>
          <w:szCs w:val="16"/>
          <w:color w:val="auto"/>
        </w:rPr>
        <w:t>” means the “Form of Fundamental Change Repurchase Notice” attached as Attachment 2 to the Form of Note attached hereto as Exhibit A.</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Form of Note</w:t>
      </w:r>
      <w:r>
        <w:rPr>
          <w:rFonts w:ascii="Arial" w:cs="Arial" w:eastAsia="Arial" w:hAnsi="Arial"/>
          <w:sz w:val="16"/>
          <w:szCs w:val="16"/>
          <w:color w:val="auto"/>
        </w:rPr>
        <w:t>” means the “Form of Note” attached hereto as Exhibit 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Form of Notice of Conversion</w:t>
      </w:r>
      <w:r>
        <w:rPr>
          <w:rFonts w:ascii="Arial" w:cs="Arial" w:eastAsia="Arial" w:hAnsi="Arial"/>
          <w:sz w:val="15"/>
          <w:szCs w:val="15"/>
          <w:color w:val="auto"/>
        </w:rPr>
        <w:t>” means the “Form of Notice of Conversion” attached as Attachment 1 to the Form of Note attached hereto as Exhibit 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Change</w:t>
      </w:r>
      <w:r>
        <w:rPr>
          <w:rFonts w:ascii="Arial" w:cs="Arial" w:eastAsia="Arial" w:hAnsi="Arial"/>
          <w:sz w:val="16"/>
          <w:szCs w:val="16"/>
          <w:color w:val="auto"/>
        </w:rPr>
        <w:t>” shall be deemed to have occurred at the time after the Notes are originally issued if any of the following occurs:</w:t>
      </w:r>
    </w:p>
    <w:p>
      <w:pPr>
        <w:spacing w:after="0" w:line="202" w:lineRule="exact"/>
        <w:rPr>
          <w:sz w:val="20"/>
          <w:szCs w:val="20"/>
          <w:color w:val="auto"/>
        </w:rPr>
      </w:pPr>
    </w:p>
    <w:p>
      <w:pPr>
        <w:jc w:val="both"/>
        <w:ind w:left="560" w:firstLine="583"/>
        <w:spacing w:after="0" w:line="272" w:lineRule="auto"/>
        <w:tabs>
          <w:tab w:leader="none" w:pos="1351" w:val="left"/>
        </w:tabs>
        <w:numPr>
          <w:ilvl w:val="0"/>
          <w:numId w:val="108"/>
        </w:numPr>
        <w:rPr>
          <w:rFonts w:ascii="Arial" w:cs="Arial" w:eastAsia="Arial" w:hAnsi="Arial"/>
          <w:sz w:val="15"/>
          <w:szCs w:val="15"/>
          <w:color w:val="auto"/>
        </w:rPr>
      </w:pPr>
      <w:r>
        <w:rPr>
          <w:rFonts w:ascii="Arial" w:cs="Arial" w:eastAsia="Arial" w:hAnsi="Arial"/>
          <w:sz w:val="15"/>
          <w:szCs w:val="15"/>
          <w:color w:val="auto"/>
        </w:rPr>
        <w:t xml:space="preserve">a “person” or “group” within the meaning of Section 13(d) of the Exchange Act, other than the Company, its direct or indirect Wholly Owned Subsidiaries and the employee benefit plans of the Company and its Wholly Owned Subsidiaries, has become the direct or indirect “beneficial owner,” as defined in Rule 13d-3 under the Exchange Act, of Common Stock of the Company representing more than 50% of the voting power of the Common Stock of the Company and has filed a Schedule TO (or any successor schedule, form or report) or any schedule, form or report under the Exchange Act that discloses such fact,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6" w:name="page117"/>
    <w:bookmarkEnd w:id="116"/>
    <w:p>
      <w:pPr>
        <w:jc w:val="both"/>
        <w:ind w:left="560" w:firstLine="583"/>
        <w:spacing w:after="0" w:line="270" w:lineRule="auto"/>
        <w:tabs>
          <w:tab w:leader="none" w:pos="1366" w:val="left"/>
        </w:tabs>
        <w:numPr>
          <w:ilvl w:val="0"/>
          <w:numId w:val="109"/>
        </w:numPr>
        <w:rPr>
          <w:rFonts w:ascii="Arial" w:cs="Arial" w:eastAsia="Arial" w:hAnsi="Arial"/>
          <w:sz w:val="15"/>
          <w:szCs w:val="15"/>
          <w:color w:val="auto"/>
        </w:rPr>
      </w:pPr>
      <w:r>
        <w:rPr>
          <w:rFonts w:ascii="Arial" w:cs="Arial" w:eastAsia="Arial" w:hAnsi="Arial"/>
          <w:sz w:val="15"/>
          <w:szCs w:val="15"/>
          <w:color w:val="auto"/>
        </w:rPr>
        <w:t xml:space="preserve">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neither (i) a transaction described in clause (A) or clause (B) in which the holders of all classes of the Company’s Common Equity</w:t>
      </w:r>
      <w:r>
        <w:rPr>
          <w:rFonts w:ascii="Arial" w:cs="Arial" w:eastAsia="Arial" w:hAnsi="Arial"/>
          <w:sz w:val="15"/>
          <w:szCs w:val="15"/>
          <w:i w:val="1"/>
          <w:iCs w:val="1"/>
          <w:color w:val="auto"/>
        </w:rPr>
        <w:t xml:space="preserve"> </w:t>
      </w:r>
      <w:r>
        <w:rPr>
          <w:rFonts w:ascii="Arial" w:cs="Arial" w:eastAsia="Arial" w:hAnsi="Arial"/>
          <w:sz w:val="15"/>
          <w:szCs w:val="15"/>
          <w:color w:val="auto"/>
        </w:rPr>
        <w:t>immediately prior to such transaction own, directly or indirectly, more than 50% of all classes of Common Equity of the continuing or surviving corporation or transferee or the direct or indirect parent thereof immediately after such transaction in substantially the same proportions (relative to each other) as such ownership immediately prior to such transaction nor (ii) any merger of the Company solely for the purpose of change its jurisdiction of incorporation that results in a reclassification, conversion or exchange of outstanding shares of Common Stock solely into shares of common stock of the surviving entity shall, in each case, be a Fundamental Change pursuant to this clause (b);</w:t>
      </w:r>
    </w:p>
    <w:p>
      <w:pPr>
        <w:spacing w:after="0" w:line="159" w:lineRule="exact"/>
        <w:rPr>
          <w:rFonts w:ascii="Arial" w:cs="Arial" w:eastAsia="Arial" w:hAnsi="Arial"/>
          <w:sz w:val="15"/>
          <w:szCs w:val="15"/>
          <w:color w:val="auto"/>
        </w:rPr>
      </w:pPr>
    </w:p>
    <w:p>
      <w:pPr>
        <w:ind w:left="1360" w:hanging="217"/>
        <w:spacing w:after="0"/>
        <w:tabs>
          <w:tab w:leader="none" w:pos="13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stockholders of the Company approve any plan or proposal for the liquidation or dissolution of the Company; or</w:t>
      </w:r>
    </w:p>
    <w:p>
      <w:pPr>
        <w:spacing w:after="0" w:line="198" w:lineRule="exact"/>
        <w:rPr>
          <w:rFonts w:ascii="Arial" w:cs="Arial" w:eastAsia="Arial" w:hAnsi="Arial"/>
          <w:sz w:val="16"/>
          <w:szCs w:val="16"/>
          <w:color w:val="auto"/>
        </w:rPr>
      </w:pPr>
    </w:p>
    <w:p>
      <w:pPr>
        <w:ind w:left="560" w:right="20" w:firstLine="583"/>
        <w:spacing w:after="0" w:line="275" w:lineRule="auto"/>
        <w:tabs>
          <w:tab w:leader="none" w:pos="136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Common Stock (or other common stock underlying the Notes) ceases to be listed or quoted on any Eligible Market and is not listed or quoted on an Eligible Market within one Trading Day of such cessation;</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a transaction or transactions described in clause (a) or clause (b) above shall not constitute a Fundamental Change, if at least 90% of the consideration</w:t>
      </w:r>
      <w:r>
        <w:rPr>
          <w:rFonts w:ascii="Arial" w:cs="Arial" w:eastAsia="Arial" w:hAnsi="Arial"/>
          <w:sz w:val="15"/>
          <w:szCs w:val="15"/>
          <w:i w:val="1"/>
          <w:iCs w:val="1"/>
          <w:color w:val="auto"/>
        </w:rPr>
        <w:t xml:space="preserve"> </w:t>
      </w:r>
      <w:r>
        <w:rPr>
          <w:rFonts w:ascii="Arial" w:cs="Arial" w:eastAsia="Arial" w:hAnsi="Arial"/>
          <w:sz w:val="15"/>
          <w:szCs w:val="15"/>
          <w:color w:val="auto"/>
        </w:rPr>
        <w:t>received or to be received by the common stockholders of the Company, excluding cash payments for fractional shares and cash payments made in respect of dissenters’ appraisal rights, in connection with such transaction or transactions consists of shares of common stock that are listed or quoted on any Eligible Market or will be so listed or quoted when issued or exchanged in connection with such transaction or transactions and as a result of such transaction or transactions such consideration, excluding cash payments for fractional shares and cash payments made in respect of dissenters’ appraisal rights (subject to the provisions of Section 14.02(a), Section 14.04 and Section 14.03) becomes Reference Property for the Notes. If any transaction in which the Common Stock is replaced by the securities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w:t>
      </w:r>
    </w:p>
    <w:p>
      <w:pPr>
        <w:spacing w:after="0" w:line="15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purposes of this definition, any transaction that constitutes a Fundamental Change pursuant to both clause (a) and clause (b) of this definition (without regard to the proviso in clause (2)) shall be deemed a Fundamental Change solely under clause (2) of such definition (subject to such proviso).</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Change Company Notice</w:t>
      </w:r>
      <w:r>
        <w:rPr>
          <w:rFonts w:ascii="Arial" w:cs="Arial" w:eastAsia="Arial" w:hAnsi="Arial"/>
          <w:sz w:val="16"/>
          <w:szCs w:val="16"/>
          <w:color w:val="auto"/>
        </w:rPr>
        <w:t>” shall have the meaning specified in Section 15.02(c).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Change Repurchase Date</w:t>
      </w:r>
      <w:r>
        <w:rPr>
          <w:rFonts w:ascii="Arial" w:cs="Arial" w:eastAsia="Arial" w:hAnsi="Arial"/>
          <w:sz w:val="16"/>
          <w:szCs w:val="16"/>
          <w:color w:val="auto"/>
        </w:rPr>
        <w:t>” shall have the meaning specified in Section 15.02(a).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Change Repurchase Notice</w:t>
      </w:r>
      <w:r>
        <w:rPr>
          <w:rFonts w:ascii="Arial" w:cs="Arial" w:eastAsia="Arial" w:hAnsi="Arial"/>
          <w:sz w:val="16"/>
          <w:szCs w:val="16"/>
          <w:color w:val="auto"/>
        </w:rPr>
        <w:t>” shall have the meaning specified in Section 15.02(b)(i).</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Change Repurchase Price</w:t>
      </w:r>
      <w:r>
        <w:rPr>
          <w:rFonts w:ascii="Arial" w:cs="Arial" w:eastAsia="Arial" w:hAnsi="Arial"/>
          <w:sz w:val="16"/>
          <w:szCs w:val="16"/>
          <w:color w:val="auto"/>
        </w:rPr>
        <w:t>” shall have the meaning specified in Section 15.02(a).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7" w:name="page118"/>
    <w:bookmarkEnd w:id="117"/>
    <w:p>
      <w:pPr>
        <w:jc w:val="both"/>
        <w:ind w:firstLine="574"/>
        <w:spacing w:after="0" w:line="278" w:lineRule="auto"/>
        <w:rPr>
          <w:sz w:val="20"/>
          <w:szCs w:val="20"/>
          <w:color w:val="auto"/>
        </w:rPr>
      </w:pPr>
      <w:r>
        <w:rPr>
          <w:rFonts w:ascii="Arial" w:cs="Arial" w:eastAsia="Arial" w:hAnsi="Arial"/>
          <w:sz w:val="15"/>
          <w:szCs w:val="15"/>
          <w:color w:val="auto"/>
        </w:rPr>
        <w:t>The terms “</w:t>
      </w:r>
      <w:r>
        <w:rPr>
          <w:rFonts w:ascii="Arial" w:cs="Arial" w:eastAsia="Arial" w:hAnsi="Arial"/>
          <w:sz w:val="15"/>
          <w:szCs w:val="15"/>
          <w:b w:val="1"/>
          <w:bCs w:val="1"/>
          <w:color w:val="auto"/>
        </w:rPr>
        <w:t>given</w:t>
      </w:r>
      <w:r>
        <w:rPr>
          <w:rFonts w:ascii="Arial" w:cs="Arial" w:eastAsia="Arial" w:hAnsi="Arial"/>
          <w:sz w:val="15"/>
          <w:szCs w:val="15"/>
          <w:color w:val="auto"/>
        </w:rPr>
        <w:t>”, “</w:t>
      </w:r>
      <w:r>
        <w:rPr>
          <w:rFonts w:ascii="Arial" w:cs="Arial" w:eastAsia="Arial" w:hAnsi="Arial"/>
          <w:sz w:val="15"/>
          <w:szCs w:val="15"/>
          <w:b w:val="1"/>
          <w:bCs w:val="1"/>
          <w:color w:val="auto"/>
        </w:rPr>
        <w:t>mailed</w:t>
      </w:r>
      <w:r>
        <w:rPr>
          <w:rFonts w:ascii="Arial" w:cs="Arial" w:eastAsia="Arial" w:hAnsi="Arial"/>
          <w:sz w:val="15"/>
          <w:szCs w:val="15"/>
          <w:color w:val="auto"/>
        </w:rPr>
        <w:t>”, “</w:t>
      </w:r>
      <w:r>
        <w:rPr>
          <w:rFonts w:ascii="Arial" w:cs="Arial" w:eastAsia="Arial" w:hAnsi="Arial"/>
          <w:sz w:val="15"/>
          <w:szCs w:val="15"/>
          <w:b w:val="1"/>
          <w:bCs w:val="1"/>
          <w:color w:val="auto"/>
        </w:rPr>
        <w:t>notify,</w:t>
      </w:r>
      <w:r>
        <w:rPr>
          <w:rFonts w:ascii="Arial" w:cs="Arial" w:eastAsia="Arial" w:hAnsi="Arial"/>
          <w:sz w:val="15"/>
          <w:szCs w:val="15"/>
          <w:color w:val="auto"/>
        </w:rPr>
        <w:t>” “</w:t>
      </w:r>
      <w:r>
        <w:rPr>
          <w:rFonts w:ascii="Arial" w:cs="Arial" w:eastAsia="Arial" w:hAnsi="Arial"/>
          <w:sz w:val="15"/>
          <w:szCs w:val="15"/>
          <w:b w:val="1"/>
          <w:bCs w:val="1"/>
          <w:color w:val="auto"/>
        </w:rPr>
        <w:t>delivered</w:t>
      </w:r>
      <w:r>
        <w:rPr>
          <w:rFonts w:ascii="Arial" w:cs="Arial" w:eastAsia="Arial" w:hAnsi="Arial"/>
          <w:sz w:val="15"/>
          <w:szCs w:val="15"/>
          <w:color w:val="auto"/>
        </w:rPr>
        <w:t>” or “</w:t>
      </w:r>
      <w:r>
        <w:rPr>
          <w:rFonts w:ascii="Arial" w:cs="Arial" w:eastAsia="Arial" w:hAnsi="Arial"/>
          <w:sz w:val="15"/>
          <w:szCs w:val="15"/>
          <w:b w:val="1"/>
          <w:bCs w:val="1"/>
          <w:color w:val="auto"/>
        </w:rPr>
        <w:t>sent</w:t>
      </w:r>
      <w:r>
        <w:rPr>
          <w:rFonts w:ascii="Arial" w:cs="Arial" w:eastAsia="Arial" w:hAnsi="Arial"/>
          <w:sz w:val="15"/>
          <w:szCs w:val="15"/>
          <w:color w:val="auto"/>
        </w:rPr>
        <w:t>” with respect to any notice to be given to a Holder pursuant to this Indenture, including in circumstances pursuant to which such notice must be “written,”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Physical Note), in each case, in accordance with Section 18.03. Notice so “given” shall be deemed to include any notice to be “mailed” or “delivered,” as applicable, under this Indenture.</w:t>
      </w:r>
    </w:p>
    <w:p>
      <w:pPr>
        <w:spacing w:after="0" w:line="148" w:lineRule="exact"/>
        <w:rPr>
          <w:sz w:val="20"/>
          <w:szCs w:val="20"/>
          <w:color w:val="auto"/>
        </w:rPr>
      </w:pPr>
    </w:p>
    <w:p>
      <w:pPr>
        <w:jc w:val="both"/>
        <w:ind w:right="20" w:firstLine="574"/>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which are in effect as of the Issue Date.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Global Note</w:t>
      </w:r>
      <w:r>
        <w:rPr>
          <w:rFonts w:ascii="Arial" w:cs="Arial" w:eastAsia="Arial" w:hAnsi="Arial"/>
          <w:sz w:val="16"/>
          <w:szCs w:val="16"/>
          <w:color w:val="auto"/>
        </w:rPr>
        <w:t>” shall have the meaning specified in Section 2.05(b).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 guarantee by a Guarantor of the Company’s obligations under this Indenture.</w:t>
      </w:r>
    </w:p>
    <w:p>
      <w:pPr>
        <w:spacing w:after="0" w:line="198" w:lineRule="exact"/>
        <w:rPr>
          <w:sz w:val="20"/>
          <w:szCs w:val="20"/>
          <w:color w:val="auto"/>
        </w:rPr>
      </w:pPr>
    </w:p>
    <w:p>
      <w:pPr>
        <w:jc w:val="both"/>
        <w:ind w:right="20" w:firstLine="574"/>
        <w:spacing w:after="0" w:line="32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Guarantor</w:t>
      </w:r>
      <w:r>
        <w:rPr>
          <w:rFonts w:ascii="Arial" w:cs="Arial" w:eastAsia="Arial" w:hAnsi="Arial"/>
          <w:sz w:val="14"/>
          <w:szCs w:val="14"/>
          <w:color w:val="auto"/>
        </w:rPr>
        <w:t>” means each Domestic Subsidiary of the Company that is a guarantor of the Notes, including any Person that is required after the Issue Date to execute a Guarantee of the Notes pursuant to Section 4.14; provided that any Person constituting a Guarantor as described above shall cease to constitute a Guarantor when its respective Guarantee is released in accordance with the terms of this Indenture. On the Issue Date, each Domestic Subsidiary of the Company shall be a Guarantor.</w:t>
      </w:r>
    </w:p>
    <w:p>
      <w:pPr>
        <w:spacing w:after="0" w:line="121"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Agreement</w:t>
      </w:r>
      <w:r>
        <w:rPr>
          <w:rFonts w:ascii="Arial" w:cs="Arial" w:eastAsia="Arial" w:hAnsi="Arial"/>
          <w:sz w:val="16"/>
          <w:szCs w:val="16"/>
          <w:color w:val="auto"/>
        </w:rPr>
        <w:t>” means any rate swap agreement, forward rate agreement, commodity swap, commodity option, interest rate option, forward foreign exchange agreement, spot foreign exchange agreement, rate cap agreement, rate floor agreement, rate collar agreement, currency swap agreement, cross-currency rate swap agreement, currency option and any other similar agreement entered into for the purposes of hedging risks of currency, interest, or commodity price fluctuations or similar matters, or any indemnity agreements and arrangements entered into in connection therewith, in each case, as the same may be amended, restated, supplemented, or otherwise modified from time to time.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Obligations</w:t>
      </w:r>
      <w:r>
        <w:rPr>
          <w:rFonts w:ascii="Arial" w:cs="Arial" w:eastAsia="Arial" w:hAnsi="Arial"/>
          <w:sz w:val="16"/>
          <w:szCs w:val="16"/>
          <w:color w:val="auto"/>
        </w:rPr>
        <w:t>” means, with respect to any Person, the obligations of such Person under a Hedging Agreement.</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as applied to any Note, or other similar terms (but excluding the term “beneficial holder”), means any Person in whose name at the time a particular Note is registered on the Note Register.</w:t>
      </w:r>
    </w:p>
    <w:p>
      <w:pPr>
        <w:spacing w:after="0" w:line="144"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Horizon Revolving Credit Facility</w:t>
      </w:r>
      <w:r>
        <w:rPr>
          <w:rFonts w:ascii="Arial" w:cs="Arial" w:eastAsia="Arial" w:hAnsi="Arial"/>
          <w:sz w:val="16"/>
          <w:szCs w:val="16"/>
          <w:color w:val="auto"/>
        </w:rPr>
        <w:t>” means the senior secured facility under the Venture Loan and Security Agreement, dated as of March 5, 2021, by and between Horizon Technology Finance Corporation, as lender and collateral agent, and E la Carte, Inc., a Delaware corporation.</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any Person on any date of determination (without duplication):</w:t>
      </w:r>
    </w:p>
    <w:p>
      <w:pPr>
        <w:spacing w:after="0" w:line="202" w:lineRule="exact"/>
        <w:rPr>
          <w:sz w:val="20"/>
          <w:szCs w:val="20"/>
          <w:color w:val="auto"/>
        </w:rPr>
      </w:pPr>
    </w:p>
    <w:p>
      <w:pPr>
        <w:ind w:left="800" w:hanging="231"/>
        <w:spacing w:after="0"/>
        <w:tabs>
          <w:tab w:leader="none" w:pos="8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principal of indebtedness of such Person for borrowed money;</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principal of obligations of such Person evidenced by bonds, debentures, notes or other similar instruments;</w:t>
      </w:r>
    </w:p>
    <w:p>
      <w:pPr>
        <w:spacing w:after="0" w:line="198" w:lineRule="exact"/>
        <w:rPr>
          <w:rFonts w:ascii="Arial" w:cs="Arial" w:eastAsia="Arial" w:hAnsi="Arial"/>
          <w:sz w:val="16"/>
          <w:szCs w:val="16"/>
          <w:color w:val="auto"/>
        </w:rPr>
      </w:pPr>
    </w:p>
    <w:p>
      <w:pPr>
        <w:jc w:val="both"/>
        <w:ind w:firstLine="569"/>
        <w:spacing w:after="0" w:line="258" w:lineRule="auto"/>
        <w:tabs>
          <w:tab w:leader="none" w:pos="80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accounts payable and such obligations are satisfied within 30 days of Incurrence);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8" w:name="page119"/>
    <w:bookmarkEnd w:id="118"/>
    <w:p>
      <w:pPr>
        <w:ind w:right="20" w:firstLine="569"/>
        <w:spacing w:after="0" w:line="309" w:lineRule="auto"/>
        <w:tabs>
          <w:tab w:leader="none" w:pos="802"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principal component of all obligations of such Person to pay the deferred and unpaid purchase price of property (except trade payables or similar obligations to trade creditors), which purchase price is due more than one year after the date of placing such property in service or taking final delivery and title thereto;</w:t>
      </w:r>
    </w:p>
    <w:p>
      <w:pPr>
        <w:spacing w:after="0" w:line="129" w:lineRule="exact"/>
        <w:rPr>
          <w:rFonts w:ascii="Arial" w:cs="Arial" w:eastAsia="Arial" w:hAnsi="Arial"/>
          <w:sz w:val="15"/>
          <w:szCs w:val="15"/>
          <w:color w:val="auto"/>
        </w:rPr>
      </w:pPr>
    </w:p>
    <w:p>
      <w:pPr>
        <w:ind w:left="800" w:hanging="231"/>
        <w:spacing w:after="0"/>
        <w:tabs>
          <w:tab w:leader="none" w:pos="8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Capitalized Lease Obligations of such Person;</w:t>
      </w:r>
    </w:p>
    <w:p>
      <w:pPr>
        <w:spacing w:after="0" w:line="198" w:lineRule="exact"/>
        <w:rPr>
          <w:rFonts w:ascii="Arial" w:cs="Arial" w:eastAsia="Arial" w:hAnsi="Arial"/>
          <w:sz w:val="16"/>
          <w:szCs w:val="16"/>
          <w:color w:val="auto"/>
        </w:rPr>
      </w:pPr>
    </w:p>
    <w:p>
      <w:pPr>
        <w:ind w:right="20" w:firstLine="569"/>
        <w:spacing w:after="0" w:line="275" w:lineRule="auto"/>
        <w:tabs>
          <w:tab w:leader="none" w:pos="82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principal component of all obligations, or liquidation preference, of such Person with respect to any Disqualified Capital Stock or, with respect to any Subsidiary, any Preferred Stock (but excluding, in each case, any accrued dividends);</w:t>
      </w:r>
    </w:p>
    <w:p>
      <w:pPr>
        <w:spacing w:after="0" w:line="151" w:lineRule="exact"/>
        <w:rPr>
          <w:rFonts w:ascii="Arial" w:cs="Arial" w:eastAsia="Arial" w:hAnsi="Arial"/>
          <w:sz w:val="16"/>
          <w:szCs w:val="16"/>
          <w:color w:val="auto"/>
        </w:rPr>
      </w:pPr>
    </w:p>
    <w:p>
      <w:pPr>
        <w:jc w:val="both"/>
        <w:ind w:right="20" w:firstLine="569"/>
        <w:spacing w:after="0" w:line="262" w:lineRule="auto"/>
        <w:tabs>
          <w:tab w:leader="none" w:pos="80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principal component of all Indebtedness of other Persons secured by a Lien on any asset of such Person, whether or not such Indebtedness is assumed by such Person; provided, however, that the amount of such Indebtedness will be the lesser of (a) the fair market value of such asset at such date of determination (as determined in good faith by the Company) and (b) the amount of such Indebtedness of such other Persons;</w:t>
      </w:r>
    </w:p>
    <w:p>
      <w:pPr>
        <w:spacing w:after="0" w:line="162" w:lineRule="exact"/>
        <w:rPr>
          <w:rFonts w:ascii="Arial" w:cs="Arial" w:eastAsia="Arial" w:hAnsi="Arial"/>
          <w:sz w:val="16"/>
          <w:szCs w:val="16"/>
          <w:color w:val="auto"/>
        </w:rPr>
      </w:pPr>
    </w:p>
    <w:p>
      <w:pPr>
        <w:ind w:firstLine="569"/>
        <w:spacing w:after="0" w:line="275" w:lineRule="auto"/>
        <w:tabs>
          <w:tab w:leader="none" w:pos="80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guarantees by such Person of the principal component of Indebtedness of the type referred to in clauses (1), (2), (3), (4), (5) and (9) of other Persons to the extent guaranteed by such Person;</w:t>
      </w:r>
    </w:p>
    <w:p>
      <w:pPr>
        <w:spacing w:after="0" w:line="151" w:lineRule="exact"/>
        <w:rPr>
          <w:rFonts w:ascii="Arial" w:cs="Arial" w:eastAsia="Arial" w:hAnsi="Arial"/>
          <w:sz w:val="16"/>
          <w:szCs w:val="16"/>
          <w:color w:val="auto"/>
        </w:rPr>
      </w:pPr>
    </w:p>
    <w:p>
      <w:pPr>
        <w:jc w:val="both"/>
        <w:ind w:right="20" w:firstLine="569"/>
        <w:spacing w:after="0" w:line="262" w:lineRule="auto"/>
        <w:tabs>
          <w:tab w:leader="none" w:pos="80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with respect to clauses (1), (2), (4) and (5) above, 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The amount of Indebtedness of any Person at any time in the case of a revolving credit or similar facility will be the total amount of funds borrowed and then outstanding. The amount of any Indebtedness outstanding as of any date will be (a) the accreted value thereof in the case of any Indebtedness issued with original issue discount and (b) the principal amount of Indebtedness, or liquidation preference thereof, in the case of any other Indebtedness. Indebtedness will be calculated without giving effect to the effects of Financial Accounting Standards Board Accounting Standards Codification Topic No. 815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or, if amended or supplemented as herein provided, as so amended or supplemented.</w:t>
      </w:r>
    </w:p>
    <w:p>
      <w:pPr>
        <w:spacing w:after="0" w:line="198"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Financial Advisor</w:t>
      </w:r>
      <w:r>
        <w:rPr>
          <w:rFonts w:ascii="Arial" w:cs="Arial" w:eastAsia="Arial" w:hAnsi="Arial"/>
          <w:sz w:val="16"/>
          <w:szCs w:val="16"/>
          <w:color w:val="auto"/>
        </w:rPr>
        <w:t>” means a firm (1) which does not, and whose directors, officers and employees or Affiliates do not, have a direct or indirect financial interest in the Company, and (2) which, in the judgment of the Board of Directors of the Company, is otherwise independent and qualified to perform the task for which it is to be engaged.</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w:t>
      </w:r>
      <w:r>
        <w:rPr>
          <w:rFonts w:ascii="Arial" w:cs="Arial" w:eastAsia="Arial" w:hAnsi="Arial"/>
          <w:sz w:val="16"/>
          <w:szCs w:val="16"/>
          <w:color w:val="auto"/>
        </w:rPr>
        <w:t>” means, with respect to the Notes, interest (including PIK Interest) on the Notes.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Payment Date</w:t>
      </w:r>
      <w:r>
        <w:rPr>
          <w:rFonts w:ascii="Arial" w:cs="Arial" w:eastAsia="Arial" w:hAnsi="Arial"/>
          <w:sz w:val="16"/>
          <w:szCs w:val="16"/>
          <w:color w:val="auto"/>
        </w:rPr>
        <w:t>” means each March 15, June 15, September 15 and December 15 of each year, beginning on [June 15], 2022.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9" w:name="page120"/>
    <w:bookmarkEnd w:id="119"/>
    <w:p>
      <w:pPr>
        <w:jc w:val="both"/>
        <w:ind w:right="20" w:firstLine="574"/>
        <w:spacing w:after="0" w:line="30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Investment</w:t>
      </w:r>
      <w:r>
        <w:rPr>
          <w:rFonts w:ascii="Arial" w:cs="Arial" w:eastAsia="Arial" w:hAnsi="Arial"/>
          <w:sz w:val="14"/>
          <w:szCs w:val="14"/>
          <w:color w:val="auto"/>
        </w:rPr>
        <w:t>” means, with respect to any Person, any direct or indirect loan or other extension of credit (including, without limitation, a guarantee) or capital contribution to (by means of any transfer of cash or other property to others or any payment for property or services for the account or use of others), or any purchase or acquisition by such Person of any Capital Stock, bonds, notes, debentures or other securities or evidences of Indebtedness issued by, any other Person. “Investment” shall exclude extensions of trade credit by the Company and its Subsidiaries in accordance with normal trade practices of the Company or such Subsidiary, as the case may be.</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 Date</w:t>
      </w:r>
      <w:r>
        <w:rPr>
          <w:rFonts w:ascii="Arial" w:cs="Arial" w:eastAsia="Arial" w:hAnsi="Arial"/>
          <w:sz w:val="16"/>
          <w:szCs w:val="16"/>
          <w:color w:val="auto"/>
        </w:rPr>
        <w:t>” means [●], 202[●], the date of original issuance of the Notes.</w:t>
      </w:r>
    </w:p>
    <w:p>
      <w:pPr>
        <w:spacing w:after="0" w:line="198"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Last Original Issue Date</w:t>
      </w:r>
      <w:r>
        <w:rPr>
          <w:rFonts w:ascii="Arial" w:cs="Arial" w:eastAsia="Arial" w:hAnsi="Arial"/>
          <w:sz w:val="16"/>
          <w:szCs w:val="16"/>
          <w:color w:val="auto"/>
        </w:rPr>
        <w:t>” means, (A) with respect to the Notes offered pursuant to the Subscription Agreement dated [●] by and between the Company and [●], the date of this Indenture; (B) with respect to any additional Notes issued pursuant to the first sentence of Section 2.10,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6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Last Reported Sale Price</w:t>
      </w:r>
      <w:r>
        <w:rPr>
          <w:rFonts w:ascii="Arial" w:cs="Arial" w:eastAsia="Arial" w:hAnsi="Arial"/>
          <w:sz w:val="15"/>
          <w:szCs w:val="15"/>
          <w:color w:val="auto"/>
        </w:rPr>
        <w:t>” of the Common Stock (or any other security for which a last reported sale price must be determined) on any date means the closing sale price (or if no closing sale price is reported, the average of the bid and ask prices or, if more than one in either case, the average of the average bid and the average ask prices) per share of the Common Stock (or such other security) on that date as reported in composite transactions for the principal U.S. national or regional securities exchange on which the Common Stock is traded. If the Common Stock (or such other security) is not listed for trading on a U.S. national or regional securities exchange on the relevant date, the “</w:t>
      </w:r>
      <w:r>
        <w:rPr>
          <w:rFonts w:ascii="Arial" w:cs="Arial" w:eastAsia="Arial" w:hAnsi="Arial"/>
          <w:sz w:val="15"/>
          <w:szCs w:val="15"/>
          <w:b w:val="1"/>
          <w:bCs w:val="1"/>
          <w:color w:val="auto"/>
        </w:rPr>
        <w:t>Last Reported Sale Price</w:t>
      </w:r>
      <w:r>
        <w:rPr>
          <w:rFonts w:ascii="Arial" w:cs="Arial" w:eastAsia="Arial" w:hAnsi="Arial"/>
          <w:sz w:val="15"/>
          <w:szCs w:val="15"/>
          <w:color w:val="auto"/>
        </w:rPr>
        <w:t>” shall be the last quoted bid price per share of the Common Stock (or such other security) in the over-the-counter market on the relevant date as reported by OTC Markets Group Inc. or a similar organization. If the Common Stock (or such other security) is not so quoted, the “</w:t>
      </w:r>
      <w:r>
        <w:rPr>
          <w:rFonts w:ascii="Arial" w:cs="Arial" w:eastAsia="Arial" w:hAnsi="Arial"/>
          <w:sz w:val="15"/>
          <w:szCs w:val="15"/>
          <w:b w:val="1"/>
          <w:bCs w:val="1"/>
          <w:color w:val="auto"/>
        </w:rPr>
        <w:t>Last Reported Sale Price</w:t>
      </w:r>
      <w:r>
        <w:rPr>
          <w:rFonts w:ascii="Arial" w:cs="Arial" w:eastAsia="Arial" w:hAnsi="Arial"/>
          <w:sz w:val="15"/>
          <w:szCs w:val="15"/>
          <w:color w:val="auto"/>
        </w:rPr>
        <w:t>” shall be the average of the midpoint of the last bid and ask prices per share of the Common Stock (or such other security) on the relevant date from each of at least three nationally recognized independent investment banking firms selected by the Company for this purpose. The “</w:t>
      </w:r>
      <w:r>
        <w:rPr>
          <w:rFonts w:ascii="Arial" w:cs="Arial" w:eastAsia="Arial" w:hAnsi="Arial"/>
          <w:sz w:val="15"/>
          <w:szCs w:val="15"/>
          <w:b w:val="1"/>
          <w:bCs w:val="1"/>
          <w:color w:val="auto"/>
        </w:rPr>
        <w:t>Last Reported Sale Price</w:t>
      </w:r>
      <w:r>
        <w:rPr>
          <w:rFonts w:ascii="Arial" w:cs="Arial" w:eastAsia="Arial" w:hAnsi="Arial"/>
          <w:sz w:val="15"/>
          <w:szCs w:val="15"/>
          <w:color w:val="auto"/>
        </w:rPr>
        <w:t>” shall be determined without regard to after-hours trading or any other trading outside of regular trading session hours.</w:t>
      </w:r>
    </w:p>
    <w:p>
      <w:pPr>
        <w:spacing w:after="0" w:line="153"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Fundamental Change</w:t>
      </w:r>
      <w:r>
        <w:rPr>
          <w:rFonts w:ascii="Arial" w:cs="Arial" w:eastAsia="Arial" w:hAnsi="Arial"/>
          <w:sz w:val="16"/>
          <w:szCs w:val="16"/>
          <w:color w:val="auto"/>
        </w:rPr>
        <w:t xml:space="preserve">” means any transaction or event that constitutes a Fundamental Change (as defined above and determined after giving effect to any exceptions to or exclusions from such definition, but without regard to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clause (b) of the definition thereof).</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Fundamental Change Period</w:t>
      </w:r>
      <w:r>
        <w:rPr>
          <w:rFonts w:ascii="Arial" w:cs="Arial" w:eastAsia="Arial" w:hAnsi="Arial"/>
          <w:sz w:val="16"/>
          <w:szCs w:val="16"/>
          <w:color w:val="auto"/>
        </w:rPr>
        <w:t>” shall have the meaning specified in Section 14.03(a).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w:t>
      </w:r>
      <w:r>
        <w:rPr>
          <w:rFonts w:ascii="Arial" w:cs="Arial" w:eastAsia="Arial" w:hAnsi="Arial"/>
          <w:sz w:val="16"/>
          <w:szCs w:val="16"/>
          <w:color w:val="auto"/>
        </w:rPr>
        <w:t>” means a conversion pursuant to Section 14.03(a).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Condition</w:t>
      </w:r>
      <w:r>
        <w:rPr>
          <w:rFonts w:ascii="Arial" w:cs="Arial" w:eastAsia="Arial" w:hAnsi="Arial"/>
          <w:sz w:val="16"/>
          <w:szCs w:val="16"/>
          <w:color w:val="auto"/>
        </w:rPr>
        <w:t>” means the conditions required for the Company to cause Notes to be converted pursuant to Section 14.03(a).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20" w:name="page121"/>
    <w:bookmarkEnd w:id="120"/>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Date</w:t>
      </w:r>
      <w:r>
        <w:rPr>
          <w:rFonts w:ascii="Arial" w:cs="Arial" w:eastAsia="Arial" w:hAnsi="Arial"/>
          <w:sz w:val="16"/>
          <w:szCs w:val="16"/>
          <w:color w:val="auto"/>
        </w:rPr>
        <w:t>” means the Conversion Date for a Mandatory Conversion, as provided in Section 14.03(c).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Notice</w:t>
      </w:r>
      <w:r>
        <w:rPr>
          <w:rFonts w:ascii="Arial" w:cs="Arial" w:eastAsia="Arial" w:hAnsi="Arial"/>
          <w:sz w:val="16"/>
          <w:szCs w:val="16"/>
          <w:color w:val="auto"/>
        </w:rPr>
        <w:t>” shall have the meaning specified in Section 14.03(b).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Mandatory Conversion Notice Date</w:t>
      </w:r>
      <w:r>
        <w:rPr>
          <w:rFonts w:ascii="Arial" w:cs="Arial" w:eastAsia="Arial" w:hAnsi="Arial"/>
          <w:sz w:val="15"/>
          <w:szCs w:val="15"/>
          <w:color w:val="auto"/>
        </w:rPr>
        <w:t>” means the date on which the Company provides the Mandatory Conversion Notice in accordance with Section 14.03(b).</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Right</w:t>
      </w:r>
      <w:r>
        <w:rPr>
          <w:rFonts w:ascii="Arial" w:cs="Arial" w:eastAsia="Arial" w:hAnsi="Arial"/>
          <w:sz w:val="16"/>
          <w:szCs w:val="16"/>
          <w:color w:val="auto"/>
        </w:rPr>
        <w:t>” shall have the meaning specified in Section 14.03(a).</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Capitalization</w:t>
      </w:r>
      <w:r>
        <w:rPr>
          <w:rFonts w:ascii="Arial" w:cs="Arial" w:eastAsia="Arial" w:hAnsi="Arial"/>
          <w:sz w:val="16"/>
          <w:szCs w:val="16"/>
          <w:color w:val="auto"/>
        </w:rPr>
        <w:t>” means, with respect to any date of determination, an amount equal to (i) the total number of issued and outstanding publicly traded shares of Common Stock multiplied by (ii) the 30-Day ADTV immediately preceding such date.</w:t>
      </w:r>
    </w:p>
    <w:p>
      <w:pPr>
        <w:spacing w:after="0" w:line="144"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Disruption Event</w:t>
      </w:r>
      <w:r>
        <w:rPr>
          <w:rFonts w:ascii="Arial" w:cs="Arial" w:eastAsia="Arial" w:hAnsi="Arial"/>
          <w:sz w:val="16"/>
          <w:szCs w:val="16"/>
          <w:color w:val="auto"/>
        </w:rPr>
        <w:t>” means, for the purpose of determining amounts due upon conversion only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means [●], 2026.</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Merger Event</w:t>
      </w:r>
      <w:r>
        <w:rPr>
          <w:rFonts w:ascii="Arial" w:cs="Arial" w:eastAsia="Arial" w:hAnsi="Arial"/>
          <w:sz w:val="16"/>
          <w:szCs w:val="16"/>
          <w:color w:val="auto"/>
        </w:rPr>
        <w:t>” shall have the meaning specified in Section 14.07(a).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Nasdaq Stock Market</w:t>
      </w:r>
      <w:r>
        <w:rPr>
          <w:rFonts w:ascii="Arial" w:cs="Arial" w:eastAsia="Arial" w:hAnsi="Arial"/>
          <w:sz w:val="16"/>
          <w:szCs w:val="16"/>
          <w:color w:val="auto"/>
        </w:rPr>
        <w:t>” shall mean the Nasdaq Capital Market, the Nasdaq Global Market and the Nasdaq Global Select Market.</w:t>
      </w:r>
    </w:p>
    <w:p>
      <w:pPr>
        <w:spacing w:after="0" w:line="198" w:lineRule="exact"/>
        <w:rPr>
          <w:sz w:val="20"/>
          <w:szCs w:val="20"/>
          <w:color w:val="auto"/>
        </w:rPr>
      </w:pPr>
    </w:p>
    <w:p>
      <w:pPr>
        <w:jc w:val="both"/>
        <w:ind w:firstLine="574"/>
        <w:spacing w:after="0" w:line="29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Net Proceeds</w:t>
      </w:r>
      <w:r>
        <w:rPr>
          <w:rFonts w:ascii="Arial" w:cs="Arial" w:eastAsia="Arial" w:hAnsi="Arial"/>
          <w:sz w:val="14"/>
          <w:szCs w:val="14"/>
          <w:color w:val="auto"/>
        </w:rPr>
        <w:t>” means the aggregate cash proceeds and the fair market value of any Cash Equivalents received by the Company or any of its Subsidiaries in respect of any Asset Sale (including, without limitation, any cash or Cash Equivalents received upon the sale or other disposition of any non-cash consideration received in any Asset Sale), net of (1) the direct costs relating to such Asset Sale, including, without limitation, legal, accounting and investment banking fees, sales commissions, rationalization and other relocation expenses incurred as a result of the Asset Sale, and taxes paid or payable as a result of the Asset Sale after taking into account any available tax credits or deductions and any tax sharing arrangements, (2) amounts required to be applied to the repayment of Indebtedness secured by a Permitted Lien on the asset or assets that were the subject of such Asset Sale, and (3) any reserve for adjustment in respect of the sale price of such asset or assets established in accordance with GAAP.</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Proceeds Offer</w:t>
      </w:r>
      <w:r>
        <w:rPr>
          <w:rFonts w:ascii="Arial" w:cs="Arial" w:eastAsia="Arial" w:hAnsi="Arial"/>
          <w:sz w:val="16"/>
          <w:szCs w:val="16"/>
          <w:color w:val="auto"/>
        </w:rPr>
        <w:t>” shall have the meaning specified in Section 4.18(d).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w:t>
      </w:r>
      <w:r>
        <w:rPr>
          <w:rFonts w:ascii="Arial" w:cs="Arial" w:eastAsia="Arial" w:hAnsi="Arial"/>
          <w:sz w:val="16"/>
          <w:szCs w:val="16"/>
          <w:color w:val="auto"/>
        </w:rPr>
        <w:t>” or “</w:t>
      </w:r>
      <w:r>
        <w:rPr>
          <w:rFonts w:ascii="Arial" w:cs="Arial" w:eastAsia="Arial" w:hAnsi="Arial"/>
          <w:sz w:val="16"/>
          <w:szCs w:val="16"/>
          <w:b w:val="1"/>
          <w:bCs w:val="1"/>
          <w:color w:val="auto"/>
        </w:rPr>
        <w:t>Notes</w:t>
      </w:r>
      <w:r>
        <w:rPr>
          <w:rFonts w:ascii="Arial" w:cs="Arial" w:eastAsia="Arial" w:hAnsi="Arial"/>
          <w:sz w:val="16"/>
          <w:szCs w:val="16"/>
          <w:color w:val="auto"/>
        </w:rPr>
        <w:t>” shall have the meaning specified in the first paragraph of the recitals of this Indenture.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 Obligation</w:t>
      </w:r>
      <w:r>
        <w:rPr>
          <w:rFonts w:ascii="Arial" w:cs="Arial" w:eastAsia="Arial" w:hAnsi="Arial"/>
          <w:sz w:val="16"/>
          <w:szCs w:val="16"/>
          <w:color w:val="auto"/>
        </w:rPr>
        <w:t>” shall have the meaning specified in Section 13.01.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 Register</w:t>
      </w:r>
      <w:r>
        <w:rPr>
          <w:rFonts w:ascii="Arial" w:cs="Arial" w:eastAsia="Arial" w:hAnsi="Arial"/>
          <w:sz w:val="16"/>
          <w:szCs w:val="16"/>
          <w:color w:val="auto"/>
        </w:rPr>
        <w:t>” shall have the meaning specified in Section 2.05(a).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 Registrar</w:t>
      </w:r>
      <w:r>
        <w:rPr>
          <w:rFonts w:ascii="Arial" w:cs="Arial" w:eastAsia="Arial" w:hAnsi="Arial"/>
          <w:sz w:val="16"/>
          <w:szCs w:val="16"/>
          <w:color w:val="auto"/>
        </w:rPr>
        <w:t>” shall have the meaning specified in Section 2.05(a).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Notice of Conversion</w:t>
      </w:r>
      <w:r>
        <w:rPr>
          <w:rFonts w:ascii="Arial" w:cs="Arial" w:eastAsia="Arial" w:hAnsi="Arial"/>
          <w:sz w:val="16"/>
          <w:szCs w:val="16"/>
          <w:color w:val="auto"/>
        </w:rPr>
        <w:t>” shall have the meaning specified in Section 14.02(b).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Notice of Redemption</w:t>
      </w:r>
      <w:r>
        <w:rPr>
          <w:rFonts w:ascii="Arial" w:cs="Arial" w:eastAsia="Arial" w:hAnsi="Arial"/>
          <w:sz w:val="16"/>
          <w:szCs w:val="16"/>
          <w:color w:val="auto"/>
        </w:rPr>
        <w:t>” shall have the meaning specified in Section 16.02(a).</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obligations for principal, premium, interest, penalties, fees, expenses, indemnifications, reimbursements, damages and other liabilities payable under the documentation governing any Indebtedness.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21" w:name="page122"/>
    <w:bookmarkEnd w:id="121"/>
    <w:p>
      <w:pPr>
        <w:jc w:val="both"/>
        <w:ind w:left="4" w:firstLine="574"/>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Observation Period</w:t>
      </w:r>
      <w:r>
        <w:rPr>
          <w:rFonts w:ascii="Arial" w:cs="Arial" w:eastAsia="Arial" w:hAnsi="Arial"/>
          <w:sz w:val="14"/>
          <w:szCs w:val="14"/>
          <w:color w:val="auto"/>
        </w:rPr>
        <w:t>” with respect to any Note surrendered for conversion means: (i) subject to clause (ii), if the relevant Conversion Date occurs prior to [●], 2026</w:t>
      </w:r>
      <w:r>
        <w:rPr>
          <w:rFonts w:ascii="Arial" w:cs="Arial" w:eastAsia="Arial" w:hAnsi="Arial"/>
          <w:sz w:val="23"/>
          <w:szCs w:val="23"/>
          <w:color w:val="auto"/>
          <w:vertAlign w:val="superscript"/>
        </w:rPr>
        <w:t>10</w:t>
      </w:r>
      <w:r>
        <w:rPr>
          <w:rFonts w:ascii="Arial" w:cs="Arial" w:eastAsia="Arial" w:hAnsi="Arial"/>
          <w:sz w:val="14"/>
          <w:szCs w:val="14"/>
          <w:color w:val="auto"/>
        </w:rPr>
        <w:t>, the 30 consecutive Trading Day period beginning on, and including, the second Trading Day immediately succeeding such Conversion Date; (ii) if the relevant Conversion Date for a Note called for redemption occurs during a Redemption Period pursuant to Section 16.02, the 30 consecutive Trading Days beginning on, and including, the 31st Scheduled Trading Day immediately preceding such Redemption Date; and (iii) subject to clause (ii) of this definition above, if the relevant Conversion Date occurs on or after [●], 2026, the 30 consecutive Trading Days beginning on, and including, the 31st Scheduled Trading Day immediately preceding the Maturity Date.</w:t>
      </w:r>
    </w:p>
    <w:p>
      <w:pPr>
        <w:spacing w:after="0" w:line="153"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w:t>
      </w:r>
      <w:r>
        <w:rPr>
          <w:rFonts w:ascii="Arial" w:cs="Arial" w:eastAsia="Arial" w:hAnsi="Arial"/>
          <w:sz w:val="16"/>
          <w:szCs w:val="16"/>
          <w:color w:val="auto"/>
        </w:rPr>
        <w:t>” means, with respect to the Company, the Chief Executive Officer, the Chief Financial Officer, or the Chief Revenue Officer, or any Vice President (whether or not designated by a number or numbers or word or words added before or after the title “Vice President”).</w:t>
      </w:r>
    </w:p>
    <w:p>
      <w:pPr>
        <w:spacing w:after="0" w:line="144" w:lineRule="exact"/>
        <w:rPr>
          <w:sz w:val="20"/>
          <w:szCs w:val="20"/>
          <w:color w:val="auto"/>
        </w:rPr>
      </w:pPr>
    </w:p>
    <w:p>
      <w:pPr>
        <w:jc w:val="both"/>
        <w:ind w:left="4"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when used with respect to the Company, means a certificate that is delivered to the Trustee and that is signed by any Officer of the Company. Each such certificate shall include the statements provided for in Section 18.05 if and to the extent required by the provisions of such Section. The Officer giving an Officer’s Certificate pursuant to Section 4.08 shall be the principal executive, financial or accounting officer of the Company.</w:t>
      </w:r>
    </w:p>
    <w:p>
      <w:pPr>
        <w:spacing w:after="0" w:line="15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open of business</w:t>
      </w:r>
      <w:r>
        <w:rPr>
          <w:rFonts w:ascii="Arial" w:cs="Arial" w:eastAsia="Arial" w:hAnsi="Arial"/>
          <w:sz w:val="16"/>
          <w:szCs w:val="16"/>
          <w:color w:val="auto"/>
        </w:rPr>
        <w:t>” means 9:00 a.m. (New York City time).</w:t>
      </w:r>
    </w:p>
    <w:p>
      <w:pPr>
        <w:spacing w:after="0" w:line="198" w:lineRule="exact"/>
        <w:rPr>
          <w:sz w:val="20"/>
          <w:szCs w:val="20"/>
          <w:color w:val="auto"/>
        </w:rPr>
      </w:pPr>
    </w:p>
    <w:p>
      <w:pPr>
        <w:jc w:val="both"/>
        <w:ind w:left="4" w:right="20" w:firstLine="574"/>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Opinion of Counsel</w:t>
      </w:r>
      <w:r>
        <w:rPr>
          <w:rFonts w:ascii="Arial" w:cs="Arial" w:eastAsia="Arial" w:hAnsi="Arial"/>
          <w:sz w:val="15"/>
          <w:szCs w:val="15"/>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18.05 if and to the extent required by the provisions of such Section 18.05.</w:t>
      </w:r>
    </w:p>
    <w:p>
      <w:pPr>
        <w:spacing w:after="0" w:line="140"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Optional Redemption</w:t>
      </w:r>
      <w:r>
        <w:rPr>
          <w:rFonts w:ascii="Arial" w:cs="Arial" w:eastAsia="Arial" w:hAnsi="Arial"/>
          <w:sz w:val="16"/>
          <w:szCs w:val="16"/>
          <w:color w:val="auto"/>
        </w:rPr>
        <w:t>” shall have the meaning specified in Section 16.01.</w:t>
      </w:r>
    </w:p>
    <w:p>
      <w:pPr>
        <w:spacing w:after="0" w:line="198"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outstanding</w:t>
      </w:r>
      <w:r>
        <w:rPr>
          <w:rFonts w:ascii="Arial" w:cs="Arial" w:eastAsia="Arial" w:hAnsi="Arial"/>
          <w:sz w:val="16"/>
          <w:szCs w:val="16"/>
          <w:color w:val="auto"/>
        </w:rPr>
        <w:t>,” when used with reference to Notes, shall, subject to the provisions of Section 8.04, mean, as of any particular time, all Notes authenticated and delivered by the Trustee under this Indenture, except:</w:t>
      </w:r>
    </w:p>
    <w:p>
      <w:pPr>
        <w:spacing w:after="0" w:line="148" w:lineRule="exact"/>
        <w:rPr>
          <w:sz w:val="20"/>
          <w:szCs w:val="20"/>
          <w:color w:val="auto"/>
        </w:rPr>
      </w:pPr>
    </w:p>
    <w:p>
      <w:pPr>
        <w:ind w:left="1364" w:hanging="217"/>
        <w:spacing w:after="0"/>
        <w:tabs>
          <w:tab w:leader="none" w:pos="136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Notes theretofore canceled by the Trustee or accepted by the Trustee for cancellation;</w:t>
      </w:r>
    </w:p>
    <w:p>
      <w:pPr>
        <w:spacing w:after="0" w:line="198" w:lineRule="exact"/>
        <w:rPr>
          <w:rFonts w:ascii="Arial" w:cs="Arial" w:eastAsia="Arial" w:hAnsi="Arial"/>
          <w:sz w:val="16"/>
          <w:szCs w:val="16"/>
          <w:color w:val="auto"/>
        </w:rPr>
      </w:pPr>
    </w:p>
    <w:p>
      <w:pPr>
        <w:jc w:val="both"/>
        <w:ind w:left="564" w:right="20" w:firstLine="583"/>
        <w:spacing w:after="0" w:line="262" w:lineRule="auto"/>
        <w:tabs>
          <w:tab w:leader="none" w:pos="137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62" w:lineRule="exact"/>
        <w:rPr>
          <w:rFonts w:ascii="Arial" w:cs="Arial" w:eastAsia="Arial" w:hAnsi="Arial"/>
          <w:sz w:val="16"/>
          <w:szCs w:val="16"/>
          <w:color w:val="auto"/>
        </w:rPr>
      </w:pPr>
    </w:p>
    <w:p>
      <w:pPr>
        <w:ind w:left="564" w:right="20" w:firstLine="583"/>
        <w:spacing w:after="0" w:line="349" w:lineRule="auto"/>
        <w:tabs>
          <w:tab w:leader="none" w:pos="1363"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Notes that have been paid pursuant to Section 2.08 or Notes in lieu of which, or in substitution for which, other Notes shall have been authenticated and delivered pursuant to the terms of Section 2.08 unless proof satisfactory to the Trustee is presented that any such Notes are held by protected purchasers in due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179070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5" w:lineRule="exact"/>
        <w:rPr>
          <w:sz w:val="20"/>
          <w:szCs w:val="20"/>
          <w:color w:val="auto"/>
        </w:rPr>
      </w:pPr>
    </w:p>
    <w:p>
      <w:pPr>
        <w:ind w:left="284" w:hanging="284"/>
        <w:spacing w:after="0"/>
        <w:tabs>
          <w:tab w:leader="none" w:pos="284" w:val="left"/>
        </w:tabs>
        <w:numPr>
          <w:ilvl w:val="0"/>
          <w:numId w:val="113"/>
        </w:numPr>
        <w:rPr>
          <w:rFonts w:ascii="Arial" w:cs="Arial" w:eastAsia="Arial" w:hAnsi="Arial"/>
          <w:sz w:val="27"/>
          <w:szCs w:val="27"/>
          <w:color w:val="auto"/>
          <w:vertAlign w:val="superscript"/>
        </w:rPr>
      </w:pPr>
      <w:r>
        <w:rPr>
          <w:rFonts w:ascii="Arial" w:cs="Arial" w:eastAsia="Arial" w:hAnsi="Arial"/>
          <w:sz w:val="16"/>
          <w:szCs w:val="16"/>
          <w:color w:val="auto"/>
        </w:rPr>
        <w:t>NTD: Insert date that is 32 days prior to the Maturity Date.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22" w:name="page123"/>
    <w:bookmarkEnd w:id="122"/>
    <w:p>
      <w:pPr>
        <w:ind w:left="1360" w:hanging="217"/>
        <w:spacing w:after="0"/>
        <w:tabs>
          <w:tab w:leader="none" w:pos="13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Notes converted pursuant to Article 14 and required to be cancelled pursuant to Section 2.08;</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Notes redeemed pursuant to Article 16; and</w:t>
      </w:r>
    </w:p>
    <w:p>
      <w:pPr>
        <w:spacing w:after="0" w:line="198" w:lineRule="exact"/>
        <w:rPr>
          <w:rFonts w:ascii="Arial" w:cs="Arial" w:eastAsia="Arial" w:hAnsi="Arial"/>
          <w:sz w:val="16"/>
          <w:szCs w:val="16"/>
          <w:color w:val="auto"/>
        </w:rPr>
      </w:pPr>
    </w:p>
    <w:p>
      <w:pPr>
        <w:ind w:left="560" w:right="1380" w:firstLine="583"/>
        <w:spacing w:after="0" w:line="496" w:lineRule="auto"/>
        <w:tabs>
          <w:tab w:leader="none" w:pos="133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Notes repurchased by the Company pursuant to the penultimate sentence of Section 2.10 and delivered to the Trustee for cancellation. “</w:t>
      </w:r>
      <w:r>
        <w:rPr>
          <w:rFonts w:ascii="Arial" w:cs="Arial" w:eastAsia="Arial" w:hAnsi="Arial"/>
          <w:sz w:val="16"/>
          <w:szCs w:val="16"/>
          <w:b w:val="1"/>
          <w:bCs w:val="1"/>
          <w:color w:val="auto"/>
        </w:rPr>
        <w:t>Paying Agent</w:t>
      </w:r>
      <w:r>
        <w:rPr>
          <w:rFonts w:ascii="Arial" w:cs="Arial" w:eastAsia="Arial" w:hAnsi="Arial"/>
          <w:sz w:val="16"/>
          <w:szCs w:val="16"/>
          <w:color w:val="auto"/>
        </w:rPr>
        <w:t>” shall have the meaning specified in Section 4.02.</w:t>
      </w: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w:t>
      </w:r>
      <w:r>
        <w:rPr>
          <w:rFonts w:ascii="Arial" w:cs="Arial" w:eastAsia="Arial" w:hAnsi="Arial"/>
          <w:sz w:val="16"/>
          <w:szCs w:val="16"/>
          <w:color w:val="auto"/>
        </w:rPr>
        <w:t>” means a business in which the Company and its Subsidiaries were engaged on the Closing Date, and any business that is related, ancillary, incidental or complementary thereto.</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shall have the meaning specified in Section 4.11(b).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Investment</w:t>
      </w:r>
      <w:r>
        <w:rPr>
          <w:rFonts w:ascii="Arial" w:cs="Arial" w:eastAsia="Arial" w:hAnsi="Arial"/>
          <w:sz w:val="16"/>
          <w:szCs w:val="16"/>
          <w:color w:val="auto"/>
        </w:rPr>
        <w:t>” means:</w:t>
      </w:r>
    </w:p>
    <w:p>
      <w:pPr>
        <w:spacing w:after="0" w:line="202" w:lineRule="exact"/>
        <w:rPr>
          <w:sz w:val="20"/>
          <w:szCs w:val="20"/>
          <w:color w:val="auto"/>
        </w:rPr>
      </w:pPr>
    </w:p>
    <w:p>
      <w:pPr>
        <w:ind w:firstLine="569"/>
        <w:spacing w:after="0" w:line="309" w:lineRule="auto"/>
        <w:tabs>
          <w:tab w:leader="none" w:pos="80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any Investment in a Subsidiary (including the Capital Stock of a Subsidiary) or the Company or a Person that will, upon the making of such Investment, become a Subsidiary or merge or consolidate with or into, or transfer or convey all or substantially all its assets to, or is liquidated into, the Company or a Subsidiary;</w:t>
      </w:r>
    </w:p>
    <w:p>
      <w:pPr>
        <w:spacing w:after="0" w:line="129" w:lineRule="exact"/>
        <w:rPr>
          <w:rFonts w:ascii="Arial" w:cs="Arial" w:eastAsia="Arial" w:hAnsi="Arial"/>
          <w:sz w:val="15"/>
          <w:szCs w:val="15"/>
          <w:color w:val="auto"/>
        </w:rPr>
      </w:pPr>
    </w:p>
    <w:p>
      <w:pPr>
        <w:ind w:right="20" w:firstLine="569"/>
        <w:spacing w:after="0" w:line="275" w:lineRule="auto"/>
        <w:tabs>
          <w:tab w:leader="none" w:pos="8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receivables owing to the Company or any Subsidiary created or acquired in the ordinary course of business and payable or dischargeable in accordance with customary trade terms;</w:t>
      </w:r>
    </w:p>
    <w:p>
      <w:pPr>
        <w:spacing w:after="0" w:line="151" w:lineRule="exact"/>
        <w:rPr>
          <w:rFonts w:ascii="Arial" w:cs="Arial" w:eastAsia="Arial" w:hAnsi="Arial"/>
          <w:sz w:val="16"/>
          <w:szCs w:val="16"/>
          <w:color w:val="auto"/>
        </w:rPr>
      </w:pPr>
    </w:p>
    <w:p>
      <w:pPr>
        <w:ind w:firstLine="569"/>
        <w:spacing w:after="0" w:line="275" w:lineRule="auto"/>
        <w:tabs>
          <w:tab w:leader="none" w:pos="8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payroll, travel and similar advances to cover matters that are expected at the time of such advances ultimately to be treated as expenses for accounting purposes and that are made in the ordinary course of business;</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Investments in or repurchases of the Notes;</w:t>
      </w:r>
    </w:p>
    <w:p>
      <w:pPr>
        <w:spacing w:after="0" w:line="198" w:lineRule="exact"/>
        <w:rPr>
          <w:rFonts w:ascii="Arial" w:cs="Arial" w:eastAsia="Arial" w:hAnsi="Arial"/>
          <w:sz w:val="16"/>
          <w:szCs w:val="16"/>
          <w:color w:val="auto"/>
        </w:rPr>
      </w:pPr>
    </w:p>
    <w:p>
      <w:pPr>
        <w:jc w:val="both"/>
        <w:ind w:right="20" w:firstLine="569"/>
        <w:spacing w:after="0" w:line="262" w:lineRule="auto"/>
        <w:tabs>
          <w:tab w:leader="none" w:pos="80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Investments consisting of purchases and acquisitions of inventory, supplies, services, material and equipment or licenses or leases of intellectual property, in any case, in the ordinary course of business or for the purpose of obtaining, maintaining or renewing client contracts and loans and advances to distributors, in each case, in the ordinary course of business;</w:t>
      </w:r>
    </w:p>
    <w:p>
      <w:pPr>
        <w:spacing w:after="0" w:line="162" w:lineRule="exact"/>
        <w:rPr>
          <w:rFonts w:ascii="Arial" w:cs="Arial" w:eastAsia="Arial" w:hAnsi="Arial"/>
          <w:sz w:val="16"/>
          <w:szCs w:val="16"/>
          <w:color w:val="auto"/>
        </w:rPr>
      </w:pPr>
    </w:p>
    <w:p>
      <w:pPr>
        <w:ind w:right="20" w:firstLine="569"/>
        <w:spacing w:after="0" w:line="275" w:lineRule="auto"/>
        <w:tabs>
          <w:tab w:leader="none" w:pos="80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Investments in prepaid expenses, negotiable instruments held for collection and lease, utility and workers’ compensation, performance and similar deposits entered into as a result of the operations of the business of the Company and its Subsidiaries in the ordinary course of business;</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Guarantees issued in accordance with Section 4.14 and Article 17;</w:t>
      </w:r>
    </w:p>
    <w:p>
      <w:pPr>
        <w:spacing w:after="0" w:line="198" w:lineRule="exact"/>
        <w:rPr>
          <w:rFonts w:ascii="Arial" w:cs="Arial" w:eastAsia="Arial" w:hAnsi="Arial"/>
          <w:sz w:val="16"/>
          <w:szCs w:val="16"/>
          <w:color w:val="auto"/>
        </w:rPr>
      </w:pPr>
    </w:p>
    <w:p>
      <w:pPr>
        <w:jc w:val="both"/>
        <w:ind w:right="20" w:firstLine="569"/>
        <w:spacing w:after="0" w:line="262" w:lineRule="auto"/>
        <w:tabs>
          <w:tab w:leader="none" w:pos="81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Investments in existence on the Issue Date and any extension, modification, replacement, reinvestment or renewal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extensions, modifications, replacements, reinvestments or renewals are not more disadvantageous to the Holders in any material respect than such Investments as they were in existence on the Issue Date; and</w:t>
      </w:r>
    </w:p>
    <w:p>
      <w:pPr>
        <w:spacing w:after="0" w:line="162" w:lineRule="exact"/>
        <w:rPr>
          <w:rFonts w:ascii="Arial" w:cs="Arial" w:eastAsia="Arial" w:hAnsi="Arial"/>
          <w:sz w:val="16"/>
          <w:szCs w:val="16"/>
          <w:color w:val="auto"/>
        </w:rPr>
      </w:pPr>
    </w:p>
    <w:p>
      <w:pPr>
        <w:ind w:left="800" w:hanging="231"/>
        <w:spacing w:after="0"/>
        <w:tabs>
          <w:tab w:leader="none" w:pos="8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cash and Cash Equivalents.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the following types of Liens:</w:t>
      </w:r>
    </w:p>
    <w:p>
      <w:pPr>
        <w:spacing w:after="0" w:line="202" w:lineRule="exact"/>
        <w:rPr>
          <w:sz w:val="20"/>
          <w:szCs w:val="20"/>
          <w:color w:val="auto"/>
        </w:rPr>
      </w:pPr>
    </w:p>
    <w:p>
      <w:pPr>
        <w:ind w:left="800" w:hanging="231"/>
        <w:spacing w:after="0"/>
        <w:tabs>
          <w:tab w:leader="none" w:pos="8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Liens securing Indebtedness incurred pursuant to Section 4.11(b)(1) and all related Obligations;</w:t>
      </w:r>
    </w:p>
    <w:p>
      <w:pPr>
        <w:spacing w:after="0" w:line="198" w:lineRule="exact"/>
        <w:rPr>
          <w:rFonts w:ascii="Arial" w:cs="Arial" w:eastAsia="Arial" w:hAnsi="Arial"/>
          <w:sz w:val="16"/>
          <w:szCs w:val="16"/>
          <w:color w:val="auto"/>
        </w:rPr>
      </w:pPr>
    </w:p>
    <w:p>
      <w:pPr>
        <w:jc w:val="both"/>
        <w:ind w:right="20" w:firstLine="569"/>
        <w:spacing w:after="0" w:line="317" w:lineRule="auto"/>
        <w:tabs>
          <w:tab w:leader="none" w:pos="801"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 Liens securing Indebtedness incurred pursuant to Section 4.11(b)(6) and all related Obligations; provided that such Liens do not extend to any property or assets other than property or assets acquired with such Indebtedness (and additions, accessions, improvements and replacements and customary deposits in connection therewith and proceeds and products therefrom) and (ii) Liens incurred in the ordinary course of business securing Indebtedness incurred pursuant to Section 4.11(b)(13);</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3" w:name="page124"/>
    <w:bookmarkEnd w:id="123"/>
    <w:p>
      <w:pPr>
        <w:ind w:left="800" w:hanging="231"/>
        <w:spacing w:after="0"/>
        <w:tabs>
          <w:tab w:leader="none" w:pos="8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Liens imposed by law, including carriers’, warehousemen’s, mechanics’, materialmen’s, repairmen’s Liens or other similar Liens, incurred in the ordinary course of</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business;</w:t>
      </w:r>
    </w:p>
    <w:p>
      <w:pPr>
        <w:spacing w:after="0" w:line="185" w:lineRule="exact"/>
        <w:rPr>
          <w:rFonts w:ascii="Arial" w:cs="Arial" w:eastAsia="Arial" w:hAnsi="Arial"/>
          <w:sz w:val="14"/>
          <w:szCs w:val="14"/>
          <w:color w:val="auto"/>
        </w:rPr>
      </w:pPr>
    </w:p>
    <w:p>
      <w:pPr>
        <w:ind w:right="20" w:firstLine="569"/>
        <w:spacing w:after="0" w:line="275" w:lineRule="auto"/>
        <w:tabs>
          <w:tab w:leader="none" w:pos="81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for taxes, assessments or other governmental charges not yet subject to penalties for non-payment or that are being contested in good faith by appropriate proceedings, provided appropriate reserves required pursuant to GAAP have been made in respect thereof;</w:t>
      </w:r>
    </w:p>
    <w:p>
      <w:pPr>
        <w:spacing w:after="0" w:line="151" w:lineRule="exact"/>
        <w:rPr>
          <w:rFonts w:ascii="Arial" w:cs="Arial" w:eastAsia="Arial" w:hAnsi="Arial"/>
          <w:sz w:val="16"/>
          <w:szCs w:val="16"/>
          <w:color w:val="auto"/>
        </w:rPr>
      </w:pPr>
    </w:p>
    <w:p>
      <w:pPr>
        <w:ind w:right="20" w:firstLine="569"/>
        <w:spacing w:after="0" w:line="309" w:lineRule="auto"/>
        <w:tabs>
          <w:tab w:leader="none" w:pos="804" w:val="left"/>
        </w:tabs>
        <w:numPr>
          <w:ilvl w:val="0"/>
          <w:numId w:val="117"/>
        </w:numPr>
        <w:rPr>
          <w:rFonts w:ascii="Arial" w:cs="Arial" w:eastAsia="Arial" w:hAnsi="Arial"/>
          <w:sz w:val="15"/>
          <w:szCs w:val="15"/>
          <w:color w:val="auto"/>
        </w:rPr>
      </w:pPr>
      <w:r>
        <w:rPr>
          <w:rFonts w:ascii="Arial" w:cs="Arial" w:eastAsia="Arial" w:hAnsi="Arial"/>
          <w:sz w:val="15"/>
          <w:szCs w:val="15"/>
          <w:color w:val="auto"/>
        </w:rPr>
        <w:t>Liens in favor of issuers of surety or performance bonds or letters of credit or bankers’ acceptances or similar obligations issued pursuant to the request of and for the account of such Person in the ordinary course of its business; provided, however, that such letters of credit do not constitute Indebtedness;</w:t>
      </w:r>
    </w:p>
    <w:p>
      <w:pPr>
        <w:spacing w:after="0" w:line="129" w:lineRule="exact"/>
        <w:rPr>
          <w:rFonts w:ascii="Arial" w:cs="Arial" w:eastAsia="Arial" w:hAnsi="Arial"/>
          <w:sz w:val="15"/>
          <w:szCs w:val="15"/>
          <w:color w:val="auto"/>
        </w:rPr>
      </w:pPr>
    </w:p>
    <w:p>
      <w:pPr>
        <w:jc w:val="both"/>
        <w:ind w:right="20" w:firstLine="569"/>
        <w:spacing w:after="0" w:line="262" w:lineRule="auto"/>
        <w:tabs>
          <w:tab w:leader="none" w:pos="81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pledges, deposits or Liens in connection with workers’ compensation, professional liability insurance, insurance programs, unemployment insurance and other social security and other similar legislation or other insurance-related obligations (including, without limitation, pledges or deposits securing liability to insurance carriers under insurance or self-insurance arrangements);</w:t>
      </w:r>
    </w:p>
    <w:p>
      <w:pPr>
        <w:spacing w:after="0" w:line="162" w:lineRule="exact"/>
        <w:rPr>
          <w:rFonts w:ascii="Arial" w:cs="Arial" w:eastAsia="Arial" w:hAnsi="Arial"/>
          <w:sz w:val="16"/>
          <w:szCs w:val="16"/>
          <w:color w:val="auto"/>
        </w:rPr>
      </w:pPr>
    </w:p>
    <w:p>
      <w:pPr>
        <w:ind w:right="20" w:firstLine="569"/>
        <w:spacing w:after="0" w:line="275" w:lineRule="auto"/>
        <w:tabs>
          <w:tab w:leader="none" w:pos="80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existing on the Issue Date (other than Liens permitted under clauses (1) and (2)) and replacement Liens that do not encumber additional assets, unless such encumbrance is otherwise permitted;</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securing Indebtedness or other obligations of a Subsidiary of the Company owing to the Company or another Subsidiary of the Company; and</w:t>
      </w:r>
    </w:p>
    <w:p>
      <w:pPr>
        <w:spacing w:after="0" w:line="198" w:lineRule="exact"/>
        <w:rPr>
          <w:rFonts w:ascii="Arial" w:cs="Arial" w:eastAsia="Arial" w:hAnsi="Arial"/>
          <w:sz w:val="16"/>
          <w:szCs w:val="16"/>
          <w:color w:val="auto"/>
        </w:rPr>
      </w:pPr>
    </w:p>
    <w:p>
      <w:pPr>
        <w:jc w:val="both"/>
        <w:ind w:firstLine="569"/>
        <w:spacing w:after="0" w:line="262" w:lineRule="auto"/>
        <w:tabs>
          <w:tab w:leader="none" w:pos="8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existing on property or assets of a Person at the time such Person becomes a Subsidiary of the Company (or at the time the Company or a Subsidiary acquires such property or assets); provided, however, that such Liens and arrangements are not created in connection with, or in contemplation of, such other Person becoming such a Subsidiary (or such acquisition of such property or assets).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Physical Settlement</w:t>
      </w:r>
      <w:r>
        <w:rPr>
          <w:rFonts w:ascii="Arial" w:cs="Arial" w:eastAsia="Arial" w:hAnsi="Arial"/>
          <w:sz w:val="16"/>
          <w:szCs w:val="16"/>
          <w:color w:val="auto"/>
        </w:rPr>
        <w:t>” shall have the meaning specified in Section 14.02(a)(i).</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PIK Election</w:t>
      </w:r>
      <w:r>
        <w:rPr>
          <w:rFonts w:ascii="Arial" w:cs="Arial" w:eastAsia="Arial" w:hAnsi="Arial"/>
          <w:sz w:val="16"/>
          <w:szCs w:val="16"/>
          <w:color w:val="auto"/>
        </w:rPr>
        <w:t>” shall have the meaning specified in Section 4.01.</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PIK Interest</w:t>
      </w:r>
      <w:r>
        <w:rPr>
          <w:rFonts w:ascii="Arial" w:cs="Arial" w:eastAsia="Arial" w:hAnsi="Arial"/>
          <w:sz w:val="16"/>
          <w:szCs w:val="16"/>
          <w:color w:val="auto"/>
        </w:rPr>
        <w:t>” means the portion of an installment of interest due on an Interest Payment Date after a PIK Election as applicable in respect of Notes that is payable in PIK Notes or by increasing the outstanding principal amount of the Notes, in each case as provided in the Notes.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PIK Notes</w:t>
      </w:r>
      <w:r>
        <w:rPr>
          <w:rFonts w:ascii="Arial" w:cs="Arial" w:eastAsia="Arial" w:hAnsi="Arial"/>
          <w:sz w:val="16"/>
          <w:szCs w:val="16"/>
          <w:color w:val="auto"/>
        </w:rPr>
        <w:t>” shall have the meaning specified in Section 2.02.</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PIK Payment</w:t>
      </w:r>
      <w:r>
        <w:rPr>
          <w:rFonts w:ascii="Arial" w:cs="Arial" w:eastAsia="Arial" w:hAnsi="Arial"/>
          <w:sz w:val="16"/>
          <w:szCs w:val="16"/>
          <w:color w:val="auto"/>
        </w:rPr>
        <w:t>” shall have the meaning specified in Section 2.02.</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Physical Notes</w:t>
      </w:r>
      <w:r>
        <w:rPr>
          <w:rFonts w:ascii="Arial" w:cs="Arial" w:eastAsia="Arial" w:hAnsi="Arial"/>
          <w:sz w:val="15"/>
          <w:szCs w:val="15"/>
          <w:color w:val="auto"/>
        </w:rPr>
        <w:t>” means permanent certificated Notes in registered form issued in denominations of $1,000 principal amount and integral multiples thereof.</w:t>
      </w:r>
    </w:p>
    <w:p>
      <w:pPr>
        <w:spacing w:after="0" w:line="210"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Predecessor Note</w:t>
      </w:r>
      <w:r>
        <w:rPr>
          <w:rFonts w:ascii="Arial" w:cs="Arial" w:eastAsia="Arial" w:hAnsi="Arial"/>
          <w:sz w:val="16"/>
          <w:szCs w:val="16"/>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4" w:name="page125"/>
    <w:bookmarkEnd w:id="124"/>
    <w:p>
      <w:pPr>
        <w:jc w:val="both"/>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of any Person means any Capital Stock of such Person that has preferential rights to any other Capital Stock of such Person with respect to dividends or redemptions or upon liquidation.</w:t>
      </w:r>
    </w:p>
    <w:p>
      <w:pPr>
        <w:spacing w:after="0" w:line="144" w:lineRule="exact"/>
        <w:rPr>
          <w:sz w:val="20"/>
          <w:szCs w:val="20"/>
          <w:color w:val="auto"/>
        </w:rPr>
      </w:pPr>
    </w:p>
    <w:p>
      <w:pPr>
        <w:jc w:val="both"/>
        <w:ind w:right="20" w:firstLine="574"/>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Record Date</w:t>
      </w:r>
      <w:r>
        <w:rPr>
          <w:rFonts w:ascii="Arial" w:cs="Arial" w:eastAsia="Arial" w:hAnsi="Arial"/>
          <w:sz w:val="15"/>
          <w:szCs w:val="15"/>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time and date fixed for determination of holders of the Common Stock (or such other security) entitled to receive such cash, securities or other property (whether such date is fixed by the Company in good faith, by statute, by contract or otherwise).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Date</w:t>
      </w:r>
      <w:r>
        <w:rPr>
          <w:rFonts w:ascii="Arial" w:cs="Arial" w:eastAsia="Arial" w:hAnsi="Arial"/>
          <w:sz w:val="16"/>
          <w:szCs w:val="16"/>
          <w:color w:val="auto"/>
        </w:rPr>
        <w:t>” shall have the meaning specified in Section 16.02(a).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Notice Date</w:t>
      </w:r>
      <w:r>
        <w:rPr>
          <w:rFonts w:ascii="Arial" w:cs="Arial" w:eastAsia="Arial" w:hAnsi="Arial"/>
          <w:sz w:val="16"/>
          <w:szCs w:val="16"/>
          <w:color w:val="auto"/>
        </w:rPr>
        <w:t>” means the date on which the Company provides the Notice of Redemption in accordance with Section 16.02.</w:t>
      </w:r>
    </w:p>
    <w:p>
      <w:pPr>
        <w:spacing w:after="0" w:line="198" w:lineRule="exact"/>
        <w:rPr>
          <w:sz w:val="20"/>
          <w:szCs w:val="20"/>
          <w:color w:val="auto"/>
        </w:rPr>
      </w:pPr>
    </w:p>
    <w:p>
      <w:pPr>
        <w:jc w:val="both"/>
        <w:ind w:right="20" w:firstLine="574"/>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Redemption Period</w:t>
      </w:r>
      <w:r>
        <w:rPr>
          <w:rFonts w:ascii="Arial" w:cs="Arial" w:eastAsia="Arial" w:hAnsi="Arial"/>
          <w:sz w:val="15"/>
          <w:szCs w:val="15"/>
          <w:color w:val="auto"/>
        </w:rPr>
        <w:t>” means, with respect to any Optional Redemption of Notes pursuant to Article 16, the period from, and including, the Redemption Notice Date for such Optional Redemption to, and including, the close of business on the second Scheduled Trading Day immediately preceding the Redemption Date.</w:t>
      </w:r>
    </w:p>
    <w:p>
      <w:pPr>
        <w:spacing w:after="0" w:line="121"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means, for any Notes to be redeemed pursuant to Section 16.01, 100% of the principal amount of such Notes,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if any, to, but excluding, the Redemption Date (unless the Redemption Date falls after a Regular Record Date but on or prior to the immediately succeeding Interest Payment Date, in which case the Company will pay, on or, at the Company’s election, before such Interest Payment Date, the full amount of accrued and unpaid interest to the Holders of record of such Notes as of the close of business on such Regular Record Date, and the Redemption Price will be equal to 100% of the principal amount of such Notes to be redeemed)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Premium.</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Property</w:t>
      </w:r>
      <w:r>
        <w:rPr>
          <w:rFonts w:ascii="Arial" w:cs="Arial" w:eastAsia="Arial" w:hAnsi="Arial"/>
          <w:sz w:val="16"/>
          <w:szCs w:val="16"/>
          <w:color w:val="auto"/>
        </w:rPr>
        <w:t>” shall have the meaning specified in Section 14.07(a).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Indebtedness</w:t>
      </w:r>
      <w:r>
        <w:rPr>
          <w:rFonts w:ascii="Arial" w:cs="Arial" w:eastAsia="Arial" w:hAnsi="Arial"/>
          <w:sz w:val="16"/>
          <w:szCs w:val="16"/>
          <w:color w:val="auto"/>
        </w:rPr>
        <w:t>” shall have the meaning specified in Section 4.11(b)(10).</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means the Amended and Restated Registration Rights Agreement dated [●], 2022, by and among the Company, Ventoux CCM Acquisition Corp., Ventoux Acquisition Holdings LLC, Chardan International Investments, LLC, [***], and the other parties thereto.</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shall have the meaning specified in the Subscription Agreement.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Regular Record Date</w:t>
      </w:r>
      <w:r>
        <w:rPr>
          <w:rFonts w:ascii="Arial" w:cs="Arial" w:eastAsia="Arial" w:hAnsi="Arial"/>
          <w:sz w:val="16"/>
          <w:szCs w:val="16"/>
          <w:color w:val="auto"/>
        </w:rPr>
        <w:t>,” with respect to any Interest Payment Date, means the June 1 or December 1 (whether or not such day is a Business Day), as the case may be, immediately preceding the applicable June 15 or December 15 Interest Payment Date, respectively.</w:t>
      </w:r>
    </w:p>
    <w:p>
      <w:pPr>
        <w:spacing w:after="0" w:line="144" w:lineRule="exact"/>
        <w:rPr>
          <w:sz w:val="20"/>
          <w:szCs w:val="20"/>
          <w:color w:val="auto"/>
        </w:rPr>
      </w:pPr>
    </w:p>
    <w:p>
      <w:pPr>
        <w:jc w:val="both"/>
        <w:ind w:right="20" w:firstLine="574"/>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Reorganization Merger Event</w:t>
      </w:r>
      <w:r>
        <w:rPr>
          <w:rFonts w:ascii="Arial" w:cs="Arial" w:eastAsia="Arial" w:hAnsi="Arial"/>
          <w:sz w:val="15"/>
          <w:szCs w:val="15"/>
          <w:color w:val="auto"/>
        </w:rPr>
        <w:t>” means a Merger Event that is solely for the purpose of changing the jurisdiction of organization of the Company that (x) does not constitute a Fundamental Change or a Make-Whole Fundamental Change and (y) results in a reclassification, conversion or exchange of outstanding shares of Common Stock solely into shares of common stock of the surviving entity and such common stock becomes Reference Property for the notes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25" w:name="page126"/>
    <w:bookmarkEnd w:id="125"/>
    <w:p>
      <w:pPr>
        <w:jc w:val="both"/>
        <w:ind w:right="20" w:firstLine="574"/>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w:t>
      </w:r>
      <w:r>
        <w:rPr>
          <w:rFonts w:ascii="Arial" w:cs="Arial" w:eastAsia="Arial" w:hAnsi="Arial"/>
          <w:sz w:val="15"/>
          <w:szCs w:val="15"/>
          <w:color w:val="auto"/>
        </w:rPr>
        <w:t>” means, when used with respect to the Trustee, any officer within the Corporate Trust Office of the Trustee, including any senior vice president, vice president, assistant vice president, any trust officer or assistant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Investment</w:t>
      </w:r>
      <w:r>
        <w:rPr>
          <w:rFonts w:ascii="Arial" w:cs="Arial" w:eastAsia="Arial" w:hAnsi="Arial"/>
          <w:sz w:val="16"/>
          <w:szCs w:val="16"/>
          <w:color w:val="auto"/>
        </w:rPr>
        <w:t>” means any Investment other than a Permitted Investment.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shall have the meaning specified in Section 2.05(c).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Restrictive Notes Legend</w:t>
      </w:r>
      <w:r>
        <w:rPr>
          <w:rFonts w:ascii="Arial" w:cs="Arial" w:eastAsia="Arial" w:hAnsi="Arial"/>
          <w:sz w:val="16"/>
          <w:szCs w:val="16"/>
          <w:color w:val="auto"/>
        </w:rPr>
        <w:t>” shall have the meaning specified in Section 2.05(c).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144</w:t>
      </w:r>
      <w:r>
        <w:rPr>
          <w:rFonts w:ascii="Arial" w:cs="Arial" w:eastAsia="Arial" w:hAnsi="Arial"/>
          <w:sz w:val="16"/>
          <w:szCs w:val="16"/>
          <w:color w:val="auto"/>
        </w:rPr>
        <w:t>” means Rule 144 as promulgated under the Securities Act.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144A</w:t>
      </w:r>
      <w:r>
        <w:rPr>
          <w:rFonts w:ascii="Arial" w:cs="Arial" w:eastAsia="Arial" w:hAnsi="Arial"/>
          <w:sz w:val="16"/>
          <w:szCs w:val="16"/>
          <w:color w:val="auto"/>
        </w:rPr>
        <w:t>” means Rule 144A as promulgated under the Securities Act.</w:t>
      </w:r>
    </w:p>
    <w:p>
      <w:pPr>
        <w:spacing w:after="0" w:line="198" w:lineRule="exact"/>
        <w:rPr>
          <w:sz w:val="20"/>
          <w:szCs w:val="20"/>
          <w:color w:val="auto"/>
        </w:rPr>
      </w:pPr>
    </w:p>
    <w:p>
      <w:pPr>
        <w:jc w:val="both"/>
        <w:ind w:right="20" w:firstLine="574"/>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Scheduled Trading Day</w:t>
      </w:r>
      <w:r>
        <w:rPr>
          <w:rFonts w:ascii="Arial" w:cs="Arial" w:eastAsia="Arial" w:hAnsi="Arial"/>
          <w:sz w:val="15"/>
          <w:szCs w:val="15"/>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Arial" w:cs="Arial" w:eastAsia="Arial" w:hAnsi="Arial"/>
          <w:sz w:val="15"/>
          <w:szCs w:val="15"/>
          <w:b w:val="1"/>
          <w:bCs w:val="1"/>
          <w:color w:val="auto"/>
        </w:rPr>
        <w:t>Scheduled Trading Day</w:t>
      </w:r>
      <w:r>
        <w:rPr>
          <w:rFonts w:ascii="Arial" w:cs="Arial" w:eastAsia="Arial" w:hAnsi="Arial"/>
          <w:sz w:val="15"/>
          <w:szCs w:val="15"/>
          <w:color w:val="auto"/>
        </w:rPr>
        <w:t>” means a Business Day.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Amount</w:t>
      </w:r>
      <w:r>
        <w:rPr>
          <w:rFonts w:ascii="Arial" w:cs="Arial" w:eastAsia="Arial" w:hAnsi="Arial"/>
          <w:sz w:val="16"/>
          <w:szCs w:val="16"/>
          <w:color w:val="auto"/>
        </w:rPr>
        <w:t>” shall have the meaning specified in Section 14.02(a)(iv).</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Method</w:t>
      </w:r>
      <w:r>
        <w:rPr>
          <w:rFonts w:ascii="Arial" w:cs="Arial" w:eastAsia="Arial" w:hAnsi="Arial"/>
          <w:sz w:val="16"/>
          <w:szCs w:val="16"/>
          <w:color w:val="auto"/>
        </w:rPr>
        <w:t>” means, with respect to any conversion of Notes, Physical Settlement, Cash Settlement or Combination Settlement, as elected (or deemed to have been elected) by the Company.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Method Election Date</w:t>
      </w:r>
      <w:r>
        <w:rPr>
          <w:rFonts w:ascii="Arial" w:cs="Arial" w:eastAsia="Arial" w:hAnsi="Arial"/>
          <w:sz w:val="16"/>
          <w:szCs w:val="16"/>
          <w:color w:val="auto"/>
        </w:rPr>
        <w:t>” shall have the meaning specified in Section 14.02(a)(iii).</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Notice</w:t>
      </w:r>
      <w:r>
        <w:rPr>
          <w:rFonts w:ascii="Arial" w:cs="Arial" w:eastAsia="Arial" w:hAnsi="Arial"/>
          <w:sz w:val="16"/>
          <w:szCs w:val="16"/>
          <w:color w:val="auto"/>
        </w:rPr>
        <w:t>” shall have the meaning specified in Section 14.02(a)(iii).</w:t>
      </w:r>
    </w:p>
    <w:p>
      <w:pPr>
        <w:spacing w:after="0" w:line="198" w:lineRule="exact"/>
        <w:rPr>
          <w:sz w:val="20"/>
          <w:szCs w:val="20"/>
          <w:color w:val="auto"/>
        </w:rPr>
      </w:pPr>
    </w:p>
    <w:p>
      <w:pPr>
        <w:jc w:val="both"/>
        <w:ind w:firstLine="574"/>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Significant Subsidiary</w:t>
      </w:r>
      <w:r>
        <w:rPr>
          <w:rFonts w:ascii="Arial" w:cs="Arial" w:eastAsia="Arial" w:hAnsi="Arial"/>
          <w:sz w:val="14"/>
          <w:szCs w:val="14"/>
          <w:color w:val="auto"/>
        </w:rPr>
        <w:t xml:space="preserve">” means a Subsidiary of the Company that meets the definition of “significant subsidiary” in Rule 1-02(w) of Regulation S-X under the Exchange Act;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a Subsidiary that meets the criteria of clause (1)(iii) of the definition thereof but not clause (1)(i) or (1)(ii) thereof, in each case, as such rule is in effect on the date hereof, such Subsidiary shall be deemed not to be a Significant Subsidiary unless the Subsidiary’s income (or loss) from continuing operations before income taxes exclusive of amounts attributable to any non-controlling interests for the last completed fiscal year prior to the date of such determination exceeds $1,000,000. For the avoidance of doubt, to the extent any such Subsidiary would not be deemed to be a “significant subsidiary” under the relevant definition set forth in Article 1, Rule 1-02 of Regulation S-X (or any successor rule) as in effect on the relevant date of determination, such Subsidiary shall not be deemed to be a “significant subsidiary” under this Indenture irrespective of whether such Subsidiary would otherwise be deemed to be a “significant subsidiary” pursuant to the immediately preceding sentence.</w:t>
      </w:r>
    </w:p>
    <w:p>
      <w:pPr>
        <w:spacing w:after="0" w:line="140"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Dollar Amount</w:t>
      </w:r>
      <w:r>
        <w:rPr>
          <w:rFonts w:ascii="Arial" w:cs="Arial" w:eastAsia="Arial" w:hAnsi="Arial"/>
          <w:sz w:val="16"/>
          <w:szCs w:val="16"/>
          <w:color w:val="auto"/>
        </w:rPr>
        <w:t>” means the maximum cash amount per $1,000 principal amount of Notes to be received upon conversion as specified in the Settlement Notice (or deemed specified as provided in Section 14.02(a)(iii)) related to any converted Notes.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Spin-Off</w:t>
      </w:r>
      <w:r>
        <w:rPr>
          <w:rFonts w:ascii="Arial" w:cs="Arial" w:eastAsia="Arial" w:hAnsi="Arial"/>
          <w:sz w:val="16"/>
          <w:szCs w:val="16"/>
          <w:color w:val="auto"/>
        </w:rPr>
        <w:t>” shall have the meaning specified in Section 14.05(c).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26" w:name="page127"/>
    <w:bookmarkEnd w:id="126"/>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Price</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Subscription Agreement</w:t>
      </w:r>
      <w:r>
        <w:rPr>
          <w:rFonts w:ascii="Arial" w:cs="Arial" w:eastAsia="Arial" w:hAnsi="Arial"/>
          <w:sz w:val="15"/>
          <w:szCs w:val="15"/>
          <w:color w:val="auto"/>
        </w:rPr>
        <w:t>” means, collectively, the Subscription Agreements dated as of [●], each between the Company and the Subscriber defined therein.</w:t>
      </w:r>
    </w:p>
    <w:p>
      <w:pPr>
        <w:spacing w:after="0" w:line="210" w:lineRule="exact"/>
        <w:rPr>
          <w:sz w:val="20"/>
          <w:szCs w:val="20"/>
          <w:color w:val="auto"/>
        </w:rPr>
      </w:pPr>
    </w:p>
    <w:p>
      <w:pPr>
        <w:jc w:val="both"/>
        <w:ind w:left="4" w:right="20"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Company</w:t>
      </w:r>
      <w:r>
        <w:rPr>
          <w:rFonts w:ascii="Arial" w:cs="Arial" w:eastAsia="Arial" w:hAnsi="Arial"/>
          <w:sz w:val="16"/>
          <w:szCs w:val="16"/>
          <w:color w:val="auto"/>
        </w:rPr>
        <w:t>” shall have the meaning specified in Section 11.01(a).</w:t>
      </w:r>
    </w:p>
    <w:p>
      <w:pPr>
        <w:spacing w:after="0" w:line="198" w:lineRule="exact"/>
        <w:rPr>
          <w:sz w:val="20"/>
          <w:szCs w:val="20"/>
          <w:color w:val="auto"/>
        </w:rPr>
      </w:pPr>
    </w:p>
    <w:p>
      <w:pPr>
        <w:jc w:val="both"/>
        <w:ind w:left="4" w:right="20" w:firstLine="574"/>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Trading Day</w:t>
      </w:r>
      <w:r>
        <w:rPr>
          <w:rFonts w:ascii="Arial" w:cs="Arial" w:eastAsia="Arial" w:hAnsi="Arial"/>
          <w:sz w:val="15"/>
          <w:szCs w:val="15"/>
          <w:color w:val="auto"/>
        </w:rPr>
        <w:t xml:space="preserve">” means, except for determining amounts due upon conversion as set forth below, a day on which (i) trading in the Common Stock (or other security for which a closing sale price must be determined) generally occurs on The Nasdaq Stock Market or, if the Common Stock (or such other security) is not then listed on The Nasdaq Stock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(including an over-the-counter market) on which the Common Stock (or such other security) is then traded and (ii) a Last Reported Sale Price for the Common Stock (or closing sale price for such other security) is available on such securities exchange or market;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Common Stock (or such other security) is not so listed or traded, “</w:t>
      </w:r>
      <w:r>
        <w:rPr>
          <w:rFonts w:ascii="Arial" w:cs="Arial" w:eastAsia="Arial" w:hAnsi="Arial"/>
          <w:sz w:val="15"/>
          <w:szCs w:val="15"/>
          <w:b w:val="1"/>
          <w:bCs w:val="1"/>
          <w:color w:val="auto"/>
        </w:rPr>
        <w:t>Trading Day</w:t>
      </w:r>
      <w:r>
        <w:rPr>
          <w:rFonts w:ascii="Arial" w:cs="Arial" w:eastAsia="Arial" w:hAnsi="Arial"/>
          <w:sz w:val="15"/>
          <w:szCs w:val="15"/>
          <w:color w:val="auto"/>
        </w:rPr>
        <w:t xml:space="preserve">” means a Business Day;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further </w:t>
      </w:r>
      <w:r>
        <w:rPr>
          <w:rFonts w:ascii="Arial" w:cs="Arial" w:eastAsia="Arial" w:hAnsi="Arial"/>
          <w:sz w:val="15"/>
          <w:szCs w:val="15"/>
          <w:color w:val="auto"/>
        </w:rPr>
        <w:t>that, for purposes of determining amounts due upon conversion only, “</w:t>
      </w:r>
      <w:r>
        <w:rPr>
          <w:rFonts w:ascii="Arial" w:cs="Arial" w:eastAsia="Arial" w:hAnsi="Arial"/>
          <w:sz w:val="15"/>
          <w:szCs w:val="15"/>
          <w:b w:val="1"/>
          <w:bCs w:val="1"/>
          <w:color w:val="auto"/>
        </w:rPr>
        <w:t>Trading Day</w:t>
      </w:r>
      <w:r>
        <w:rPr>
          <w:rFonts w:ascii="Arial" w:cs="Arial" w:eastAsia="Arial" w:hAnsi="Arial"/>
          <w:sz w:val="15"/>
          <w:szCs w:val="15"/>
          <w:color w:val="auto"/>
        </w:rPr>
        <w:t>” means a day on which (x) there is no Market Disruption Event and (y) trading in</w:t>
      </w:r>
      <w:r>
        <w:rPr>
          <w:rFonts w:ascii="Arial" w:cs="Arial" w:eastAsia="Arial" w:hAnsi="Arial"/>
          <w:sz w:val="15"/>
          <w:szCs w:val="15"/>
          <w:i w:val="1"/>
          <w:iCs w:val="1"/>
          <w:color w:val="auto"/>
        </w:rPr>
        <w:t xml:space="preserve"> </w:t>
      </w:r>
      <w:r>
        <w:rPr>
          <w:rFonts w:ascii="Arial" w:cs="Arial" w:eastAsia="Arial" w:hAnsi="Arial"/>
          <w:sz w:val="15"/>
          <w:szCs w:val="15"/>
          <w:color w:val="auto"/>
        </w:rPr>
        <w:t>the Common Stock generally occurs on The Nasdaq Stock Market or, if the Common Stock is not then listed on The Nasdaq Stock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Arial" w:cs="Arial" w:eastAsia="Arial" w:hAnsi="Arial"/>
          <w:sz w:val="15"/>
          <w:szCs w:val="15"/>
          <w:b w:val="1"/>
          <w:bCs w:val="1"/>
          <w:color w:val="auto"/>
        </w:rPr>
        <w:t>Trading</w:t>
      </w:r>
      <w:r>
        <w:rPr>
          <w:rFonts w:ascii="Arial" w:cs="Arial" w:eastAsia="Arial" w:hAnsi="Arial"/>
          <w:sz w:val="15"/>
          <w:szCs w:val="15"/>
          <w:color w:val="auto"/>
        </w:rPr>
        <w:t xml:space="preserve"> </w:t>
      </w:r>
      <w:r>
        <w:rPr>
          <w:rFonts w:ascii="Arial" w:cs="Arial" w:eastAsia="Arial" w:hAnsi="Arial"/>
          <w:sz w:val="15"/>
          <w:szCs w:val="15"/>
          <w:b w:val="1"/>
          <w:bCs w:val="1"/>
          <w:color w:val="auto"/>
        </w:rPr>
        <w:t>Day</w:t>
      </w:r>
      <w:r>
        <w:rPr>
          <w:rFonts w:ascii="Arial" w:cs="Arial" w:eastAsia="Arial" w:hAnsi="Arial"/>
          <w:sz w:val="15"/>
          <w:szCs w:val="15"/>
          <w:color w:val="auto"/>
        </w:rPr>
        <w:t>” means a Business Day.</w:t>
      </w:r>
    </w:p>
    <w:p>
      <w:pPr>
        <w:spacing w:after="0" w:line="160" w:lineRule="exact"/>
        <w:rPr>
          <w:sz w:val="20"/>
          <w:szCs w:val="20"/>
          <w:color w:val="auto"/>
        </w:rPr>
      </w:pPr>
    </w:p>
    <w:p>
      <w:pPr>
        <w:jc w:val="both"/>
        <w:ind w:left="4" w:right="20"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of the Notes on any date of determination means the average of the secondary market bid quotations obtained for $2,000,000 principal amount of Notes at approximately 3:30 p.m., New York City time, on such determination date from three independent nationally recognized securities dealers the Company selects for this purpose;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but two such bids are obtained, then the average of the two bids shall be used, and if only one such bid can reasonably be obtained, that one bid shall be used.</w:t>
      </w:r>
    </w:p>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Document</w:t>
      </w:r>
      <w:r>
        <w:rPr>
          <w:rFonts w:ascii="Arial" w:cs="Arial" w:eastAsia="Arial" w:hAnsi="Arial"/>
          <w:sz w:val="16"/>
          <w:szCs w:val="16"/>
          <w:color w:val="auto"/>
        </w:rPr>
        <w:t>” means any Subscription Agreement, this Indenture and the Notes.</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shall have the meaning specified in Section 2.05(c).</w:t>
      </w:r>
    </w:p>
    <w:p>
      <w:pPr>
        <w:spacing w:after="0" w:line="198" w:lineRule="exact"/>
        <w:rPr>
          <w:sz w:val="20"/>
          <w:szCs w:val="20"/>
          <w:color w:val="auto"/>
        </w:rPr>
      </w:pPr>
    </w:p>
    <w:p>
      <w:pPr>
        <w:jc w:val="both"/>
        <w:ind w:left="4" w:right="20" w:firstLine="574"/>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Treasury Rate</w:t>
      </w:r>
      <w:r>
        <w:rPr>
          <w:rFonts w:ascii="Arial" w:cs="Arial" w:eastAsia="Arial" w:hAnsi="Arial"/>
          <w:sz w:val="14"/>
          <w:szCs w:val="14"/>
          <w:color w:val="auto"/>
        </w:rPr>
        <w:t>” means, at any redemption date, the yield to maturity as of such redemption date of constant maturity United States Treasury securities (as compiled and published in the most recent Federal Reserve Statistical Release H. 15 (519) that has become publicly available at least two Business Days prior to such redemption date (or, if such statistical release is no longer published, any publicly available source of similar market data)) most nearly equal to the period from such redemption date to [●],</w:t>
      </w:r>
    </w:p>
    <w:p>
      <w:pPr>
        <w:spacing w:after="0" w:line="1" w:lineRule="exact"/>
        <w:rPr>
          <w:sz w:val="20"/>
          <w:szCs w:val="20"/>
          <w:color w:val="auto"/>
        </w:rPr>
      </w:pPr>
    </w:p>
    <w:p>
      <w:pPr>
        <w:jc w:val="both"/>
        <w:ind w:left="4"/>
        <w:spacing w:after="0" w:line="238" w:lineRule="auto"/>
        <w:rPr>
          <w:sz w:val="20"/>
          <w:szCs w:val="20"/>
          <w:color w:val="auto"/>
        </w:rPr>
      </w:pPr>
      <w:r>
        <w:rPr>
          <w:rFonts w:ascii="Arial" w:cs="Arial" w:eastAsia="Arial" w:hAnsi="Arial"/>
          <w:sz w:val="15"/>
          <w:szCs w:val="15"/>
          <w:color w:val="auto"/>
        </w:rPr>
        <w:t>2025</w:t>
      </w:r>
      <w:r>
        <w:rPr>
          <w:rFonts w:ascii="Arial" w:cs="Arial" w:eastAsia="Arial" w:hAnsi="Arial"/>
          <w:sz w:val="25"/>
          <w:szCs w:val="25"/>
          <w:color w:val="auto"/>
          <w:vertAlign w:val="superscript"/>
        </w:rPr>
        <w:t>11</w:t>
      </w:r>
      <w:r>
        <w:rPr>
          <w:rFonts w:ascii="Arial" w:cs="Arial" w:eastAsia="Arial" w:hAnsi="Arial"/>
          <w:sz w:val="15"/>
          <w:szCs w:val="15"/>
          <w:color w:val="auto"/>
        </w:rPr>
        <w:t xml:space="preserve"> (or, in the case of a redemption after such date, [●], 2025</w:t>
      </w:r>
      <w:r>
        <w:rPr>
          <w:rFonts w:ascii="Arial" w:cs="Arial" w:eastAsia="Arial" w:hAnsi="Arial"/>
          <w:sz w:val="25"/>
          <w:szCs w:val="25"/>
          <w:color w:val="auto"/>
          <w:vertAlign w:val="superscript"/>
        </w:rPr>
        <w:t>12</w:t>
      </w:r>
      <w:r>
        <w:rPr>
          <w:rFonts w:ascii="Arial" w:cs="Arial" w:eastAsia="Arial" w:hAnsi="Arial"/>
          <w:sz w:val="15"/>
          <w:szCs w:val="15"/>
          <w:color w:val="auto"/>
        </w:rPr>
        <w:t>; provided, however, that if no published maturity exactly corresponds with such date, then the Treasury Rate shall be interpolated or extrapolated on a straight-line basis from the arithmetic mean of the yields for the next shortest and next longest published maturities; provided further, however, that if the period from such redemption date to [●], 2025 (or, in the case of a redemption after such date, [●], 2025, is less than one year, the weekly average yield on actually traded United States Treasury securities adjusted to a constant maturity of one year will be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9070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90" w:lineRule="exact"/>
        <w:rPr>
          <w:sz w:val="20"/>
          <w:szCs w:val="20"/>
          <w:color w:val="auto"/>
        </w:rPr>
      </w:pPr>
    </w:p>
    <w:p>
      <w:pPr>
        <w:ind w:left="284" w:hanging="284"/>
        <w:spacing w:after="0"/>
        <w:tabs>
          <w:tab w:leader="none" w:pos="284" w:val="left"/>
        </w:tabs>
        <w:numPr>
          <w:ilvl w:val="0"/>
          <w:numId w:val="118"/>
        </w:numPr>
        <w:rPr>
          <w:rFonts w:ascii="Arial" w:cs="Arial" w:eastAsia="Arial" w:hAnsi="Arial"/>
          <w:sz w:val="27"/>
          <w:szCs w:val="27"/>
          <w:color w:val="auto"/>
          <w:vertAlign w:val="superscript"/>
        </w:rPr>
      </w:pPr>
      <w:r>
        <w:rPr>
          <w:rFonts w:ascii="Arial" w:cs="Arial" w:eastAsia="Arial" w:hAnsi="Arial"/>
          <w:sz w:val="16"/>
          <w:szCs w:val="16"/>
          <w:color w:val="auto"/>
        </w:rPr>
        <w:t>NTD: Insert date that is the day before the third anniversary of issuance.</w:t>
      </w:r>
    </w:p>
    <w:p>
      <w:pPr>
        <w:spacing w:after="0" w:line="1" w:lineRule="exact"/>
        <w:rPr>
          <w:rFonts w:ascii="Arial" w:cs="Arial" w:eastAsia="Arial" w:hAnsi="Arial"/>
          <w:sz w:val="27"/>
          <w:szCs w:val="27"/>
          <w:color w:val="auto"/>
          <w:vertAlign w:val="superscript"/>
        </w:rPr>
      </w:pPr>
    </w:p>
    <w:p>
      <w:pPr>
        <w:ind w:left="284" w:hanging="284"/>
        <w:spacing w:after="0" w:line="180" w:lineRule="auto"/>
        <w:tabs>
          <w:tab w:leader="none" w:pos="284" w:val="left"/>
        </w:tabs>
        <w:numPr>
          <w:ilvl w:val="0"/>
          <w:numId w:val="118"/>
        </w:numPr>
        <w:rPr>
          <w:rFonts w:ascii="Arial" w:cs="Arial" w:eastAsia="Arial" w:hAnsi="Arial"/>
          <w:sz w:val="22"/>
          <w:szCs w:val="22"/>
          <w:color w:val="auto"/>
          <w:vertAlign w:val="superscript"/>
        </w:rPr>
      </w:pPr>
      <w:r>
        <w:rPr>
          <w:rFonts w:ascii="Arial" w:cs="Arial" w:eastAsia="Arial" w:hAnsi="Arial"/>
          <w:sz w:val="14"/>
          <w:szCs w:val="14"/>
          <w:color w:val="auto"/>
        </w:rPr>
        <w:t>NTD: Insert date that is third anniversary of issuance.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27" w:name="page128"/>
    <w:bookmarkEnd w:id="127"/>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Trigger Event</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Indenture Act</w:t>
      </w:r>
      <w:r>
        <w:rPr>
          <w:rFonts w:ascii="Arial" w:cs="Arial" w:eastAsia="Arial" w:hAnsi="Arial"/>
          <w:sz w:val="16"/>
          <w:szCs w:val="16"/>
          <w:color w:val="auto"/>
        </w:rPr>
        <w:t xml:space="preserve">” means the Trust Indenture Act of 1939, as amended, as it was in force at the date of execution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the Trust Indenture Act of 1939 is amended after the date hereof, the term “Trust Indenture Act” shall mean, to the extent required by such amendment, the Trust Indenture Act of 1939, as so amended.</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named as the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of this Indenture until a successor trustee shall have become such pursuant to the applicable provisions of this Indenture, and thereafter “</w:t>
      </w:r>
      <w:r>
        <w:rPr>
          <w:rFonts w:ascii="Arial" w:cs="Arial" w:eastAsia="Arial" w:hAnsi="Arial"/>
          <w:sz w:val="16"/>
          <w:szCs w:val="16"/>
          <w:b w:val="1"/>
          <w:bCs w:val="1"/>
          <w:color w:val="auto"/>
        </w:rPr>
        <w:t>Trustee</w:t>
      </w:r>
      <w:r>
        <w:rPr>
          <w:rFonts w:ascii="Arial" w:cs="Arial" w:eastAsia="Arial" w:hAnsi="Arial"/>
          <w:sz w:val="16"/>
          <w:szCs w:val="16"/>
          <w:color w:val="auto"/>
        </w:rPr>
        <w:t>” shall mean or include each Person who is then a Trustee hereunder.</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unit of Reference Property</w:t>
      </w:r>
      <w:r>
        <w:rPr>
          <w:rFonts w:ascii="Arial" w:cs="Arial" w:eastAsia="Arial" w:hAnsi="Arial"/>
          <w:sz w:val="16"/>
          <w:szCs w:val="16"/>
          <w:color w:val="auto"/>
        </w:rPr>
        <w:t>” shall have the meaning specified in Section 14.07(a).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Valuation Period</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Volume Failure</w:t>
      </w:r>
      <w:r>
        <w:rPr>
          <w:rFonts w:ascii="Arial" w:cs="Arial" w:eastAsia="Arial" w:hAnsi="Arial"/>
          <w:sz w:val="16"/>
          <w:szCs w:val="16"/>
          <w:color w:val="auto"/>
        </w:rPr>
        <w:t>” means, with respect to a particular date of determination, the average daily dollar trading volume (as reported on Bloomberg) of the Common Stock on the primary U.S. national or regional securities exchange or market on which the Common Stock is listed on any Trading Day during the 20 Trading Day period ending on the Trading Day immediately preceding such date of determination (such period, the “</w:t>
      </w:r>
      <w:r>
        <w:rPr>
          <w:rFonts w:ascii="Arial" w:cs="Arial" w:eastAsia="Arial" w:hAnsi="Arial"/>
          <w:sz w:val="16"/>
          <w:szCs w:val="16"/>
          <w:b w:val="1"/>
          <w:bCs w:val="1"/>
          <w:color w:val="auto"/>
        </w:rPr>
        <w:t>Volume Failure Measuring Period</w:t>
      </w:r>
      <w:r>
        <w:rPr>
          <w:rFonts w:ascii="Arial" w:cs="Arial" w:eastAsia="Arial" w:hAnsi="Arial"/>
          <w:sz w:val="16"/>
          <w:szCs w:val="16"/>
          <w:color w:val="auto"/>
        </w:rPr>
        <w:t>”), is less than $2,000,000 (as adjusted for any stock splits, stock dividends, stock combinations, recapitalizations or other similar transactions occurring after the effective date of the Subscription Agreement). All such determinations to be appropriately adjusted for any stock splits, stock dividends, stock combinations, recapitalizations or other similar transactions during such Volume Failure Measuring Period.</w:t>
      </w:r>
    </w:p>
    <w:p>
      <w:pPr>
        <w:spacing w:after="0" w:line="165" w:lineRule="exact"/>
        <w:rPr>
          <w:sz w:val="20"/>
          <w:szCs w:val="20"/>
          <w:color w:val="auto"/>
        </w:rPr>
      </w:pPr>
    </w:p>
    <w:p>
      <w:pPr>
        <w:jc w:val="both"/>
        <w:ind w:right="20"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Life to Maturity</w:t>
      </w:r>
      <w:r>
        <w:rPr>
          <w:rFonts w:ascii="Arial" w:cs="Arial" w:eastAsia="Arial" w:hAnsi="Arial"/>
          <w:sz w:val="16"/>
          <w:szCs w:val="16"/>
          <w:color w:val="auto"/>
        </w:rPr>
        <w:t>” means, when applied to any Indebtedness at any date, the number of years obtained by dividing (1) the then outstanding aggregate principal amount of such Indebtedness into (2) the sum of the total of the products obtained by multiplying (a) the amount of each then remaining installment, sinking fund, serial maturity or other required payment of principal, including payment at final maturity, in respect thereof, by (b) the number of years (calculated to the nearest one-twelfth) which will elapse between such date and the making of such payment.</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 Owned Subsidiary</w:t>
      </w:r>
      <w:r>
        <w:rPr>
          <w:rFonts w:ascii="Arial" w:cs="Arial" w:eastAsia="Arial" w:hAnsi="Arial"/>
          <w:sz w:val="16"/>
          <w:szCs w:val="16"/>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4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References to Interest</w:t>
      </w:r>
      <w:r>
        <w:rPr>
          <w:rFonts w:ascii="Arial" w:cs="Arial" w:eastAsia="Arial" w:hAnsi="Arial"/>
          <w:sz w:val="16"/>
          <w:szCs w:val="16"/>
          <w:color w:val="auto"/>
        </w:rPr>
        <w:t>. Unless the context otherwise requires, any reference to interest on, or in respect of, any Note in this Indenture shall be deemed to include Additional Interest if, in such context, Additional Interest is, was or would be payable pursuant to any of Section 4.06(d)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color w:val="auto"/>
        </w:rPr>
        <w:t>ARTICLE 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r>
        <w:rPr>
          <w:rFonts w:ascii="Arial" w:cs="Arial" w:eastAsia="Arial" w:hAnsi="Arial"/>
          <w:sz w:val="10"/>
          <w:szCs w:val="10"/>
          <w:color w:val="auto"/>
        </w:rPr>
        <w:t>SSUE</w:t>
      </w:r>
      <w:r>
        <w:rPr>
          <w:rFonts w:ascii="Arial" w:cs="Arial" w:eastAsia="Arial" w:hAnsi="Arial"/>
          <w:sz w:val="16"/>
          <w:szCs w:val="16"/>
          <w:color w:val="auto"/>
        </w:rPr>
        <w:t>, D</w:t>
      </w:r>
      <w:r>
        <w:rPr>
          <w:rFonts w:ascii="Arial" w:cs="Arial" w:eastAsia="Arial" w:hAnsi="Arial"/>
          <w:sz w:val="10"/>
          <w:szCs w:val="10"/>
          <w:color w:val="auto"/>
        </w:rPr>
        <w:t>ESCRIPTION</w:t>
      </w:r>
      <w:r>
        <w:rPr>
          <w:rFonts w:ascii="Arial" w:cs="Arial" w:eastAsia="Arial" w:hAnsi="Arial"/>
          <w:sz w:val="16"/>
          <w:szCs w:val="16"/>
          <w:color w:val="auto"/>
        </w:rPr>
        <w:t>, E</w:t>
      </w:r>
      <w:r>
        <w:rPr>
          <w:rFonts w:ascii="Arial" w:cs="Arial" w:eastAsia="Arial" w:hAnsi="Arial"/>
          <w:sz w:val="10"/>
          <w:szCs w:val="10"/>
          <w:color w:val="auto"/>
        </w:rPr>
        <w:t>XECUTION</w:t>
      </w:r>
      <w:r>
        <w:rPr>
          <w:rFonts w:ascii="Arial" w:cs="Arial" w:eastAsia="Arial" w:hAnsi="Arial"/>
          <w:sz w:val="16"/>
          <w:szCs w:val="16"/>
          <w:color w:val="auto"/>
        </w:rPr>
        <w:t>, R</w:t>
      </w:r>
      <w:r>
        <w:rPr>
          <w:rFonts w:ascii="Arial" w:cs="Arial" w:eastAsia="Arial" w:hAnsi="Arial"/>
          <w:sz w:val="10"/>
          <w:szCs w:val="10"/>
          <w:color w:val="auto"/>
        </w:rPr>
        <w:t>EGISTRATION AND</w:t>
      </w:r>
      <w:r>
        <w:rPr>
          <w:rFonts w:ascii="Arial" w:cs="Arial" w:eastAsia="Arial" w:hAnsi="Arial"/>
          <w:sz w:val="16"/>
          <w:szCs w:val="16"/>
          <w:color w:val="auto"/>
        </w:rPr>
        <w:t xml:space="preserve"> E</w:t>
      </w:r>
      <w:r>
        <w:rPr>
          <w:rFonts w:ascii="Arial" w:cs="Arial" w:eastAsia="Arial" w:hAnsi="Arial"/>
          <w:sz w:val="10"/>
          <w:szCs w:val="10"/>
          <w:color w:val="auto"/>
        </w:rPr>
        <w:t>XCHANGE OF</w:t>
      </w:r>
      <w:r>
        <w:rPr>
          <w:rFonts w:ascii="Arial" w:cs="Arial" w:eastAsia="Arial" w:hAnsi="Arial"/>
          <w:sz w:val="16"/>
          <w:szCs w:val="16"/>
          <w:color w:val="auto"/>
        </w:rPr>
        <w:t xml:space="preserve"> N</w:t>
      </w:r>
      <w:r>
        <w:rPr>
          <w:rFonts w:ascii="Arial" w:cs="Arial" w:eastAsia="Arial" w:hAnsi="Arial"/>
          <w:sz w:val="10"/>
          <w:szCs w:val="10"/>
          <w:color w:val="auto"/>
        </w:rPr>
        <w:t>OTES</w:t>
      </w:r>
    </w:p>
    <w:p>
      <w:pPr>
        <w:spacing w:after="0" w:line="186"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 xml:space="preserve">Section 2.01. </w:t>
      </w:r>
      <w:r>
        <w:rPr>
          <w:rFonts w:ascii="Arial" w:cs="Arial" w:eastAsia="Arial" w:hAnsi="Arial"/>
          <w:sz w:val="14"/>
          <w:szCs w:val="14"/>
          <w:i w:val="1"/>
          <w:iCs w:val="1"/>
          <w:color w:val="auto"/>
        </w:rPr>
        <w:t>Designation and Amount</w:t>
      </w:r>
      <w:r>
        <w:rPr>
          <w:rFonts w:ascii="Arial" w:cs="Arial" w:eastAsia="Arial" w:hAnsi="Arial"/>
          <w:sz w:val="14"/>
          <w:szCs w:val="14"/>
          <w:color w:val="auto"/>
        </w:rPr>
        <w:t>. The Notes shall be designated as the “9.0%/11% Convertible Senior PIK Toggle Notes due 2026.” The aggregate principal amount of Notes that may be authenticated and delivered under this Indenture is initially limited to $70,000,000 (excluding any Notes issued in connection with a PIK Election), subject to Section 2.10 and except for Notes authenticated and delivered upon registration or transfer of, or in exchange for, or in lieu of other Notes to the extent expressly permitted hereunder. Unless the context requires otherwise, references to the “principal” or “principal amount” of Notes including for purposes of calculating any Redemption Price, Fundamental Change Repurchase Price or otherwise, includes any increase in the principal amount of the Notes as a result of a PIK Payment.</w:t>
      </w:r>
    </w:p>
    <w:p>
      <w:pPr>
        <w:spacing w:after="0" w:line="13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i w:val="1"/>
          <w:iCs w:val="1"/>
          <w:color w:val="auto"/>
        </w:rPr>
        <w:t>Form of Notes</w:t>
      </w:r>
      <w:r>
        <w:rPr>
          <w:rFonts w:ascii="Arial" w:cs="Arial" w:eastAsia="Arial" w:hAnsi="Arial"/>
          <w:sz w:val="15"/>
          <w:szCs w:val="15"/>
          <w:color w:val="auto"/>
        </w:rPr>
        <w:t>.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51"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In connection with the payment of PIK Interest pursuant to a PIK Election in respect of the Notes, the Company is entitled to, without the consent of the Holders and without regard to Section 2.01 and 4.11 hereof, increase the outstanding principal amount of the Notes or issue additional Notes (“</w:t>
      </w:r>
      <w:r>
        <w:rPr>
          <w:rFonts w:ascii="Arial" w:cs="Arial" w:eastAsia="Arial" w:hAnsi="Arial"/>
          <w:sz w:val="16"/>
          <w:szCs w:val="16"/>
          <w:b w:val="1"/>
          <w:bCs w:val="1"/>
          <w:color w:val="auto"/>
        </w:rPr>
        <w:t>PIK Notes</w:t>
      </w:r>
      <w:r>
        <w:rPr>
          <w:rFonts w:ascii="Arial" w:cs="Arial" w:eastAsia="Arial" w:hAnsi="Arial"/>
          <w:sz w:val="16"/>
          <w:szCs w:val="16"/>
          <w:color w:val="auto"/>
        </w:rPr>
        <w:t>”) under this Indenture on the same terms and conditions as the Notes (in each case, a “</w:t>
      </w:r>
      <w:r>
        <w:rPr>
          <w:rFonts w:ascii="Arial" w:cs="Arial" w:eastAsia="Arial" w:hAnsi="Arial"/>
          <w:sz w:val="16"/>
          <w:szCs w:val="16"/>
          <w:b w:val="1"/>
          <w:bCs w:val="1"/>
          <w:color w:val="auto"/>
        </w:rPr>
        <w:t>PIK Payment</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6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35"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9" w:name="page130"/>
    <w:bookmarkEnd w:id="129"/>
    <w:p>
      <w:pPr>
        <w:jc w:val="both"/>
        <w:ind w:firstLine="574"/>
        <w:spacing w:after="0" w:line="271" w:lineRule="auto"/>
        <w:rPr>
          <w:sz w:val="20"/>
          <w:szCs w:val="20"/>
          <w:color w:val="auto"/>
        </w:rPr>
      </w:pPr>
      <w:r>
        <w:rPr>
          <w:rFonts w:ascii="Arial" w:cs="Arial" w:eastAsia="Arial" w:hAnsi="Arial"/>
          <w:sz w:val="15"/>
          <w:szCs w:val="15"/>
          <w:color w:val="auto"/>
        </w:rPr>
        <w:t>On any Interest Payment Date on which the Company pays PIK Interest pursuant to a PIK Election with respect to a Global Note, the Trustee upon receipt of an Authentication Order shall increase the principal amount of such Note by an amount equal to the interest payable, rounded up to the nearest $1.00 for the relevant interest period on the principal amount of such Note as of the relevant Regular Record Date for such Interest Payment Date, to the credit of the Holders on such Regular Record Date, pro rata in accordance with their interests, and an adjustment shall be made on the books and records of the Trustee with respect to such Global Note, by the Trustee to reflect such increase. On any Interest Payment Date on which the Company pays PIK Interest pursuant to a PIK Election by issuing certificated PIK Notes, the principal amount of any such PIK Notes issued to any Holder, for the relevant interest period as of the relevant Regular Record Date for such Interest Payment Date, shall be rounded up to the nearest $1.00. Following an increase in the principal amount of a Global Note as a result of a PIK Payment such Global Note will bear interest on such increased principal amount from and after the relevant Interest Payment Date. The Company may not make a PIK Election in connection with the payment of any interest payable upon a redemption or in connection with a Fundamental Change.</w:t>
      </w:r>
    </w:p>
    <w:p>
      <w:pPr>
        <w:spacing w:after="0" w:line="159"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 xml:space="preserve">Section 2.03. </w:t>
      </w:r>
      <w:r>
        <w:rPr>
          <w:rFonts w:ascii="Arial" w:cs="Arial" w:eastAsia="Arial" w:hAnsi="Arial"/>
          <w:sz w:val="14"/>
          <w:szCs w:val="14"/>
          <w:i w:val="1"/>
          <w:iCs w:val="1"/>
          <w:color w:val="auto"/>
        </w:rPr>
        <w:t>Date and Denomination of Notes; Payments of Interest and Defaulted Amounts.</w:t>
      </w:r>
      <w:r>
        <w:rPr>
          <w:rFonts w:ascii="Arial" w:cs="Arial" w:eastAsia="Arial" w:hAnsi="Arial"/>
          <w:sz w:val="14"/>
          <w:szCs w:val="14"/>
          <w:color w:val="auto"/>
        </w:rPr>
        <w:t xml:space="preserve"> (a) The Notes shall be issuable in registered form without coupons in minimum denominations of $1,000 principal amount and integral multiples thereof, subject to the issuance of PIK Notes or the increase in the principal amount of a Global Note in order to evidence PIK Payments, which PIK Notes or increased principal amount of a Global Note will be in denominations of $1.00 and integral multiples of $1.00 in excess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38" w:lineRule="exact"/>
        <w:rPr>
          <w:sz w:val="20"/>
          <w:szCs w:val="20"/>
          <w:color w:val="auto"/>
        </w:rPr>
      </w:pPr>
    </w:p>
    <w:p>
      <w:pPr>
        <w:jc w:val="both"/>
        <w:ind w:firstLine="1143"/>
        <w:spacing w:after="0" w:line="270" w:lineRule="auto"/>
        <w:tabs>
          <w:tab w:leader="none" w:pos="1372"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addresses as they appear in the Note Register and (B) to Holders holding Physical Notes having an aggregate principal amount of more than $5,000,000, either by check mailed to each such Holder or, upon written application by such a Holder to the Note Registrar in a form reasonably satisfactory to the Note Registrar not later than the relevant Regular Record Date, by wire transfer in immediately available funds to that Holder’s account within the United States if such Holder has provided the Trustee or the Paying Agent (if other than the Trustee) with the requisite information necessary to make such wire transfer, which written application shall remain in effect until the Holder notifies, in writing, the Note Registrar to the contrary or (ii) on any Global Note by wire transfer of immediately available funds to the account of the Depositary or its nominee.</w:t>
      </w:r>
    </w:p>
    <w:p>
      <w:pPr>
        <w:spacing w:after="0" w:line="159" w:lineRule="exact"/>
        <w:rPr>
          <w:rFonts w:ascii="Arial" w:cs="Arial" w:eastAsia="Arial" w:hAnsi="Arial"/>
          <w:sz w:val="15"/>
          <w:szCs w:val="15"/>
          <w:color w:val="auto"/>
        </w:rPr>
      </w:pPr>
    </w:p>
    <w:p>
      <w:pPr>
        <w:jc w:val="both"/>
        <w:ind w:right="20" w:firstLine="1143"/>
        <w:spacing w:after="0" w:line="262" w:lineRule="auto"/>
        <w:tabs>
          <w:tab w:leader="none" w:pos="137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162" w:lineRule="exact"/>
        <w:rPr>
          <w:rFonts w:ascii="Arial" w:cs="Arial" w:eastAsia="Arial" w:hAnsi="Arial"/>
          <w:sz w:val="16"/>
          <w:szCs w:val="16"/>
          <w:color w:val="auto"/>
        </w:rPr>
      </w:pPr>
    </w:p>
    <w:p>
      <w:pPr>
        <w:jc w:val="both"/>
        <w:ind w:firstLine="1716"/>
        <w:spacing w:after="0" w:line="269" w:lineRule="auto"/>
        <w:tabs>
          <w:tab w:leader="none" w:pos="1918"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of such special record date at least [●] Business Days before such notice is to be sent to the Holders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 The Trustee shall have no responsibility whatsoever for the calculation of the Defaulted Amount.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0" w:name="page131"/>
    <w:bookmarkEnd w:id="130"/>
    <w:p>
      <w:pPr>
        <w:jc w:val="both"/>
        <w:ind w:right="20" w:firstLine="1716"/>
        <w:spacing w:after="0" w:line="258" w:lineRule="auto"/>
        <w:tabs>
          <w:tab w:leader="none" w:pos="195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Execution, Authentication and Delivery of Notes</w:t>
      </w:r>
      <w:r>
        <w:rPr>
          <w:rFonts w:ascii="Arial" w:cs="Arial" w:eastAsia="Arial" w:hAnsi="Arial"/>
          <w:sz w:val="16"/>
          <w:szCs w:val="16"/>
          <w:color w:val="auto"/>
        </w:rPr>
        <w:t>. The Notes shall be signed in the name and on behalf of the Company by the manual, facsimile or electronic signature of its Chief Executive Officer, Chief Financial Officer, Treasurer, Secretary or other Officer of the Company.</w:t>
      </w:r>
    </w:p>
    <w:p>
      <w:pPr>
        <w:spacing w:after="0" w:line="152"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 xml:space="preserve">At any time and from time to time after the execution and delivery of this Indenture, the Company may deliver Notes, including any additional Notes or PIK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Trustee shall be entitled to receive an Officer’s Certificate and an Opinion of Counsel of the Company with respect to the issuance, authentication and delivery of such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notwithstanding anything to the contrary herein, no Officer’s Certificate or Opinion of Counsel shall be required to be delivered in connection with a payment of PIK Interest (whether by an issuance of PIK Notes or by an increase in Global Notes reflecting a PIK Payment).</w:t>
      </w:r>
    </w:p>
    <w:p>
      <w:pPr>
        <w:spacing w:after="0" w:line="157"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Only such Notes as shall bear thereon a certificate of authentication substantially in the form set forth on the Form of Note attached as Exhibit A hereto, executed manually by an authorized officer of the Trustee (or an authenticating agent appointed by the Trustee as provided by Section 18.10),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3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1" w:name="page132"/>
    <w:bookmarkEnd w:id="131"/>
    <w:p>
      <w:pPr>
        <w:jc w:val="both"/>
        <w:ind w:right="20" w:firstLine="574"/>
        <w:spacing w:after="0" w:line="301" w:lineRule="auto"/>
        <w:rPr>
          <w:sz w:val="20"/>
          <w:szCs w:val="20"/>
          <w:color w:val="auto"/>
        </w:rPr>
      </w:pPr>
      <w:r>
        <w:rPr>
          <w:rFonts w:ascii="Arial" w:cs="Arial" w:eastAsia="Arial" w:hAnsi="Arial"/>
          <w:sz w:val="14"/>
          <w:szCs w:val="14"/>
          <w:color w:val="auto"/>
        </w:rPr>
        <w:t xml:space="preserve">Section 2.05. </w:t>
      </w:r>
      <w:r>
        <w:rPr>
          <w:rFonts w:ascii="Arial" w:cs="Arial" w:eastAsia="Arial" w:hAnsi="Arial"/>
          <w:sz w:val="14"/>
          <w:szCs w:val="14"/>
          <w:i w:val="1"/>
          <w:iCs w:val="1"/>
          <w:color w:val="auto"/>
        </w:rPr>
        <w:t>Exchange and Registration of Transfer of Notes; Restrictions on Transfer; Depositary.</w:t>
      </w:r>
      <w:r>
        <w:rPr>
          <w:rFonts w:ascii="Arial" w:cs="Arial" w:eastAsia="Arial" w:hAnsi="Arial"/>
          <w:sz w:val="14"/>
          <w:szCs w:val="14"/>
          <w:color w:val="auto"/>
        </w:rPr>
        <w:t xml:space="preserve"> (a) The Company shall cause to be kept at the Corporate Trust Office a register (the register maintained in such office or in any other office or agency of the Company designated pursuant to Section 4.02, the “</w:t>
      </w:r>
      <w:r>
        <w:rPr>
          <w:rFonts w:ascii="Arial" w:cs="Arial" w:eastAsia="Arial" w:hAnsi="Arial"/>
          <w:sz w:val="14"/>
          <w:szCs w:val="14"/>
          <w:b w:val="1"/>
          <w:bCs w:val="1"/>
          <w:color w:val="auto"/>
        </w:rPr>
        <w:t>Note Register</w:t>
      </w:r>
      <w:r>
        <w:rPr>
          <w:rFonts w:ascii="Arial" w:cs="Arial" w:eastAsia="Arial" w:hAnsi="Arial"/>
          <w:sz w:val="14"/>
          <w:szCs w:val="14"/>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Arial" w:cs="Arial" w:eastAsia="Arial" w:hAnsi="Arial"/>
          <w:sz w:val="14"/>
          <w:szCs w:val="14"/>
          <w:b w:val="1"/>
          <w:bCs w:val="1"/>
          <w:color w:val="auto"/>
        </w:rPr>
        <w:t>Note Registrar</w:t>
      </w:r>
      <w:r>
        <w:rPr>
          <w:rFonts w:ascii="Arial" w:cs="Arial" w:eastAsia="Arial" w:hAnsi="Arial"/>
          <w:sz w:val="14"/>
          <w:szCs w:val="14"/>
          <w:color w:val="auto"/>
        </w:rPr>
        <w:t>” for the purpose of registering Notes and transfers of Notes as herein provided. The Company may appoint one or more co-Note Registrars in accordance with Section 4.02.</w:t>
      </w:r>
    </w:p>
    <w:p>
      <w:pPr>
        <w:spacing w:after="0" w:line="13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46"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2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All Notes presented or surrendered for registration of transfer or for exchange, repurchase, redemption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6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6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 except the unredeemed portion thereof.</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52" w:lineRule="exact"/>
        <w:rPr>
          <w:sz w:val="20"/>
          <w:szCs w:val="20"/>
          <w:color w:val="auto"/>
        </w:rPr>
      </w:pPr>
    </w:p>
    <w:p>
      <w:pPr>
        <w:jc w:val="both"/>
        <w:ind w:firstLine="1143"/>
        <w:spacing w:after="0" w:line="276" w:lineRule="auto"/>
        <w:tabs>
          <w:tab w:leader="none" w:pos="1376" w:val="left"/>
        </w:tabs>
        <w:numPr>
          <w:ilvl w:val="0"/>
          <w:numId w:val="121"/>
        </w:numPr>
        <w:rPr>
          <w:rFonts w:ascii="Arial" w:cs="Arial" w:eastAsia="Arial" w:hAnsi="Arial"/>
          <w:sz w:val="15"/>
          <w:szCs w:val="15"/>
          <w:color w:val="auto"/>
        </w:rPr>
      </w:pPr>
      <w:r>
        <w:rPr>
          <w:rFonts w:ascii="Arial" w:cs="Arial" w:eastAsia="Arial" w:hAnsi="Arial"/>
          <w:sz w:val="15"/>
          <w:szCs w:val="15"/>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Arial" w:cs="Arial" w:eastAsia="Arial" w:hAnsi="Arial"/>
          <w:sz w:val="15"/>
          <w:szCs w:val="15"/>
          <w:b w:val="1"/>
          <w:bCs w:val="1"/>
          <w:color w:val="auto"/>
        </w:rPr>
        <w:t>Global Note</w:t>
      </w:r>
      <w:r>
        <w:rPr>
          <w:rFonts w:ascii="Arial" w:cs="Arial" w:eastAsia="Arial" w:hAnsi="Arial"/>
          <w:sz w:val="15"/>
          <w:szCs w:val="15"/>
          <w:color w:val="auto"/>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2" w:name="page133"/>
    <w:bookmarkEnd w:id="132"/>
    <w:p>
      <w:pPr>
        <w:jc w:val="both"/>
        <w:ind w:firstLine="1143"/>
        <w:spacing w:after="0" w:line="254" w:lineRule="auto"/>
        <w:tabs>
          <w:tab w:leader="none" w:pos="138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Every Note that bears or is required under this Section 2.05(c) to bear the Restrictive Notes Legend (together with any Common Stock issued upon conversion of the Notes that is required to bear the legend set forth in Section 2.05(d), collectively, the “</w:t>
      </w:r>
      <w:r>
        <w:rPr>
          <w:rFonts w:ascii="Arial" w:cs="Arial" w:eastAsia="Arial" w:hAnsi="Arial"/>
          <w:sz w:val="16"/>
          <w:szCs w:val="16"/>
          <w:b w:val="1"/>
          <w:bCs w:val="1"/>
          <w:color w:val="auto"/>
        </w:rPr>
        <w:t>Restricted Securities</w:t>
      </w:r>
      <w:r>
        <w:rPr>
          <w:rFonts w:ascii="Arial" w:cs="Arial" w:eastAsia="Arial" w:hAnsi="Arial"/>
          <w:sz w:val="16"/>
          <w:szCs w:val="16"/>
          <w:color w:val="auto"/>
        </w:rPr>
        <w:t>”) shall be subject to the restrictions on transfer set forth in this Section 2.05(c) (including the legend set forth below) or Section 2.05(d)(including the legend set forth therein), as applicable,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Arial" w:cs="Arial" w:eastAsia="Arial" w:hAnsi="Arial"/>
          <w:sz w:val="16"/>
          <w:szCs w:val="16"/>
          <w:b w:val="1"/>
          <w:bCs w:val="1"/>
          <w:color w:val="auto"/>
        </w:rPr>
        <w:t>transfer</w:t>
      </w:r>
      <w:r>
        <w:rPr>
          <w:rFonts w:ascii="Arial" w:cs="Arial" w:eastAsia="Arial" w:hAnsi="Arial"/>
          <w:sz w:val="16"/>
          <w:szCs w:val="16"/>
          <w:color w:val="auto"/>
        </w:rPr>
        <w:t>” encompasses any sale, pledge, transfer or other disposition whatsoever of any Restricted Security.</w:t>
      </w:r>
    </w:p>
    <w:p>
      <w:pPr>
        <w:spacing w:after="0" w:line="170"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Any certificate evidencing some or all of the Notes (and all securities issued in exchange therefor or substitution thereof, other than Common Stock, if any, issued upon conversion thereof, which shall bear the legend set forth in Section 2.05(d), if applicable) shall bear a legend in substantially the following form (the “</w:t>
      </w:r>
      <w:r>
        <w:rPr>
          <w:rFonts w:ascii="Arial" w:cs="Arial" w:eastAsia="Arial" w:hAnsi="Arial"/>
          <w:sz w:val="15"/>
          <w:szCs w:val="15"/>
          <w:b w:val="1"/>
          <w:bCs w:val="1"/>
          <w:color w:val="auto"/>
        </w:rPr>
        <w:t>Restrictive Notes</w:t>
      </w:r>
      <w:r>
        <w:rPr>
          <w:rFonts w:ascii="Arial" w:cs="Arial" w:eastAsia="Arial" w:hAnsi="Arial"/>
          <w:sz w:val="15"/>
          <w:szCs w:val="15"/>
          <w:color w:val="auto"/>
        </w:rPr>
        <w:t xml:space="preserve"> </w:t>
      </w:r>
      <w:r>
        <w:rPr>
          <w:rFonts w:ascii="Arial" w:cs="Arial" w:eastAsia="Arial" w:hAnsi="Arial"/>
          <w:sz w:val="15"/>
          <w:szCs w:val="15"/>
          <w:b w:val="1"/>
          <w:bCs w:val="1"/>
          <w:color w:val="auto"/>
        </w:rPr>
        <w:t>Legend</w:t>
      </w:r>
      <w:r>
        <w:rPr>
          <w:rFonts w:ascii="Arial" w:cs="Arial" w:eastAsia="Arial" w:hAnsi="Arial"/>
          <w:sz w:val="15"/>
          <w:szCs w:val="15"/>
          <w:color w:val="auto"/>
        </w:rPr>
        <w:t>”) (unless such Notes have been transferred pursuant to a registration statement that has become or been declared effective under the Securities Act and that continues to</w:t>
      </w:r>
      <w:r>
        <w:rPr>
          <w:rFonts w:ascii="Arial" w:cs="Arial" w:eastAsia="Arial" w:hAnsi="Arial"/>
          <w:sz w:val="15"/>
          <w:szCs w:val="15"/>
          <w:b w:val="1"/>
          <w:bCs w:val="1"/>
          <w:color w:val="auto"/>
        </w:rPr>
        <w:t xml:space="preserve"> </w:t>
      </w:r>
      <w:r>
        <w:rPr>
          <w:rFonts w:ascii="Arial" w:cs="Arial" w:eastAsia="Arial" w:hAnsi="Arial"/>
          <w:sz w:val="15"/>
          <w:szCs w:val="15"/>
          <w:color w:val="auto"/>
        </w:rPr>
        <w:t>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55"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THIS SECURITY AND THE COMMON STOCK, IF ANY, ISSUABLE UPON CONVERSION OF THIS SECURITY HAVE NOT BEEN REGISTERED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AND MAY NOT BE OFFERED, SOLD, PLEDGED OR OTHERWISE TRANSFERRED EXCEPT IN ACCORDANCE WITH THE FOLLOWING SENTENCE. BY ITS ACQUISITION HEREOF OR OF A BENEFICIAL INTEREST HEREIN, THE ACQUIRER:</w:t>
      </w:r>
    </w:p>
    <w:p>
      <w:pPr>
        <w:spacing w:after="0" w:line="142" w:lineRule="exact"/>
        <w:rPr>
          <w:sz w:val="20"/>
          <w:szCs w:val="20"/>
          <w:color w:val="auto"/>
        </w:rPr>
      </w:pPr>
    </w:p>
    <w:p>
      <w:pPr>
        <w:jc w:val="both"/>
        <w:ind w:right="20" w:firstLine="574"/>
        <w:spacing w:after="0" w:line="259" w:lineRule="auto"/>
        <w:rPr>
          <w:sz w:val="20"/>
          <w:szCs w:val="20"/>
          <w:color w:val="auto"/>
        </w:rPr>
      </w:pPr>
      <w:r>
        <w:rPr>
          <w:rFonts w:ascii="Arial" w:cs="Arial" w:eastAsia="Arial" w:hAnsi="Arial"/>
          <w:sz w:val="16"/>
          <w:szCs w:val="16"/>
          <w:color w:val="auto"/>
        </w:rPr>
        <w:t>AGREES FOR THE BENEFIT OF [●] (THE “</w:t>
      </w:r>
      <w:r>
        <w:rPr>
          <w:rFonts w:ascii="Arial" w:cs="Arial" w:eastAsia="Arial" w:hAnsi="Arial"/>
          <w:sz w:val="16"/>
          <w:szCs w:val="16"/>
          <w:b w:val="1"/>
          <w:bCs w:val="1"/>
          <w:color w:val="auto"/>
        </w:rPr>
        <w:t>COMPANY</w:t>
      </w:r>
      <w:r>
        <w:rPr>
          <w:rFonts w:ascii="Arial" w:cs="Arial" w:eastAsia="Arial" w:hAnsi="Arial"/>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6" w:lineRule="exact"/>
        <w:rPr>
          <w:sz w:val="20"/>
          <w:szCs w:val="20"/>
          <w:color w:val="auto"/>
        </w:rPr>
      </w:pPr>
    </w:p>
    <w:p>
      <w:pPr>
        <w:ind w:left="1400" w:hanging="257"/>
        <w:spacing w:after="0"/>
        <w:tabs>
          <w:tab w:leader="none" w:pos="14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THE COMPANY OR ANY SUBSIDIARY THEREOF, OR</w:t>
      </w:r>
    </w:p>
    <w:p>
      <w:pPr>
        <w:spacing w:after="0" w:line="198" w:lineRule="exact"/>
        <w:rPr>
          <w:rFonts w:ascii="Arial" w:cs="Arial" w:eastAsia="Arial" w:hAnsi="Arial"/>
          <w:sz w:val="16"/>
          <w:szCs w:val="16"/>
          <w:color w:val="auto"/>
        </w:rPr>
      </w:pPr>
    </w:p>
    <w:p>
      <w:pPr>
        <w:ind w:left="560" w:right="20" w:firstLine="583"/>
        <w:spacing w:after="0" w:line="275" w:lineRule="auto"/>
        <w:tabs>
          <w:tab w:leader="none" w:pos="139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PURSUANT TO A REGISTRATION STATEMENT THAT HAS BECOME EFFECTIVE UNDER THE SECURITIES ACT AND IS EFFECTIVE AT THE TIME OF SUCH TRANSFER, OR</w:t>
      </w:r>
    </w:p>
    <w:p>
      <w:pPr>
        <w:spacing w:after="0" w:line="151" w:lineRule="exact"/>
        <w:rPr>
          <w:rFonts w:ascii="Arial" w:cs="Arial" w:eastAsia="Arial" w:hAnsi="Arial"/>
          <w:sz w:val="16"/>
          <w:szCs w:val="16"/>
          <w:color w:val="auto"/>
        </w:rPr>
      </w:pPr>
    </w:p>
    <w:p>
      <w:pPr>
        <w:ind w:left="560" w:right="20" w:firstLine="583"/>
        <w:spacing w:after="0" w:line="275" w:lineRule="auto"/>
        <w:tabs>
          <w:tab w:leader="none" w:pos="138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A PERSON REASONABLY BELIEVED TO BE A QUALIFIED INSTITUTIONAL BUYER IN COMPLIANCE WITH RULE 144A UNDER THE SECURITIES ACT, OR</w:t>
      </w:r>
    </w:p>
    <w:p>
      <w:pPr>
        <w:spacing w:after="0" w:line="151" w:lineRule="exact"/>
        <w:rPr>
          <w:rFonts w:ascii="Arial" w:cs="Arial" w:eastAsia="Arial" w:hAnsi="Arial"/>
          <w:sz w:val="16"/>
          <w:szCs w:val="16"/>
          <w:color w:val="auto"/>
        </w:rPr>
      </w:pPr>
    </w:p>
    <w:p>
      <w:pPr>
        <w:ind w:left="560" w:right="20" w:firstLine="583"/>
        <w:spacing w:after="0" w:line="275" w:lineRule="auto"/>
        <w:tabs>
          <w:tab w:leader="none" w:pos="142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PURSUANT TO AN EXEMPTION FROM REGISTRATION PROVIDED BY RULE 144 UNDER THE SECURITIES ACT OR ANY OTHER AVAILABLE EXEMPTION FROM THE REGISTRATION REQUIREMENTS OF THE SECURITIES ACT.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3" w:name="page134"/>
    <w:bookmarkEnd w:id="133"/>
    <w:p>
      <w:pPr>
        <w:jc w:val="both"/>
        <w:ind w:right="20" w:firstLine="574"/>
        <w:spacing w:after="0" w:line="255" w:lineRule="auto"/>
        <w:rPr>
          <w:sz w:val="20"/>
          <w:szCs w:val="20"/>
          <w:color w:val="auto"/>
        </w:rPr>
      </w:pPr>
      <w:r>
        <w:rPr>
          <w:rFonts w:ascii="Arial" w:cs="Arial" w:eastAsia="Arial" w:hAnsi="Arial"/>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NO AFFILIATE (AS DEFINED IN RULE 144 UNDER THE SECURITIES ACT) OF THE COMPANY OR PERSON THAT HAS BEEN AN AFFILIATE (AS DEFINED IN RULE 144 UNDER THE SECURITIES ACT) OF THE COMPANY DURING THE PRECEDING THREE MONTHS MAY PURCHASE, OTHERWISE ACQUIRE OR HOLD THIS SECURITY OR A BENEFICIAL INTEREST HEREIN.</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 transfer of any Note prior to the Resale Restriction Termination Date will be registered by the Note Registrar unless the applicable box on the Form of Assignment and Transfer has been checked.</w:t>
      </w:r>
    </w:p>
    <w:p>
      <w:pPr>
        <w:spacing w:after="0" w:line="152"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 xml:space="preserve">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Restrictive Notes Legend set forth above and affixed on any Note will be deemed, in accordance with the terms of the certificate representing such Note, to be removed therefrom upon the Company’ s delivery to the Trustee of written notice to such effect, without further action by the Company, the Trustee, the Holder(s) thereof or any other Person; at such time, such Note will be deemed to be assigned an unrestricted CUSIP number as provided in the certificate representing such Note, it being understood that the Depositary of any Global Note may require a mandatory exchange or other process to cause such Global Note to be identified by an unrestricted CUSIP number in the facilities of such Depositary; </w:t>
      </w:r>
      <w:r>
        <w:rPr>
          <w:rFonts w:ascii="Arial" w:cs="Arial" w:eastAsia="Arial" w:hAnsi="Arial"/>
          <w:sz w:val="14"/>
          <w:szCs w:val="14"/>
          <w:i w:val="1"/>
          <w:iCs w:val="1"/>
          <w:color w:val="auto"/>
        </w:rPr>
        <w:t>provided, however</w:t>
      </w:r>
      <w:r>
        <w:rPr>
          <w:rFonts w:ascii="Arial" w:cs="Arial" w:eastAsia="Arial" w:hAnsi="Arial"/>
          <w:sz w:val="14"/>
          <w:szCs w:val="14"/>
          <w:color w:val="auto"/>
        </w:rPr>
        <w:t>,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Section 4.06, such Global Note will not be deemed to be identified by unrestricted CUSIP and ISIN numbers until such time as such exchange or procedure is effected. The Company and the Trustee reserve the right to require the delivery of such legal opinions, certifications or other evidence as may reasonably be required in order to determine that any proposed transfer of any Note is being made in compliance with the Securities Act and applicable state securities laws.</w:t>
      </w:r>
    </w:p>
    <w:p>
      <w:pPr>
        <w:spacing w:after="0" w:line="154"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Company shall be entitled to instruct the Custodian in writing to so surrender any Global Note as to which any of the conditions set forth in clause (i) through (iii) of the first sentence of the immediately preceding paragraph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w:t>
      </w:r>
    </w:p>
    <w:p>
      <w:pPr>
        <w:spacing w:after="0" w:line="16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4" w:name="page135"/>
    <w:bookmarkEnd w:id="134"/>
    <w:p>
      <w:pPr>
        <w:jc w:val="both"/>
        <w:ind w:right="20" w:firstLine="574"/>
        <w:spacing w:after="0" w:line="262" w:lineRule="auto"/>
        <w:rPr>
          <w:sz w:val="20"/>
          <w:szCs w:val="20"/>
          <w:color w:val="auto"/>
        </w:rPr>
      </w:pPr>
      <w:r>
        <w:rPr>
          <w:rFonts w:ascii="Arial" w:cs="Arial" w:eastAsia="Arial" w:hAnsi="Arial"/>
          <w:sz w:val="16"/>
          <w:szCs w:val="16"/>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62"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57"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spacing w:after="0" w:line="165"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43"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None of the Company, the Trustee, the Conversion Agent, the Paying Agent or any agent of the Company or the Trustee shall have any responsibility or liability for any act or omission of the Depositary or for the payment of amounts to owners of beneficial interest in a Global Note, for any aspect of the records relating to or payments made on account of those interests by the Depositary, or for maintaining, supervising or reviewing any records of the Depositary relating to those interests.</w:t>
      </w:r>
    </w:p>
    <w:p>
      <w:pPr>
        <w:spacing w:after="0" w:line="146" w:lineRule="exact"/>
        <w:rPr>
          <w:sz w:val="20"/>
          <w:szCs w:val="20"/>
          <w:color w:val="auto"/>
        </w:rPr>
      </w:pPr>
    </w:p>
    <w:p>
      <w:pPr>
        <w:jc w:val="both"/>
        <w:ind w:right="20" w:firstLine="1143"/>
        <w:spacing w:after="0" w:line="297" w:lineRule="auto"/>
        <w:tabs>
          <w:tab w:leader="none" w:pos="1374"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5" w:name="page136"/>
    <w:bookmarkEnd w:id="135"/>
    <w:p>
      <w:pPr>
        <w:jc w:val="both"/>
        <w:ind w:right="20" w:firstLine="574"/>
        <w:spacing w:after="0" w:line="265" w:lineRule="auto"/>
        <w:rPr>
          <w:sz w:val="20"/>
          <w:szCs w:val="20"/>
          <w:color w:val="auto"/>
        </w:rPr>
      </w:pPr>
      <w:r>
        <w:rPr>
          <w:rFonts w:ascii="Arial" w:cs="Arial" w:eastAsia="Arial" w:hAnsi="Arial"/>
          <w:sz w:val="16"/>
          <w:szCs w:val="16"/>
          <w:color w:val="auto"/>
        </w:rPr>
        <w:t>THIS SECURITY HAS NOT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jc w:val="both"/>
        <w:ind w:right="20" w:firstLine="574"/>
        <w:spacing w:after="0" w:line="257" w:lineRule="auto"/>
        <w:rPr>
          <w:sz w:val="20"/>
          <w:szCs w:val="20"/>
          <w:color w:val="auto"/>
        </w:rPr>
      </w:pPr>
      <w:r>
        <w:rPr>
          <w:rFonts w:ascii="Arial" w:cs="Arial" w:eastAsia="Arial" w:hAnsi="Arial"/>
          <w:sz w:val="16"/>
          <w:szCs w:val="16"/>
          <w:color w:val="auto"/>
        </w:rPr>
        <w:t>AGREES FOR THE BENEFIT OF [●] (THE “</w:t>
      </w:r>
      <w:r>
        <w:rPr>
          <w:rFonts w:ascii="Arial" w:cs="Arial" w:eastAsia="Arial" w:hAnsi="Arial"/>
          <w:sz w:val="16"/>
          <w:szCs w:val="16"/>
          <w:b w:val="1"/>
          <w:bCs w:val="1"/>
          <w:color w:val="auto"/>
        </w:rPr>
        <w:t>COMPANY</w:t>
      </w:r>
      <w:r>
        <w:rPr>
          <w:rFonts w:ascii="Arial" w:cs="Arial" w:eastAsia="Arial" w:hAnsi="Arial"/>
          <w:sz w:val="16"/>
          <w:szCs w:val="16"/>
          <w:color w:val="auto"/>
        </w:rPr>
        <w:t>”) THAT IT WILL NOT OFFER, SELL, PLEDGE OR OTHERWISE TRANSFER THIS SECURITY OR ANY BENEFICIAL INTEREST HEREIN PRIOR TO THE DATE THAT IS THE LATER OF (X) ONE YEAR AFTER THE LAST ORIGINAL ISSUE DATE OF THE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166" w:lineRule="exact"/>
        <w:rPr>
          <w:sz w:val="20"/>
          <w:szCs w:val="20"/>
          <w:color w:val="auto"/>
        </w:rPr>
      </w:pPr>
    </w:p>
    <w:p>
      <w:pPr>
        <w:ind w:left="1400" w:hanging="257"/>
        <w:spacing w:after="0"/>
        <w:tabs>
          <w:tab w:leader="none" w:pos="14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THE COMPANY OR ANY SUBSIDIARY THEREOF, OR</w:t>
      </w:r>
    </w:p>
    <w:p>
      <w:pPr>
        <w:spacing w:after="0" w:line="198" w:lineRule="exact"/>
        <w:rPr>
          <w:rFonts w:ascii="Arial" w:cs="Arial" w:eastAsia="Arial" w:hAnsi="Arial"/>
          <w:sz w:val="16"/>
          <w:szCs w:val="16"/>
          <w:color w:val="auto"/>
        </w:rPr>
      </w:pPr>
    </w:p>
    <w:p>
      <w:pPr>
        <w:ind w:left="560" w:right="20" w:firstLine="583"/>
        <w:spacing w:after="0" w:line="275" w:lineRule="auto"/>
        <w:tabs>
          <w:tab w:leader="none" w:pos="139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PURSUANT TO A REGISTRATION STATEMENT THAT HAS BECOME EFFECTIVE UNDER THE SECURITIES ACT AND IS EFFECTIVE AT THE TIME OF SUCH TRANSFER, OR</w:t>
      </w:r>
    </w:p>
    <w:p>
      <w:pPr>
        <w:spacing w:after="0" w:line="151" w:lineRule="exact"/>
        <w:rPr>
          <w:rFonts w:ascii="Arial" w:cs="Arial" w:eastAsia="Arial" w:hAnsi="Arial"/>
          <w:sz w:val="16"/>
          <w:szCs w:val="16"/>
          <w:color w:val="auto"/>
        </w:rPr>
      </w:pPr>
    </w:p>
    <w:p>
      <w:pPr>
        <w:ind w:left="560" w:right="20" w:firstLine="583"/>
        <w:spacing w:after="0" w:line="275" w:lineRule="auto"/>
        <w:tabs>
          <w:tab w:leader="none" w:pos="138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A PERSON REASONABLY BELIEVED TO BE A QUALIFIED INSTITUTIONAL BUYER IN COMPLIANCE WITH RULE 144A UNDER THE SECURITIES ACT, OR</w:t>
      </w:r>
    </w:p>
    <w:p>
      <w:pPr>
        <w:spacing w:after="0" w:line="151" w:lineRule="exact"/>
        <w:rPr>
          <w:rFonts w:ascii="Arial" w:cs="Arial" w:eastAsia="Arial" w:hAnsi="Arial"/>
          <w:sz w:val="16"/>
          <w:szCs w:val="16"/>
          <w:color w:val="auto"/>
        </w:rPr>
      </w:pPr>
    </w:p>
    <w:p>
      <w:pPr>
        <w:jc w:val="both"/>
        <w:ind w:left="560" w:right="20" w:firstLine="583"/>
        <w:spacing w:after="0" w:line="262" w:lineRule="auto"/>
        <w:tabs>
          <w:tab w:leader="none" w:pos="142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PURSUANT TO AN EXEMPTION FROM REGISTRATION PROVIDED BY RULE 144 UNDER THE SECURITIES ACT OR ANY OTHER AVAILABLE EXEMPTION FROM THE REGISTRATION REQUIREMENTS OF THE SECURITIES ACT AND ANY APPLICABLE STATE SECURITIES LAWS.</w:t>
      </w:r>
    </w:p>
    <w:p>
      <w:pPr>
        <w:spacing w:after="0" w:line="16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PRIOR TO THE REGISTRATION OF THIS SECURITY IN CONNECTION WITH ANY TRANSFER IN ACCORDANCE WITH CLAUSE (2)(D)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55"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36" w:name="page137"/>
    <w:bookmarkEnd w:id="136"/>
    <w:p>
      <w:pPr>
        <w:ind w:left="560"/>
        <w:spacing w:after="0"/>
        <w:rPr>
          <w:sz w:val="20"/>
          <w:szCs w:val="20"/>
          <w:color w:val="auto"/>
        </w:rPr>
      </w:pPr>
      <w:r>
        <w:rPr>
          <w:rFonts w:ascii="Arial" w:cs="Arial" w:eastAsia="Arial" w:hAnsi="Arial"/>
          <w:sz w:val="15"/>
          <w:szCs w:val="15"/>
          <w:color w:val="auto"/>
        </w:rPr>
        <w:t>The Company shall cause any Note that is repurchased or owned by it to be surrendered to the Trustee for cancellation in accordance with Section 2.08.</w:t>
      </w:r>
    </w:p>
    <w:p>
      <w:pPr>
        <w:spacing w:after="0" w:line="210"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The Trustee and any other agent appointed under this Indenture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Neither the Trustee nor any agent shall have any responsibility or liability for any actions taken or not taken by the Depositary, and may assume performance absent written notice to the contrary.</w:t>
      </w:r>
    </w:p>
    <w:p>
      <w:pPr>
        <w:spacing w:after="0" w:line="152" w:lineRule="exact"/>
        <w:rPr>
          <w:sz w:val="20"/>
          <w:szCs w:val="20"/>
          <w:color w:val="auto"/>
        </w:rPr>
      </w:pPr>
    </w:p>
    <w:p>
      <w:pPr>
        <w:jc w:val="both"/>
        <w:ind w:firstLine="1143"/>
        <w:spacing w:after="0" w:line="280" w:lineRule="auto"/>
        <w:tabs>
          <w:tab w:leader="none" w:pos="1368" w:val="left"/>
        </w:tabs>
        <w:numPr>
          <w:ilvl w:val="0"/>
          <w:numId w:val="126"/>
        </w:numPr>
        <w:rPr>
          <w:rFonts w:ascii="Arial" w:cs="Arial" w:eastAsia="Arial" w:hAnsi="Arial"/>
          <w:sz w:val="15"/>
          <w:szCs w:val="15"/>
          <w:color w:val="auto"/>
        </w:rPr>
      </w:pPr>
      <w:r>
        <w:rPr>
          <w:rFonts w:ascii="Arial" w:cs="Arial" w:eastAsia="Arial" w:hAnsi="Arial"/>
          <w:sz w:val="15"/>
          <w:szCs w:val="15"/>
          <w:color w:val="auto"/>
        </w:rPr>
        <w:t>Any Note or Common Stock issued upon conversion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w:t>
      </w:r>
    </w:p>
    <w:p>
      <w:pPr>
        <w:spacing w:after="0" w:line="151"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Mutilated, Destroyed, Lost or Stolen Notes</w:t>
      </w:r>
      <w:r>
        <w:rPr>
          <w:rFonts w:ascii="Arial" w:cs="Arial" w:eastAsia="Arial" w:hAnsi="Arial"/>
          <w:sz w:val="16"/>
          <w:szCs w:val="16"/>
          <w:color w:val="auto"/>
        </w:rPr>
        <w:t>.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7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The Trustee or such authenticating agent may authenticate any such substituted Note and deliver the same upon the receipt of a Company Order and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redemption 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7" w:name="page138"/>
    <w:bookmarkEnd w:id="137"/>
    <w:p>
      <w:pPr>
        <w:jc w:val="both"/>
        <w:ind w:firstLine="574"/>
        <w:spacing w:after="0" w:line="297" w:lineRule="auto"/>
        <w:rPr>
          <w:sz w:val="20"/>
          <w:szCs w:val="20"/>
          <w:color w:val="auto"/>
        </w:rPr>
      </w:pPr>
      <w:r>
        <w:rPr>
          <w:rFonts w:ascii="Arial" w:cs="Arial" w:eastAsia="Arial" w:hAnsi="Arial"/>
          <w:sz w:val="14"/>
          <w:szCs w:val="14"/>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43"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2.07. </w:t>
      </w:r>
      <w:r>
        <w:rPr>
          <w:rFonts w:ascii="Arial" w:cs="Arial" w:eastAsia="Arial" w:hAnsi="Arial"/>
          <w:sz w:val="15"/>
          <w:szCs w:val="15"/>
          <w:i w:val="1"/>
          <w:iCs w:val="1"/>
          <w:color w:val="auto"/>
        </w:rPr>
        <w:t>Temporary Notes</w:t>
      </w:r>
      <w:r>
        <w:rPr>
          <w:rFonts w:ascii="Arial" w:cs="Arial" w:eastAsia="Arial" w:hAnsi="Arial"/>
          <w:sz w:val="15"/>
          <w:szCs w:val="15"/>
          <w:color w:val="auto"/>
        </w:rPr>
        <w:t>.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upon receipt of a Company Order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63" w:lineRule="exact"/>
        <w:rPr>
          <w:sz w:val="20"/>
          <w:szCs w:val="20"/>
          <w:color w:val="auto"/>
        </w:rPr>
      </w:pPr>
    </w:p>
    <w:p>
      <w:pPr>
        <w:jc w:val="both"/>
        <w:ind w:right="20" w:firstLine="574"/>
        <w:spacing w:after="0" w:line="273" w:lineRule="auto"/>
        <w:rPr>
          <w:sz w:val="20"/>
          <w:szCs w:val="20"/>
          <w:color w:val="auto"/>
        </w:rPr>
      </w:pPr>
      <w:r>
        <w:rPr>
          <w:rFonts w:ascii="Arial" w:cs="Arial" w:eastAsia="Arial" w:hAnsi="Arial"/>
          <w:sz w:val="15"/>
          <w:szCs w:val="15"/>
          <w:color w:val="auto"/>
        </w:rPr>
        <w:t xml:space="preserve">Section 2.08. </w:t>
      </w:r>
      <w:r>
        <w:rPr>
          <w:rFonts w:ascii="Arial" w:cs="Arial" w:eastAsia="Arial" w:hAnsi="Arial"/>
          <w:sz w:val="15"/>
          <w:szCs w:val="15"/>
          <w:i w:val="1"/>
          <w:iCs w:val="1"/>
          <w:color w:val="auto"/>
        </w:rPr>
        <w:t>Cancellation of Notes Paid, Converted, Etc.</w:t>
      </w:r>
      <w:r>
        <w:rPr>
          <w:rFonts w:ascii="Arial" w:cs="Arial" w:eastAsia="Arial" w:hAnsi="Arial"/>
          <w:sz w:val="15"/>
          <w:szCs w:val="15"/>
          <w:color w:val="auto"/>
        </w:rPr>
        <w:t xml:space="preserve"> The Company shall cause all Notes surrendered for the purpose of payment, repurchase (including upon a Fundamental Change but not including Notes repurchased pursuant to cash-settled swaps and other derivatives), redemption, registration of transfer or exchange or conversion (other than any Notes exchanged pursuant to Section 14.12), if surrendered to the Company or any of its agents, Subsidiaries or Affiliates, as applicable, to be surrendered to the Trustee for cancellation. All Notes delivered to the Trustee shall be canceled promptly by it in accordance with its customary procedures.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spacing w:after="0" w:line="15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CUSIP Numbers</w:t>
      </w:r>
      <w:r>
        <w:rPr>
          <w:rFonts w:ascii="Arial" w:cs="Arial" w:eastAsia="Arial" w:hAnsi="Arial"/>
          <w:sz w:val="16"/>
          <w:szCs w:val="16"/>
          <w:color w:val="auto"/>
        </w:rPr>
        <w:t xml:space="preserve">. The Company in issuing the Notes may use “CUSIP” numbers (if then generally in use), and, if so, the Trustee shall use “CUSIP” numbers in all notices issued to Holders as a convenience to such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have no liability for any defect in the “CUSIP” numbers as they appear on any Note, notice or elsewhere,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8" w:name="page139"/>
    <w:bookmarkEnd w:id="138"/>
    <w:p>
      <w:pPr>
        <w:jc w:val="both"/>
        <w:ind w:firstLine="574"/>
        <w:spacing w:after="0" w:line="269" w:lineRule="auto"/>
        <w:rPr>
          <w:sz w:val="20"/>
          <w:szCs w:val="20"/>
          <w:color w:val="auto"/>
        </w:rPr>
      </w:pPr>
      <w:r>
        <w:rPr>
          <w:rFonts w:ascii="Arial" w:cs="Arial" w:eastAsia="Arial" w:hAnsi="Arial"/>
          <w:sz w:val="15"/>
          <w:szCs w:val="15"/>
          <w:color w:val="auto"/>
        </w:rPr>
        <w:t xml:space="preserve">Section 2.10. </w:t>
      </w:r>
      <w:r>
        <w:rPr>
          <w:rFonts w:ascii="Arial" w:cs="Arial" w:eastAsia="Arial" w:hAnsi="Arial"/>
          <w:sz w:val="15"/>
          <w:szCs w:val="15"/>
          <w:i w:val="1"/>
          <w:iCs w:val="1"/>
          <w:color w:val="auto"/>
        </w:rPr>
        <w:t>Additional Notes; Repurchases</w:t>
      </w:r>
      <w:r>
        <w:rPr>
          <w:rFonts w:ascii="Arial" w:cs="Arial" w:eastAsia="Arial" w:hAnsi="Arial"/>
          <w:sz w:val="15"/>
          <w:szCs w:val="15"/>
          <w:color w:val="auto"/>
        </w:rPr>
        <w:t xml:space="preserve">. The Company may, without the consent of, or notice to, the Holders and notwithstanding Section 2.01,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it has not made a PIK Election prior to such date of issuance of additional Notes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if any such additional Notes are not fungible with the Notes initially issued hereunder for U.S. federal income tax or securities law purposes, such additional Notes shall not have the same CUSIP numbers as the Notes initially issued hereunder. Prior to the issuance of any such additional Notes, the Company shall deliver to the Trustee (copied to the Paying Agent and Note Registrar) a Company Order, an Officer’s Certificate and an Opinion of Counsel, such Officer’s Certificate and Opinion of Counsel to cover such matters, in addition to those required by Section 18.05,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shall cause any Notes so repurchased (other than Notes repurchased pursuant to cash-settled swaps or other derivatives) to be surrendered to the Trustee for cancellation in accordance with Section 2.08 and such Notes shall no longer be considered outstanding under this Indenture upon their repurchase.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ATISFACTION AND</w:t>
      </w:r>
      <w:r>
        <w:rPr>
          <w:rFonts w:ascii="Arial" w:cs="Arial" w:eastAsia="Arial" w:hAnsi="Arial"/>
          <w:sz w:val="16"/>
          <w:szCs w:val="16"/>
          <w:color w:val="auto"/>
        </w:rPr>
        <w:t xml:space="preserve"> D</w:t>
      </w:r>
      <w:r>
        <w:rPr>
          <w:rFonts w:ascii="Arial" w:cs="Arial" w:eastAsia="Arial" w:hAnsi="Arial"/>
          <w:sz w:val="10"/>
          <w:szCs w:val="10"/>
          <w:color w:val="auto"/>
        </w:rPr>
        <w:t>ISCHARGE</w:t>
      </w:r>
    </w:p>
    <w:p>
      <w:pPr>
        <w:spacing w:after="0" w:line="186"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Satisfaction and Discharge</w:t>
      </w:r>
      <w:r>
        <w:rPr>
          <w:rFonts w:ascii="Arial" w:cs="Arial" w:eastAsia="Arial" w:hAnsi="Arial"/>
          <w:sz w:val="16"/>
          <w:szCs w:val="16"/>
          <w:color w:val="auto"/>
        </w:rPr>
        <w:t>. This Indenture and the Notes shall upon request of the Company contained in an Officer’s Certificate cease to be of further effect, and the Trustee, at the expense of the Company, shall execute such instruments reasonably requested by the Company acknowledging satisfaction and discharge of this Indenture and the Notes, when (a) (i) all Notes theretofore authenticated and delivered (other than Notes which have been destroyed, lost or stolen and which have been replaced, paid or converted as provided in Section 2.06)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and/or shares of Common Stock (or other Reference Property) or a combination thereof, as applicable, solely to satisfy the Company’s Conversion Obligation,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w:t>
      </w:r>
      <w:r>
        <w:rPr>
          <w:rFonts w:ascii="Arial" w:cs="Arial" w:eastAsia="Arial" w:hAnsi="Arial"/>
          <w:sz w:val="10"/>
          <w:szCs w:val="10"/>
          <w:color w:val="auto"/>
        </w:rPr>
        <w:t>ARTICULAR</w:t>
      </w:r>
      <w:r>
        <w:rPr>
          <w:rFonts w:ascii="Arial" w:cs="Arial" w:eastAsia="Arial" w:hAnsi="Arial"/>
          <w:sz w:val="16"/>
          <w:szCs w:val="16"/>
          <w:color w:val="auto"/>
        </w:rPr>
        <w:t xml:space="preserve"> C</w:t>
      </w:r>
      <w:r>
        <w:rPr>
          <w:rFonts w:ascii="Arial" w:cs="Arial" w:eastAsia="Arial" w:hAnsi="Arial"/>
          <w:sz w:val="10"/>
          <w:szCs w:val="10"/>
          <w:color w:val="auto"/>
        </w:rPr>
        <w:t>OVENANTS OF THE</w:t>
      </w:r>
      <w:r>
        <w:rPr>
          <w:rFonts w:ascii="Arial" w:cs="Arial" w:eastAsia="Arial" w:hAnsi="Arial"/>
          <w:sz w:val="16"/>
          <w:szCs w:val="16"/>
          <w:color w:val="auto"/>
        </w:rPr>
        <w:t xml:space="preserve"> C</w:t>
      </w:r>
      <w:r>
        <w:rPr>
          <w:rFonts w:ascii="Arial" w:cs="Arial" w:eastAsia="Arial" w:hAnsi="Arial"/>
          <w:sz w:val="10"/>
          <w:szCs w:val="10"/>
          <w:color w:val="auto"/>
        </w:rPr>
        <w:t>OMPANY</w:t>
      </w:r>
    </w:p>
    <w:p>
      <w:pPr>
        <w:spacing w:after="0" w:line="18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Payment of Principal and Interest</w:t>
      </w:r>
      <w:r>
        <w:rPr>
          <w:rFonts w:ascii="Arial" w:cs="Arial" w:eastAsia="Arial" w:hAnsi="Arial"/>
          <w:sz w:val="16"/>
          <w:szCs w:val="16"/>
          <w:color w:val="auto"/>
        </w:rPr>
        <w:t>.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the Maturity Date, the Company shall repay the principal of each of the Notes (the “</w:t>
      </w:r>
      <w:r>
        <w:rPr>
          <w:rFonts w:ascii="Arial" w:cs="Arial" w:eastAsia="Arial" w:hAnsi="Arial"/>
          <w:sz w:val="16"/>
          <w:szCs w:val="16"/>
          <w:b w:val="1"/>
          <w:bCs w:val="1"/>
          <w:color w:val="auto"/>
        </w:rPr>
        <w:t>Maturity Obligation</w:t>
      </w:r>
      <w:r>
        <w:rPr>
          <w:rFonts w:ascii="Arial" w:cs="Arial" w:eastAsia="Arial" w:hAnsi="Arial"/>
          <w:sz w:val="16"/>
          <w:szCs w:val="16"/>
          <w:color w:val="auto"/>
        </w:rPr>
        <w:t>”) by Cash Settlement.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9" w:name="page140"/>
    <w:bookmarkEnd w:id="139"/>
    <w:p>
      <w:pPr>
        <w:jc w:val="both"/>
        <w:ind w:firstLine="574"/>
        <w:spacing w:after="0" w:line="254" w:lineRule="auto"/>
        <w:rPr>
          <w:sz w:val="20"/>
          <w:szCs w:val="20"/>
          <w:color w:val="auto"/>
        </w:rPr>
      </w:pPr>
      <w:r>
        <w:rPr>
          <w:rFonts w:ascii="Arial" w:cs="Arial" w:eastAsia="Arial" w:hAnsi="Arial"/>
          <w:sz w:val="16"/>
          <w:szCs w:val="16"/>
          <w:color w:val="auto"/>
        </w:rPr>
        <w:t>In the event that the Company determines to pay PIK Interest for any interest period, then Company will deliver a notice substantially in the form of Exhibit B (a “</w:t>
      </w:r>
      <w:r>
        <w:rPr>
          <w:rFonts w:ascii="Arial" w:cs="Arial" w:eastAsia="Arial" w:hAnsi="Arial"/>
          <w:sz w:val="16"/>
          <w:szCs w:val="16"/>
          <w:b w:val="1"/>
          <w:bCs w:val="1"/>
          <w:color w:val="auto"/>
        </w:rPr>
        <w:t>PIK</w:t>
      </w:r>
      <w:r>
        <w:rPr>
          <w:rFonts w:ascii="Arial" w:cs="Arial" w:eastAsia="Arial" w:hAnsi="Arial"/>
          <w:sz w:val="16"/>
          <w:szCs w:val="16"/>
          <w:color w:val="auto"/>
        </w:rPr>
        <w:t xml:space="preserve"> </w:t>
      </w:r>
      <w:r>
        <w:rPr>
          <w:rFonts w:ascii="Arial" w:cs="Arial" w:eastAsia="Arial" w:hAnsi="Arial"/>
          <w:sz w:val="16"/>
          <w:szCs w:val="16"/>
          <w:b w:val="1"/>
          <w:bCs w:val="1"/>
          <w:color w:val="auto"/>
        </w:rPr>
        <w:t>Election</w:t>
      </w:r>
      <w:r>
        <w:rPr>
          <w:rFonts w:ascii="Arial" w:cs="Arial" w:eastAsia="Arial" w:hAnsi="Arial"/>
          <w:sz w:val="16"/>
          <w:szCs w:val="16"/>
          <w:color w:val="auto"/>
        </w:rPr>
        <w:t>”) to the Trustee no later than 30 days prior to the beginning of the relevant interest period, which notice will state the total amount of interest to be paid on the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Date in respect of such interest period and the amount of such interest to be paid as PIK Interest. The Trustee, on behalf of the Company, will promptly deliver a corresponding notice provided by the Company to the Holders. The Company shall not make a PIK Election if a Default or an Event of Default has occurred and is continuing. For the avoidance of doubt, the Company shall not be permitted to pay interest in the form of PIK Interest in connection with a redemption or in connection with a Fundamental Change. For the avoidance of doubt, interest on the Notes in respect of any interest period for which a PIK Election is not timely delivered must be paid entirely in cash (“</w:t>
      </w:r>
      <w:r>
        <w:rPr>
          <w:rFonts w:ascii="Arial" w:cs="Arial" w:eastAsia="Arial" w:hAnsi="Arial"/>
          <w:sz w:val="16"/>
          <w:szCs w:val="16"/>
          <w:b w:val="1"/>
          <w:bCs w:val="1"/>
          <w:color w:val="auto"/>
        </w:rPr>
        <w:t>Cash</w:t>
      </w:r>
      <w:r>
        <w:rPr>
          <w:rFonts w:ascii="Arial" w:cs="Arial" w:eastAsia="Arial" w:hAnsi="Arial"/>
          <w:sz w:val="16"/>
          <w:szCs w:val="16"/>
          <w:color w:val="auto"/>
        </w:rPr>
        <w:t xml:space="preserve"> </w:t>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171"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Cash Interest shall be considered paid on the date due if the Paying Agent, if other than the Company or a Subsidiary, holds as of 10:00 a.m. (New York City time) on the due date money deposited by the Company in immediately available funds and designated for and sufficient to pay all principal, premium, if any, and Cash Interest then due. PIK Interest shall be considered paid on the date due if on such date the Trustee has received (i) an Authentication Order to increase the balance of any Global Note to reflect such PIK Interest or (ii) PIK Notes duly executed by the Company together with Authentication Order requesting the authentication of such PIK Notes by the Trustee.</w:t>
      </w:r>
    </w:p>
    <w:p>
      <w:pPr>
        <w:spacing w:after="0" w:line="135"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Maintenance of Office or Agency</w:t>
      </w:r>
      <w:r>
        <w:rPr>
          <w:rFonts w:ascii="Arial" w:cs="Arial" w:eastAsia="Arial" w:hAnsi="Arial"/>
          <w:sz w:val="16"/>
          <w:szCs w:val="16"/>
          <w:color w:val="auto"/>
        </w:rPr>
        <w:t>. The Company will maintain in the United States of America, an office or agency where the Notes may be surrendered for registration of transfer or exchange or for presentation for payment or repurchase or redemption (“</w:t>
      </w:r>
      <w:r>
        <w:rPr>
          <w:rFonts w:ascii="Arial" w:cs="Arial" w:eastAsia="Arial" w:hAnsi="Arial"/>
          <w:sz w:val="16"/>
          <w:szCs w:val="16"/>
          <w:b w:val="1"/>
          <w:bCs w:val="1"/>
          <w:color w:val="auto"/>
        </w:rPr>
        <w:t>Paying Agent</w:t>
      </w:r>
      <w:r>
        <w:rPr>
          <w:rFonts w:ascii="Arial" w:cs="Arial" w:eastAsia="Arial" w:hAnsi="Arial"/>
          <w:sz w:val="16"/>
          <w:szCs w:val="16"/>
          <w:color w:val="auto"/>
        </w:rPr>
        <w:t>”) or for conversion (“</w:t>
      </w:r>
      <w:r>
        <w:rPr>
          <w:rFonts w:ascii="Arial" w:cs="Arial" w:eastAsia="Arial" w:hAnsi="Arial"/>
          <w:sz w:val="16"/>
          <w:szCs w:val="16"/>
          <w:b w:val="1"/>
          <w:bCs w:val="1"/>
          <w:color w:val="auto"/>
        </w:rPr>
        <w:t>Conversion Agent</w:t>
      </w:r>
      <w:r>
        <w:rPr>
          <w:rFonts w:ascii="Arial" w:cs="Arial" w:eastAsia="Arial" w:hAnsi="Arial"/>
          <w:sz w:val="16"/>
          <w:szCs w:val="16"/>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located in the United States.</w:t>
      </w:r>
    </w:p>
    <w:p>
      <w:pPr>
        <w:spacing w:after="0" w:line="170"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 The terms “</w:t>
      </w:r>
      <w:r>
        <w:rPr>
          <w:rFonts w:ascii="Arial" w:cs="Arial" w:eastAsia="Arial" w:hAnsi="Arial"/>
          <w:sz w:val="16"/>
          <w:szCs w:val="16"/>
          <w:b w:val="1"/>
          <w:bCs w:val="1"/>
          <w:color w:val="auto"/>
        </w:rPr>
        <w:t>Paying Agent</w:t>
      </w:r>
      <w:r>
        <w:rPr>
          <w:rFonts w:ascii="Arial" w:cs="Arial" w:eastAsia="Arial" w:hAnsi="Arial"/>
          <w:sz w:val="16"/>
          <w:szCs w:val="16"/>
          <w:color w:val="auto"/>
        </w:rPr>
        <w:t>” and “</w:t>
      </w:r>
      <w:r>
        <w:rPr>
          <w:rFonts w:ascii="Arial" w:cs="Arial" w:eastAsia="Arial" w:hAnsi="Arial"/>
          <w:sz w:val="16"/>
          <w:szCs w:val="16"/>
          <w:b w:val="1"/>
          <w:bCs w:val="1"/>
          <w:color w:val="auto"/>
        </w:rPr>
        <w:t>Conversion Agent</w:t>
      </w:r>
      <w:r>
        <w:rPr>
          <w:rFonts w:ascii="Arial" w:cs="Arial" w:eastAsia="Arial" w:hAnsi="Arial"/>
          <w:sz w:val="16"/>
          <w:szCs w:val="16"/>
          <w:color w:val="auto"/>
        </w:rPr>
        <w:t>” include any such additional or other offices or agencies, as applicable.</w:t>
      </w:r>
    </w:p>
    <w:p>
      <w:pPr>
        <w:spacing w:after="0" w:line="170"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Company hereby initially designates the Trustee as the Paying Agent, Note Registrar, Custodian and Conversion Agent and the Corporate Trust Office as the office or agency in the contiguous United States, where Notes may be surrendered for registration of transfer or exchange or for presentation for payment or repurchase or redemption or for conversion and where notices and demands to or upon the Company in respect of the Notes and this Indenture may be served; provided that the Corporate Trust Office shall not be a place for service of legal process for the Company.</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Appointments to Fill Vacancies in Trustee’s Office</w:t>
      </w:r>
      <w:r>
        <w:rPr>
          <w:rFonts w:ascii="Arial" w:cs="Arial" w:eastAsia="Arial" w:hAnsi="Arial"/>
          <w:sz w:val="16"/>
          <w:szCs w:val="16"/>
          <w:color w:val="auto"/>
        </w:rPr>
        <w:t>. The Company, whenever necessary to avoid or fill a vacancy in the office of Trustee, will appoint, in the manner provided in Section 7.09, a Trustee, so that there shall at all times be a Trustee hereunder.</w:t>
      </w:r>
    </w:p>
    <w:p>
      <w:pPr>
        <w:spacing w:after="0" w:line="15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i w:val="1"/>
          <w:iCs w:val="1"/>
          <w:color w:val="auto"/>
        </w:rPr>
        <w:t>Provisions as to Paying Agent.</w:t>
      </w:r>
      <w:r>
        <w:rPr>
          <w:rFonts w:ascii="Arial" w:cs="Arial" w:eastAsia="Arial" w:hAnsi="Arial"/>
          <w:sz w:val="15"/>
          <w:szCs w:val="15"/>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29" w:lineRule="exact"/>
        <w:rPr>
          <w:sz w:val="20"/>
          <w:szCs w:val="20"/>
          <w:color w:val="auto"/>
        </w:rPr>
      </w:pPr>
    </w:p>
    <w:p>
      <w:pPr>
        <w:ind w:right="20" w:firstLine="1716"/>
        <w:spacing w:after="0" w:line="275" w:lineRule="auto"/>
        <w:tabs>
          <w:tab w:leader="none" w:pos="193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that it will hold all sums and PIK Notes held by it as such agent for the payment of the principal (including the Redemption Price and the Fundamental Change Repurchase Price, if applicable) of, or accrued and unpaid interest on, the Notes in trust for the benefit of the Holders of the Notes;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40" w:name="page141"/>
    <w:bookmarkEnd w:id="140"/>
    <w:p>
      <w:pPr>
        <w:ind w:firstLine="1716"/>
        <w:spacing w:after="0" w:line="309" w:lineRule="auto"/>
        <w:tabs>
          <w:tab w:leader="none" w:pos="19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that it will give the Trustee prompt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129" w:lineRule="exact"/>
        <w:rPr>
          <w:rFonts w:ascii="Arial" w:cs="Arial" w:eastAsia="Arial" w:hAnsi="Arial"/>
          <w:sz w:val="15"/>
          <w:szCs w:val="15"/>
          <w:color w:val="auto"/>
        </w:rPr>
      </w:pPr>
    </w:p>
    <w:p>
      <w:pPr>
        <w:ind w:left="2000" w:hanging="284"/>
        <w:spacing w:after="0"/>
        <w:tabs>
          <w:tab w:leader="none" w:pos="20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that at any time during the continuance of an Event of Default, upon request of the Trustee, it will forthwith pay to the Trustee all sums or PIK</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Notes so held in trust.</w:t>
      </w:r>
    </w:p>
    <w:p>
      <w:pPr>
        <w:spacing w:after="0" w:line="186"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of any failure to take such action;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such deposit is made on the due date, such deposit must be received by the Paying Agent by 10:00 a.m., New York City time, on such date.</w:t>
      </w:r>
    </w:p>
    <w:p>
      <w:pPr>
        <w:spacing w:after="0" w:line="135" w:lineRule="exact"/>
        <w:rPr>
          <w:sz w:val="20"/>
          <w:szCs w:val="20"/>
          <w:color w:val="auto"/>
        </w:rPr>
      </w:pPr>
    </w:p>
    <w:p>
      <w:pPr>
        <w:jc w:val="both"/>
        <w:ind w:firstLine="1143"/>
        <w:spacing w:after="0" w:line="297" w:lineRule="auto"/>
        <w:tabs>
          <w:tab w:leader="none" w:pos="1381"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If the Company acts as its own Paying Agent, it shall,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 On the occurrence of any Event of Default under Section 6.01(h) or Section 6.01(i), the Trustee shall automatically become the Paying Agent.</w:t>
      </w:r>
    </w:p>
    <w:p>
      <w:pPr>
        <w:spacing w:after="0" w:line="143" w:lineRule="exact"/>
        <w:rPr>
          <w:rFonts w:ascii="Arial" w:cs="Arial" w:eastAsia="Arial" w:hAnsi="Arial"/>
          <w:sz w:val="14"/>
          <w:szCs w:val="14"/>
          <w:color w:val="auto"/>
        </w:rPr>
      </w:pPr>
    </w:p>
    <w:p>
      <w:pPr>
        <w:jc w:val="both"/>
        <w:ind w:firstLine="1143"/>
        <w:spacing w:after="0" w:line="306" w:lineRule="auto"/>
        <w:tabs>
          <w:tab w:leader="none" w:pos="1361"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34" w:lineRule="exact"/>
        <w:rPr>
          <w:rFonts w:ascii="Arial" w:cs="Arial" w:eastAsia="Arial" w:hAnsi="Arial"/>
          <w:sz w:val="14"/>
          <w:szCs w:val="14"/>
          <w:color w:val="auto"/>
        </w:rPr>
      </w:pPr>
    </w:p>
    <w:p>
      <w:pPr>
        <w:jc w:val="both"/>
        <w:ind w:right="20" w:firstLine="1143"/>
        <w:spacing w:after="0" w:line="253" w:lineRule="auto"/>
        <w:tabs>
          <w:tab w:leader="none" w:pos="137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Subject to applicable escheatment laws, any money and shares of Common Stock deposited with the Trustee, the Conversion Agent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Trustee shall have no further liability with respect to such fund or property; and the Holder of such Note shall thereafter, as an unsecured general creditor, look only to the Company for payment thereof, and all liability of the Trustee, the Conversion Agent or such Paying Agent with respect to such trust money and shares of Common Stock, and all liability of the Company as trustee thereof, shall thereupon cease.</w:t>
      </w:r>
    </w:p>
    <w:p>
      <w:pPr>
        <w:spacing w:after="0" w:line="169"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Existence</w:t>
      </w:r>
      <w:r>
        <w:rPr>
          <w:rFonts w:ascii="Arial" w:cs="Arial" w:eastAsia="Arial" w:hAnsi="Arial"/>
          <w:sz w:val="16"/>
          <w:szCs w:val="16"/>
          <w:color w:val="auto"/>
        </w:rPr>
        <w:t>. Subject to Article 11, the Company shall do or cause to be done all things necessary to preserve and keep in full force and effect its corporate existence.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1" w:name="page142"/>
    <w:bookmarkEnd w:id="141"/>
    <w:p>
      <w:pPr>
        <w:jc w:val="both"/>
        <w:ind w:firstLine="574"/>
        <w:spacing w:after="0" w:line="255"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Rule 144A Information Requirement and Annual Reports.</w:t>
      </w:r>
      <w:r>
        <w:rPr>
          <w:rFonts w:ascii="Arial" w:cs="Arial" w:eastAsia="Arial" w:hAnsi="Arial"/>
          <w:sz w:val="16"/>
          <w:szCs w:val="16"/>
          <w:color w:val="auto"/>
        </w:rPr>
        <w:t xml:space="preserve">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170" w:lineRule="exact"/>
        <w:rPr>
          <w:sz w:val="20"/>
          <w:szCs w:val="20"/>
          <w:color w:val="auto"/>
        </w:rPr>
      </w:pPr>
    </w:p>
    <w:p>
      <w:pPr>
        <w:jc w:val="both"/>
        <w:ind w:firstLine="1143"/>
        <w:spacing w:after="0" w:line="253" w:lineRule="auto"/>
        <w:tabs>
          <w:tab w:leader="none" w:pos="13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or with respect to which the Company is actively seeking, confidential treatment and any correspondence with the Commission, and giving effect to any grace period provided by Rule 12b-25 under the Exchange Act (or any successor thereto)). Any such document or report that the Company files with the Commission via the Commission’s EDGAR system (or any successor system) shall be deemed to be filed with the Trustee for purposes of this Section 4.06(b) at the time such documents are filed via the EDGAR system (or such successor). The Trustee shall have no responsibility to determine whether such posting has occurred.</w:t>
      </w:r>
    </w:p>
    <w:p>
      <w:pPr>
        <w:spacing w:after="0" w:line="171" w:lineRule="exact"/>
        <w:rPr>
          <w:rFonts w:ascii="Arial" w:cs="Arial" w:eastAsia="Arial" w:hAnsi="Arial"/>
          <w:sz w:val="16"/>
          <w:szCs w:val="16"/>
          <w:color w:val="auto"/>
        </w:rPr>
      </w:pPr>
    </w:p>
    <w:p>
      <w:pPr>
        <w:jc w:val="both"/>
        <w:ind w:firstLine="1143"/>
        <w:spacing w:after="0" w:line="287" w:lineRule="auto"/>
        <w:tabs>
          <w:tab w:leader="none" w:pos="1364" w:val="left"/>
        </w:tabs>
        <w:numPr>
          <w:ilvl w:val="0"/>
          <w:numId w:val="130"/>
        </w:numPr>
        <w:rPr>
          <w:rFonts w:ascii="Arial" w:cs="Arial" w:eastAsia="Arial" w:hAnsi="Arial"/>
          <w:sz w:val="15"/>
          <w:szCs w:val="15"/>
          <w:color w:val="auto"/>
        </w:rPr>
      </w:pPr>
      <w:r>
        <w:rPr>
          <w:rFonts w:ascii="Arial" w:cs="Arial" w:eastAsia="Arial" w:hAnsi="Arial"/>
          <w:sz w:val="15"/>
          <w:szCs w:val="15"/>
          <w:color w:val="auto"/>
        </w:rPr>
        <w:t>Delivery of the reports, information and documents described in subsection (b) above to the Trustee is for informational purposes only, and the information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46" w:lineRule="exact"/>
        <w:rPr>
          <w:rFonts w:ascii="Arial" w:cs="Arial" w:eastAsia="Arial" w:hAnsi="Arial"/>
          <w:sz w:val="15"/>
          <w:szCs w:val="15"/>
          <w:color w:val="auto"/>
        </w:rPr>
      </w:pPr>
    </w:p>
    <w:p>
      <w:pPr>
        <w:jc w:val="both"/>
        <w:ind w:firstLine="1143"/>
        <w:spacing w:after="0" w:line="269" w:lineRule="auto"/>
        <w:tabs>
          <w:tab w:leader="none" w:pos="1392"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If, at any time following the one year anniversary of the Last Original Issue Date, the Company fails to timely file any document or report that it is required to file with the Commission pursuant to Section 13 or 15(d) of the Exchange Act, as applicable (after giving effect to all applicable grace periods thereunder and other than reports on Form 8-K),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or the Notes fail to be subject to a registration statement that has become effective or been declared effective under the Securities Act and that continues to be effective in accordance with the terms of the Registration Rights Agreement, the Company shall pay Additional Interest on the Notes. Such Additional Interest shall accrue on the Notes at the rate of (i) 0.25% per annum of the principal amount of the Notes outstanding for each of the first 90 days and (ii) 0.50% per annum of the principal amount of the Notes outstanding for each day from, and including, the 91st day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the existence of the Restrictive Notes Legend on Notes in compliance with Section 2.05(c).</w:t>
      </w:r>
    </w:p>
    <w:p>
      <w:pPr>
        <w:spacing w:after="0" w:line="161" w:lineRule="exact"/>
        <w:rPr>
          <w:rFonts w:ascii="Arial" w:cs="Arial" w:eastAsia="Arial" w:hAnsi="Arial"/>
          <w:sz w:val="15"/>
          <w:szCs w:val="15"/>
          <w:color w:val="auto"/>
        </w:rPr>
      </w:pPr>
    </w:p>
    <w:p>
      <w:pPr>
        <w:ind w:left="1360" w:hanging="217"/>
        <w:spacing w:after="0"/>
        <w:tabs>
          <w:tab w:leader="none" w:pos="13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Additional Interest will be payable in cash in arrears on each Interest Payment Date following accrual in the same manner as regular interest on the Notes.</w:t>
      </w:r>
    </w:p>
    <w:p>
      <w:pPr>
        <w:spacing w:after="0" w:line="221" w:lineRule="exact"/>
        <w:rPr>
          <w:rFonts w:ascii="Arial" w:cs="Arial" w:eastAsia="Arial" w:hAnsi="Arial"/>
          <w:sz w:val="14"/>
          <w:szCs w:val="14"/>
          <w:color w:val="auto"/>
        </w:rPr>
      </w:pPr>
    </w:p>
    <w:p>
      <w:pPr>
        <w:jc w:val="both"/>
        <w:ind w:firstLine="1143"/>
        <w:spacing w:after="0" w:line="253" w:lineRule="auto"/>
        <w:tabs>
          <w:tab w:leader="none" w:pos="135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Subject to the immediately succeeding sentence, the Additional Interest that is payable in accordance with Section 4.06(d) shall be in addition to, and not in lieu of, any Additional Interest that may be payable as a result of the Company’s election pursuant to Section 6.03. However, in no event shall Additional Interest payable for the Company’s failure to comply with its obligations to timely file any document or report that the Company is required to file with the Commission pursuant to Section 13 or 15(d) of the Exchange Act, as applicable (after giving effect to all applicable grace periods thereunder and other than reports on Form 8-K), as set forth in Section 4.06(d), together with any Additional 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Additional Interest.</w:t>
      </w:r>
    </w:p>
    <w:p>
      <w:pPr>
        <w:spacing w:after="0" w:line="171" w:lineRule="exact"/>
        <w:rPr>
          <w:rFonts w:ascii="Arial" w:cs="Arial" w:eastAsia="Arial" w:hAnsi="Arial"/>
          <w:sz w:val="16"/>
          <w:szCs w:val="16"/>
          <w:color w:val="auto"/>
        </w:rPr>
      </w:pPr>
    </w:p>
    <w:p>
      <w:pPr>
        <w:jc w:val="both"/>
        <w:ind w:right="20" w:firstLine="1143"/>
        <w:spacing w:after="0" w:line="276" w:lineRule="auto"/>
        <w:tabs>
          <w:tab w:leader="none" w:pos="1383"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If Additional Interest is payable by the Company pursuant to Section 4.06(d), the Company shall deliver to the Trustee (copied to the Paying Agent)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and the Trustee shall not have any duty to verify the Company’s calculation of Additional Interest. If the Company has paid Additional Interest directly to the Persons entitled to it, the Company shall deliver to the Trustee an Officer’s Certificate setting forth the particulars of such payment.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2" w:name="page143"/>
    <w:bookmarkEnd w:id="142"/>
    <w:p>
      <w:pPr>
        <w:jc w:val="both"/>
        <w:ind w:left="4" w:firstLine="574"/>
        <w:spacing w:after="0" w:line="254"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i w:val="1"/>
          <w:iCs w:val="1"/>
          <w:color w:val="auto"/>
        </w:rPr>
        <w:t>Stay, Extension and Usury Laws</w:t>
      </w:r>
      <w:r>
        <w:rPr>
          <w:rFonts w:ascii="Arial" w:cs="Arial" w:eastAsia="Arial" w:hAnsi="Arial"/>
          <w:sz w:val="16"/>
          <w:szCs w:val="16"/>
          <w:color w:val="auto"/>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70" w:lineRule="exact"/>
        <w:rPr>
          <w:sz w:val="20"/>
          <w:szCs w:val="20"/>
          <w:color w:val="auto"/>
        </w:rPr>
      </w:pPr>
    </w:p>
    <w:p>
      <w:pPr>
        <w:jc w:val="both"/>
        <w:ind w:left="4" w:right="20" w:firstLine="574"/>
        <w:spacing w:after="0" w:line="223"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Compliance Certificate; Statements as to Defaults</w:t>
      </w:r>
      <w:r>
        <w:rPr>
          <w:rFonts w:ascii="Arial" w:cs="Arial" w:eastAsia="Arial" w:hAnsi="Arial"/>
          <w:sz w:val="16"/>
          <w:szCs w:val="16"/>
          <w:color w:val="auto"/>
        </w:rPr>
        <w:t>. The Company shall deliver to the Trustee within 120 days after the end of each fiscal year of the Company (beginning with the fiscal year ending on [June 30, 2022]</w:t>
      </w:r>
      <w:r>
        <w:rPr>
          <w:rFonts w:ascii="Arial" w:cs="Arial" w:eastAsia="Arial" w:hAnsi="Arial"/>
          <w:sz w:val="26"/>
          <w:szCs w:val="26"/>
          <w:color w:val="auto"/>
          <w:vertAlign w:val="superscript"/>
        </w:rPr>
        <w:t>13</w:t>
      </w:r>
      <w:r>
        <w:rPr>
          <w:rFonts w:ascii="Arial" w:cs="Arial" w:eastAsia="Arial" w:hAnsi="Arial"/>
          <w:sz w:val="16"/>
          <w:szCs w:val="16"/>
          <w:color w:val="auto"/>
        </w:rPr>
        <w:t>) an Officer’s Certificate stating whether the signers thereof have knowledge of any Default or Event of Default that occurred during the previous year and, if so, specifying each such Default or Event of Default and the nature thereof.</w:t>
      </w:r>
    </w:p>
    <w:p>
      <w:pPr>
        <w:spacing w:after="0" w:line="181" w:lineRule="exact"/>
        <w:rPr>
          <w:sz w:val="20"/>
          <w:szCs w:val="20"/>
          <w:color w:val="auto"/>
        </w:rPr>
      </w:pPr>
    </w:p>
    <w:p>
      <w:pPr>
        <w:jc w:val="both"/>
        <w:ind w:left="4" w:firstLine="574"/>
        <w:spacing w:after="0" w:line="317" w:lineRule="auto"/>
        <w:rPr>
          <w:sz w:val="20"/>
          <w:szCs w:val="20"/>
          <w:color w:val="auto"/>
        </w:rPr>
      </w:pPr>
      <w:r>
        <w:rPr>
          <w:rFonts w:ascii="Arial" w:cs="Arial" w:eastAsia="Arial" w:hAnsi="Arial"/>
          <w:sz w:val="14"/>
          <w:szCs w:val="14"/>
          <w:color w:val="auto"/>
        </w:rPr>
        <w:t>In addition, the Company shall deliver to the Trustee, within 30 days after the occurrence of any Event of Default or Default, an Officer’s Certificate setting forth the details of such Event of Default or Default, its status and the action that the Company is taking or proposing to take in respect thereof; provided that the Company shall not be required to deliver such Officer’s Certificate if such Default or Event of Default has been cured within the applicable grace period (if any) provided for in this Indenture.</w:t>
      </w:r>
    </w:p>
    <w:p>
      <w:pPr>
        <w:spacing w:after="0" w:line="127"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i w:val="1"/>
          <w:iCs w:val="1"/>
          <w:color w:val="auto"/>
        </w:rPr>
        <w:t>Further Instruments and Acts</w:t>
      </w:r>
      <w:r>
        <w:rPr>
          <w:rFonts w:ascii="Arial" w:cs="Arial" w:eastAsia="Arial" w:hAnsi="Arial"/>
          <w:sz w:val="16"/>
          <w:szCs w:val="16"/>
          <w:color w:val="auto"/>
        </w:rPr>
        <w:t>. Upon request of the Trustee, the Company will execute and deliver such further instruments and do such further acts as may be reasonably necessary or proper to carry out more effectively the purposes of this Indenture.</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Limitations on Certain Restricted Payments</w:t>
      </w:r>
      <w:r>
        <w:rPr>
          <w:rFonts w:ascii="Arial" w:cs="Arial" w:eastAsia="Arial" w:hAnsi="Arial"/>
          <w:sz w:val="16"/>
          <w:szCs w:val="16"/>
          <w:color w:val="auto"/>
        </w:rPr>
        <w:t>.</w:t>
      </w:r>
    </w:p>
    <w:p>
      <w:pPr>
        <w:spacing w:after="0" w:line="198" w:lineRule="exact"/>
        <w:rPr>
          <w:sz w:val="20"/>
          <w:szCs w:val="20"/>
          <w:color w:val="auto"/>
        </w:rPr>
      </w:pPr>
    </w:p>
    <w:p>
      <w:pPr>
        <w:ind w:left="1364" w:hanging="217"/>
        <w:spacing w:after="0"/>
        <w:tabs>
          <w:tab w:leader="none" w:pos="1364"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Company shall not, and shall not permit any of its Subsidiaries to, directly or indirectly:</w:t>
      </w:r>
    </w:p>
    <w:p>
      <w:pPr>
        <w:spacing w:after="0" w:line="198" w:lineRule="exact"/>
        <w:rPr>
          <w:rFonts w:ascii="Arial" w:cs="Arial" w:eastAsia="Arial" w:hAnsi="Arial"/>
          <w:sz w:val="16"/>
          <w:szCs w:val="16"/>
          <w:color w:val="auto"/>
        </w:rPr>
      </w:pPr>
    </w:p>
    <w:p>
      <w:pPr>
        <w:jc w:val="both"/>
        <w:ind w:left="4" w:right="20" w:firstLine="1716"/>
        <w:spacing w:after="0" w:line="258" w:lineRule="auto"/>
        <w:tabs>
          <w:tab w:leader="none" w:pos="1926" w:val="left"/>
        </w:tabs>
        <w:numPr>
          <w:ilvl w:val="2"/>
          <w:numId w:val="131"/>
        </w:numPr>
        <w:rPr>
          <w:rFonts w:ascii="Arial" w:cs="Arial" w:eastAsia="Arial" w:hAnsi="Arial"/>
          <w:sz w:val="16"/>
          <w:szCs w:val="16"/>
          <w:color w:val="auto"/>
        </w:rPr>
      </w:pPr>
      <w:r>
        <w:rPr>
          <w:rFonts w:ascii="Arial" w:cs="Arial" w:eastAsia="Arial" w:hAnsi="Arial"/>
          <w:sz w:val="16"/>
          <w:szCs w:val="16"/>
          <w:color w:val="auto"/>
        </w:rPr>
        <w:t>declare or pay any dividend on, or make any other payment or distribution in respect of, its Equity Interests or similar payment to the direct or indirect holders thereof in their capacity as such (other than any dividends or distributions payable solely in its Equity Interests and dividends or distributions payable to the Company or any of its Subsidiaries (and, if such Subsidiary has stockholders other than the Company or other Subsidiaries, to its other stockholders on no more than a pro rata basis));</w:t>
      </w:r>
    </w:p>
    <w:p>
      <w:pPr>
        <w:spacing w:after="0" w:line="164" w:lineRule="exact"/>
        <w:rPr>
          <w:rFonts w:ascii="Arial" w:cs="Arial" w:eastAsia="Arial" w:hAnsi="Arial"/>
          <w:sz w:val="16"/>
          <w:szCs w:val="16"/>
          <w:color w:val="auto"/>
        </w:rPr>
      </w:pPr>
    </w:p>
    <w:p>
      <w:pPr>
        <w:ind w:left="4" w:right="20" w:firstLine="1716"/>
        <w:spacing w:after="0" w:line="309" w:lineRule="auto"/>
        <w:tabs>
          <w:tab w:leader="none" w:pos="1964" w:val="left"/>
        </w:tabs>
        <w:numPr>
          <w:ilvl w:val="2"/>
          <w:numId w:val="131"/>
        </w:numPr>
        <w:rPr>
          <w:rFonts w:ascii="Arial" w:cs="Arial" w:eastAsia="Arial" w:hAnsi="Arial"/>
          <w:sz w:val="15"/>
          <w:szCs w:val="15"/>
          <w:color w:val="auto"/>
        </w:rPr>
      </w:pPr>
      <w:r>
        <w:rPr>
          <w:rFonts w:ascii="Arial" w:cs="Arial" w:eastAsia="Arial" w:hAnsi="Arial"/>
          <w:sz w:val="15"/>
          <w:szCs w:val="15"/>
          <w:color w:val="auto"/>
        </w:rPr>
        <w:t>purchase, redeem or otherwise acquire or retire for value any Equity Interests of the Company held by any Person or any Equity Interests of any Subsidiary of the Company held by any Affiliate of the Company (in each case other than held by the Company or a Subsidiary of the Company);</w:t>
      </w:r>
    </w:p>
    <w:p>
      <w:pPr>
        <w:spacing w:after="0" w:line="129" w:lineRule="exact"/>
        <w:rPr>
          <w:rFonts w:ascii="Arial" w:cs="Arial" w:eastAsia="Arial" w:hAnsi="Arial"/>
          <w:sz w:val="15"/>
          <w:szCs w:val="15"/>
          <w:color w:val="auto"/>
        </w:rPr>
      </w:pPr>
    </w:p>
    <w:p>
      <w:pPr>
        <w:ind w:left="4" w:firstLine="1716"/>
        <w:spacing w:after="0" w:line="275" w:lineRule="auto"/>
        <w:tabs>
          <w:tab w:leader="none" w:pos="2013" w:val="left"/>
        </w:tabs>
        <w:numPr>
          <w:ilvl w:val="2"/>
          <w:numId w:val="131"/>
        </w:numPr>
        <w:rPr>
          <w:rFonts w:ascii="Arial" w:cs="Arial" w:eastAsia="Arial" w:hAnsi="Arial"/>
          <w:sz w:val="16"/>
          <w:szCs w:val="16"/>
          <w:color w:val="auto"/>
        </w:rPr>
      </w:pPr>
      <w:r>
        <w:rPr>
          <w:rFonts w:ascii="Arial" w:cs="Arial" w:eastAsia="Arial" w:hAnsi="Arial"/>
          <w:sz w:val="16"/>
          <w:szCs w:val="16"/>
          <w:color w:val="auto"/>
        </w:rPr>
        <w:t>make any purchase, repurchase, redemption, defeasance or other acquisition or retirement for value, prior to the scheduled maturity, scheduled repayment or scheduled sinking fund payment of any Indebtedness that is contractually subordinated in right of payment to the Notes; or</w:t>
      </w:r>
    </w:p>
    <w:p>
      <w:pPr>
        <w:spacing w:after="0" w:line="151" w:lineRule="exact"/>
        <w:rPr>
          <w:rFonts w:ascii="Arial" w:cs="Arial" w:eastAsia="Arial" w:hAnsi="Arial"/>
          <w:sz w:val="16"/>
          <w:szCs w:val="16"/>
          <w:color w:val="auto"/>
        </w:rPr>
      </w:pPr>
    </w:p>
    <w:p>
      <w:pPr>
        <w:ind w:left="2004" w:hanging="284"/>
        <w:spacing w:after="0"/>
        <w:tabs>
          <w:tab w:leader="none" w:pos="2004" w:val="left"/>
        </w:tabs>
        <w:numPr>
          <w:ilvl w:val="2"/>
          <w:numId w:val="131"/>
        </w:numPr>
        <w:rPr>
          <w:rFonts w:ascii="Arial" w:cs="Arial" w:eastAsia="Arial" w:hAnsi="Arial"/>
          <w:sz w:val="14"/>
          <w:szCs w:val="14"/>
          <w:color w:val="auto"/>
        </w:rPr>
      </w:pPr>
      <w:r>
        <w:rPr>
          <w:rFonts w:ascii="Arial" w:cs="Arial" w:eastAsia="Arial" w:hAnsi="Arial"/>
          <w:sz w:val="14"/>
          <w:szCs w:val="14"/>
          <w:color w:val="auto"/>
        </w:rPr>
        <w:t>make any Restricted Investment (all such payments and other actions set forth in clauses (i) through (iv) above being collectively referred to as</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Payments</w:t>
      </w:r>
      <w:r>
        <w:rPr>
          <w:rFonts w:ascii="Arial" w:cs="Arial" w:eastAsia="Arial" w:hAnsi="Arial"/>
          <w:sz w:val="16"/>
          <w:szCs w:val="16"/>
          <w:color w:val="auto"/>
        </w:rPr>
        <w:t>”).</w:t>
      </w:r>
    </w:p>
    <w:p>
      <w:pPr>
        <w:spacing w:after="0" w:line="185" w:lineRule="exact"/>
        <w:rPr>
          <w:rFonts w:ascii="Arial" w:cs="Arial" w:eastAsia="Arial" w:hAnsi="Arial"/>
          <w:sz w:val="14"/>
          <w:szCs w:val="14"/>
          <w:color w:val="auto"/>
        </w:rPr>
      </w:pPr>
    </w:p>
    <w:p>
      <w:pPr>
        <w:ind w:left="804" w:hanging="231"/>
        <w:spacing w:after="0"/>
        <w:tabs>
          <w:tab w:leader="none" w:pos="80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foregoing provisions will not prohibit:</w:t>
      </w:r>
    </w:p>
    <w:p>
      <w:pPr>
        <w:spacing w:after="0" w:line="198" w:lineRule="exact"/>
        <w:rPr>
          <w:sz w:val="20"/>
          <w:szCs w:val="20"/>
          <w:color w:val="auto"/>
        </w:rPr>
      </w:pPr>
    </w:p>
    <w:p>
      <w:pPr>
        <w:jc w:val="both"/>
        <w:ind w:left="4" w:right="20" w:firstLine="569"/>
        <w:spacing w:after="0" w:line="301" w:lineRule="auto"/>
        <w:tabs>
          <w:tab w:leader="none" w:pos="805" w:val="left"/>
        </w:tabs>
        <w:numPr>
          <w:ilvl w:val="0"/>
          <w:numId w:val="133"/>
        </w:numPr>
        <w:rPr>
          <w:rFonts w:ascii="Arial" w:cs="Arial" w:eastAsia="Arial" w:hAnsi="Arial"/>
          <w:sz w:val="14"/>
          <w:szCs w:val="14"/>
          <w:color w:val="auto"/>
        </w:rPr>
      </w:pPr>
      <w:r>
        <w:rPr>
          <w:rFonts w:ascii="Arial" w:cs="Arial" w:eastAsia="Arial" w:hAnsi="Arial"/>
          <w:sz w:val="14"/>
          <w:szCs w:val="14"/>
          <w:color w:val="auto"/>
        </w:rPr>
        <w:t xml:space="preserve">the redemption, repurchase, retirement or other acquisition for value of any Equity Interests of the Company or any Subsidiary of the Company held by employees, former employees, directors, former directors, consultants or former consultants of the Company (or any of its Subsidiaries) (including any redemption, repurchase, retirement or other acquisition by reason of the Company or any of its Subsidiaries retaining any capital stock or other option, warrant or other right in respect of tax withholding obligations, and any related payment in respect of any such obligation);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aggregate amount of such repurchases and other acquisitions shall not exceed $3.0 million in any fiscal year (with unused amounts in any fiscal year being carried over to succeeding fiscal years subject to a maximum of $6.0 million in any calendar year);</w:t>
      </w:r>
    </w:p>
    <w:p>
      <w:pPr>
        <w:spacing w:after="0" w:line="137" w:lineRule="exact"/>
        <w:rPr>
          <w:rFonts w:ascii="Arial" w:cs="Arial" w:eastAsia="Arial" w:hAnsi="Arial"/>
          <w:sz w:val="14"/>
          <w:szCs w:val="14"/>
          <w:color w:val="auto"/>
        </w:rPr>
      </w:pPr>
    </w:p>
    <w:p>
      <w:pPr>
        <w:ind w:left="4" w:right="20" w:firstLine="569"/>
        <w:spacing w:after="0" w:line="275" w:lineRule="auto"/>
        <w:tabs>
          <w:tab w:leader="none" w:pos="81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repurchases of Capital Stock of the Company deemed to occur upon exercise of stock options, warrants or similar instruments if such Capital Stock represents a portion of the exercise price of such options, warrants or similar instruments;</w:t>
      </w:r>
    </w:p>
    <w:p>
      <w:pPr>
        <w:spacing w:after="0" w:line="151" w:lineRule="exact"/>
        <w:rPr>
          <w:rFonts w:ascii="Arial" w:cs="Arial" w:eastAsia="Arial" w:hAnsi="Arial"/>
          <w:sz w:val="16"/>
          <w:szCs w:val="16"/>
          <w:color w:val="auto"/>
        </w:rPr>
      </w:pPr>
    </w:p>
    <w:p>
      <w:pPr>
        <w:ind w:left="4" w:right="20" w:firstLine="569"/>
        <w:spacing w:after="0" w:line="275" w:lineRule="auto"/>
        <w:tabs>
          <w:tab w:leader="none" w:pos="81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cash payments in lieu of the issuance of fractional shares in connection with the exercise of warrants, options or other securities convertible into or exchangeable for Capital Stock of the Company;</w:t>
      </w:r>
    </w:p>
    <w:p>
      <w:pPr>
        <w:spacing w:after="0" w:line="151" w:lineRule="exact"/>
        <w:rPr>
          <w:rFonts w:ascii="Arial" w:cs="Arial" w:eastAsia="Arial" w:hAnsi="Arial"/>
          <w:sz w:val="16"/>
          <w:szCs w:val="16"/>
          <w:color w:val="auto"/>
        </w:rPr>
      </w:pPr>
    </w:p>
    <w:p>
      <w:pPr>
        <w:jc w:val="both"/>
        <w:ind w:left="4" w:right="20" w:firstLine="569"/>
        <w:spacing w:after="0" w:line="317" w:lineRule="auto"/>
        <w:tabs>
          <w:tab w:leader="none" w:pos="804"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any Restricted Payment made in exchange (including any such exchange pursuant to the exercise of a conversion right or privilege in connection with which cash is paid in lieu of the issuance of fractional shares) for, or with the net cash proceeds from, the substantially concurrent sale of Equity Interests of the Company (other than (i) Disqualified Capital Stock and (ii) Capital Stock issued or sold to a Subsidiary or any employee, director, consultant pursuant to an employee stock ownership plan); and</w:t>
      </w:r>
    </w:p>
    <w:p>
      <w:pPr>
        <w:spacing w:after="0" w:line="126" w:lineRule="exact"/>
        <w:rPr>
          <w:rFonts w:ascii="Arial" w:cs="Arial" w:eastAsia="Arial" w:hAnsi="Arial"/>
          <w:sz w:val="14"/>
          <w:szCs w:val="14"/>
          <w:color w:val="auto"/>
        </w:rPr>
      </w:pPr>
    </w:p>
    <w:p>
      <w:pPr>
        <w:ind w:left="804" w:hanging="231"/>
        <w:spacing w:after="0"/>
        <w:tabs>
          <w:tab w:leader="none" w:pos="80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distributions, dividends or other payments by the Company or any Subsidiary of the Company solely to pay income tax obligations then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9070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01" w:lineRule="exact"/>
        <w:rPr>
          <w:sz w:val="20"/>
          <w:szCs w:val="20"/>
          <w:color w:val="auto"/>
        </w:rPr>
      </w:pPr>
    </w:p>
    <w:p>
      <w:pPr>
        <w:ind w:left="164" w:hanging="164"/>
        <w:spacing w:after="0"/>
        <w:tabs>
          <w:tab w:leader="none" w:pos="164" w:val="left"/>
        </w:tabs>
        <w:numPr>
          <w:ilvl w:val="0"/>
          <w:numId w:val="134"/>
        </w:numPr>
        <w:rPr>
          <w:rFonts w:ascii="Arial" w:cs="Arial" w:eastAsia="Arial" w:hAnsi="Arial"/>
          <w:sz w:val="22"/>
          <w:szCs w:val="22"/>
          <w:color w:val="auto"/>
          <w:vertAlign w:val="superscript"/>
        </w:rPr>
      </w:pPr>
      <w:r>
        <w:rPr>
          <w:rFonts w:ascii="Arial" w:cs="Arial" w:eastAsia="Arial" w:hAnsi="Arial"/>
          <w:sz w:val="14"/>
          <w:szCs w:val="14"/>
          <w:color w:val="auto"/>
        </w:rPr>
        <w:t>NTD: Insert end of first fiscal year after issuance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43" w:name="page144"/>
    <w:bookmarkEnd w:id="143"/>
    <w:p>
      <w:pPr>
        <w:ind w:left="560"/>
        <w:spacing w:after="0"/>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Limitation on Incurrence of Additional Indebtedness</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349" w:lineRule="auto"/>
        <w:tabs>
          <w:tab w:leader="none" w:pos="1378" w:val="left"/>
        </w:tabs>
        <w:numPr>
          <w:ilvl w:val="1"/>
          <w:numId w:val="135"/>
        </w:numPr>
        <w:rPr>
          <w:rFonts w:ascii="Arial" w:cs="Arial" w:eastAsia="Arial" w:hAnsi="Arial"/>
          <w:sz w:val="14"/>
          <w:szCs w:val="14"/>
          <w:color w:val="auto"/>
        </w:rPr>
      </w:pPr>
      <w:r>
        <w:rPr>
          <w:rFonts w:ascii="Arial" w:cs="Arial" w:eastAsia="Arial" w:hAnsi="Arial"/>
          <w:sz w:val="14"/>
          <w:szCs w:val="14"/>
          <w:color w:val="auto"/>
        </w:rPr>
        <w:t>The Company shall not, and shall not permit any of its Subsidiaries to, directly or indirectly, create, incur, assume, guarantee, acquire, become liable, contingently or otherwise, with respect to or otherwise become responsible for payment of (collectively, “</w:t>
      </w:r>
      <w:r>
        <w:rPr>
          <w:rFonts w:ascii="Arial" w:cs="Arial" w:eastAsia="Arial" w:hAnsi="Arial"/>
          <w:sz w:val="14"/>
          <w:szCs w:val="14"/>
          <w:b w:val="1"/>
          <w:bCs w:val="1"/>
          <w:color w:val="auto"/>
        </w:rPr>
        <w:t>incur</w:t>
      </w:r>
      <w:r>
        <w:rPr>
          <w:rFonts w:ascii="Arial" w:cs="Arial" w:eastAsia="Arial" w:hAnsi="Arial"/>
          <w:sz w:val="14"/>
          <w:szCs w:val="14"/>
          <w:color w:val="auto"/>
        </w:rPr>
        <w:t>”) any Indebtedness (including Acquired Indebtedness).</w:t>
      </w:r>
    </w:p>
    <w:p>
      <w:pPr>
        <w:spacing w:after="0" w:line="105" w:lineRule="exact"/>
        <w:rPr>
          <w:rFonts w:ascii="Arial" w:cs="Arial" w:eastAsia="Arial" w:hAnsi="Arial"/>
          <w:sz w:val="14"/>
          <w:szCs w:val="14"/>
          <w:color w:val="auto"/>
        </w:rPr>
      </w:pPr>
    </w:p>
    <w:p>
      <w:pPr>
        <w:ind w:firstLine="1143"/>
        <w:spacing w:after="0" w:line="275" w:lineRule="auto"/>
        <w:tabs>
          <w:tab w:leader="none" w:pos="140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Notwithstanding clause (a) of this Section 4.11, the Company and its Subsidiaries may incur, without duplication, any of the following items of Indebtedness (“</w:t>
      </w:r>
      <w:r>
        <w:rPr>
          <w:rFonts w:ascii="Arial" w:cs="Arial" w:eastAsia="Arial" w:hAnsi="Arial"/>
          <w:sz w:val="16"/>
          <w:szCs w:val="16"/>
          <w:b w:val="1"/>
          <w:bCs w:val="1"/>
          <w:color w:val="auto"/>
        </w:rPr>
        <w:t>Permitted Indebtedness</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firstLine="569"/>
        <w:spacing w:after="0" w:line="262" w:lineRule="auto"/>
        <w:tabs>
          <w:tab w:leader="none" w:pos="80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(X) the Horizon Revolving Credit Facility and (Y) provided that the Horizon Revolving Credit Facility has been permanently repaid, Indebtedness incurred under any Credit Facility by the Company or any of its Subsidiaries (including letters of credit or bankers’ acceptances issued or created under any Credit Facility) not to exceed $10.0 million at any one time outstanding and any Refinancing Indebtedness in respect thereof;</w:t>
      </w:r>
    </w:p>
    <w:p>
      <w:pPr>
        <w:spacing w:after="0" w:line="162" w:lineRule="exact"/>
        <w:rPr>
          <w:rFonts w:ascii="Arial" w:cs="Arial" w:eastAsia="Arial" w:hAnsi="Arial"/>
          <w:sz w:val="16"/>
          <w:szCs w:val="16"/>
          <w:color w:val="auto"/>
        </w:rPr>
      </w:pPr>
    </w:p>
    <w:p>
      <w:pPr>
        <w:ind w:left="800" w:hanging="231"/>
        <w:spacing w:after="0"/>
        <w:tabs>
          <w:tab w:leader="none" w:pos="8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Indebtedness represented by the Notes and the Guarantees (other than any additional Notes, but including any PIK Notes);</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Indebtedness of the Company and its Subsidiaries in existence on the Issue Date (other than the Notes, the Guarantees and any Credit Facility);</w:t>
      </w:r>
    </w:p>
    <w:p>
      <w:pPr>
        <w:spacing w:after="0" w:line="198" w:lineRule="exact"/>
        <w:rPr>
          <w:rFonts w:ascii="Arial" w:cs="Arial" w:eastAsia="Arial" w:hAnsi="Arial"/>
          <w:sz w:val="16"/>
          <w:szCs w:val="16"/>
          <w:color w:val="auto"/>
        </w:rPr>
      </w:pPr>
    </w:p>
    <w:p>
      <w:pPr>
        <w:ind w:right="20" w:firstLine="569"/>
        <w:spacing w:after="0" w:line="309" w:lineRule="auto"/>
        <w:tabs>
          <w:tab w:leader="none" w:pos="812"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Indebtedness arising from the honoring by a bank or other financial institution of a check, draft or similar instrument (except in the case of daylight overdrafts) drawn against insufficient funds in the ordinary course of business;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Indebtedness is extinguished within ten Business Days of incurrence;</w:t>
      </w:r>
    </w:p>
    <w:p>
      <w:pPr>
        <w:spacing w:after="0" w:line="129" w:lineRule="exact"/>
        <w:rPr>
          <w:rFonts w:ascii="Arial" w:cs="Arial" w:eastAsia="Arial" w:hAnsi="Arial"/>
          <w:sz w:val="15"/>
          <w:szCs w:val="15"/>
          <w:color w:val="auto"/>
        </w:rPr>
      </w:pPr>
    </w:p>
    <w:p>
      <w:pPr>
        <w:jc w:val="both"/>
        <w:ind w:firstLine="569"/>
        <w:spacing w:after="0" w:line="253" w:lineRule="auto"/>
        <w:tabs>
          <w:tab w:leader="none" w:pos="81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Indebtedness in respect of (i) workers’ compensation claims, self-insurance obligations, customer guarantees, performance, indemnity, surety, judgment, appeal, advance payment (including progress premiums), customs, value added or other tax or other guarantees or other similar bonds, instruments or obligations and completion guarantees and warranties provided by the Company or a Subsidiary or relating to liabilities, obligations or guarantees incurred in the ordinary course of business , (ii) customer deposits and advance payments (including progress premiums) or similar arrangements received in the ordinary course of business from customers, suppliers or vendors for goods or services purchased in the ordinary course of business , or (iii) any customary treasury, depositary, cash management, automatic clearinghouse arrangements, overdraft protections, credit or debit card, purchase card, electronic funds transfer, cash pooling or netting or setting off arrangements or similar arrangements in the ordinary course of business;</w:t>
      </w:r>
    </w:p>
    <w:p>
      <w:pPr>
        <w:spacing w:after="0" w:line="171" w:lineRule="exact"/>
        <w:rPr>
          <w:rFonts w:ascii="Arial" w:cs="Arial" w:eastAsia="Arial" w:hAnsi="Arial"/>
          <w:sz w:val="16"/>
          <w:szCs w:val="16"/>
          <w:color w:val="auto"/>
        </w:rPr>
      </w:pPr>
    </w:p>
    <w:p>
      <w:pPr>
        <w:jc w:val="both"/>
        <w:ind w:right="20" w:firstLine="569"/>
        <w:spacing w:after="0" w:line="255" w:lineRule="auto"/>
        <w:tabs>
          <w:tab w:leader="none" w:pos="83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Indebtedness (including Capitalized Lease Obligations) of the Company or any of its Subsidiaries incurred to finance the purchase, lease, construction or improvement of any property, plant or equipment used or to be used in the business of the Company or such Subsidiary through the direct purchase of such property, plant or equipment, and any Refinancing Indebtedness which serves to refund or refinance any Indebtedness incurred pursuant to this clause in an aggregate outstanding principal amount which, when taken together with the principal amount of all other Indebtedness incurred pursuant to this clause and then outstanding, will not exceed $10.0 million at any one time outstanding;</w:t>
      </w:r>
    </w:p>
    <w:p>
      <w:pPr>
        <w:spacing w:after="0" w:line="169" w:lineRule="exact"/>
        <w:rPr>
          <w:rFonts w:ascii="Arial" w:cs="Arial" w:eastAsia="Arial" w:hAnsi="Arial"/>
          <w:sz w:val="16"/>
          <w:szCs w:val="16"/>
          <w:color w:val="auto"/>
        </w:rPr>
      </w:pPr>
    </w:p>
    <w:p>
      <w:pPr>
        <w:jc w:val="both"/>
        <w:ind w:right="20" w:firstLine="569"/>
        <w:spacing w:after="0" w:line="262" w:lineRule="auto"/>
        <w:tabs>
          <w:tab w:leader="none" w:pos="8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Indebtedness of (x) the Company or any of its Subsidiaries incurred or issued to finance an acquisition or (y) Persons that are acquired by the Company or any of its Subsidiaries or merged into, amalgamated or consolidated with the Company or any of its Subsidiaries in accordance with the terms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Indebtedness is in an aggregate amount not to exceed $10.0 million at any one time outstanding;</w:t>
      </w:r>
    </w:p>
    <w:p>
      <w:pPr>
        <w:spacing w:after="0" w:line="162" w:lineRule="exact"/>
        <w:rPr>
          <w:rFonts w:ascii="Arial" w:cs="Arial" w:eastAsia="Arial" w:hAnsi="Arial"/>
          <w:sz w:val="16"/>
          <w:szCs w:val="16"/>
          <w:color w:val="auto"/>
        </w:rPr>
      </w:pPr>
    </w:p>
    <w:p>
      <w:pPr>
        <w:jc w:val="both"/>
        <w:ind w:right="20" w:firstLine="569"/>
        <w:spacing w:after="0" w:line="262" w:lineRule="auto"/>
        <w:tabs>
          <w:tab w:leader="none" w:pos="80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guarantees by the Company or any of its Subsidiaries of Indebtedness of the Company or any of its Subsidiaries so long as the incurrence of such Indebtedness is permitted by the terms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which guarantees Indebtedness of the Company (other than the Notes) or of any other Subsidiary will concurrently provide a guarantee of the Notes;</w:t>
      </w:r>
    </w:p>
    <w:p>
      <w:pPr>
        <w:spacing w:after="0" w:line="162" w:lineRule="exact"/>
        <w:rPr>
          <w:rFonts w:ascii="Arial" w:cs="Arial" w:eastAsia="Arial" w:hAnsi="Arial"/>
          <w:sz w:val="16"/>
          <w:szCs w:val="16"/>
          <w:color w:val="auto"/>
        </w:rPr>
      </w:pPr>
    </w:p>
    <w:p>
      <w:pPr>
        <w:jc w:val="both"/>
        <w:ind w:firstLine="569"/>
        <w:spacing w:after="0" w:line="276" w:lineRule="auto"/>
        <w:tabs>
          <w:tab w:leader="none" w:pos="813"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Indebtedness of the Company owing to and held by any Subsidiary of the Company or Indebtedness of a Subsidiary of the Company owing to and held by the Company or any other Subsidiary of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any subsequent issuance or transfer of Capital Stock or any other event which results in any such Indebtedness being beneficially held by a Person other than the Company or a Subsidiary of the Company; and any sale or other transfer of any such Indebtedness to a Person other than the Company or a Subsidiary of the Company shall be deemed, in each case under this clause (9) of this Section 4.11(b), to constitute an incurrence of such Indebtedness on the date of any such issuance, sale or transfer by the Company or such Subsidiary, as the case may be;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4" w:name="page145"/>
    <w:bookmarkEnd w:id="144"/>
    <w:p>
      <w:pPr>
        <w:jc w:val="both"/>
        <w:ind w:firstLine="569"/>
        <w:spacing w:after="0" w:line="290" w:lineRule="auto"/>
        <w:tabs>
          <w:tab w:leader="none" w:pos="907"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incurrence by the Company or any of its Subsidiaries of Indebtedness that serves to refund, refinance, replace, renew, extend or defease (collectively, “refinance” with “refinances,” “refinanced” and “refinancing” having a correlative meaning) any Indebtedness of the Company or any of its Subsidiaries incurred pursuant to Section 4.11(b)(2), (3) or (7) (“</w:t>
      </w:r>
      <w:r>
        <w:rPr>
          <w:rFonts w:ascii="Arial" w:cs="Arial" w:eastAsia="Arial" w:hAnsi="Arial"/>
          <w:sz w:val="14"/>
          <w:szCs w:val="14"/>
          <w:b w:val="1"/>
          <w:bCs w:val="1"/>
          <w:color w:val="auto"/>
        </w:rPr>
        <w:t>Refinancing Indebtedness</w:t>
      </w:r>
      <w:r>
        <w:rPr>
          <w:rFonts w:ascii="Arial" w:cs="Arial" w:eastAsia="Arial" w:hAnsi="Arial"/>
          <w:sz w:val="14"/>
          <w:szCs w:val="14"/>
          <w:color w:val="auto"/>
        </w:rPr>
        <w:t xml:space="preserve">”) on or prior to its respective maturity;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any Refinancing Indebtedness: (A) (i) if the Stated Maturity of the Indebtedness being refinanced is earlier than the Stated Maturity of the Notes, has a Stated Maturity no earlier than the Stated Maturity of the Indebtedness being refinanced or (ii) if the Stated Maturity of the Indebtedness being refinanced is later than the Stated Maturity of the Notes, has a Stated Maturity at least 91 days later than the Stated Maturity of the Notes; (B) has a Weighted Average Life to Maturity at the time such Refinancing Indebtedness is incurred which is not less than the remaining Weighted Average Life to Maturity of the Indebtedness being refinanced (or requires no or nominal payments in cash (other than interest payments) prior to the date that is 91 days after the maturity date of the Notes); (C) to the extent such Refinancing Indebtedness refinances Indebtedness subordinated in right of payment to the Notes or any Guarantee thereof, such Refinancing Indebtedness is subordinated in right of payment to the Notes or such Guarantee at least to the same extent as the Indebtedness being refinanced; and (D)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premiums required by the instruments governing such existing Indebtedness or reasonable tender premiums, as determined in good faith by the Board of Directors of the Company, defeasance costs, accrued interest and fees and expenses in connection with any such refinancing);</w:t>
      </w:r>
    </w:p>
    <w:p>
      <w:pPr>
        <w:spacing w:after="0" w:line="147" w:lineRule="exact"/>
        <w:rPr>
          <w:rFonts w:ascii="Arial" w:cs="Arial" w:eastAsia="Arial" w:hAnsi="Arial"/>
          <w:sz w:val="14"/>
          <w:szCs w:val="14"/>
          <w:color w:val="auto"/>
        </w:rPr>
      </w:pPr>
    </w:p>
    <w:p>
      <w:pPr>
        <w:jc w:val="both"/>
        <w:ind w:right="20" w:firstLine="569"/>
        <w:spacing w:after="0" w:line="258" w:lineRule="auto"/>
        <w:tabs>
          <w:tab w:leader="none" w:pos="88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Indebtedness of the Company or any of its Subsidiaries not to exceed $10.0 million at any one time outstanding and any Refinancing Indebtedness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(x) the Market Capitalization of the Company exceeds $1.1 billion for at least 20 Trading Days (whether or not consecutive) during a period of 30 consecutive Trading Days immediately prior to incurrence and (y) the 30-Day ADTV ending on the Business Day immediately prior to incurrence is greater than or equal to $2 million;</w:t>
      </w:r>
    </w:p>
    <w:p>
      <w:pPr>
        <w:spacing w:after="0" w:line="164" w:lineRule="exact"/>
        <w:rPr>
          <w:rFonts w:ascii="Arial" w:cs="Arial" w:eastAsia="Arial" w:hAnsi="Arial"/>
          <w:sz w:val="16"/>
          <w:szCs w:val="16"/>
          <w:color w:val="auto"/>
        </w:rPr>
      </w:pPr>
    </w:p>
    <w:p>
      <w:pPr>
        <w:jc w:val="both"/>
        <w:ind w:firstLine="569"/>
        <w:spacing w:after="0" w:line="262" w:lineRule="auto"/>
        <w:tabs>
          <w:tab w:leader="none" w:pos="89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Indebtedness arising from agreements of the Issuer or a Subsidiary providing for indemnification, adjustment of purchase price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and</w:t>
      </w:r>
    </w:p>
    <w:p>
      <w:pPr>
        <w:spacing w:after="0" w:line="162" w:lineRule="exact"/>
        <w:rPr>
          <w:rFonts w:ascii="Arial" w:cs="Arial" w:eastAsia="Arial" w:hAnsi="Arial"/>
          <w:sz w:val="16"/>
          <w:szCs w:val="16"/>
          <w:color w:val="auto"/>
        </w:rPr>
      </w:pPr>
    </w:p>
    <w:p>
      <w:pPr>
        <w:ind w:right="20" w:firstLine="569"/>
        <w:spacing w:after="0" w:line="275"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Hedging Obligations (excluding Hedging Obligations entered into for speculative purposes) for the purpose of limiting interest rate risk with respect to any Indebtedness permitted to be incurred pursuant to this covenant, exchange rate risk or commodity pricing risk.</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i w:val="1"/>
          <w:iCs w:val="1"/>
          <w:color w:val="auto"/>
        </w:rPr>
        <w:t>Transactions with Affiliates</w:t>
      </w:r>
      <w:r>
        <w:rPr>
          <w:rFonts w:ascii="Arial" w:cs="Arial" w:eastAsia="Arial" w:hAnsi="Arial"/>
          <w:sz w:val="16"/>
          <w:szCs w:val="16"/>
          <w:color w:val="auto"/>
        </w:rPr>
        <w:t>. The Company shall not, and shall not permit any of its Subsidiaries to, directly or indirectly, make any payment to, or sell, lease, exchange, transfer or otherwise dispose of any of its properties or assets to, or purchase any property or assets from, or enter into or make or amend any contract, agreement, understanding, loan, advance or guarantee with, or for the benefit of, any affiliate (each of the foregoing, an “</w:t>
      </w:r>
      <w:r>
        <w:rPr>
          <w:rFonts w:ascii="Arial" w:cs="Arial" w:eastAsia="Arial" w:hAnsi="Arial"/>
          <w:sz w:val="16"/>
          <w:szCs w:val="16"/>
          <w:b w:val="1"/>
          <w:bCs w:val="1"/>
          <w:color w:val="auto"/>
        </w:rPr>
        <w:t>Affiliate Transaction</w:t>
      </w:r>
      <w:r>
        <w:rPr>
          <w:rFonts w:ascii="Arial" w:cs="Arial" w:eastAsia="Arial" w:hAnsi="Arial"/>
          <w:sz w:val="16"/>
          <w:szCs w:val="16"/>
          <w:color w:val="auto"/>
        </w:rPr>
        <w:t>”) unless such Affiliate Transaction is on terms that are no less favorable to the Company or the relevant Subsidiary than those that would have been obtained in a comparable transaction at the time in an arm’s-length transaction with a person who was not an affiliate.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foregoing provisions will not apply to the following:</w:t>
      </w:r>
    </w:p>
    <w:p>
      <w:pPr>
        <w:spacing w:after="0" w:line="198" w:lineRule="exact"/>
        <w:rPr>
          <w:sz w:val="20"/>
          <w:szCs w:val="20"/>
          <w:color w:val="auto"/>
        </w:rPr>
      </w:pPr>
    </w:p>
    <w:p>
      <w:pPr>
        <w:ind w:firstLine="1143"/>
        <w:spacing w:after="0" w:line="275" w:lineRule="auto"/>
        <w:tabs>
          <w:tab w:leader="none" w:pos="139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employment agreement and other employment benefits (including retirement, health, stock option and other benefit plans) entered into by the Company or any of its Subsidiaries in the ordinary course of business of the Company or such Subsidiary;</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transactions exclusively between or among the Company and/or its Subsidiaries;</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39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agreement existing on the Issue Date, as in effect on the Issue Date, or as modified, amended or amended and restated by any modification, amendment or amendment and restatement (x) that, taken as a whole, is not more disadvantageous to the Holders in any material respect than such agreement as it was in effect on the Issue Date or (y) made in compliance with the applicable provisions of this covenant;</w:t>
      </w:r>
    </w:p>
    <w:p>
      <w:pPr>
        <w:spacing w:after="0" w:line="162" w:lineRule="exact"/>
        <w:rPr>
          <w:rFonts w:ascii="Arial" w:cs="Arial" w:eastAsia="Arial" w:hAnsi="Arial"/>
          <w:sz w:val="16"/>
          <w:szCs w:val="16"/>
          <w:color w:val="auto"/>
        </w:rPr>
      </w:pPr>
    </w:p>
    <w:p>
      <w:pPr>
        <w:ind w:left="1380" w:hanging="237"/>
        <w:spacing w:after="0"/>
        <w:tabs>
          <w:tab w:leader="none" w:pos="13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reasonable compensation of, and indemnity arrangements in favor of, directors of the Company and its Subsidiaries entered into in the ordinary course of</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business;</w:t>
      </w:r>
    </w:p>
    <w:p>
      <w:pPr>
        <w:spacing w:after="0" w:line="185" w:lineRule="exact"/>
        <w:rPr>
          <w:rFonts w:ascii="Arial" w:cs="Arial" w:eastAsia="Arial" w:hAnsi="Arial"/>
          <w:sz w:val="14"/>
          <w:szCs w:val="14"/>
          <w:color w:val="auto"/>
        </w:rPr>
      </w:pPr>
    </w:p>
    <w:p>
      <w:pPr>
        <w:ind w:left="1360" w:hanging="217"/>
        <w:spacing w:after="0"/>
        <w:tabs>
          <w:tab w:leader="none" w:pos="13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issuance or sale of any equity interests of the Company and any contribution to the common equity of the Company; and</w:t>
      </w:r>
    </w:p>
    <w:p>
      <w:pPr>
        <w:spacing w:after="0" w:line="198" w:lineRule="exact"/>
        <w:rPr>
          <w:rFonts w:ascii="Arial" w:cs="Arial" w:eastAsia="Arial" w:hAnsi="Arial"/>
          <w:sz w:val="16"/>
          <w:szCs w:val="16"/>
          <w:color w:val="auto"/>
        </w:rPr>
      </w:pPr>
    </w:p>
    <w:p>
      <w:pPr>
        <w:jc w:val="both"/>
        <w:ind w:right="20" w:firstLine="1143"/>
        <w:spacing w:after="0" w:line="287" w:lineRule="auto"/>
        <w:tabs>
          <w:tab w:leader="none" w:pos="1355"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transactions in which the Company or any Subsidiary of the Company delivers to the Trustee a letter from an Independent Financial Advisor stating that such transaction is fair to the Company or such Subsidiary from a financial point of view or stating that the terms are not materially less favorable than those that could have been obtained by the Company or such Subsidiary in a comparable transaction at such time on an arms’ length basis from a Person that is not an Affiliate.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5" w:name="page146"/>
    <w:bookmarkEnd w:id="145"/>
    <w:p>
      <w:pPr>
        <w:jc w:val="both"/>
        <w:ind w:firstLine="574"/>
        <w:spacing w:after="0" w:line="258"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i w:val="1"/>
          <w:iCs w:val="1"/>
          <w:color w:val="auto"/>
        </w:rPr>
        <w:t>Limitation on Liens</w:t>
      </w:r>
      <w:r>
        <w:rPr>
          <w:rFonts w:ascii="Arial" w:cs="Arial" w:eastAsia="Arial" w:hAnsi="Arial"/>
          <w:sz w:val="16"/>
          <w:szCs w:val="16"/>
          <w:color w:val="auto"/>
        </w:rPr>
        <w:t>. The Company shall not, and shall not permit any of its Subsidiaries, directly or indirectly, to, enter into, create, incur, assume or suffer to exist any Liens of any kind securing Indebtedness, other than Permitted Liens, on or with respect to any property or assets of the Company or any Subsidiary now owned or hereafter acquired or any interest therein or any income or profits therefrom, unless the Notes, the Guarantees and related Obligations are secured on an equal (or senior) and ratable basis with such Indebtedness (and related Obligations).</w:t>
      </w:r>
    </w:p>
    <w:p>
      <w:pPr>
        <w:spacing w:after="0" w:line="16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Section 4.14. </w:t>
      </w:r>
      <w:r>
        <w:rPr>
          <w:rFonts w:ascii="Arial" w:cs="Arial" w:eastAsia="Arial" w:hAnsi="Arial"/>
          <w:sz w:val="14"/>
          <w:szCs w:val="14"/>
          <w:i w:val="1"/>
          <w:iCs w:val="1"/>
          <w:color w:val="auto"/>
        </w:rPr>
        <w:t>Subsidiary Guarantees</w:t>
      </w:r>
      <w:r>
        <w:rPr>
          <w:rFonts w:ascii="Arial" w:cs="Arial" w:eastAsia="Arial" w:hAnsi="Arial"/>
          <w:sz w:val="14"/>
          <w:szCs w:val="14"/>
          <w:color w:val="auto"/>
        </w:rPr>
        <w:t xml:space="preserve">. The Company shall not create any Domestic Subsidiary or permit any of its Domestic Subsidiaries, directly or indirectly, by way of pledge, intercompany note or otherwise, to assume, guarantee or in any other manner become liable with respect to any Indebtedness (other than the Notes) of the Company or any Guarantor, unless, in any such case, such Domestic Subsidiary executes and delivers a supplemental indenture to this Indenture providing a Guarantee as provided in Article 17 by such Domestic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Domestic Subsidiary shall be required to guarantee the Notes if it is prohibited by law from Guaranteeing the Notes.</w:t>
      </w:r>
    </w:p>
    <w:p>
      <w:pPr>
        <w:spacing w:after="0" w:line="13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i w:val="1"/>
          <w:iCs w:val="1"/>
          <w:color w:val="auto"/>
        </w:rPr>
        <w:t>Registration Rights</w:t>
      </w:r>
      <w:r>
        <w:rPr>
          <w:rFonts w:ascii="Arial" w:cs="Arial" w:eastAsia="Arial" w:hAnsi="Arial"/>
          <w:sz w:val="16"/>
          <w:szCs w:val="16"/>
          <w:color w:val="auto"/>
        </w:rPr>
        <w:t>. The Company agrees that the Holders from time to time of Registrable Securities are entitled to the benefits of the Registration Rights Agreement. By its acceptance thereof, the Holder of Registrable Securities will have agreed to be bound by the terms of the Registration Rights Agreement relating to such Registrable Securities.</w:t>
      </w:r>
    </w:p>
    <w:p>
      <w:pPr>
        <w:spacing w:after="0" w:line="162"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Section 4.16. </w:t>
      </w:r>
      <w:r>
        <w:rPr>
          <w:rFonts w:ascii="Arial" w:cs="Arial" w:eastAsia="Arial" w:hAnsi="Arial"/>
          <w:sz w:val="14"/>
          <w:szCs w:val="14"/>
          <w:i w:val="1"/>
          <w:iCs w:val="1"/>
          <w:color w:val="auto"/>
        </w:rPr>
        <w:t>Payment of Taxes</w:t>
      </w:r>
      <w:r>
        <w:rPr>
          <w:rFonts w:ascii="Arial" w:cs="Arial" w:eastAsia="Arial" w:hAnsi="Arial"/>
          <w:sz w:val="14"/>
          <w:szCs w:val="14"/>
          <w:color w:val="auto"/>
        </w:rPr>
        <w:t>. The Company shall pay or discharge or cause to be paid or discharged, before the same shall become delinquent, (i) all material taxes, assessments and governmental charges (including withholding taxes and any penalties, interest and additions to taxes) levied or imposed upon it or properties of it and (ii) all lawful claims for labor, materials and supplies that, if unpaid, might by law become a lien upon the property, except for such non-compliances as could not singly or in the aggregate reasonably be expected to have a material adverse effect on the financial condition or results of operations of the Company and its Subsidiaries, taken as a whole.</w:t>
      </w:r>
    </w:p>
    <w:p>
      <w:pPr>
        <w:spacing w:after="0" w:line="13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Section 4.17. </w:t>
      </w:r>
      <w:r>
        <w:rPr>
          <w:rFonts w:ascii="Arial" w:cs="Arial" w:eastAsia="Arial" w:hAnsi="Arial"/>
          <w:sz w:val="14"/>
          <w:szCs w:val="14"/>
          <w:i w:val="1"/>
          <w:iCs w:val="1"/>
          <w:color w:val="auto"/>
        </w:rPr>
        <w:t>Compliance with Laws</w:t>
      </w:r>
      <w:r>
        <w:rPr>
          <w:rFonts w:ascii="Arial" w:cs="Arial" w:eastAsia="Arial" w:hAnsi="Arial"/>
          <w:sz w:val="14"/>
          <w:szCs w:val="14"/>
          <w:color w:val="auto"/>
        </w:rPr>
        <w:t>. The Company shall comply with all applicable statutes, rules, regulations and orders of the United States of America, all states and municipalities thereof, and of any governmental department, commission, board, regulatory authority, bureau, agency and instrumentality of the foregoing, in respect of the conduct of its respective businesses and the ownership of its respective properties, except for such non-compliances as could not singly or in the aggregate reasonably be expected to have a material adverse effect on the financial condition or results of operations of the Company and its Subsidiaries, taken as a whole.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i w:val="1"/>
          <w:iCs w:val="1"/>
          <w:color w:val="auto"/>
        </w:rPr>
        <w:t>Limitation on Sales of Assets</w:t>
      </w:r>
      <w:r>
        <w:rPr>
          <w:rFonts w:ascii="Arial" w:cs="Arial" w:eastAsia="Arial" w:hAnsi="Arial"/>
          <w:sz w:val="16"/>
          <w:szCs w:val="16"/>
          <w:color w:val="auto"/>
        </w:rPr>
        <w:t>.</w:t>
      </w:r>
    </w:p>
    <w:p>
      <w:pPr>
        <w:spacing w:after="0" w:line="198" w:lineRule="exact"/>
        <w:rPr>
          <w:sz w:val="20"/>
          <w:szCs w:val="20"/>
          <w:color w:val="auto"/>
        </w:rPr>
      </w:pPr>
    </w:p>
    <w:p>
      <w:pPr>
        <w:ind w:left="1360" w:hanging="217"/>
        <w:spacing w:after="0"/>
        <w:tabs>
          <w:tab w:leader="none" w:pos="13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 shall not, and shall not permit any Subsidiary to, make any Asset Sale unless:</w:t>
      </w:r>
    </w:p>
    <w:p>
      <w:pPr>
        <w:spacing w:after="0" w:line="198" w:lineRule="exact"/>
        <w:rPr>
          <w:rFonts w:ascii="Arial" w:cs="Arial" w:eastAsia="Arial" w:hAnsi="Arial"/>
          <w:sz w:val="16"/>
          <w:szCs w:val="16"/>
          <w:color w:val="auto"/>
        </w:rPr>
      </w:pPr>
    </w:p>
    <w:p>
      <w:pPr>
        <w:ind w:firstLine="1716"/>
        <w:spacing w:after="0" w:line="275" w:lineRule="auto"/>
        <w:tabs>
          <w:tab w:leader="none" w:pos="191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Company or the applicable Subsidiary, as the case may be, receives consideration at the time of the Asset Sale at least equal to the Fair Market Value of the assets or Equity Interests issued or sold or otherwise disposed of;</w:t>
      </w:r>
    </w:p>
    <w:p>
      <w:pPr>
        <w:spacing w:after="0" w:line="151" w:lineRule="exact"/>
        <w:rPr>
          <w:rFonts w:ascii="Arial" w:cs="Arial" w:eastAsia="Arial" w:hAnsi="Arial"/>
          <w:sz w:val="16"/>
          <w:szCs w:val="16"/>
          <w:color w:val="auto"/>
        </w:rPr>
      </w:pPr>
    </w:p>
    <w:p>
      <w:pPr>
        <w:ind w:left="1960" w:hanging="244"/>
        <w:spacing w:after="0"/>
        <w:tabs>
          <w:tab w:leader="none" w:pos="1960" w:val="left"/>
        </w:tabs>
        <w:numPr>
          <w:ilvl w:val="1"/>
          <w:numId w:val="139"/>
        </w:numPr>
        <w:rPr>
          <w:rFonts w:ascii="Arial" w:cs="Arial" w:eastAsia="Arial" w:hAnsi="Arial"/>
          <w:sz w:val="15"/>
          <w:szCs w:val="15"/>
          <w:color w:val="auto"/>
        </w:rPr>
      </w:pPr>
      <w:r>
        <w:rPr>
          <w:rFonts w:ascii="Arial" w:cs="Arial" w:eastAsia="Arial" w:hAnsi="Arial"/>
          <w:sz w:val="15"/>
          <w:szCs w:val="15"/>
          <w:color w:val="auto"/>
        </w:rPr>
        <w:t>at least 75% of the consideration received in the Asset Sale by the Company or such Subsidiary is in the form of cash or Cash Equivalents.</w:t>
      </w:r>
    </w:p>
    <w:p>
      <w:pPr>
        <w:spacing w:after="0" w:line="21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For purposes of this provision, each of the following will be deemed to be cash:</w:t>
      </w:r>
    </w:p>
    <w:p>
      <w:pPr>
        <w:spacing w:after="0" w:line="198" w:lineRule="exact"/>
        <w:rPr>
          <w:sz w:val="20"/>
          <w:szCs w:val="20"/>
          <w:color w:val="auto"/>
        </w:rPr>
      </w:pPr>
    </w:p>
    <w:p>
      <w:pPr>
        <w:jc w:val="both"/>
        <w:ind w:firstLine="2003"/>
        <w:spacing w:after="0" w:line="262" w:lineRule="auto"/>
        <w:tabs>
          <w:tab w:leader="none" w:pos="2275" w:val="left"/>
        </w:tabs>
        <w:numPr>
          <w:ilvl w:val="2"/>
          <w:numId w:val="140"/>
        </w:numPr>
        <w:rPr>
          <w:rFonts w:ascii="Arial" w:cs="Arial" w:eastAsia="Arial" w:hAnsi="Arial"/>
          <w:sz w:val="16"/>
          <w:szCs w:val="16"/>
          <w:color w:val="auto"/>
        </w:rPr>
      </w:pPr>
      <w:r>
        <w:rPr>
          <w:rFonts w:ascii="Arial" w:cs="Arial" w:eastAsia="Arial" w:hAnsi="Arial"/>
          <w:sz w:val="16"/>
          <w:szCs w:val="16"/>
          <w:color w:val="auto"/>
        </w:rPr>
        <w:t>any liabilities, as shown on the Company most recent consolidated balance sheet, of the Company or any Subsidiary (other than contingent liabilities and liabilities that are by their terms subordinated to the Notes or any Guarantee) that are assumed by the transferee of any such assets pursuant to a customary novation agreement that releases the Company or such Subsidiary from further liability; and</w:t>
      </w:r>
    </w:p>
    <w:p>
      <w:pPr>
        <w:spacing w:after="0" w:line="162" w:lineRule="exact"/>
        <w:rPr>
          <w:rFonts w:ascii="Arial" w:cs="Arial" w:eastAsia="Arial" w:hAnsi="Arial"/>
          <w:sz w:val="16"/>
          <w:szCs w:val="16"/>
          <w:color w:val="auto"/>
        </w:rPr>
      </w:pPr>
    </w:p>
    <w:p>
      <w:pPr>
        <w:ind w:right="20" w:firstLine="2003"/>
        <w:spacing w:after="0" w:line="309" w:lineRule="auto"/>
        <w:tabs>
          <w:tab w:leader="none" w:pos="2273" w:val="left"/>
        </w:tabs>
        <w:numPr>
          <w:ilvl w:val="2"/>
          <w:numId w:val="140"/>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the Company or any such Subsidiary from such transferee that are converted by the Company or such Subsidiary into cash within 90 days following the date of such Asset Sale, to the extent of the cash received in that conversion.</w:t>
      </w:r>
    </w:p>
    <w:p>
      <w:pPr>
        <w:spacing w:after="0" w:line="129" w:lineRule="exact"/>
        <w:rPr>
          <w:rFonts w:ascii="Arial" w:cs="Arial" w:eastAsia="Arial" w:hAnsi="Arial"/>
          <w:sz w:val="15"/>
          <w:szCs w:val="15"/>
          <w:color w:val="auto"/>
        </w:rPr>
      </w:pPr>
    </w:p>
    <w:p>
      <w:pPr>
        <w:ind w:left="1360" w:hanging="217"/>
        <w:spacing w:after="0"/>
        <w:tabs>
          <w:tab w:leader="none" w:pos="13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Within 365 days after the receipt of any Net Proceeds from an Asset Sale, the Company (or the applicable Subsidiary, as the case may be) may apply such</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Net Proceeds:</w:t>
      </w:r>
    </w:p>
    <w:p>
      <w:pPr>
        <w:spacing w:after="0" w:line="185" w:lineRule="exact"/>
        <w:rPr>
          <w:rFonts w:ascii="Arial" w:cs="Arial" w:eastAsia="Arial" w:hAnsi="Arial"/>
          <w:sz w:val="14"/>
          <w:szCs w:val="14"/>
          <w:color w:val="auto"/>
        </w:rPr>
      </w:pPr>
    </w:p>
    <w:p>
      <w:pPr>
        <w:ind w:left="1900" w:hanging="184"/>
        <w:spacing w:after="0"/>
        <w:tabs>
          <w:tab w:leader="none" w:pos="190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to repay any indebtedness secured by a Lien and, in the case of a revolving credit facility, correspondingly permanently reduce commitments with</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respect thereto;</w:t>
      </w:r>
    </w:p>
    <w:p>
      <w:pPr>
        <w:spacing w:after="0" w:line="185" w:lineRule="exact"/>
        <w:rPr>
          <w:rFonts w:ascii="Arial" w:cs="Arial" w:eastAsia="Arial" w:hAnsi="Arial"/>
          <w:sz w:val="14"/>
          <w:szCs w:val="14"/>
          <w:color w:val="auto"/>
        </w:rPr>
      </w:pPr>
    </w:p>
    <w:p>
      <w:pPr>
        <w:ind w:right="20" w:firstLine="1716"/>
        <w:spacing w:after="0" w:line="275" w:lineRule="auto"/>
        <w:tabs>
          <w:tab w:leader="none" w:pos="198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to acquire all or substantially all of the assets of, or any Capital Stock of, another Permitted Business, if, after giving effect to any such acquisition of Capital Stock, the Permitted Business is or becomes a Guarantor;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6" w:name="page147"/>
    <w:bookmarkEnd w:id="146"/>
    <w:p>
      <w:pPr>
        <w:ind w:left="2000" w:hanging="284"/>
        <w:spacing w:after="0"/>
        <w:tabs>
          <w:tab w:leader="none" w:pos="20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make a capital expenditure; or</w:t>
      </w:r>
    </w:p>
    <w:p>
      <w:pPr>
        <w:spacing w:after="0" w:line="198" w:lineRule="exact"/>
        <w:rPr>
          <w:rFonts w:ascii="Arial" w:cs="Arial" w:eastAsia="Arial" w:hAnsi="Arial"/>
          <w:sz w:val="16"/>
          <w:szCs w:val="16"/>
          <w:color w:val="auto"/>
        </w:rPr>
      </w:pPr>
    </w:p>
    <w:p>
      <w:pPr>
        <w:ind w:left="1980" w:hanging="264"/>
        <w:spacing w:after="0"/>
        <w:tabs>
          <w:tab w:leader="none" w:pos="19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acquire other assets that are not classified as current assets under GAAP and that are used or useful in a Permitted Business.</w:t>
      </w:r>
    </w:p>
    <w:p>
      <w:pPr>
        <w:spacing w:after="0" w:line="198" w:lineRule="exact"/>
        <w:rPr>
          <w:rFonts w:ascii="Arial" w:cs="Arial" w:eastAsia="Arial" w:hAnsi="Arial"/>
          <w:sz w:val="16"/>
          <w:szCs w:val="16"/>
          <w:color w:val="auto"/>
        </w:rPr>
      </w:pPr>
    </w:p>
    <w:p>
      <w:pPr>
        <w:jc w:val="both"/>
        <w:ind w:right="20" w:firstLine="1143"/>
        <w:spacing w:after="0" w:line="258" w:lineRule="auto"/>
        <w:tabs>
          <w:tab w:leader="none" w:pos="138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Pending the final application of any Net Proceeds, the Company may temporarily reduce indebtedness consisting of revolving credit borrowings or otherwise use the Net Proceeds in any manner that is not prohibited by this Indenture. For the avoidance of doubt, any obligation under a revolving credit facility to apply Net Proceeds from Asset Sales to permanently reduce such revolving credit facility will not be deemed to be a permanent reduction under this Indenture unless the Company so elects in accordance with clause (1) of Section 4.18(b).</w:t>
      </w:r>
    </w:p>
    <w:p>
      <w:pPr>
        <w:spacing w:after="0" w:line="164" w:lineRule="exact"/>
        <w:rPr>
          <w:rFonts w:ascii="Arial" w:cs="Arial" w:eastAsia="Arial" w:hAnsi="Arial"/>
          <w:sz w:val="16"/>
          <w:szCs w:val="16"/>
          <w:color w:val="auto"/>
        </w:rPr>
      </w:pPr>
    </w:p>
    <w:p>
      <w:pPr>
        <w:jc w:val="both"/>
        <w:ind w:firstLine="1143"/>
        <w:spacing w:after="0" w:line="293" w:lineRule="auto"/>
        <w:tabs>
          <w:tab w:leader="none" w:pos="1368" w:val="left"/>
        </w:tabs>
        <w:numPr>
          <w:ilvl w:val="0"/>
          <w:numId w:val="143"/>
        </w:numPr>
        <w:rPr>
          <w:rFonts w:ascii="Arial" w:cs="Arial" w:eastAsia="Arial" w:hAnsi="Arial"/>
          <w:sz w:val="14"/>
          <w:szCs w:val="14"/>
          <w:color w:val="auto"/>
        </w:rPr>
      </w:pPr>
      <w:r>
        <w:rPr>
          <w:rFonts w:ascii="Arial" w:cs="Arial" w:eastAsia="Arial" w:hAnsi="Arial"/>
          <w:sz w:val="14"/>
          <w:szCs w:val="14"/>
          <w:color w:val="auto"/>
        </w:rPr>
        <w:t>Any Net Proceeds from Asset Sales that are not applied or invested as provided in Section 4.18(b) will constitute “Excess Proceeds.” When the aggregate amount of Excess Proceeds exceeds $5.0 million, the Company will, within 30 days thereof, make an offer (“</w:t>
      </w:r>
      <w:r>
        <w:rPr>
          <w:rFonts w:ascii="Arial" w:cs="Arial" w:eastAsia="Arial" w:hAnsi="Arial"/>
          <w:sz w:val="14"/>
          <w:szCs w:val="14"/>
          <w:b w:val="1"/>
          <w:bCs w:val="1"/>
          <w:color w:val="auto"/>
        </w:rPr>
        <w:t>Net Proceeds Offer</w:t>
      </w:r>
      <w:r>
        <w:rPr>
          <w:rFonts w:ascii="Arial" w:cs="Arial" w:eastAsia="Arial" w:hAnsi="Arial"/>
          <w:sz w:val="14"/>
          <w:szCs w:val="14"/>
          <w:color w:val="auto"/>
        </w:rPr>
        <w:t>”) to (a) (i) all holders of the Notes and (ii) all holders of pari passu indebtedness that contains provisions similar to those set forth in this Indenture with respect to offers to purchase or redeem with the proceeds of sales of assets to purchase the maximum principal amount of Notes and such other pari passu indebtedness that may be purchased out of the Excess Proceeds. The offer price in any offer will be equal to 100% of the principal amount of Notes purchased (or, in the event such pari passu indebtedness was issued with significant original issue discount, 100% of the accreted value thereof) plus accrued and unpaid interest, if any, to the date of purchase, and will be payable in cash. If any Excess Proceeds remain after consummation of a Net Proceeds Offer, the Company may use those Excess Proceeds for any purpose not otherwise prohibited by this Indenture. If the aggregate principal amount of Notes and such other pari passu indebtedness tendered in such offer exceeds the amount of Excess Proceeds, the Trustee shall select the Notes and the Company or such other agent will select such other pari passu indebtedness to be purchased on a pro rata basis. Upon completion of each offer, the amount of Excess Proceeds will be reset at zero.</w:t>
      </w:r>
    </w:p>
    <w:p>
      <w:pPr>
        <w:spacing w:after="0" w:line="143" w:lineRule="exact"/>
        <w:rPr>
          <w:rFonts w:ascii="Arial" w:cs="Arial" w:eastAsia="Arial" w:hAnsi="Arial"/>
          <w:sz w:val="14"/>
          <w:szCs w:val="14"/>
          <w:color w:val="auto"/>
        </w:rPr>
      </w:pPr>
    </w:p>
    <w:p>
      <w:pPr>
        <w:jc w:val="both"/>
        <w:ind w:firstLine="1143"/>
        <w:spacing w:after="0" w:line="258" w:lineRule="auto"/>
        <w:tabs>
          <w:tab w:leader="none" w:pos="137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Company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this Section 4.18(e), the Company shall comply with the applicable securities laws and regulations and shall not be deemed to have breached its obligations under this Section 4.18(e) by virtue thereof.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w:t>
      </w:r>
      <w:r>
        <w:rPr>
          <w:rFonts w:ascii="Arial" w:cs="Arial" w:eastAsia="Arial" w:hAnsi="Arial"/>
          <w:sz w:val="10"/>
          <w:szCs w:val="10"/>
          <w:color w:val="auto"/>
        </w:rPr>
        <w:t>ISTS OF</w:t>
      </w:r>
      <w:r>
        <w:rPr>
          <w:rFonts w:ascii="Arial" w:cs="Arial" w:eastAsia="Arial" w:hAnsi="Arial"/>
          <w:sz w:val="16"/>
          <w:szCs w:val="16"/>
          <w:color w:val="auto"/>
        </w:rPr>
        <w:t xml:space="preserve"> H</w:t>
      </w:r>
      <w:r>
        <w:rPr>
          <w:rFonts w:ascii="Arial" w:cs="Arial" w:eastAsia="Arial" w:hAnsi="Arial"/>
          <w:sz w:val="10"/>
          <w:szCs w:val="10"/>
          <w:color w:val="auto"/>
        </w:rPr>
        <w:t>OLDERS AND</w:t>
      </w:r>
      <w:r>
        <w:rPr>
          <w:rFonts w:ascii="Arial" w:cs="Arial" w:eastAsia="Arial" w:hAnsi="Arial"/>
          <w:sz w:val="16"/>
          <w:szCs w:val="16"/>
          <w:color w:val="auto"/>
        </w:rPr>
        <w:t xml:space="preserve"> R</w:t>
      </w:r>
      <w:r>
        <w:rPr>
          <w:rFonts w:ascii="Arial" w:cs="Arial" w:eastAsia="Arial" w:hAnsi="Arial"/>
          <w:sz w:val="10"/>
          <w:szCs w:val="10"/>
          <w:color w:val="auto"/>
        </w:rPr>
        <w:t>EPORTS BY THE</w:t>
      </w:r>
      <w:r>
        <w:rPr>
          <w:rFonts w:ascii="Arial" w:cs="Arial" w:eastAsia="Arial" w:hAnsi="Arial"/>
          <w:sz w:val="16"/>
          <w:szCs w:val="16"/>
          <w:color w:val="auto"/>
        </w:rPr>
        <w:t xml:space="preserve"> C</w:t>
      </w:r>
      <w:r>
        <w:rPr>
          <w:rFonts w:ascii="Arial" w:cs="Arial" w:eastAsia="Arial" w:hAnsi="Arial"/>
          <w:sz w:val="10"/>
          <w:szCs w:val="10"/>
          <w:color w:val="auto"/>
        </w:rPr>
        <w:t>OMPANY AND THE</w:t>
      </w:r>
      <w:r>
        <w:rPr>
          <w:rFonts w:ascii="Arial" w:cs="Arial" w:eastAsia="Arial" w:hAnsi="Arial"/>
          <w:sz w:val="16"/>
          <w:szCs w:val="16"/>
          <w:color w:val="auto"/>
        </w:rPr>
        <w:t xml:space="preserve"> T</w:t>
      </w:r>
      <w:r>
        <w:rPr>
          <w:rFonts w:ascii="Arial" w:cs="Arial" w:eastAsia="Arial" w:hAnsi="Arial"/>
          <w:sz w:val="10"/>
          <w:szCs w:val="10"/>
          <w:color w:val="auto"/>
        </w:rPr>
        <w:t>RUSTEE</w:t>
      </w:r>
    </w:p>
    <w:p>
      <w:pPr>
        <w:spacing w:after="0" w:line="186"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Lists of Holders</w:t>
      </w:r>
      <w:r>
        <w:rPr>
          <w:rFonts w:ascii="Arial" w:cs="Arial" w:eastAsia="Arial" w:hAnsi="Arial"/>
          <w:sz w:val="16"/>
          <w:szCs w:val="16"/>
          <w:color w:val="auto"/>
        </w:rPr>
        <w:t>. The Company covenants and agrees that it will furnish or cause to be furnished to the Trustee not more than 15 days after each Regular Record Date beginning with the Regular Record Date on [●], 2022,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Preservation and Disclosure of Lists</w:t>
      </w:r>
      <w:r>
        <w:rPr>
          <w:rFonts w:ascii="Arial" w:cs="Arial" w:eastAsia="Arial" w:hAnsi="Arial"/>
          <w:sz w:val="16"/>
          <w:szCs w:val="16"/>
          <w:color w:val="auto"/>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w:t>
      </w:r>
      <w:r>
        <w:rPr>
          <w:rFonts w:ascii="Arial" w:cs="Arial" w:eastAsia="Arial" w:hAnsi="Arial"/>
          <w:sz w:val="10"/>
          <w:szCs w:val="10"/>
          <w:color w:val="auto"/>
        </w:rPr>
        <w:t>EFAULTS AND</w:t>
      </w:r>
      <w:r>
        <w:rPr>
          <w:rFonts w:ascii="Arial" w:cs="Arial" w:eastAsia="Arial" w:hAnsi="Arial"/>
          <w:sz w:val="16"/>
          <w:szCs w:val="16"/>
          <w:color w:val="auto"/>
        </w:rPr>
        <w:t xml:space="preserve"> R</w:t>
      </w:r>
      <w:r>
        <w:rPr>
          <w:rFonts w:ascii="Arial" w:cs="Arial" w:eastAsia="Arial" w:hAnsi="Arial"/>
          <w:sz w:val="10"/>
          <w:szCs w:val="10"/>
          <w:color w:val="auto"/>
        </w:rPr>
        <w:t>EMEDIES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Events of Default</w:t>
      </w:r>
      <w:r>
        <w:rPr>
          <w:rFonts w:ascii="Arial" w:cs="Arial" w:eastAsia="Arial" w:hAnsi="Arial"/>
          <w:sz w:val="16"/>
          <w:szCs w:val="16"/>
          <w:color w:val="auto"/>
        </w:rPr>
        <w:t>. Each of the following events shall be an “</w:t>
      </w:r>
      <w:r>
        <w:rPr>
          <w:rFonts w:ascii="Arial" w:cs="Arial" w:eastAsia="Arial" w:hAnsi="Arial"/>
          <w:sz w:val="16"/>
          <w:szCs w:val="16"/>
          <w:b w:val="1"/>
          <w:bCs w:val="1"/>
          <w:color w:val="auto"/>
        </w:rPr>
        <w:t>Event of Default</w:t>
      </w:r>
      <w:r>
        <w:rPr>
          <w:rFonts w:ascii="Arial" w:cs="Arial" w:eastAsia="Arial" w:hAnsi="Arial"/>
          <w:sz w:val="16"/>
          <w:szCs w:val="16"/>
          <w:color w:val="auto"/>
        </w:rPr>
        <w:t>” with respect to the Notes:</w:t>
      </w:r>
    </w:p>
    <w:p>
      <w:pPr>
        <w:spacing w:after="0" w:line="202" w:lineRule="exact"/>
        <w:rPr>
          <w:sz w:val="20"/>
          <w:szCs w:val="20"/>
          <w:color w:val="auto"/>
        </w:rPr>
      </w:pPr>
    </w:p>
    <w:p>
      <w:pPr>
        <w:ind w:left="1360" w:hanging="217"/>
        <w:spacing w:after="0"/>
        <w:tabs>
          <w:tab w:leader="none" w:pos="13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default in any payment of interest on any Note when due and payable, and the default continues for a period of 30 consecutive days;</w:t>
      </w:r>
    </w:p>
    <w:p>
      <w:pPr>
        <w:spacing w:after="0" w:line="198" w:lineRule="exact"/>
        <w:rPr>
          <w:rFonts w:ascii="Arial" w:cs="Arial" w:eastAsia="Arial" w:hAnsi="Arial"/>
          <w:sz w:val="16"/>
          <w:szCs w:val="16"/>
          <w:color w:val="auto"/>
        </w:rPr>
      </w:pPr>
    </w:p>
    <w:p>
      <w:pPr>
        <w:ind w:right="20" w:firstLine="1143"/>
        <w:spacing w:after="0" w:line="275" w:lineRule="auto"/>
        <w:tabs>
          <w:tab w:leader="none" w:pos="138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default in the payment of principal or premium, if any, of any Note when due and payable on the Maturity Date, upon Optional Redemption, upon any required repurchase, upon declaration of acceleration or otherwise;</w:t>
      </w:r>
    </w:p>
    <w:p>
      <w:pPr>
        <w:spacing w:after="0" w:line="151" w:lineRule="exact"/>
        <w:rPr>
          <w:rFonts w:ascii="Arial" w:cs="Arial" w:eastAsia="Arial" w:hAnsi="Arial"/>
          <w:sz w:val="16"/>
          <w:szCs w:val="16"/>
          <w:color w:val="auto"/>
        </w:rPr>
      </w:pPr>
    </w:p>
    <w:p>
      <w:pPr>
        <w:ind w:right="20" w:firstLine="1143"/>
        <w:spacing w:after="0" w:line="275" w:lineRule="auto"/>
        <w:tabs>
          <w:tab w:leader="none" w:pos="136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failure by the Company to comply with its obligation to convert the Notes in accordance with this Indenture upon exercise of a Holder’s conversion right and such failure continues for three Business Days;</w:t>
      </w:r>
    </w:p>
    <w:p>
      <w:pPr>
        <w:spacing w:after="0" w:line="151" w:lineRule="exact"/>
        <w:rPr>
          <w:rFonts w:ascii="Arial" w:cs="Arial" w:eastAsia="Arial" w:hAnsi="Arial"/>
          <w:sz w:val="16"/>
          <w:szCs w:val="16"/>
          <w:color w:val="auto"/>
        </w:rPr>
      </w:pPr>
    </w:p>
    <w:p>
      <w:pPr>
        <w:ind w:firstLine="1143"/>
        <w:spacing w:after="0" w:line="275" w:lineRule="auto"/>
        <w:tabs>
          <w:tab w:leader="none" w:pos="139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failure by the Company to issue a Fundamental Change Company Notice in accordance with Section 15.02(c), notice of a Make-Whole Fundamental Change in accordance with Section 14.03(b), in each case when due and such failure continues for five Business Days;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7" w:name="page148"/>
    <w:bookmarkEnd w:id="147"/>
    <w:p>
      <w:pPr>
        <w:ind w:left="1360" w:hanging="217"/>
        <w:spacing w:after="0"/>
        <w:tabs>
          <w:tab w:leader="none" w:pos="13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failure by the Company to comply with its obligations under Article 11;</w:t>
      </w:r>
    </w:p>
    <w:p>
      <w:pPr>
        <w:spacing w:after="0" w:line="198" w:lineRule="exact"/>
        <w:rPr>
          <w:rFonts w:ascii="Arial" w:cs="Arial" w:eastAsia="Arial" w:hAnsi="Arial"/>
          <w:sz w:val="16"/>
          <w:szCs w:val="16"/>
          <w:color w:val="auto"/>
        </w:rPr>
      </w:pPr>
    </w:p>
    <w:p>
      <w:pPr>
        <w:ind w:right="20" w:firstLine="1143"/>
        <w:spacing w:after="0" w:line="275" w:lineRule="auto"/>
        <w:tabs>
          <w:tab w:leader="none" w:pos="135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failure by the Company for 60 days after written notice from the Trustee or the Holders of at least 25% in aggregate principal amount of the Notes then outstanding has been received by the Company to comply with any of its other agreements contained in the Notes or this Indenture;</w:t>
      </w:r>
    </w:p>
    <w:p>
      <w:pPr>
        <w:spacing w:after="0" w:line="151" w:lineRule="exact"/>
        <w:rPr>
          <w:rFonts w:ascii="Arial" w:cs="Arial" w:eastAsia="Arial" w:hAnsi="Arial"/>
          <w:sz w:val="16"/>
          <w:szCs w:val="16"/>
          <w:color w:val="auto"/>
        </w:rPr>
      </w:pPr>
    </w:p>
    <w:p>
      <w:pPr>
        <w:jc w:val="both"/>
        <w:ind w:firstLine="1143"/>
        <w:spacing w:after="0" w:line="272" w:lineRule="auto"/>
        <w:tabs>
          <w:tab w:leader="none" w:pos="1386" w:val="left"/>
        </w:tabs>
        <w:numPr>
          <w:ilvl w:val="0"/>
          <w:numId w:val="145"/>
        </w:numPr>
        <w:rPr>
          <w:rFonts w:ascii="Arial" w:cs="Arial" w:eastAsia="Arial" w:hAnsi="Arial"/>
          <w:sz w:val="15"/>
          <w:szCs w:val="15"/>
          <w:color w:val="auto"/>
        </w:rPr>
      </w:pPr>
      <w:r>
        <w:rPr>
          <w:rFonts w:ascii="Arial" w:cs="Arial" w:eastAsia="Arial" w:hAnsi="Arial"/>
          <w:sz w:val="15"/>
          <w:szCs w:val="15"/>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$10,000,000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30 days after written notice to the Company by the Trustee or to the Company and the Trustee by Holders of at least 25% in aggregate principal amount of Notes then outstanding in accordance with this Indenture;</w:t>
      </w:r>
    </w:p>
    <w:p>
      <w:pPr>
        <w:spacing w:after="0" w:line="156" w:lineRule="exact"/>
        <w:rPr>
          <w:rFonts w:ascii="Arial" w:cs="Arial" w:eastAsia="Arial" w:hAnsi="Arial"/>
          <w:sz w:val="15"/>
          <w:szCs w:val="15"/>
          <w:color w:val="auto"/>
        </w:rPr>
      </w:pPr>
    </w:p>
    <w:p>
      <w:pPr>
        <w:jc w:val="both"/>
        <w:ind w:firstLine="1143"/>
        <w:spacing w:after="0" w:line="276" w:lineRule="auto"/>
        <w:tabs>
          <w:tab w:leader="none" w:pos="1374"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Company or any Significant Subsidiary shall commence a voluntary case or other proceeding seeking liquidation, reorganization or other similar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w:t>
      </w:r>
    </w:p>
    <w:p>
      <w:pPr>
        <w:spacing w:after="0" w:line="155" w:lineRule="exact"/>
        <w:rPr>
          <w:rFonts w:ascii="Arial" w:cs="Arial" w:eastAsia="Arial" w:hAnsi="Arial"/>
          <w:sz w:val="15"/>
          <w:szCs w:val="15"/>
          <w:color w:val="auto"/>
        </w:rPr>
      </w:pPr>
    </w:p>
    <w:p>
      <w:pPr>
        <w:jc w:val="both"/>
        <w:ind w:firstLine="1143"/>
        <w:spacing w:after="0" w:line="280" w:lineRule="auto"/>
        <w:tabs>
          <w:tab w:leader="none" w:pos="1354" w:val="left"/>
        </w:tabs>
        <w:numPr>
          <w:ilvl w:val="0"/>
          <w:numId w:val="145"/>
        </w:numPr>
        <w:rPr>
          <w:rFonts w:ascii="Arial" w:cs="Arial" w:eastAsia="Arial" w:hAnsi="Arial"/>
          <w:sz w:val="15"/>
          <w:szCs w:val="15"/>
          <w:color w:val="auto"/>
        </w:rPr>
      </w:pPr>
      <w:r>
        <w:rPr>
          <w:rFonts w:ascii="Arial" w:cs="Arial" w:eastAsia="Arial" w:hAnsi="Arial"/>
          <w:sz w:val="15"/>
          <w:szCs w:val="15"/>
          <w:color w:val="auto"/>
        </w:rPr>
        <w:t>an involuntary case or other proceeding shall be commenced against the Company or any Significant Subsidiary seeking liquidation, reorganization or other similar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 or</w:t>
      </w:r>
    </w:p>
    <w:p>
      <w:pPr>
        <w:spacing w:after="0" w:line="151" w:lineRule="exact"/>
        <w:rPr>
          <w:rFonts w:ascii="Arial" w:cs="Arial" w:eastAsia="Arial" w:hAnsi="Arial"/>
          <w:sz w:val="15"/>
          <w:szCs w:val="15"/>
          <w:color w:val="auto"/>
        </w:rPr>
      </w:pPr>
    </w:p>
    <w:p>
      <w:pPr>
        <w:jc w:val="both"/>
        <w:ind w:firstLine="1143"/>
        <w:spacing w:after="0" w:line="317" w:lineRule="auto"/>
        <w:tabs>
          <w:tab w:leader="none" w:pos="1338" w:val="left"/>
        </w:tabs>
        <w:numPr>
          <w:ilvl w:val="0"/>
          <w:numId w:val="145"/>
        </w:numPr>
        <w:rPr>
          <w:rFonts w:ascii="Arial" w:cs="Arial" w:eastAsia="Arial" w:hAnsi="Arial"/>
          <w:sz w:val="14"/>
          <w:szCs w:val="14"/>
          <w:color w:val="auto"/>
        </w:rPr>
      </w:pPr>
      <w:r>
        <w:rPr>
          <w:rFonts w:ascii="Arial" w:cs="Arial" w:eastAsia="Arial" w:hAnsi="Arial"/>
          <w:sz w:val="14"/>
          <w:szCs w:val="14"/>
          <w:color w:val="auto"/>
        </w:rPr>
        <w:t>a final judgment or judgments for the payment of $10,000,000 (or its foreign currency equivalent) or more (in each case excluding any amounts covered by insurance) in the aggregate rendered against the Company or any of its Significant Subsidiaries, which judgment is not discharged, bonded, paid, waived or stayed within 60 days after (i) the date on which the right to appeal thereof has expired if no such appeal has commenced, or (ii) the date on which all rights to appeal have been extinguished.</w:t>
      </w:r>
    </w:p>
    <w:p>
      <w:pPr>
        <w:spacing w:after="0" w:line="127"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color w:val="auto"/>
        </w:rPr>
        <w:t xml:space="preserve">Section 6.02. </w:t>
      </w:r>
      <w:r>
        <w:rPr>
          <w:rFonts w:ascii="Arial" w:cs="Arial" w:eastAsia="Arial" w:hAnsi="Arial"/>
          <w:sz w:val="14"/>
          <w:szCs w:val="14"/>
          <w:i w:val="1"/>
          <w:iCs w:val="1"/>
          <w:color w:val="auto"/>
        </w:rPr>
        <w:t>Acceleration; Rescission and Annulment</w:t>
      </w:r>
      <w:r>
        <w:rPr>
          <w:rFonts w:ascii="Arial" w:cs="Arial" w:eastAsia="Arial" w:hAnsi="Arial"/>
          <w:sz w:val="14"/>
          <w:szCs w:val="14"/>
          <w:color w:val="auto"/>
        </w:rPr>
        <w:t>. If one or more Events of Default (other than an Event of Default specified in Section 6.01(h) or Section 6.01(i) with respect to the Company (and not with respect to a Significant Subsidiary))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on, all the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6.01(i) with respect to the Company (and not with respect to a Significant Subsidiary) occurs and is continuing, 100% of the principal of, and accrued and unpaid interest, if any, on, all Notes shall become and shall automatically be immediately due and payable.</w:t>
      </w:r>
    </w:p>
    <w:p>
      <w:pPr>
        <w:spacing w:after="0" w:line="143"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(including, without limitation, additional Notes and PIK Notes, if any),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8" w:name="page149"/>
    <w:bookmarkEnd w:id="148"/>
    <w:p>
      <w:pPr>
        <w:jc w:val="both"/>
        <w:ind w:firstLine="574"/>
        <w:spacing w:after="0" w:line="269"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i w:val="1"/>
          <w:iCs w:val="1"/>
          <w:color w:val="auto"/>
        </w:rPr>
        <w:t>Additional Interest</w:t>
      </w:r>
      <w:r>
        <w:rPr>
          <w:rFonts w:ascii="Arial" w:cs="Arial" w:eastAsia="Arial" w:hAnsi="Arial"/>
          <w:sz w:val="15"/>
          <w:szCs w:val="15"/>
          <w:color w:val="auto"/>
        </w:rPr>
        <w:t>. Notwithstanding anything in this Indenture or in the Notes to the contrary, to the extent the Company elects, the sole remedy for an Event of Default relating to the Company’s failure to comply with its obligations as set forth in Section 4.06(b) shall, for the first 365 days after the occurrence of such an Event of Default, consist exclusively of the right to receive Additional Interest on the Notes at a rate equal to (x) 0.25% per annum of the principal amount of the Notes outstanding for each day during the first 180 days during which such Event of Default is continuing beginning on, and including, the date on which such Event of Default occurs, and (y) 0.50% per annum of the principal amount of the Notes outstanding from the 181st day to, and including, the 365th day following the occurrence of such Event of Default, as long as such Event of Default is continuing. Subject to the last paragraph of this Section 6.03, Additional Interest payable pursuant to this Section 6.03 shall be in addition to, not in lieu of, any Additional Interest payable pursuant to Section 4.06(d). If the Company so elects, such Additional Interest shall be payable in cash in the same manner and on the same dates as the stated interest payable on the Notes. On the 366th day after such Event of Default (if the Event of Default relating to the Company’s failure to comply with its obligations as set forth in Section 4.06(b) is not cured or waived prior to such 366th day), the Notes shall be immediately subject to acceleration in accordance with Section 6.02. The provisions of this paragraph will not affect the rights of Holders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w:t>
      </w:r>
    </w:p>
    <w:p>
      <w:pPr>
        <w:spacing w:after="0" w:line="164"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In order to elect to pay Additional Interest as the sole remedy during the first 365 days after the occurrence of any Event of Default relating to the Company’s failure to comply with its obligations as set forth in Section 4.06(b) in accordance with the immediately preceding paragraph, the Company must notify all Holders of the Notes, the Trustee and the Paying Agent in writing of such election prior to the beginning of such 365-day period. Upon the failure to timely give such notice, the Notes shall be immediately subject to acceleration as provided in Section 6.02.</w:t>
      </w:r>
    </w:p>
    <w:p>
      <w:pPr>
        <w:spacing w:after="0" w:line="165"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In no event shall Additional Interest payable at the Company’s election for failure to comply with its obligations as set forth in Section 4.06(b)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under the Exchange Act and other than reports on Form 8-K), pursuant to Section 4.06(d), accrue at a rate in excess of 0.50% per annum pursuant to this Indenture, regardless of the number of events or circumstances giving rise to the requirement to pay such Additional Interest. The Trustee shall have no duty to calculate or verify the calculation of Additional Interest.</w:t>
      </w:r>
    </w:p>
    <w:p>
      <w:pPr>
        <w:spacing w:after="0" w:line="138"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5"/>
          <w:szCs w:val="15"/>
          <w:i w:val="1"/>
          <w:iCs w:val="1"/>
          <w:color w:val="auto"/>
        </w:rPr>
        <w:t>Payments of Notes on Default; Suit Therefor</w:t>
      </w:r>
      <w:r>
        <w:rPr>
          <w:rFonts w:ascii="Arial" w:cs="Arial" w:eastAsia="Arial" w:hAnsi="Arial"/>
          <w:sz w:val="15"/>
          <w:szCs w:val="15"/>
          <w:color w:val="auto"/>
        </w:rPr>
        <w:t>.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56"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4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9" w:name="page150"/>
    <w:bookmarkEnd w:id="149"/>
    <w:p>
      <w:pPr>
        <w:jc w:val="both"/>
        <w:ind w:right="20" w:firstLine="574"/>
        <w:spacing w:after="0" w:line="258"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65"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29"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3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Application of Monies Collected by Trustee</w:t>
      </w:r>
      <w:r>
        <w:rPr>
          <w:rFonts w:ascii="Arial" w:cs="Arial" w:eastAsia="Arial" w:hAnsi="Arial"/>
          <w:sz w:val="16"/>
          <w:szCs w:val="16"/>
          <w:color w:val="auto"/>
        </w:rPr>
        <w:t>. Any monies or property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to the payment of all amounts due the Trustee (in each of its capacities under this Indenture) hereunder;</w:t>
      </w:r>
    </w:p>
    <w:p>
      <w:pPr>
        <w:spacing w:after="0" w:line="198" w:lineRule="exact"/>
        <w:rPr>
          <w:sz w:val="20"/>
          <w:szCs w:val="20"/>
          <w:color w:val="auto"/>
        </w:rPr>
      </w:pPr>
    </w:p>
    <w:p>
      <w:pPr>
        <w:jc w:val="both"/>
        <w:ind w:firstLine="574"/>
        <w:spacing w:after="0" w:line="320" w:lineRule="auto"/>
        <w:rPr>
          <w:sz w:val="20"/>
          <w:szCs w:val="20"/>
          <w:color w:val="auto"/>
        </w:rPr>
      </w:pPr>
      <w:r>
        <w:rPr>
          <w:rFonts w:ascii="Arial" w:cs="Arial" w:eastAsia="Arial" w:hAnsi="Arial"/>
          <w:sz w:val="14"/>
          <w:szCs w:val="14"/>
          <w:b w:val="1"/>
          <w:bCs w:val="1"/>
          <w:color w:val="auto"/>
        </w:rPr>
        <w:t>Second</w:t>
      </w:r>
      <w:r>
        <w:rPr>
          <w:rFonts w:ascii="Arial" w:cs="Arial" w:eastAsia="Arial" w:hAnsi="Arial"/>
          <w:sz w:val="14"/>
          <w:szCs w:val="14"/>
          <w:color w:val="auto"/>
        </w:rPr>
        <w:t>, in case the principal of the outstanding Notes shall not have become due and be unpaid, to the payment of interest on, and any cash due upon conversion of,</w:t>
      </w:r>
      <w:r>
        <w:rPr>
          <w:rFonts w:ascii="Arial" w:cs="Arial" w:eastAsia="Arial" w:hAnsi="Arial"/>
          <w:sz w:val="14"/>
          <w:szCs w:val="14"/>
          <w:b w:val="1"/>
          <w:bCs w:val="1"/>
          <w:color w:val="auto"/>
        </w:rPr>
        <w:t xml:space="preserve"> </w:t>
      </w:r>
      <w:r>
        <w:rPr>
          <w:rFonts w:ascii="Arial" w:cs="Arial" w:eastAsia="Arial" w:hAnsi="Arial"/>
          <w:sz w:val="14"/>
          <w:szCs w:val="14"/>
          <w:color w:val="auto"/>
        </w:rPr>
        <w:t>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121"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b w:val="1"/>
          <w:bCs w:val="1"/>
          <w:color w:val="auto"/>
        </w:rPr>
        <w:t>Third</w:t>
      </w:r>
      <w:r>
        <w:rPr>
          <w:rFonts w:ascii="Arial" w:cs="Arial" w:eastAsia="Arial" w:hAnsi="Arial"/>
          <w:sz w:val="15"/>
          <w:szCs w:val="15"/>
          <w:color w:val="auto"/>
        </w:rPr>
        <w:t>, in case the principal of the outstanding Notes shall have become due, by declaration or otherwise, and be unpaid to the payment of the whole amount</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to the payment of the remainder, if any, to the Company.</w:t>
      </w:r>
    </w:p>
    <w:p>
      <w:pPr>
        <w:spacing w:after="0" w:line="202"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Section 6.06. </w:t>
      </w:r>
      <w:r>
        <w:rPr>
          <w:rFonts w:ascii="Arial" w:cs="Arial" w:eastAsia="Arial" w:hAnsi="Arial"/>
          <w:sz w:val="14"/>
          <w:szCs w:val="14"/>
          <w:i w:val="1"/>
          <w:iCs w:val="1"/>
          <w:color w:val="auto"/>
        </w:rPr>
        <w:t>Proceedings by Holders</w:t>
      </w:r>
      <w:r>
        <w:rPr>
          <w:rFonts w:ascii="Arial" w:cs="Arial" w:eastAsia="Arial" w:hAnsi="Arial"/>
          <w:sz w:val="14"/>
          <w:szCs w:val="14"/>
          <w:color w:val="auto"/>
        </w:rPr>
        <w:t>.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35" w:lineRule="exact"/>
        <w:rPr>
          <w:sz w:val="20"/>
          <w:szCs w:val="20"/>
          <w:color w:val="auto"/>
        </w:rPr>
      </w:pPr>
    </w:p>
    <w:p>
      <w:pPr>
        <w:ind w:left="1360" w:hanging="217"/>
        <w:spacing w:after="0"/>
        <w:tabs>
          <w:tab w:leader="none" w:pos="13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such Holder previously shall have given to the Trustee written notice of an Event of Default and of the continuance thereof, as herein provided;</w:t>
      </w:r>
    </w:p>
    <w:p>
      <w:pPr>
        <w:spacing w:after="0" w:line="209" w:lineRule="exact"/>
        <w:rPr>
          <w:rFonts w:ascii="Arial" w:cs="Arial" w:eastAsia="Arial" w:hAnsi="Arial"/>
          <w:sz w:val="15"/>
          <w:szCs w:val="15"/>
          <w:color w:val="auto"/>
        </w:rPr>
      </w:pPr>
    </w:p>
    <w:p>
      <w:pPr>
        <w:ind w:right="20" w:firstLine="1143"/>
        <w:spacing w:after="0" w:line="275" w:lineRule="auto"/>
        <w:tabs>
          <w:tab w:leader="none" w:pos="138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Notes then outstanding shall have made written request upon the Trustee to institute such action, suit or proceeding in its own name as Trustee hereunder;</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such Holders shall have offered to the Trustee such security or indemnity reasonably satisfactory to it against any losses, liabilities, costs, or expenses;</w:t>
      </w:r>
    </w:p>
    <w:p>
      <w:pPr>
        <w:spacing w:after="0" w:line="221" w:lineRule="exact"/>
        <w:rPr>
          <w:rFonts w:ascii="Arial" w:cs="Arial" w:eastAsia="Arial" w:hAnsi="Arial"/>
          <w:sz w:val="14"/>
          <w:szCs w:val="14"/>
          <w:color w:val="auto"/>
        </w:rPr>
      </w:pPr>
    </w:p>
    <w:p>
      <w:pPr>
        <w:ind w:right="20" w:firstLine="1143"/>
        <w:spacing w:after="0" w:line="275" w:lineRule="auto"/>
        <w:tabs>
          <w:tab w:leader="none" w:pos="137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written notice, request and offer of such security or indemnity, shall have neglected or refused to institute any such action, suit or proceeding; and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0" w:name="page151"/>
    <w:bookmarkEnd w:id="150"/>
    <w:p>
      <w:pPr>
        <w:jc w:val="both"/>
        <w:ind w:firstLine="1143"/>
        <w:spacing w:after="0" w:line="253" w:lineRule="auto"/>
        <w:tabs>
          <w:tab w:leader="none" w:pos="137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 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69"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Notwithstanding any other provision of this Indenture and any provision of any Note, each Holder shall have the right to institute suit for the enforcement of its right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51"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Proceedings by Trustee</w:t>
      </w:r>
      <w:r>
        <w:rPr>
          <w:rFonts w:ascii="Arial" w:cs="Arial" w:eastAsia="Arial" w:hAnsi="Arial"/>
          <w:sz w:val="16"/>
          <w:szCs w:val="16"/>
          <w:color w:val="auto"/>
        </w:rPr>
        <w:t>.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65"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Remedies Cumulative and Continuing</w:t>
      </w:r>
      <w:r>
        <w:rPr>
          <w:rFonts w:ascii="Arial" w:cs="Arial" w:eastAsia="Arial" w:hAnsi="Arial"/>
          <w:sz w:val="16"/>
          <w:szCs w:val="16"/>
          <w:color w:val="auto"/>
        </w:rPr>
        <w:t>.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7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6.09. </w:t>
      </w:r>
      <w:r>
        <w:rPr>
          <w:rFonts w:ascii="Arial" w:cs="Arial" w:eastAsia="Arial" w:hAnsi="Arial"/>
          <w:sz w:val="15"/>
          <w:szCs w:val="15"/>
          <w:i w:val="1"/>
          <w:iCs w:val="1"/>
          <w:color w:val="auto"/>
        </w:rPr>
        <w:t>Direction of Proceedings and Waiver of Defaults by Majority of Holders</w:t>
      </w:r>
      <w:r>
        <w:rPr>
          <w:rFonts w:ascii="Arial" w:cs="Arial" w:eastAsia="Arial" w:hAnsi="Arial"/>
          <w:sz w:val="15"/>
          <w:szCs w:val="15"/>
          <w:color w:val="auto"/>
        </w:rPr>
        <w:t xml:space="preserve">. Subject to the Trustee’s right to receive security or indemnity from the relevant Holders as described herein,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(it being understood that the Trustee does not have an affirmative duty to ascertain whether or not such directions are unduly prejudicial to such Holder) or that would involve the Trustee in personal liability or that conflicts with applicable law or this Indenture.</w:t>
      </w:r>
    </w:p>
    <w:p>
      <w:pPr>
        <w:spacing w:after="0" w:line="156" w:lineRule="exact"/>
        <w:rPr>
          <w:sz w:val="20"/>
          <w:szCs w:val="20"/>
          <w:color w:val="auto"/>
        </w:rPr>
      </w:pPr>
    </w:p>
    <w:p>
      <w:pPr>
        <w:jc w:val="both"/>
        <w:ind w:right="20" w:firstLine="574"/>
        <w:spacing w:after="0" w:line="270" w:lineRule="auto"/>
        <w:rPr>
          <w:sz w:val="20"/>
          <w:szCs w:val="20"/>
          <w:color w:val="auto"/>
        </w:rPr>
      </w:pPr>
      <w:r>
        <w:rPr>
          <w:rFonts w:ascii="Arial" w:cs="Arial" w:eastAsia="Arial" w:hAnsi="Arial"/>
          <w:sz w:val="15"/>
          <w:szCs w:val="15"/>
          <w:color w:val="auto"/>
        </w:rPr>
        <w:t>The Holders of a majority in aggregate principal amount of the Notes at the time outstanding (including, without limitation, additional Notes and PIK Notes, if any) determined in accordance with Section 8.04 may on behalf of the Holders of all of the Notes (x) waive any past Default or Event of Default hereunder and its consequences except any continuing defaults relating to (i) a default in the payment of accrued and unpaid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and (y) rescind any resulting acceleration of the Notes and its consequences if (i) such rescission would not conflict with any judgment or decree of a court of competent jurisdiction and (ii) all existing Events of Default (other than nonpayment of the principal of, and interest on, the Notes that have become due solely by such acceleration) have been cured or waived.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1" w:name="page152"/>
    <w:bookmarkEnd w:id="151"/>
    <w:p>
      <w:pPr>
        <w:jc w:val="both"/>
        <w:ind w:firstLine="574"/>
        <w:spacing w:after="0" w:line="276" w:lineRule="auto"/>
        <w:rPr>
          <w:sz w:val="20"/>
          <w:szCs w:val="20"/>
          <w:color w:val="auto"/>
        </w:rPr>
      </w:pPr>
      <w:r>
        <w:rPr>
          <w:rFonts w:ascii="Arial" w:cs="Arial" w:eastAsia="Arial" w:hAnsi="Arial"/>
          <w:sz w:val="15"/>
          <w:szCs w:val="15"/>
          <w:color w:val="auto"/>
        </w:rPr>
        <w:t xml:space="preserve">Section 6.10. </w:t>
      </w:r>
      <w:r>
        <w:rPr>
          <w:rFonts w:ascii="Arial" w:cs="Arial" w:eastAsia="Arial" w:hAnsi="Arial"/>
          <w:sz w:val="15"/>
          <w:szCs w:val="15"/>
          <w:i w:val="1"/>
          <w:iCs w:val="1"/>
          <w:color w:val="auto"/>
        </w:rPr>
        <w:t>Notice of Defaults</w:t>
      </w:r>
      <w:r>
        <w:rPr>
          <w:rFonts w:ascii="Arial" w:cs="Arial" w:eastAsia="Arial" w:hAnsi="Arial"/>
          <w:sz w:val="15"/>
          <w:szCs w:val="15"/>
          <w:color w:val="auto"/>
        </w:rPr>
        <w:t xml:space="preserve">. The Trustee shall, within 90 days after a Responsible Officer obtains actual knowledge of the occurrence and continuance of a Default, deliver to all Holders notice of all Defaults known to a Responsible Officer, unless such Defaults shall have been cured or waived before the giving of such notice;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except in the case of a Default in the payment of the principal of (including the Redemption Price and the Fundamental Change Repurchase Price, if applicable),</w:t>
      </w:r>
      <w:r>
        <w:rPr>
          <w:rFonts w:ascii="Arial" w:cs="Arial" w:eastAsia="Arial" w:hAnsi="Arial"/>
          <w:sz w:val="15"/>
          <w:szCs w:val="15"/>
          <w:i w:val="1"/>
          <w:iCs w:val="1"/>
          <w:color w:val="auto"/>
        </w:rPr>
        <w:t xml:space="preserve"> </w:t>
      </w:r>
      <w:r>
        <w:rPr>
          <w:rFonts w:ascii="Arial" w:cs="Arial" w:eastAsia="Arial" w:hAnsi="Arial"/>
          <w:sz w:val="15"/>
          <w:szCs w:val="15"/>
          <w:color w:val="auto"/>
        </w:rPr>
        <w:t>or accrued and unpaid interest on, any of the Notes or a Default in the payment or delivery of the consideration due upon conversion, the Trustee shall be protected in withholding such notice if and so long as a Responsible Officer determines in good faith that the withholding of such notice is in the interests of the Holders.</w:t>
      </w:r>
    </w:p>
    <w:p>
      <w:pPr>
        <w:spacing w:after="0" w:line="155"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color w:val="auto"/>
        </w:rPr>
        <w:t xml:space="preserve">Section 6.11. </w:t>
      </w:r>
      <w:r>
        <w:rPr>
          <w:rFonts w:ascii="Arial" w:cs="Arial" w:eastAsia="Arial" w:hAnsi="Arial"/>
          <w:sz w:val="14"/>
          <w:szCs w:val="14"/>
          <w:i w:val="1"/>
          <w:iCs w:val="1"/>
          <w:color w:val="auto"/>
        </w:rPr>
        <w:t>Undertaking to Pay Costs</w:t>
      </w:r>
      <w:r>
        <w:rPr>
          <w:rFonts w:ascii="Arial" w:cs="Arial" w:eastAsia="Arial" w:hAnsi="Arial"/>
          <w:sz w:val="14"/>
          <w:szCs w:val="14"/>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ONCERNING THE</w:t>
      </w:r>
      <w:r>
        <w:rPr>
          <w:rFonts w:ascii="Arial" w:cs="Arial" w:eastAsia="Arial" w:hAnsi="Arial"/>
          <w:sz w:val="16"/>
          <w:szCs w:val="16"/>
          <w:color w:val="auto"/>
        </w:rPr>
        <w:t xml:space="preserve"> T</w:t>
      </w:r>
      <w:r>
        <w:rPr>
          <w:rFonts w:ascii="Arial" w:cs="Arial" w:eastAsia="Arial" w:hAnsi="Arial"/>
          <w:sz w:val="10"/>
          <w:szCs w:val="10"/>
          <w:color w:val="auto"/>
        </w:rPr>
        <w:t>RUSTEE</w:t>
      </w:r>
    </w:p>
    <w:p>
      <w:pPr>
        <w:spacing w:after="0" w:line="186"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Duties and Responsibilities of Trustee</w:t>
      </w:r>
      <w:r>
        <w:rPr>
          <w:rFonts w:ascii="Arial" w:cs="Arial" w:eastAsia="Arial" w:hAnsi="Arial"/>
          <w:sz w:val="16"/>
          <w:szCs w:val="16"/>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the Trustee against any loss, liability, cost or expense that might be incurred by it in compliance with such request or direction.</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 provision of this Indenture shall be construed to relieve the Trustee from liability for its own gross negligence or its own willful misconduct, except that:</w:t>
      </w:r>
    </w:p>
    <w:p>
      <w:pPr>
        <w:spacing w:after="0" w:line="210" w:lineRule="exact"/>
        <w:rPr>
          <w:sz w:val="20"/>
          <w:szCs w:val="20"/>
          <w:color w:val="auto"/>
        </w:rPr>
      </w:pPr>
    </w:p>
    <w:p>
      <w:pPr>
        <w:ind w:right="20" w:firstLine="1143"/>
        <w:spacing w:after="0" w:line="275" w:lineRule="auto"/>
        <w:tabs>
          <w:tab w:leader="none" w:pos="138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prior to the occurrence of an Event of Default of which a Responsible Officer of the Trustee has written or actual knowledge and after the curing or waiving of all Events of Default that may have occurred:</w:t>
      </w:r>
    </w:p>
    <w:p>
      <w:pPr>
        <w:spacing w:after="0" w:line="151" w:lineRule="exact"/>
        <w:rPr>
          <w:rFonts w:ascii="Arial" w:cs="Arial" w:eastAsia="Arial" w:hAnsi="Arial"/>
          <w:sz w:val="16"/>
          <w:szCs w:val="16"/>
          <w:color w:val="auto"/>
        </w:rPr>
      </w:pPr>
    </w:p>
    <w:p>
      <w:pPr>
        <w:jc w:val="both"/>
        <w:ind w:firstLine="1716"/>
        <w:spacing w:after="0" w:line="262" w:lineRule="auto"/>
        <w:tabs>
          <w:tab w:leader="none" w:pos="191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62" w:lineRule="exact"/>
        <w:rPr>
          <w:rFonts w:ascii="Arial" w:cs="Arial" w:eastAsia="Arial" w:hAnsi="Arial"/>
          <w:sz w:val="16"/>
          <w:szCs w:val="16"/>
          <w:color w:val="auto"/>
        </w:rPr>
      </w:pPr>
    </w:p>
    <w:p>
      <w:pPr>
        <w:jc w:val="both"/>
        <w:ind w:firstLine="1716"/>
        <w:spacing w:after="0" w:line="273" w:lineRule="auto"/>
        <w:tabs>
          <w:tab w:leader="none" w:pos="1970" w:val="left"/>
        </w:tabs>
        <w:numPr>
          <w:ilvl w:val="1"/>
          <w:numId w:val="148"/>
        </w:numPr>
        <w:rPr>
          <w:rFonts w:ascii="Arial" w:cs="Arial" w:eastAsia="Arial" w:hAnsi="Arial"/>
          <w:sz w:val="15"/>
          <w:szCs w:val="15"/>
          <w:color w:val="auto"/>
        </w:rPr>
      </w:pPr>
      <w:r>
        <w:rPr>
          <w:rFonts w:ascii="Arial" w:cs="Arial" w:eastAsia="Arial" w:hAnsi="Arial"/>
          <w:sz w:val="15"/>
          <w:szCs w:val="15"/>
          <w:color w:val="auto"/>
        </w:rPr>
        <w:t>in the absence of gross negligence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 provided, however, that the Trustee need not act or refrain from acting based on any certificate or opinion that it determines to be not in conformity with the requirements of this Indenture. If presented with a non-conforming certificate or opinion, the Trustee may request the delivering party to re-issue the certificate or opinion in the manner required by this Indenture before taking any action;</w:t>
      </w:r>
    </w:p>
    <w:p>
      <w:pPr>
        <w:spacing w:after="0" w:line="156" w:lineRule="exact"/>
        <w:rPr>
          <w:rFonts w:ascii="Arial" w:cs="Arial" w:eastAsia="Arial" w:hAnsi="Arial"/>
          <w:sz w:val="15"/>
          <w:szCs w:val="15"/>
          <w:color w:val="auto"/>
        </w:rPr>
      </w:pPr>
    </w:p>
    <w:p>
      <w:pPr>
        <w:ind w:right="20" w:firstLine="1143"/>
        <w:spacing w:after="0" w:line="309" w:lineRule="auto"/>
        <w:tabs>
          <w:tab w:leader="none" w:pos="1374"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Trustee shall not be liable for any error of judgment made in good faith by a Responsible Officer or Officers of the Trustee, unless it shall be proved in a court of competent jurisdiction in a final and non-appealable decision that the Trustee was grossly negligent in ascertaining the pertinent facts;</w:t>
      </w:r>
    </w:p>
    <w:p>
      <w:pPr>
        <w:spacing w:after="0" w:line="129" w:lineRule="exact"/>
        <w:rPr>
          <w:rFonts w:ascii="Arial" w:cs="Arial" w:eastAsia="Arial" w:hAnsi="Arial"/>
          <w:sz w:val="15"/>
          <w:szCs w:val="15"/>
          <w:color w:val="auto"/>
        </w:rPr>
      </w:pPr>
    </w:p>
    <w:p>
      <w:pPr>
        <w:jc w:val="both"/>
        <w:ind w:firstLine="1143"/>
        <w:spacing w:after="0" w:line="317" w:lineRule="auto"/>
        <w:tabs>
          <w:tab w:leader="none" w:pos="1376"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Trustee shall not be liable with respect to any action taken or omitted to be taken by it in good faith in accordance with the written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2" w:name="page153"/>
    <w:bookmarkEnd w:id="152"/>
    <w:p>
      <w:pPr>
        <w:ind w:firstLine="1143"/>
        <w:spacing w:after="0" w:line="275" w:lineRule="auto"/>
        <w:tabs>
          <w:tab w:leader="none" w:pos="137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whether or not therein provided, every provision of this Indenture relating to the conduct or affecting the liability of, or affording protection to, the Trustee shall be subject to the provisions of this Section 7.01;</w:t>
      </w:r>
    </w:p>
    <w:p>
      <w:pPr>
        <w:spacing w:after="0" w:line="151" w:lineRule="exact"/>
        <w:rPr>
          <w:rFonts w:ascii="Arial" w:cs="Arial" w:eastAsia="Arial" w:hAnsi="Arial"/>
          <w:sz w:val="16"/>
          <w:szCs w:val="16"/>
          <w:color w:val="auto"/>
        </w:rPr>
      </w:pPr>
    </w:p>
    <w:p>
      <w:pPr>
        <w:ind w:firstLine="1143"/>
        <w:spacing w:after="0" w:line="275" w:lineRule="auto"/>
        <w:tabs>
          <w:tab w:leader="none" w:pos="137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5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62" w:lineRule="exact"/>
        <w:rPr>
          <w:rFonts w:ascii="Arial" w:cs="Arial" w:eastAsia="Arial" w:hAnsi="Arial"/>
          <w:sz w:val="16"/>
          <w:szCs w:val="16"/>
          <w:color w:val="auto"/>
        </w:rPr>
      </w:pPr>
    </w:p>
    <w:p>
      <w:pPr>
        <w:jc w:val="both"/>
        <w:ind w:firstLine="1143"/>
        <w:spacing w:after="0" w:line="255" w:lineRule="auto"/>
        <w:tabs>
          <w:tab w:leader="none" w:pos="137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spacing w:after="0" w:line="169" w:lineRule="exact"/>
        <w:rPr>
          <w:rFonts w:ascii="Arial" w:cs="Arial" w:eastAsia="Arial" w:hAnsi="Arial"/>
          <w:sz w:val="16"/>
          <w:szCs w:val="16"/>
          <w:color w:val="auto"/>
        </w:rPr>
      </w:pPr>
    </w:p>
    <w:p>
      <w:pPr>
        <w:ind w:left="1360" w:hanging="217"/>
        <w:spacing w:after="0"/>
        <w:tabs>
          <w:tab w:leader="none" w:pos="13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under no circumstances shall the Trustee be liable in its individual capacity for the obligations evidenced by the Notes; and</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34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event that the Trustee is also acting as Custodian, Note Registrar, Paying Agent, Conversion Agent, transfer agent, or any other agent hereunder, the rights and protections afforded to the Trustee pursuant to this Article 7 shall also be afforded to such Custodian, Note Registrar, Paying Agent, Conversion Agent, transfer agent, or any other agent hereunder.</w:t>
      </w:r>
    </w:p>
    <w:p>
      <w:pPr>
        <w:spacing w:after="0" w:line="162"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None of the provisions contained in this Indenture shall require the Trustee to expend or risk its own funds or otherwise incur personal financial liability in the performance of any of its duties hereunder or in the exercise of any of its rights or powers.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Reliance on Documents, Opinions, Etc</w:t>
      </w:r>
      <w:r>
        <w:rPr>
          <w:rFonts w:ascii="Arial" w:cs="Arial" w:eastAsia="Arial" w:hAnsi="Arial"/>
          <w:sz w:val="16"/>
          <w:szCs w:val="16"/>
          <w:color w:val="auto"/>
        </w:rPr>
        <w:t>. Except as otherwise provided in Section 7.01:</w:t>
      </w:r>
    </w:p>
    <w:p>
      <w:pPr>
        <w:spacing w:after="0" w:line="198" w:lineRule="exact"/>
        <w:rPr>
          <w:sz w:val="20"/>
          <w:szCs w:val="20"/>
          <w:color w:val="auto"/>
        </w:rPr>
      </w:pPr>
    </w:p>
    <w:p>
      <w:pPr>
        <w:jc w:val="both"/>
        <w:ind w:firstLine="1143"/>
        <w:spacing w:after="0" w:line="262" w:lineRule="auto"/>
        <w:tabs>
          <w:tab w:leader="none" w:pos="137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consent, order, bond, debenture, note, coupon or other paper or document believed by it in good faith to be genuine and to have been signed or presented by the proper party or parties;</w:t>
      </w:r>
    </w:p>
    <w:p>
      <w:pPr>
        <w:spacing w:after="0" w:line="162" w:lineRule="exact"/>
        <w:rPr>
          <w:rFonts w:ascii="Arial" w:cs="Arial" w:eastAsia="Arial" w:hAnsi="Arial"/>
          <w:sz w:val="16"/>
          <w:szCs w:val="16"/>
          <w:color w:val="auto"/>
        </w:rPr>
      </w:pPr>
    </w:p>
    <w:p>
      <w:pPr>
        <w:jc w:val="both"/>
        <w:ind w:right="20" w:firstLine="1143"/>
        <w:spacing w:after="0" w:line="262" w:lineRule="auto"/>
        <w:tabs>
          <w:tab w:leader="none" w:pos="137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62" w:lineRule="exact"/>
        <w:rPr>
          <w:rFonts w:ascii="Arial" w:cs="Arial" w:eastAsia="Arial" w:hAnsi="Arial"/>
          <w:sz w:val="16"/>
          <w:szCs w:val="16"/>
          <w:color w:val="auto"/>
        </w:rPr>
      </w:pPr>
    </w:p>
    <w:p>
      <w:pPr>
        <w:jc w:val="both"/>
        <w:ind w:right="20" w:firstLine="1143"/>
        <w:spacing w:after="0" w:line="262" w:lineRule="auto"/>
        <w:tabs>
          <w:tab w:leader="none" w:pos="137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62" w:lineRule="exact"/>
        <w:rPr>
          <w:rFonts w:ascii="Arial" w:cs="Arial" w:eastAsia="Arial" w:hAnsi="Arial"/>
          <w:sz w:val="16"/>
          <w:szCs w:val="16"/>
          <w:color w:val="auto"/>
        </w:rPr>
      </w:pPr>
    </w:p>
    <w:p>
      <w:pPr>
        <w:jc w:val="both"/>
        <w:ind w:right="20" w:firstLine="1143"/>
        <w:spacing w:after="0" w:line="349" w:lineRule="auto"/>
        <w:tabs>
          <w:tab w:leader="none" w:pos="1381"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05" w:lineRule="exact"/>
        <w:rPr>
          <w:rFonts w:ascii="Arial" w:cs="Arial" w:eastAsia="Arial" w:hAnsi="Arial"/>
          <w:sz w:val="14"/>
          <w:szCs w:val="14"/>
          <w:color w:val="auto"/>
        </w:rPr>
      </w:pPr>
    </w:p>
    <w:p>
      <w:pPr>
        <w:jc w:val="both"/>
        <w:ind w:firstLine="1143"/>
        <w:spacing w:after="0" w:line="306" w:lineRule="auto"/>
        <w:tabs>
          <w:tab w:leader="none" w:pos="1384"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34" w:lineRule="exact"/>
        <w:rPr>
          <w:rFonts w:ascii="Arial" w:cs="Arial" w:eastAsia="Arial" w:hAnsi="Arial"/>
          <w:sz w:val="14"/>
          <w:szCs w:val="14"/>
          <w:color w:val="auto"/>
        </w:rPr>
      </w:pPr>
    </w:p>
    <w:p>
      <w:pPr>
        <w:jc w:val="both"/>
        <w:ind w:firstLine="1143"/>
        <w:spacing w:after="0" w:line="262" w:lineRule="auto"/>
        <w:tabs>
          <w:tab w:leader="none" w:pos="137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3" w:name="page154"/>
    <w:bookmarkEnd w:id="153"/>
    <w:p>
      <w:pPr>
        <w:ind w:left="1360" w:hanging="217"/>
        <w:spacing w:after="0"/>
        <w:tabs>
          <w:tab w:leader="none" w:pos="13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permissive rights of the Trustee enumerated herein shall not be construed as duties;</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3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2" w:lineRule="exact"/>
        <w:rPr>
          <w:rFonts w:ascii="Arial" w:cs="Arial" w:eastAsia="Arial" w:hAnsi="Arial"/>
          <w:sz w:val="16"/>
          <w:szCs w:val="16"/>
          <w:color w:val="auto"/>
        </w:rPr>
      </w:pPr>
    </w:p>
    <w:p>
      <w:pPr>
        <w:ind w:left="1340" w:hanging="197"/>
        <w:spacing w:after="0"/>
        <w:tabs>
          <w:tab w:leader="none" w:pos="1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Trustee shall not be responsible or liable for any action it takes or omits to take in good faith which it reasonably believes to be authorized or within its</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rights or powers;</w:t>
      </w:r>
    </w:p>
    <w:p>
      <w:pPr>
        <w:spacing w:after="0" w:line="185" w:lineRule="exact"/>
        <w:rPr>
          <w:rFonts w:ascii="Arial" w:cs="Arial" w:eastAsia="Arial" w:hAnsi="Arial"/>
          <w:sz w:val="14"/>
          <w:szCs w:val="14"/>
          <w:color w:val="auto"/>
        </w:rPr>
      </w:pPr>
    </w:p>
    <w:p>
      <w:pPr>
        <w:ind w:left="1340" w:hanging="197"/>
        <w:spacing w:after="0"/>
        <w:tabs>
          <w:tab w:leader="none" w:pos="13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Trustee shall not be required to give any bond or surety in respect of its powers and duties hereunder; and</w:t>
      </w:r>
    </w:p>
    <w:p>
      <w:pPr>
        <w:spacing w:after="0" w:line="198" w:lineRule="exact"/>
        <w:rPr>
          <w:rFonts w:ascii="Arial" w:cs="Arial" w:eastAsia="Arial" w:hAnsi="Arial"/>
          <w:sz w:val="16"/>
          <w:szCs w:val="16"/>
          <w:color w:val="auto"/>
        </w:rPr>
      </w:pPr>
    </w:p>
    <w:p>
      <w:pPr>
        <w:jc w:val="both"/>
        <w:ind w:firstLine="1143"/>
        <w:spacing w:after="0" w:line="255" w:lineRule="auto"/>
        <w:tabs>
          <w:tab w:leader="none" w:pos="137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or omission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170"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the Trustee and actually received by a Responsible Officer at the Corporate Trust Office of the Trustee by the Company or by any Holder or any agent of any Holder, referencing this Indenture and/or of the Notes and stating that it is a “notice of default.”</w:t>
      </w:r>
    </w:p>
    <w:p>
      <w:pPr>
        <w:spacing w:after="0" w:line="138"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No Responsibility for Recitals, Etc</w:t>
      </w:r>
      <w:r>
        <w:rPr>
          <w:rFonts w:ascii="Arial" w:cs="Arial" w:eastAsia="Arial" w:hAnsi="Arial"/>
          <w:sz w:val="16"/>
          <w:szCs w:val="16"/>
          <w:color w:val="auto"/>
        </w:rPr>
        <w:t>. The recitals contained herein and in the Notes (except in the Trustee’s certificate of authentication) shall be taken as the statements of the Company, and the Trustee assumes no responsibility for the correctness of the same. The Trustee makes no representations as to the validity, enforceability or sufficiency of this Indenture or of the Notes. The Trustee shall not be accountable for the use or application by the Company of any Notes or the proceeds of any Notes authenticated and delivered by the Trustee in conformity with the provisions of this Indenture or any money paid to the Company or upon the Company’s direction under any provision of this Indenture. The Trustee shall have no responsibility or liability with respect to any information, statement or recital in any disclosure material prepared or distributed with respect to the issuance of the Notes.</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Trustee, Paying Agents, Conversion Agents or Note Registrar May Own Notes</w:t>
      </w:r>
      <w:r>
        <w:rPr>
          <w:rFonts w:ascii="Arial" w:cs="Arial" w:eastAsia="Arial" w:hAnsi="Arial"/>
          <w:sz w:val="16"/>
          <w:szCs w:val="16"/>
          <w:color w:val="auto"/>
        </w:rPr>
        <w:t>. The Trustee, any Paying Agent, any Conversion Agent or Note Registrar, in its individual or any other capacity, may become the owner or pledgee of Notes with the same rights it would have if it were not the Trustee, Paying Agent, Conversion Agent or Note Registrar.</w:t>
      </w:r>
    </w:p>
    <w:p>
      <w:pPr>
        <w:spacing w:after="0" w:line="162"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i w:val="1"/>
          <w:iCs w:val="1"/>
          <w:color w:val="auto"/>
        </w:rPr>
        <w:t>Monies and Shares of Common Stock to Be Held in Trust</w:t>
      </w:r>
      <w:r>
        <w:rPr>
          <w:rFonts w:ascii="Arial" w:cs="Arial" w:eastAsia="Arial" w:hAnsi="Arial"/>
          <w:sz w:val="15"/>
          <w:szCs w:val="15"/>
          <w:color w:val="auto"/>
        </w:rPr>
        <w:t>.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or property except to the extent required by law. The Trustee shall be under no liability for interest on any money or shares of Common Stock received by it hereunder except as may be agreed from time to time by the Company and the Trustee. The Trustee shall not be obligated to take possession of any Common Stock, whether on conversion or in connection with any discharge of this Indenture pursuant to Article 3 hereof, but shall satisfy its obligation as Conversion Agent by working through the stock transfer agent of the Company from time to time as directed by the Company.</w:t>
      </w:r>
    </w:p>
    <w:p>
      <w:pPr>
        <w:spacing w:after="0" w:line="157"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color w:val="auto"/>
        </w:rPr>
        <w:t xml:space="preserve">Section 7.06. </w:t>
      </w:r>
      <w:r>
        <w:rPr>
          <w:rFonts w:ascii="Arial" w:cs="Arial" w:eastAsia="Arial" w:hAnsi="Arial"/>
          <w:sz w:val="14"/>
          <w:szCs w:val="14"/>
          <w:i w:val="1"/>
          <w:iCs w:val="1"/>
          <w:color w:val="auto"/>
        </w:rPr>
        <w:t>Compensation and Expenses of Trustee</w:t>
      </w:r>
      <w:r>
        <w:rPr>
          <w:rFonts w:ascii="Arial" w:cs="Arial" w:eastAsia="Arial" w:hAnsi="Arial"/>
          <w:sz w:val="14"/>
          <w:szCs w:val="14"/>
          <w:color w:val="auto"/>
        </w:rPr>
        <w:t>. The Company covenants and agrees to pay to the Trustee, in any capacity under this Indenture, from time to time and the Trustee shall receive such compensation agreed in writing between the Company and the Trustee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and including reasonable attorneys’ fees in connection with its enforcement of its rights to indemnity herein) except any such expense, disbursement or advance as shall have been caused by its gross negligence or willful misconduct, as determined by a final, non-appealable decision of a court of competent jurisdiction. The Company also covenants to indemnify the Trustee or any predecessor Trustee in any capacity under this Indenture and any other document or transaction entered into in connection herewith and its officers, directors, attorneys, employees and agents and any authenticating agent for, and to hold them harmless against, any loss, claim (whether asserted by the Company, a Holder or any other Person), damage, liability or expense (including reasonable attorneys’ fees) incurred without gross negligence or willful misconduct on the part of the Trustee, its officers, directors, agents or employees, or such agent or authenticating agent, as the case may be determined by a final, non-appealable decision of a court of competent jurisdiction, and arising out of or in connection with the acceptance or administration of this Indenture or in any other capacity hereunder, including the costs and expenses of defending themselves against any claim of liability in the premises and enforcement of this Section 7.06.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the payment of the Notes,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4" w:name="page155"/>
    <w:bookmarkEnd w:id="154"/>
    <w:p>
      <w:pPr>
        <w:jc w:val="both"/>
        <w:ind w:right="20" w:firstLine="574"/>
        <w:spacing w:after="0" w:line="262" w:lineRule="auto"/>
        <w:rPr>
          <w:sz w:val="20"/>
          <w:szCs w:val="20"/>
          <w:color w:val="auto"/>
        </w:rPr>
      </w:pPr>
      <w:r>
        <w:rPr>
          <w:rFonts w:ascii="Arial" w:cs="Arial" w:eastAsia="Arial" w:hAnsi="Arial"/>
          <w:sz w:val="16"/>
          <w:szCs w:val="16"/>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6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i w:val="1"/>
          <w:iCs w:val="1"/>
          <w:color w:val="auto"/>
        </w:rPr>
        <w:t>Officer’s Certificate and Opinion of Counsel as Evidence</w:t>
      </w:r>
      <w:r>
        <w:rPr>
          <w:rFonts w:ascii="Arial" w:cs="Arial" w:eastAsia="Arial" w:hAnsi="Arial"/>
          <w:sz w:val="16"/>
          <w:szCs w:val="16"/>
          <w:color w:val="auto"/>
        </w:rPr>
        <w:t>.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and Opinion of Counsel delivered to the Trustee, and such Officer’s Certificate and Opinion of Counsel, in the absence of gross negligence or willful misconduct on the part of the Trustee, shall be full warrant to the Trustee for any action taken or omitted by it under the provisions of this Indenture upon the faith thereof.</w:t>
      </w:r>
    </w:p>
    <w:p>
      <w:pPr>
        <w:spacing w:after="0" w:line="170"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i w:val="1"/>
          <w:iCs w:val="1"/>
          <w:color w:val="auto"/>
        </w:rPr>
        <w:t>Eligibility of Trustee</w:t>
      </w:r>
      <w:r>
        <w:rPr>
          <w:rFonts w:ascii="Arial" w:cs="Arial" w:eastAsia="Arial" w:hAnsi="Arial"/>
          <w:sz w:val="16"/>
          <w:szCs w:val="16"/>
          <w:color w:val="auto"/>
        </w:rPr>
        <w:t>. There shall at all times be a Trustee hereunder which shall be a Person that is eligible pursuant to the Trust Indenture Act (as if the Trust Indenture Act were applicable hereto) to act as such and has a combined capital and surplus of at least the minimum amount required by the Trust Indenture Act. If such Person publishes reports of condition at least annually, pursuant to law or to the requirements of any supervising or examining authority, then for the purposes of this Section 7.08, the combined capital and surplus of such Person shall be deemed to be its combined capital and surplus as set forth in its most recent report of condition so published. If at any time the Trustee shall cease to be eligible in accordance with the provisions of this Section 7.08, it shall resign immediately in the manner and with the effect hereinafter specified in this Article.</w:t>
      </w:r>
    </w:p>
    <w:p>
      <w:pPr>
        <w:spacing w:after="0" w:line="170"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Section 7.09. </w:t>
      </w:r>
      <w:r>
        <w:rPr>
          <w:rFonts w:ascii="Arial" w:cs="Arial" w:eastAsia="Arial" w:hAnsi="Arial"/>
          <w:sz w:val="15"/>
          <w:szCs w:val="15"/>
          <w:i w:val="1"/>
          <w:iCs w:val="1"/>
          <w:color w:val="auto"/>
        </w:rPr>
        <w:t>Resignation or Removal of Trustee</w:t>
      </w:r>
      <w:r>
        <w:rPr>
          <w:rFonts w:ascii="Arial" w:cs="Arial" w:eastAsia="Arial" w:hAnsi="Arial"/>
          <w:sz w:val="15"/>
          <w:szCs w:val="15"/>
          <w:color w:val="auto"/>
        </w:rPr>
        <w:t>. (a)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an Officer of the Company,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at the expense of the Company, upon ten Business Days’ notice to the Company and the Holders, petition any court of competent jurisdiction,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57" w:lineRule="exact"/>
        <w:rPr>
          <w:sz w:val="20"/>
          <w:szCs w:val="20"/>
          <w:color w:val="auto"/>
        </w:rPr>
      </w:pPr>
    </w:p>
    <w:p>
      <w:pPr>
        <w:ind w:left="1360" w:hanging="217"/>
        <w:spacing w:after="0"/>
        <w:tabs>
          <w:tab w:leader="none" w:pos="13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 case at any time any of the following shall occur:</w:t>
      </w:r>
    </w:p>
    <w:p>
      <w:pPr>
        <w:spacing w:after="0" w:line="198" w:lineRule="exact"/>
        <w:rPr>
          <w:rFonts w:ascii="Arial" w:cs="Arial" w:eastAsia="Arial" w:hAnsi="Arial"/>
          <w:sz w:val="16"/>
          <w:szCs w:val="16"/>
          <w:color w:val="auto"/>
        </w:rPr>
      </w:pPr>
    </w:p>
    <w:p>
      <w:pPr>
        <w:ind w:right="20" w:firstLine="1716"/>
        <w:spacing w:after="0" w:line="275" w:lineRule="auto"/>
        <w:tabs>
          <w:tab w:leader="none" w:pos="1915"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Trustee shall cease to be eligible in accordance with the provisions of Section 7.08 and shall fail to resign after written request therefor by the Company or by any such Holder, or</w:t>
      </w:r>
    </w:p>
    <w:p>
      <w:pPr>
        <w:spacing w:after="0" w:line="151" w:lineRule="exact"/>
        <w:rPr>
          <w:rFonts w:ascii="Arial" w:cs="Arial" w:eastAsia="Arial" w:hAnsi="Arial"/>
          <w:sz w:val="16"/>
          <w:szCs w:val="16"/>
          <w:color w:val="auto"/>
        </w:rPr>
      </w:pPr>
    </w:p>
    <w:p>
      <w:pPr>
        <w:ind w:right="20" w:firstLine="1716"/>
        <w:spacing w:after="0" w:line="309" w:lineRule="auto"/>
        <w:tabs>
          <w:tab w:leader="none" w:pos="196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29"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then, in either case, the Company may by an Officer’s Certificate remove the Trustee and appoint a successor trustee by written instrument, in duplicate, executed by an Officer’s Certificate,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55" w:lineRule="exact"/>
        <w:rPr>
          <w:sz w:val="20"/>
          <w:szCs w:val="20"/>
          <w:color w:val="auto"/>
        </w:rPr>
      </w:pPr>
    </w:p>
    <w:p>
      <w:pPr>
        <w:jc w:val="both"/>
        <w:ind w:firstLine="1143"/>
        <w:spacing w:after="0" w:line="306" w:lineRule="auto"/>
        <w:tabs>
          <w:tab w:leader="none" w:pos="1376"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Holders of a majority in aggregate principal amount of the Notes at the time outstanding (including, without limitation, additional Notes and PIK Notes, if any),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34" w:lineRule="exact"/>
        <w:rPr>
          <w:rFonts w:ascii="Arial" w:cs="Arial" w:eastAsia="Arial" w:hAnsi="Arial"/>
          <w:sz w:val="14"/>
          <w:szCs w:val="14"/>
          <w:color w:val="auto"/>
        </w:rPr>
      </w:pPr>
    </w:p>
    <w:p>
      <w:pPr>
        <w:ind w:right="20" w:firstLine="1143"/>
        <w:spacing w:after="0" w:line="275" w:lineRule="auto"/>
        <w:tabs>
          <w:tab w:leader="none" w:pos="138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5" w:name="page156"/>
    <w:bookmarkEnd w:id="155"/>
    <w:p>
      <w:pPr>
        <w:jc w:val="both"/>
        <w:ind w:firstLine="574"/>
        <w:spacing w:after="0" w:line="271" w:lineRule="auto"/>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i w:val="1"/>
          <w:iCs w:val="1"/>
          <w:color w:val="auto"/>
        </w:rPr>
        <w:t>Acceptance by Successor Trustee</w:t>
      </w:r>
      <w:r>
        <w:rPr>
          <w:rFonts w:ascii="Arial" w:cs="Arial" w:eastAsia="Arial" w:hAnsi="Arial"/>
          <w:sz w:val="15"/>
          <w:szCs w:val="15"/>
          <w:color w:val="auto"/>
        </w:rPr>
        <w:t>.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5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 successor trustee shall accept appointment as provided in this Section 7.10 unless at the time of such acceptance such successor trustee shall be eligible under the provisions of Section 7.08.</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 resigning Trustee shall be responsible or liable for the actions or inactions of any successor Trustee.</w:t>
      </w:r>
    </w:p>
    <w:p>
      <w:pPr>
        <w:spacing w:after="0" w:line="198"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 xml:space="preserve">Section 7.11. </w:t>
      </w:r>
      <w:r>
        <w:rPr>
          <w:rFonts w:ascii="Arial" w:cs="Arial" w:eastAsia="Arial" w:hAnsi="Arial"/>
          <w:sz w:val="14"/>
          <w:szCs w:val="14"/>
          <w:i w:val="1"/>
          <w:iCs w:val="1"/>
          <w:color w:val="auto"/>
        </w:rPr>
        <w:t>Succession by Merger, Etc</w:t>
      </w:r>
      <w:r>
        <w:rPr>
          <w:rFonts w:ascii="Arial" w:cs="Arial" w:eastAsia="Arial" w:hAnsi="Arial"/>
          <w:sz w:val="14"/>
          <w:szCs w:val="14"/>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38"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56"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 xml:space="preserve">Section 7.12. </w:t>
      </w:r>
      <w:r>
        <w:rPr>
          <w:rFonts w:ascii="Arial" w:cs="Arial" w:eastAsia="Arial" w:hAnsi="Arial"/>
          <w:sz w:val="14"/>
          <w:szCs w:val="14"/>
          <w:i w:val="1"/>
          <w:iCs w:val="1"/>
          <w:color w:val="auto"/>
        </w:rPr>
        <w:t>Trustee’s Application for Instructions from the Company</w:t>
      </w:r>
      <w:r>
        <w:rPr>
          <w:rFonts w:ascii="Arial" w:cs="Arial" w:eastAsia="Arial" w:hAnsi="Arial"/>
          <w:sz w:val="14"/>
          <w:szCs w:val="14"/>
          <w:color w:val="auto"/>
        </w:rPr>
        <w:t>.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notice to the Company has been deemed given pursuant to Section 18.03,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8</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ONCERNING</w:t>
      </w:r>
      <w:r>
        <w:rPr>
          <w:rFonts w:ascii="Arial" w:cs="Arial" w:eastAsia="Arial" w:hAnsi="Arial"/>
          <w:sz w:val="16"/>
          <w:szCs w:val="16"/>
          <w:color w:val="auto"/>
        </w:rPr>
        <w:t xml:space="preserve"> T</w:t>
      </w:r>
      <w:r>
        <w:rPr>
          <w:rFonts w:ascii="Arial" w:cs="Arial" w:eastAsia="Arial" w:hAnsi="Arial"/>
          <w:sz w:val="10"/>
          <w:szCs w:val="10"/>
          <w:color w:val="auto"/>
        </w:rPr>
        <w:t>HE</w:t>
      </w:r>
      <w:r>
        <w:rPr>
          <w:rFonts w:ascii="Arial" w:cs="Arial" w:eastAsia="Arial" w:hAnsi="Arial"/>
          <w:sz w:val="16"/>
          <w:szCs w:val="16"/>
          <w:color w:val="auto"/>
        </w:rPr>
        <w:t xml:space="preserve"> H</w:t>
      </w:r>
      <w:r>
        <w:rPr>
          <w:rFonts w:ascii="Arial" w:cs="Arial" w:eastAsia="Arial" w:hAnsi="Arial"/>
          <w:sz w:val="10"/>
          <w:szCs w:val="10"/>
          <w:color w:val="auto"/>
        </w:rPr>
        <w:t>OLDERS</w:t>
      </w:r>
    </w:p>
    <w:p>
      <w:pPr>
        <w:spacing w:after="0" w:line="186"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i w:val="1"/>
          <w:iCs w:val="1"/>
          <w:color w:val="auto"/>
        </w:rPr>
        <w:t>Action by Holders</w:t>
      </w:r>
      <w:r>
        <w:rPr>
          <w:rFonts w:ascii="Arial" w:cs="Arial" w:eastAsia="Arial" w:hAnsi="Arial"/>
          <w:sz w:val="15"/>
          <w:szCs w:val="15"/>
          <w:color w:val="auto"/>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6" w:name="page157"/>
    <w:bookmarkEnd w:id="156"/>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Proof of Execution by Holders</w:t>
      </w:r>
      <w:r>
        <w:rPr>
          <w:rFonts w:ascii="Arial" w:cs="Arial" w:eastAsia="Arial" w:hAnsi="Arial"/>
          <w:sz w:val="16"/>
          <w:szCs w:val="16"/>
          <w:color w:val="auto"/>
        </w:rPr>
        <w:t>.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65"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8.03. </w:t>
      </w:r>
      <w:r>
        <w:rPr>
          <w:rFonts w:ascii="Arial" w:cs="Arial" w:eastAsia="Arial" w:hAnsi="Arial"/>
          <w:sz w:val="15"/>
          <w:szCs w:val="15"/>
          <w:i w:val="1"/>
          <w:iCs w:val="1"/>
          <w:color w:val="auto"/>
        </w:rPr>
        <w:t>Who Are Deemed Absolute Owners</w:t>
      </w:r>
      <w:r>
        <w:rPr>
          <w:rFonts w:ascii="Arial" w:cs="Arial" w:eastAsia="Arial" w:hAnsi="Arial"/>
          <w:sz w:val="15"/>
          <w:szCs w:val="15"/>
          <w:color w:val="auto"/>
        </w:rPr>
        <w:t>.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60"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8.04. </w:t>
      </w:r>
      <w:r>
        <w:rPr>
          <w:rFonts w:ascii="Arial" w:cs="Arial" w:eastAsia="Arial" w:hAnsi="Arial"/>
          <w:sz w:val="15"/>
          <w:szCs w:val="15"/>
          <w:i w:val="1"/>
          <w:iCs w:val="1"/>
          <w:color w:val="auto"/>
        </w:rPr>
        <w:t>Company-Owned Notes Disregarded</w:t>
      </w:r>
      <w:r>
        <w:rPr>
          <w:rFonts w:ascii="Arial" w:cs="Arial" w:eastAsia="Arial" w:hAnsi="Arial"/>
          <w:sz w:val="15"/>
          <w:szCs w:val="15"/>
          <w:color w:val="auto"/>
        </w:rPr>
        <w:t xml:space="preserve">. In determining whether the Holders of the requisite aggregate principal amount of Notes have concurred in any direction, consent, waiver or other action under this Indenture, Notes that are owned by the Company or by any Subsidiary thereof shall be disregarded and deemed not to be outstanding for the purpose of any such determination;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63"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i w:val="1"/>
          <w:iCs w:val="1"/>
          <w:color w:val="auto"/>
        </w:rPr>
        <w:t>Revocation of Consents; Future Holders Bound</w:t>
      </w:r>
      <w:r>
        <w:rPr>
          <w:rFonts w:ascii="Arial" w:cs="Arial" w:eastAsia="Arial" w:hAnsi="Arial"/>
          <w:sz w:val="16"/>
          <w:szCs w:val="16"/>
          <w:color w:val="auto"/>
        </w:rPr>
        <w:t>.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9</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w:t>
      </w:r>
      <w:r>
        <w:rPr>
          <w:rFonts w:ascii="Arial" w:cs="Arial" w:eastAsia="Arial" w:hAnsi="Arial"/>
          <w:sz w:val="10"/>
          <w:szCs w:val="10"/>
          <w:color w:val="auto"/>
        </w:rPr>
        <w:t>OLDERS</w:t>
      </w:r>
      <w:r>
        <w:rPr>
          <w:rFonts w:ascii="Arial" w:cs="Arial" w:eastAsia="Arial" w:hAnsi="Arial"/>
          <w:sz w:val="16"/>
          <w:szCs w:val="16"/>
          <w:color w:val="auto"/>
        </w:rPr>
        <w:t>’ M</w:t>
      </w:r>
      <w:r>
        <w:rPr>
          <w:rFonts w:ascii="Arial" w:cs="Arial" w:eastAsia="Arial" w:hAnsi="Arial"/>
          <w:sz w:val="10"/>
          <w:szCs w:val="10"/>
          <w:color w:val="auto"/>
        </w:rPr>
        <w:t>EETINGS</w:t>
      </w:r>
    </w:p>
    <w:p>
      <w:pPr>
        <w:spacing w:after="0" w:line="18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Purpose of Meetings</w:t>
      </w:r>
      <w:r>
        <w:rPr>
          <w:rFonts w:ascii="Arial" w:cs="Arial" w:eastAsia="Arial" w:hAnsi="Arial"/>
          <w:sz w:val="16"/>
          <w:szCs w:val="16"/>
          <w:color w:val="auto"/>
        </w:rPr>
        <w:t>. A meeting of Holders may be called at any time and from time to time pursuant to the provisions of this Article 9 for any of the following purposes:</w:t>
      </w:r>
    </w:p>
    <w:p>
      <w:pPr>
        <w:spacing w:after="0" w:line="152" w:lineRule="exact"/>
        <w:rPr>
          <w:sz w:val="20"/>
          <w:szCs w:val="20"/>
          <w:color w:val="auto"/>
        </w:rPr>
      </w:pPr>
    </w:p>
    <w:p>
      <w:pPr>
        <w:jc w:val="both"/>
        <w:ind w:firstLine="1143"/>
        <w:spacing w:after="0" w:line="262" w:lineRule="auto"/>
        <w:tabs>
          <w:tab w:leader="none" w:pos="136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7" w:name="page158"/>
    <w:bookmarkEnd w:id="157"/>
    <w:p>
      <w:pPr>
        <w:ind w:left="1360" w:hanging="217"/>
        <w:spacing w:after="0"/>
        <w:tabs>
          <w:tab w:leader="none" w:pos="13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remove the Trustee and nominate a successor trustee pursuant to the provisions of Article 7;</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consent to the execution of an indenture or indentures supplemental hereto pursuant to the provisions of Section 10.02; or</w:t>
      </w:r>
    </w:p>
    <w:p>
      <w:pPr>
        <w:spacing w:after="0" w:line="198" w:lineRule="exact"/>
        <w:rPr>
          <w:rFonts w:ascii="Arial" w:cs="Arial" w:eastAsia="Arial" w:hAnsi="Arial"/>
          <w:sz w:val="16"/>
          <w:szCs w:val="16"/>
          <w:color w:val="auto"/>
        </w:rPr>
      </w:pPr>
    </w:p>
    <w:p>
      <w:pPr>
        <w:ind w:right="20" w:firstLine="1143"/>
        <w:spacing w:after="0" w:line="275" w:lineRule="auto"/>
        <w:tabs>
          <w:tab w:leader="none" w:pos="138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take any other action authorized to be taken by or on behalf of the Holders of any specified aggregate principal amount of the Notes under any other provision of this Indenture or under applicable law.</w:t>
      </w:r>
    </w:p>
    <w:p>
      <w:pPr>
        <w:spacing w:after="0" w:line="15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 xml:space="preserve">Section 9.02. </w:t>
      </w:r>
      <w:r>
        <w:rPr>
          <w:rFonts w:ascii="Arial" w:cs="Arial" w:eastAsia="Arial" w:hAnsi="Arial"/>
          <w:sz w:val="15"/>
          <w:szCs w:val="15"/>
          <w:i w:val="1"/>
          <w:iCs w:val="1"/>
          <w:color w:val="auto"/>
        </w:rPr>
        <w:t>Call of Meetings by Trustee</w:t>
      </w:r>
      <w:r>
        <w:rPr>
          <w:rFonts w:ascii="Arial" w:cs="Arial" w:eastAsia="Arial" w:hAnsi="Arial"/>
          <w:sz w:val="15"/>
          <w:szCs w:val="15"/>
          <w:color w:val="auto"/>
        </w:rPr>
        <w:t>.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51"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Call of Meetings by Company or Holders</w:t>
      </w:r>
      <w:r>
        <w:rPr>
          <w:rFonts w:ascii="Arial" w:cs="Arial" w:eastAsia="Arial" w:hAnsi="Arial"/>
          <w:sz w:val="16"/>
          <w:szCs w:val="16"/>
          <w:color w:val="auto"/>
        </w:rPr>
        <w:t>.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70"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Qualifications for Voting</w:t>
      </w:r>
      <w:r>
        <w:rPr>
          <w:rFonts w:ascii="Arial" w:cs="Arial" w:eastAsia="Arial" w:hAnsi="Arial"/>
          <w:sz w:val="16"/>
          <w:szCs w:val="16"/>
          <w:color w:val="auto"/>
        </w:rPr>
        <w:t>.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65"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 xml:space="preserve">Section 9.05. </w:t>
      </w:r>
      <w:r>
        <w:rPr>
          <w:rFonts w:ascii="Arial" w:cs="Arial" w:eastAsia="Arial" w:hAnsi="Arial"/>
          <w:sz w:val="14"/>
          <w:szCs w:val="14"/>
          <w:i w:val="1"/>
          <w:iCs w:val="1"/>
          <w:color w:val="auto"/>
        </w:rPr>
        <w:t>Regulations</w:t>
      </w:r>
      <w:r>
        <w:rPr>
          <w:rFonts w:ascii="Arial" w:cs="Arial" w:eastAsia="Arial" w:hAnsi="Arial"/>
          <w:sz w:val="14"/>
          <w:szCs w:val="14"/>
          <w:color w:val="auto"/>
        </w:rPr>
        <w:t>.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27"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(including, without limitation, additional Notes and PIK Notes, if any) represented at the meeting and entitled to vote at the meeting.</w:t>
      </w:r>
    </w:p>
    <w:p>
      <w:pPr>
        <w:spacing w:after="0" w:line="151"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Subject to the provisions of Section 8.04, at any meeting of Holders each Holder or proxyholder shall be entitled to one vote for each $1,000 principal amount of Notes held or represented by him or her;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70"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Section 9.06. </w:t>
      </w:r>
      <w:r>
        <w:rPr>
          <w:rFonts w:ascii="Arial" w:cs="Arial" w:eastAsia="Arial" w:hAnsi="Arial"/>
          <w:sz w:val="15"/>
          <w:szCs w:val="15"/>
          <w:i w:val="1"/>
          <w:iCs w:val="1"/>
          <w:color w:val="auto"/>
        </w:rPr>
        <w:t>Voting</w:t>
      </w:r>
      <w:r>
        <w:rPr>
          <w:rFonts w:ascii="Arial" w:cs="Arial" w:eastAsia="Arial" w:hAnsi="Arial"/>
          <w:sz w:val="15"/>
          <w:szCs w:val="15"/>
          <w:color w:val="auto"/>
        </w:rPr>
        <w:t>.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8" w:name="page159"/>
    <w:bookmarkEnd w:id="158"/>
    <w:p>
      <w:pPr>
        <w:ind w:left="560"/>
        <w:spacing w:after="0"/>
        <w:rPr>
          <w:sz w:val="20"/>
          <w:szCs w:val="20"/>
          <w:color w:val="auto"/>
        </w:rPr>
      </w:pPr>
      <w:r>
        <w:rPr>
          <w:rFonts w:ascii="Arial" w:cs="Arial" w:eastAsia="Arial" w:hAnsi="Arial"/>
          <w:sz w:val="16"/>
          <w:szCs w:val="16"/>
          <w:color w:val="auto"/>
        </w:rPr>
        <w:t>Any record so signed and verified shall be conclusive evidence of the matters therein stated.</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i w:val="1"/>
          <w:iCs w:val="1"/>
          <w:color w:val="auto"/>
        </w:rPr>
        <w:t>No Delay of Rights by Meeting</w:t>
      </w:r>
      <w:r>
        <w:rPr>
          <w:rFonts w:ascii="Arial" w:cs="Arial" w:eastAsia="Arial" w:hAnsi="Arial"/>
          <w:sz w:val="16"/>
          <w:szCs w:val="16"/>
          <w:color w:val="auto"/>
        </w:rPr>
        <w:t>.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UPPLEMENTAL</w:t>
      </w:r>
      <w:r>
        <w:rPr>
          <w:rFonts w:ascii="Arial" w:cs="Arial" w:eastAsia="Arial" w:hAnsi="Arial"/>
          <w:sz w:val="16"/>
          <w:szCs w:val="16"/>
          <w:color w:val="auto"/>
        </w:rPr>
        <w:t xml:space="preserve"> I</w:t>
      </w:r>
      <w:r>
        <w:rPr>
          <w:rFonts w:ascii="Arial" w:cs="Arial" w:eastAsia="Arial" w:hAnsi="Arial"/>
          <w:sz w:val="10"/>
          <w:szCs w:val="10"/>
          <w:color w:val="auto"/>
        </w:rPr>
        <w:t>NDENTURES</w:t>
      </w:r>
    </w:p>
    <w:p>
      <w:pPr>
        <w:spacing w:after="0" w:line="18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Supplemental Indentures Without Consent of Holders</w:t>
      </w:r>
      <w:r>
        <w:rPr>
          <w:rFonts w:ascii="Arial" w:cs="Arial" w:eastAsia="Arial" w:hAnsi="Arial"/>
          <w:sz w:val="16"/>
          <w:szCs w:val="16"/>
          <w:color w:val="auto"/>
        </w:rPr>
        <w:t>. The Company and the Trustee, at the Company’s expense, may from time to time and at any time amend this Indenture or enter into an indenture or indentures supplemental hereto for one or more of the following purposes to:</w:t>
      </w:r>
    </w:p>
    <w:p>
      <w:pPr>
        <w:spacing w:after="0" w:line="152" w:lineRule="exact"/>
        <w:rPr>
          <w:sz w:val="20"/>
          <w:szCs w:val="20"/>
          <w:color w:val="auto"/>
        </w:rPr>
      </w:pPr>
    </w:p>
    <w:p>
      <w:pPr>
        <w:ind w:left="1360" w:hanging="217"/>
        <w:spacing w:after="0"/>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cure any ambiguity, omission, defect or inconsistency in this Indenture;</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provide for the assumption by a Successor Company of the obligations of the Company under this Indenture pursuant to Article 11;</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add guarantees with respect to the Notes;</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secure the Notes;</w:t>
      </w:r>
    </w:p>
    <w:p>
      <w:pPr>
        <w:spacing w:after="0" w:line="198" w:lineRule="exact"/>
        <w:rPr>
          <w:rFonts w:ascii="Arial" w:cs="Arial" w:eastAsia="Arial" w:hAnsi="Arial"/>
          <w:sz w:val="16"/>
          <w:szCs w:val="16"/>
          <w:color w:val="auto"/>
        </w:rPr>
      </w:pPr>
    </w:p>
    <w:p>
      <w:pPr>
        <w:ind w:left="1380" w:hanging="237"/>
        <w:spacing w:after="0"/>
        <w:tabs>
          <w:tab w:leader="none" w:pos="138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add to the covenants or Events of Default of the Company for the benefit of the Holders or surrender any right or power conferred upon the Company</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under this Indenture;</w:t>
      </w:r>
    </w:p>
    <w:p>
      <w:pPr>
        <w:spacing w:after="0" w:line="185" w:lineRule="exact"/>
        <w:rPr>
          <w:rFonts w:ascii="Arial" w:cs="Arial" w:eastAsia="Arial" w:hAnsi="Arial"/>
          <w:sz w:val="15"/>
          <w:szCs w:val="15"/>
          <w:color w:val="auto"/>
        </w:rPr>
      </w:pPr>
    </w:p>
    <w:p>
      <w:pPr>
        <w:ind w:left="1340" w:hanging="197"/>
        <w:spacing w:after="0"/>
        <w:tabs>
          <w:tab w:leader="none" w:pos="13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make any change that does not adversely affect the rights of any Holder in any material respect;</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increase the Conversion Rate as provided herein;</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provide for the acceptance of appointment by a successor trustee or facilitate the administration of the trusts under this Indenture by more than one trustee;</w:t>
      </w:r>
    </w:p>
    <w:p>
      <w:pPr>
        <w:spacing w:after="0" w:line="221" w:lineRule="exact"/>
        <w:rPr>
          <w:rFonts w:ascii="Arial" w:cs="Arial" w:eastAsia="Arial" w:hAnsi="Arial"/>
          <w:sz w:val="14"/>
          <w:szCs w:val="14"/>
          <w:color w:val="auto"/>
        </w:rPr>
      </w:pPr>
    </w:p>
    <w:p>
      <w:pPr>
        <w:ind w:right="20" w:firstLine="1143"/>
        <w:spacing w:after="0" w:line="349" w:lineRule="auto"/>
        <w:tabs>
          <w:tab w:leader="none" w:pos="1338" w:val="left"/>
        </w:tabs>
        <w:numPr>
          <w:ilvl w:val="0"/>
          <w:numId w:val="156"/>
        </w:numPr>
        <w:rPr>
          <w:rFonts w:ascii="Arial" w:cs="Arial" w:eastAsia="Arial" w:hAnsi="Arial"/>
          <w:sz w:val="14"/>
          <w:szCs w:val="14"/>
          <w:color w:val="auto"/>
        </w:rPr>
      </w:pPr>
      <w:r>
        <w:rPr>
          <w:rFonts w:ascii="Arial" w:cs="Arial" w:eastAsia="Arial" w:hAnsi="Arial"/>
          <w:sz w:val="14"/>
          <w:szCs w:val="14"/>
          <w:color w:val="auto"/>
        </w:rPr>
        <w:t xml:space="preserve">irrevocably elect a Settlement Method or a Specified Dollar Amount, or eliminate the Company’s ability to select a Settlement Method;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such election or elimination will affect any Settlement Method theretofore elected (or deemed to be elected) with respect to any Note pursuant to Section 14.02;</w:t>
      </w:r>
    </w:p>
    <w:p>
      <w:pPr>
        <w:spacing w:after="0" w:line="105" w:lineRule="exact"/>
        <w:rPr>
          <w:rFonts w:ascii="Arial" w:cs="Arial" w:eastAsia="Arial" w:hAnsi="Arial"/>
          <w:sz w:val="14"/>
          <w:szCs w:val="14"/>
          <w:color w:val="auto"/>
        </w:rPr>
      </w:pPr>
    </w:p>
    <w:p>
      <w:pPr>
        <w:ind w:right="20" w:firstLine="1143"/>
        <w:spacing w:after="0" w:line="275" w:lineRule="auto"/>
        <w:tabs>
          <w:tab w:leader="none" w:pos="134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connection with any Merger Event, provide that the notes are convertible into Reference Property, subject to the provisions of Section 14.02, and make such related changes to the terms of the Notes to the extent expressly required by Section 14.07;</w:t>
      </w:r>
    </w:p>
    <w:p>
      <w:pPr>
        <w:spacing w:after="0" w:line="151" w:lineRule="exact"/>
        <w:rPr>
          <w:rFonts w:ascii="Arial" w:cs="Arial" w:eastAsia="Arial" w:hAnsi="Arial"/>
          <w:sz w:val="16"/>
          <w:szCs w:val="16"/>
          <w:color w:val="auto"/>
        </w:rPr>
      </w:pPr>
    </w:p>
    <w:p>
      <w:pPr>
        <w:ind w:firstLine="1143"/>
        <w:spacing w:after="0" w:line="275" w:lineRule="auto"/>
        <w:tabs>
          <w:tab w:leader="none" w:pos="139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comply with the rules of any applicable Depositary, including The Depository Trust Company, so long as such amendment does not materially and adversely affect the rights of any Holder;</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provide for the issuance of additional Notes in accordance with this Indenture; or</w:t>
      </w:r>
    </w:p>
    <w:p>
      <w:pPr>
        <w:spacing w:after="0" w:line="198" w:lineRule="exact"/>
        <w:rPr>
          <w:rFonts w:ascii="Arial" w:cs="Arial" w:eastAsia="Arial" w:hAnsi="Arial"/>
          <w:sz w:val="16"/>
          <w:szCs w:val="16"/>
          <w:color w:val="auto"/>
        </w:rPr>
      </w:pPr>
    </w:p>
    <w:p>
      <w:pPr>
        <w:ind w:firstLine="1143"/>
        <w:spacing w:after="0" w:line="275" w:lineRule="auto"/>
        <w:tabs>
          <w:tab w:leader="none" w:pos="142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comply with any requirement of the Commission in connection with the qualification of this Indenture under the Trust Indenture Act to the extent this Indenture is qualified thereunder.</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Upon the written request of the Company, the Trustee is hereby authorized to join with the Company in the execution of any such amendment or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9" w:name="page160"/>
    <w:bookmarkEnd w:id="159"/>
    <w:p>
      <w:pPr>
        <w:jc w:val="both"/>
        <w:ind w:right="20" w:firstLine="574"/>
        <w:spacing w:after="0" w:line="275" w:lineRule="auto"/>
        <w:rPr>
          <w:sz w:val="20"/>
          <w:szCs w:val="20"/>
          <w:color w:val="auto"/>
        </w:rPr>
      </w:pPr>
      <w:r>
        <w:rPr>
          <w:rFonts w:ascii="Arial" w:cs="Arial" w:eastAsia="Arial" w:hAnsi="Arial"/>
          <w:sz w:val="16"/>
          <w:szCs w:val="16"/>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i w:val="1"/>
          <w:iCs w:val="1"/>
          <w:color w:val="auto"/>
        </w:rPr>
        <w:t>Supplemental Indentures with Consent of Holders</w:t>
      </w:r>
      <w:r>
        <w:rPr>
          <w:rFonts w:ascii="Arial" w:cs="Arial" w:eastAsia="Arial" w:hAnsi="Arial"/>
          <w:sz w:val="16"/>
          <w:szCs w:val="16"/>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without the consent of each Holder of an outstanding Note affected, no such supplemental indenture shall:</w:t>
      </w:r>
    </w:p>
    <w:p>
      <w:pPr>
        <w:spacing w:after="0" w:line="170" w:lineRule="exact"/>
        <w:rPr>
          <w:sz w:val="20"/>
          <w:szCs w:val="20"/>
          <w:color w:val="auto"/>
        </w:rPr>
      </w:pPr>
    </w:p>
    <w:p>
      <w:pPr>
        <w:ind w:left="1360" w:hanging="217"/>
        <w:spacing w:after="0"/>
        <w:tabs>
          <w:tab w:leader="none" w:pos="13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reduce the principal amount of Notes whose Holders must consent to an amendment;</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reduce the rate of or extend the stated time for payment of interest on any Note;</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reduce the principal of, reduce the premium payable upon conversion or redemption of a Note or extend the Maturity Date of any Note;</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make any change that adversely affects the conversion rights of any Notes;</w:t>
      </w:r>
    </w:p>
    <w:p>
      <w:pPr>
        <w:spacing w:after="0" w:line="198" w:lineRule="exact"/>
        <w:rPr>
          <w:rFonts w:ascii="Arial" w:cs="Arial" w:eastAsia="Arial" w:hAnsi="Arial"/>
          <w:sz w:val="16"/>
          <w:szCs w:val="16"/>
          <w:color w:val="auto"/>
        </w:rPr>
      </w:pPr>
    </w:p>
    <w:p>
      <w:pPr>
        <w:ind w:right="20" w:firstLine="1143"/>
        <w:spacing w:after="0" w:line="275" w:lineRule="auto"/>
        <w:tabs>
          <w:tab w:leader="none" w:pos="137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make any Note payable in a currency, or at a place of payment, other than that stated in the Note;</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change the ranking of the Notes;</w:t>
      </w:r>
    </w:p>
    <w:p>
      <w:pPr>
        <w:spacing w:after="0" w:line="198" w:lineRule="exact"/>
        <w:rPr>
          <w:rFonts w:ascii="Arial" w:cs="Arial" w:eastAsia="Arial" w:hAnsi="Arial"/>
          <w:sz w:val="16"/>
          <w:szCs w:val="16"/>
          <w:color w:val="auto"/>
        </w:rPr>
      </w:pPr>
    </w:p>
    <w:p>
      <w:pPr>
        <w:ind w:right="20" w:firstLine="1143"/>
        <w:spacing w:after="0" w:line="275" w:lineRule="auto"/>
        <w:tabs>
          <w:tab w:leader="none" w:pos="137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impair the right of any Holder to receive payment of principal and interest on such Holder’s Note on or after the due dates therefor or to institute suit for the enforcement of any payment on or with respect to such Holder’s Notes; or</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make any change in this Article 10 that requires each Holder’s consent or in the waiver provisions in Section 6.02 or Section 6.09.</w:t>
      </w:r>
    </w:p>
    <w:p>
      <w:pPr>
        <w:spacing w:after="0" w:line="198"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Upon the written request of the Company, and upon the filing with the Trustee of evidence of the consent of requisite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27"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a notice (with a copy to the Trustee) briefly describing such supplemental indenture. However, the failure to give such notice to all the Holders (with a copy to the Trustee), or any defect in the notice, will not impair or affect the validity of the supplemental indenture.</w:t>
      </w:r>
    </w:p>
    <w:p>
      <w:pPr>
        <w:spacing w:after="0" w:line="16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Section 10.03. </w:t>
      </w:r>
      <w:r>
        <w:rPr>
          <w:rFonts w:ascii="Arial" w:cs="Arial" w:eastAsia="Arial" w:hAnsi="Arial"/>
          <w:sz w:val="14"/>
          <w:szCs w:val="14"/>
          <w:i w:val="1"/>
          <w:iCs w:val="1"/>
          <w:color w:val="auto"/>
        </w:rPr>
        <w:t>Effect of Supplemental Indentures</w:t>
      </w:r>
      <w:r>
        <w:rPr>
          <w:rFonts w:ascii="Arial" w:cs="Arial" w:eastAsia="Arial" w:hAnsi="Arial"/>
          <w:sz w:val="14"/>
          <w:szCs w:val="14"/>
          <w:color w:val="auto"/>
        </w:rPr>
        <w:t>.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35"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Section 10.04. </w:t>
      </w:r>
      <w:r>
        <w:rPr>
          <w:rFonts w:ascii="Arial" w:cs="Arial" w:eastAsia="Arial" w:hAnsi="Arial"/>
          <w:sz w:val="15"/>
          <w:szCs w:val="15"/>
          <w:i w:val="1"/>
          <w:iCs w:val="1"/>
          <w:color w:val="auto"/>
        </w:rPr>
        <w:t>Notation on Notes</w:t>
      </w:r>
      <w:r>
        <w:rPr>
          <w:rFonts w:ascii="Arial" w:cs="Arial" w:eastAsia="Arial" w:hAnsi="Arial"/>
          <w:sz w:val="15"/>
          <w:szCs w:val="15"/>
          <w:color w:val="auto"/>
        </w:rPr>
        <w:t>.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18.10) and delivered in exchange for the Notes then outstanding, upon surrender of such Notes then outstanding.</w:t>
      </w:r>
    </w:p>
    <w:p>
      <w:pPr>
        <w:spacing w:after="0" w:line="15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i w:val="1"/>
          <w:iCs w:val="1"/>
          <w:color w:val="auto"/>
        </w:rPr>
        <w:t>Evidence of Compliance of Supplemental Indenture to Be Furnished Trustee</w:t>
      </w:r>
      <w:r>
        <w:rPr>
          <w:rFonts w:ascii="Arial" w:cs="Arial" w:eastAsia="Arial" w:hAnsi="Arial"/>
          <w:sz w:val="16"/>
          <w:szCs w:val="16"/>
          <w:color w:val="auto"/>
        </w:rPr>
        <w:t>. In addition to the documents required by Section 18.05,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shall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6"/>
          <w:szCs w:val="16"/>
          <w:color w:val="auto"/>
        </w:rPr>
        <w:t>ARTICLE 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ONSOLIDATION</w:t>
      </w:r>
      <w:r>
        <w:rPr>
          <w:rFonts w:ascii="Arial" w:cs="Arial" w:eastAsia="Arial" w:hAnsi="Arial"/>
          <w:sz w:val="16"/>
          <w:szCs w:val="16"/>
          <w:color w:val="auto"/>
        </w:rPr>
        <w:t>, M</w:t>
      </w:r>
      <w:r>
        <w:rPr>
          <w:rFonts w:ascii="Arial" w:cs="Arial" w:eastAsia="Arial" w:hAnsi="Arial"/>
          <w:sz w:val="10"/>
          <w:szCs w:val="10"/>
          <w:color w:val="auto"/>
        </w:rPr>
        <w:t>ERGER</w:t>
      </w:r>
      <w:r>
        <w:rPr>
          <w:rFonts w:ascii="Arial" w:cs="Arial" w:eastAsia="Arial" w:hAnsi="Arial"/>
          <w:sz w:val="16"/>
          <w:szCs w:val="16"/>
          <w:color w:val="auto"/>
        </w:rPr>
        <w:t>, S</w:t>
      </w:r>
      <w:r>
        <w:rPr>
          <w:rFonts w:ascii="Arial" w:cs="Arial" w:eastAsia="Arial" w:hAnsi="Arial"/>
          <w:sz w:val="10"/>
          <w:szCs w:val="10"/>
          <w:color w:val="auto"/>
        </w:rPr>
        <w:t>ALE</w:t>
      </w:r>
      <w:r>
        <w:rPr>
          <w:rFonts w:ascii="Arial" w:cs="Arial" w:eastAsia="Arial" w:hAnsi="Arial"/>
          <w:sz w:val="16"/>
          <w:szCs w:val="16"/>
          <w:color w:val="auto"/>
        </w:rPr>
        <w:t>, C</w:t>
      </w:r>
      <w:r>
        <w:rPr>
          <w:rFonts w:ascii="Arial" w:cs="Arial" w:eastAsia="Arial" w:hAnsi="Arial"/>
          <w:sz w:val="10"/>
          <w:szCs w:val="10"/>
          <w:color w:val="auto"/>
        </w:rPr>
        <w:t>ONVEYANCE AND</w:t>
      </w:r>
      <w:r>
        <w:rPr>
          <w:rFonts w:ascii="Arial" w:cs="Arial" w:eastAsia="Arial" w:hAnsi="Arial"/>
          <w:sz w:val="16"/>
          <w:szCs w:val="16"/>
          <w:color w:val="auto"/>
        </w:rPr>
        <w:t xml:space="preserve"> L</w:t>
      </w:r>
      <w:r>
        <w:rPr>
          <w:rFonts w:ascii="Arial" w:cs="Arial" w:eastAsia="Arial" w:hAnsi="Arial"/>
          <w:sz w:val="10"/>
          <w:szCs w:val="10"/>
          <w:color w:val="auto"/>
        </w:rPr>
        <w:t>EASE</w:t>
      </w:r>
    </w:p>
    <w:p>
      <w:pPr>
        <w:spacing w:after="0" w:line="18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Company May Consolidate, Etc. on Certain Terms</w:t>
      </w:r>
      <w:r>
        <w:rPr>
          <w:rFonts w:ascii="Arial" w:cs="Arial" w:eastAsia="Arial" w:hAnsi="Arial"/>
          <w:sz w:val="16"/>
          <w:szCs w:val="16"/>
          <w:color w:val="auto"/>
        </w:rPr>
        <w:t>. Subject to the provisions of Section 11.02, the Company shall not consolidate with, merge with or into, or sell, convey, transfer or lease all or substantially all of the consolidated assets of the Company and its consolidated subsidiaries, taken as a whole, to another Person unless:</w:t>
      </w:r>
    </w:p>
    <w:p>
      <w:pPr>
        <w:spacing w:after="0" w:line="158" w:lineRule="exact"/>
        <w:rPr>
          <w:sz w:val="20"/>
          <w:szCs w:val="20"/>
          <w:color w:val="auto"/>
        </w:rPr>
      </w:pPr>
    </w:p>
    <w:p>
      <w:pPr>
        <w:jc w:val="both"/>
        <w:ind w:firstLine="1143"/>
        <w:spacing w:after="0" w:line="265" w:lineRule="auto"/>
        <w:tabs>
          <w:tab w:leader="none" w:pos="136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resulting, surviving or transferee Person (the “</w:t>
      </w:r>
      <w:r>
        <w:rPr>
          <w:rFonts w:ascii="Arial" w:cs="Arial" w:eastAsia="Arial" w:hAnsi="Arial"/>
          <w:sz w:val="16"/>
          <w:szCs w:val="16"/>
          <w:b w:val="1"/>
          <w:bCs w:val="1"/>
          <w:color w:val="auto"/>
        </w:rPr>
        <w:t>Successor Company</w:t>
      </w:r>
      <w:r>
        <w:rPr>
          <w:rFonts w:ascii="Arial" w:cs="Arial" w:eastAsia="Arial" w:hAnsi="Arial"/>
          <w:sz w:val="16"/>
          <w:szCs w:val="16"/>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w:t>
      </w:r>
    </w:p>
    <w:p>
      <w:pPr>
        <w:spacing w:after="0" w:line="159" w:lineRule="exact"/>
        <w:rPr>
          <w:rFonts w:ascii="Arial" w:cs="Arial" w:eastAsia="Arial" w:hAnsi="Arial"/>
          <w:sz w:val="16"/>
          <w:szCs w:val="16"/>
          <w:color w:val="auto"/>
        </w:rPr>
      </w:pPr>
    </w:p>
    <w:p>
      <w:pPr>
        <w:ind w:left="1360" w:hanging="217"/>
        <w:spacing w:after="0"/>
        <w:tabs>
          <w:tab w:leader="none" w:pos="13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immediately after giving effect to such transaction, no Default or Event of Default shall have occurred and be continuing under this Indenture;</w:t>
      </w:r>
    </w:p>
    <w:p>
      <w:pPr>
        <w:spacing w:after="0" w:line="209" w:lineRule="exact"/>
        <w:rPr>
          <w:rFonts w:ascii="Arial" w:cs="Arial" w:eastAsia="Arial" w:hAnsi="Arial"/>
          <w:sz w:val="15"/>
          <w:szCs w:val="15"/>
          <w:color w:val="auto"/>
        </w:rPr>
      </w:pPr>
    </w:p>
    <w:p>
      <w:pPr>
        <w:jc w:val="both"/>
        <w:ind w:firstLine="1143"/>
        <w:spacing w:after="0" w:line="258" w:lineRule="auto"/>
        <w:tabs>
          <w:tab w:leader="none" w:pos="138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if, upon the occurrence of any such transaction, (x) the Notes would become convertible into securities issued by an issuer other than the resulting, surviving, transferee or successor corporation, and (y) such resulting, surviving, transferee or successor corporation is a Wholly Owned Subsidiary of the issuer of such securities into which the Notes have become convertible, such other issuer shall fully and unconditionally guarantee on a senior basis the resulting, surviving, transferee or successor corporation’s obligations under the Notes; and</w:t>
      </w:r>
    </w:p>
    <w:p>
      <w:pPr>
        <w:spacing w:after="0" w:line="164" w:lineRule="exact"/>
        <w:rPr>
          <w:rFonts w:ascii="Arial" w:cs="Arial" w:eastAsia="Arial" w:hAnsi="Arial"/>
          <w:sz w:val="16"/>
          <w:szCs w:val="16"/>
          <w:color w:val="auto"/>
        </w:rPr>
      </w:pPr>
    </w:p>
    <w:p>
      <w:pPr>
        <w:ind w:right="20" w:firstLine="1143"/>
        <w:spacing w:after="0" w:line="309" w:lineRule="auto"/>
        <w:tabs>
          <w:tab w:leader="none" w:pos="1376" w:val="left"/>
        </w:tabs>
        <w:numPr>
          <w:ilvl w:val="0"/>
          <w:numId w:val="158"/>
        </w:numPr>
        <w:rPr>
          <w:rFonts w:ascii="Arial" w:cs="Arial" w:eastAsia="Arial" w:hAnsi="Arial"/>
          <w:sz w:val="15"/>
          <w:szCs w:val="15"/>
          <w:color w:val="auto"/>
        </w:rPr>
      </w:pPr>
      <w:r>
        <w:rPr>
          <w:rFonts w:ascii="Arial" w:cs="Arial" w:eastAsia="Arial" w:hAnsi="Arial"/>
          <w:sz w:val="15"/>
          <w:szCs w:val="15"/>
          <w:color w:val="auto"/>
        </w:rPr>
        <w:t>each Guarantor, unless such Guarantor is the Person with which the Company has entered into a transaction under this Section 11.01, will have confirmed in writing that its Guarantee will continue to apply to the Obligations of the Company or the surviving entity in accordance with the Notes and this Indenture.</w:t>
      </w:r>
    </w:p>
    <w:p>
      <w:pPr>
        <w:spacing w:after="0" w:line="129"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 Notwithstanding the foregoing, this Article 11 shall not apply to any sale, conveyance, transfer or lease of assets between or among the Company and its direct or indirect Wholly Owned Subsidiaries and, in such an event, the Company shall not be discharged from its obligations under the Notes and this Indenture.</w:t>
      </w:r>
    </w:p>
    <w:p>
      <w:pPr>
        <w:spacing w:after="0" w:line="138"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Section 11.02. </w:t>
      </w:r>
      <w:r>
        <w:rPr>
          <w:rFonts w:ascii="Arial" w:cs="Arial" w:eastAsia="Arial" w:hAnsi="Arial"/>
          <w:sz w:val="15"/>
          <w:szCs w:val="15"/>
          <w:i w:val="1"/>
          <w:iCs w:val="1"/>
          <w:color w:val="auto"/>
        </w:rPr>
        <w:t>Successor Corporation to Be Substituted</w:t>
      </w:r>
      <w:r>
        <w:rPr>
          <w:rFonts w:ascii="Arial" w:cs="Arial" w:eastAsia="Arial" w:hAnsi="Arial"/>
          <w:sz w:val="15"/>
          <w:szCs w:val="15"/>
          <w:color w:val="auto"/>
        </w:rPr>
        <w:t>.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6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case of any such consolidation, merger, sale, conveyance, transfer or lease, such changes in phraseology and form (but not in substance) may be made in the Notes thereafter to be issued as may be appropriate.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6"/>
          <w:szCs w:val="16"/>
          <w:color w:val="auto"/>
        </w:rPr>
        <w:t>ARTICLE 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r>
        <w:rPr>
          <w:rFonts w:ascii="Arial" w:cs="Arial" w:eastAsia="Arial" w:hAnsi="Arial"/>
          <w:sz w:val="10"/>
          <w:szCs w:val="10"/>
          <w:color w:val="auto"/>
        </w:rPr>
        <w:t>MMUNITY OF</w:t>
      </w:r>
      <w:r>
        <w:rPr>
          <w:rFonts w:ascii="Arial" w:cs="Arial" w:eastAsia="Arial" w:hAnsi="Arial"/>
          <w:sz w:val="16"/>
          <w:szCs w:val="16"/>
          <w:color w:val="auto"/>
        </w:rPr>
        <w:t xml:space="preserve"> I</w:t>
      </w:r>
      <w:r>
        <w:rPr>
          <w:rFonts w:ascii="Arial" w:cs="Arial" w:eastAsia="Arial" w:hAnsi="Arial"/>
          <w:sz w:val="10"/>
          <w:szCs w:val="10"/>
          <w:color w:val="auto"/>
        </w:rPr>
        <w:t>NCORPORATORS</w:t>
      </w:r>
      <w:r>
        <w:rPr>
          <w:rFonts w:ascii="Arial" w:cs="Arial" w:eastAsia="Arial" w:hAnsi="Arial"/>
          <w:sz w:val="16"/>
          <w:szCs w:val="16"/>
          <w:color w:val="auto"/>
        </w:rPr>
        <w:t>, S</w:t>
      </w:r>
      <w:r>
        <w:rPr>
          <w:rFonts w:ascii="Arial" w:cs="Arial" w:eastAsia="Arial" w:hAnsi="Arial"/>
          <w:sz w:val="10"/>
          <w:szCs w:val="10"/>
          <w:color w:val="auto"/>
        </w:rPr>
        <w:t>TOCKHOLDERS</w:t>
      </w:r>
      <w:r>
        <w:rPr>
          <w:rFonts w:ascii="Arial" w:cs="Arial" w:eastAsia="Arial" w:hAnsi="Arial"/>
          <w:sz w:val="16"/>
          <w:szCs w:val="16"/>
          <w:color w:val="auto"/>
        </w:rPr>
        <w:t>, O</w:t>
      </w:r>
      <w:r>
        <w:rPr>
          <w:rFonts w:ascii="Arial" w:cs="Arial" w:eastAsia="Arial" w:hAnsi="Arial"/>
          <w:sz w:val="10"/>
          <w:szCs w:val="10"/>
          <w:color w:val="auto"/>
        </w:rPr>
        <w:t>FFICERS AND</w:t>
      </w:r>
      <w:r>
        <w:rPr>
          <w:rFonts w:ascii="Arial" w:cs="Arial" w:eastAsia="Arial" w:hAnsi="Arial"/>
          <w:sz w:val="16"/>
          <w:szCs w:val="16"/>
          <w:color w:val="auto"/>
        </w:rPr>
        <w:t xml:space="preserve"> D</w:t>
      </w:r>
      <w:r>
        <w:rPr>
          <w:rFonts w:ascii="Arial" w:cs="Arial" w:eastAsia="Arial" w:hAnsi="Arial"/>
          <w:sz w:val="10"/>
          <w:szCs w:val="10"/>
          <w:color w:val="auto"/>
        </w:rPr>
        <w:t>IRECTORS</w:t>
      </w:r>
    </w:p>
    <w:p>
      <w:pPr>
        <w:spacing w:after="0" w:line="186"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 xml:space="preserve">Section 12.01. </w:t>
      </w:r>
      <w:r>
        <w:rPr>
          <w:rFonts w:ascii="Arial" w:cs="Arial" w:eastAsia="Arial" w:hAnsi="Arial"/>
          <w:sz w:val="14"/>
          <w:szCs w:val="14"/>
          <w:i w:val="1"/>
          <w:iCs w:val="1"/>
          <w:color w:val="auto"/>
        </w:rPr>
        <w:t>Indenture and Notes Solely Corporate Obligations</w:t>
      </w:r>
      <w:r>
        <w:rPr>
          <w:rFonts w:ascii="Arial" w:cs="Arial" w:eastAsia="Arial" w:hAnsi="Arial"/>
          <w:sz w:val="14"/>
          <w:szCs w:val="14"/>
          <w:color w:val="auto"/>
        </w:rPr>
        <w:t>.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w:t>
      </w:r>
      <w:r>
        <w:rPr>
          <w:rFonts w:ascii="Arial" w:cs="Arial" w:eastAsia="Arial" w:hAnsi="Arial"/>
          <w:sz w:val="10"/>
          <w:szCs w:val="10"/>
          <w:color w:val="auto"/>
        </w:rPr>
        <w:t>ESERVED</w:t>
      </w:r>
      <w:r>
        <w:rPr>
          <w:rFonts w:ascii="Arial" w:cs="Arial" w:eastAsia="Arial" w:hAnsi="Arial"/>
          <w:sz w:val="16"/>
          <w:szCs w:val="16"/>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ONVERSION OF</w:t>
      </w:r>
      <w:r>
        <w:rPr>
          <w:rFonts w:ascii="Arial" w:cs="Arial" w:eastAsia="Arial" w:hAnsi="Arial"/>
          <w:sz w:val="16"/>
          <w:szCs w:val="16"/>
          <w:color w:val="auto"/>
        </w:rPr>
        <w:t xml:space="preserve"> N</w:t>
      </w:r>
      <w:r>
        <w:rPr>
          <w:rFonts w:ascii="Arial" w:cs="Arial" w:eastAsia="Arial" w:hAnsi="Arial"/>
          <w:sz w:val="10"/>
          <w:szCs w:val="10"/>
          <w:color w:val="auto"/>
        </w:rPr>
        <w:t>OTES</w:t>
      </w:r>
    </w:p>
    <w:p>
      <w:pPr>
        <w:spacing w:after="0" w:line="186"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 xml:space="preserve">Section 14.01. </w:t>
      </w:r>
      <w:r>
        <w:rPr>
          <w:rFonts w:ascii="Arial" w:cs="Arial" w:eastAsia="Arial" w:hAnsi="Arial"/>
          <w:sz w:val="14"/>
          <w:szCs w:val="14"/>
          <w:i w:val="1"/>
          <w:iCs w:val="1"/>
          <w:color w:val="auto"/>
        </w:rPr>
        <w:t>Conversion Privilege</w:t>
      </w:r>
      <w:r>
        <w:rPr>
          <w:rFonts w:ascii="Arial" w:cs="Arial" w:eastAsia="Arial" w:hAnsi="Arial"/>
          <w:sz w:val="14"/>
          <w:szCs w:val="14"/>
          <w:color w:val="auto"/>
        </w:rPr>
        <w:t>. Subject to and upon compliance with the provisions of this Article 14, each Holder of a Note shall have the right, at such Holder’s option, to convert all or any portion (if the portion to be converted is $1,000 principal amount or an integral multiple of $1.00 in excess thereof) of such Note at any</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time prior to the close of business on the second Scheduled Trading Day immediately preceding the Maturity Date at an initial conversion rate of [●]</w:t>
      </w:r>
      <w:r>
        <w:rPr>
          <w:rFonts w:ascii="Arial" w:cs="Arial" w:eastAsia="Arial" w:hAnsi="Arial"/>
          <w:sz w:val="25"/>
          <w:szCs w:val="25"/>
          <w:color w:val="auto"/>
          <w:vertAlign w:val="superscript"/>
        </w:rPr>
        <w:t>14</w:t>
      </w:r>
      <w:r>
        <w:rPr>
          <w:rFonts w:ascii="Arial" w:cs="Arial" w:eastAsia="Arial" w:hAnsi="Arial"/>
          <w:sz w:val="15"/>
          <w:szCs w:val="15"/>
          <w:color w:val="auto"/>
        </w:rPr>
        <w:t xml:space="preserve"> shares of Common Stock (subject to adjustment as provided in this Article 14, the “</w:t>
      </w:r>
      <w:r>
        <w:rPr>
          <w:rFonts w:ascii="Arial" w:cs="Arial" w:eastAsia="Arial" w:hAnsi="Arial"/>
          <w:sz w:val="15"/>
          <w:szCs w:val="15"/>
          <w:b w:val="1"/>
          <w:bCs w:val="1"/>
          <w:color w:val="auto"/>
        </w:rPr>
        <w:t>Conversion Rate</w:t>
      </w:r>
      <w:r>
        <w:rPr>
          <w:rFonts w:ascii="Arial" w:cs="Arial" w:eastAsia="Arial" w:hAnsi="Arial"/>
          <w:sz w:val="15"/>
          <w:szCs w:val="15"/>
          <w:color w:val="auto"/>
        </w:rPr>
        <w:t>”) per $1,000 principal amount of Notes (subject to, and in accordance with, the settlement provisions of Section 14.02, the “</w:t>
      </w:r>
      <w:r>
        <w:rPr>
          <w:rFonts w:ascii="Arial" w:cs="Arial" w:eastAsia="Arial" w:hAnsi="Arial"/>
          <w:sz w:val="15"/>
          <w:szCs w:val="15"/>
          <w:b w:val="1"/>
          <w:bCs w:val="1"/>
          <w:color w:val="auto"/>
        </w:rPr>
        <w:t>Conversion Obligation</w:t>
      </w:r>
      <w:r>
        <w:rPr>
          <w:rFonts w:ascii="Arial" w:cs="Arial" w:eastAsia="Arial" w:hAnsi="Arial"/>
          <w:sz w:val="15"/>
          <w:szCs w:val="15"/>
          <w:color w:val="auto"/>
        </w:rPr>
        <w:t>”). Any conversion of Notes and any calculation or adjustment in connection with any conversion (including, for the avoidance of doubt, any Specified Dollar Amount), in excess of $1,000 will be calculated and converted on a proportional basis.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i w:val="1"/>
          <w:iCs w:val="1"/>
          <w:color w:val="auto"/>
        </w:rPr>
        <w:t>Conversion Procedure; Settlement Upon Conversion</w:t>
      </w:r>
      <w:r>
        <w:rPr>
          <w:rFonts w:ascii="Arial" w:cs="Arial" w:eastAsia="Arial" w:hAnsi="Arial"/>
          <w:sz w:val="16"/>
          <w:szCs w:val="16"/>
          <w:color w:val="auto"/>
        </w:rPr>
        <w:t>. (a)</w:t>
      </w:r>
    </w:p>
    <w:p>
      <w:pPr>
        <w:spacing w:after="0" w:line="198" w:lineRule="exact"/>
        <w:rPr>
          <w:sz w:val="20"/>
          <w:szCs w:val="20"/>
          <w:color w:val="auto"/>
        </w:rPr>
      </w:pPr>
    </w:p>
    <w:p>
      <w:pPr>
        <w:jc w:val="both"/>
        <w:ind w:firstLine="1716"/>
        <w:spacing w:after="0" w:line="253" w:lineRule="auto"/>
        <w:tabs>
          <w:tab w:leader="none" w:pos="192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Arial" w:cs="Arial" w:eastAsia="Arial" w:hAnsi="Arial"/>
          <w:sz w:val="16"/>
          <w:szCs w:val="16"/>
          <w:b w:val="1"/>
          <w:bCs w:val="1"/>
          <w:color w:val="auto"/>
        </w:rPr>
        <w:t>Cash</w:t>
      </w:r>
      <w:r>
        <w:rPr>
          <w:rFonts w:ascii="Arial" w:cs="Arial" w:eastAsia="Arial" w:hAnsi="Arial"/>
          <w:sz w:val="16"/>
          <w:szCs w:val="16"/>
          <w:color w:val="auto"/>
        </w:rPr>
        <w:t xml:space="preserve"> </w:t>
      </w:r>
      <w:r>
        <w:rPr>
          <w:rFonts w:ascii="Arial" w:cs="Arial" w:eastAsia="Arial" w:hAnsi="Arial"/>
          <w:sz w:val="16"/>
          <w:szCs w:val="16"/>
          <w:b w:val="1"/>
          <w:bCs w:val="1"/>
          <w:color w:val="auto"/>
        </w:rPr>
        <w:t>Settlement</w:t>
      </w:r>
      <w:r>
        <w:rPr>
          <w:rFonts w:ascii="Arial" w:cs="Arial" w:eastAsia="Arial" w:hAnsi="Arial"/>
          <w:sz w:val="16"/>
          <w:szCs w:val="16"/>
          <w:color w:val="auto"/>
        </w:rPr>
        <w:t>”), shares of Common Stock, together with cash, if applicable, in lieu of delivering any fractional share of Common Stock in accordance with subsection (j)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14.02 (“</w:t>
      </w:r>
      <w:r>
        <w:rPr>
          <w:rFonts w:ascii="Arial" w:cs="Arial" w:eastAsia="Arial" w:hAnsi="Arial"/>
          <w:sz w:val="16"/>
          <w:szCs w:val="16"/>
          <w:b w:val="1"/>
          <w:bCs w:val="1"/>
          <w:color w:val="auto"/>
        </w:rPr>
        <w:t>Physical Settlement</w:t>
      </w:r>
      <w:r>
        <w:rPr>
          <w:rFonts w:ascii="Arial" w:cs="Arial" w:eastAsia="Arial" w:hAnsi="Arial"/>
          <w:sz w:val="16"/>
          <w:szCs w:val="16"/>
          <w:color w:val="auto"/>
        </w:rPr>
        <w:t xml:space="preserve">”) or a combination of cash and shares of Common Stock, together with cash, if applicable, in lieu of delivering any fractional share of Common Stock in accordance with subsection (j) of this </w:t>
      </w:r>
      <w:r>
        <w:rPr>
          <w:rFonts w:ascii="Arial" w:cs="Arial" w:eastAsia="Arial" w:hAnsi="Arial"/>
          <w:sz w:val="16"/>
          <w:szCs w:val="16"/>
          <w:u w:val="single" w:color="auto"/>
          <w:color w:val="auto"/>
        </w:rPr>
        <w:t>Section 14.02</w:t>
      </w:r>
      <w:r>
        <w:rPr>
          <w:rFonts w:ascii="Arial" w:cs="Arial" w:eastAsia="Arial" w:hAnsi="Arial"/>
          <w:sz w:val="16"/>
          <w:szCs w:val="16"/>
          <w:color w:val="auto"/>
        </w:rPr>
        <w:t xml:space="preserve"> (“</w:t>
      </w:r>
      <w:r>
        <w:rPr>
          <w:rFonts w:ascii="Arial" w:cs="Arial" w:eastAsia="Arial" w:hAnsi="Arial"/>
          <w:sz w:val="16"/>
          <w:szCs w:val="16"/>
          <w:b w:val="1"/>
          <w:bCs w:val="1"/>
          <w:color w:val="auto"/>
        </w:rPr>
        <w:t>Combination Settlement</w:t>
      </w:r>
      <w:r>
        <w:rPr>
          <w:rFonts w:ascii="Arial" w:cs="Arial" w:eastAsia="Arial" w:hAnsi="Arial"/>
          <w:sz w:val="16"/>
          <w:szCs w:val="16"/>
          <w:color w:val="auto"/>
        </w:rPr>
        <w:t>”), at the Company’s election, as set forth in this Section 14.02. All conversions for which the relevant Conversion Date occurs during a Redemption Period, and all conversions for which the relevant Conversion Date occurs on or after [to be the 32nd day prior to Maturity] prior to the Maturity Date, shall be settled using the same Settlement Method and in the same proportions of cash and/or shares of Common Stock during the respective periods.</w:t>
      </w:r>
    </w:p>
    <w:p>
      <w:pPr>
        <w:spacing w:after="0" w:line="169" w:lineRule="exact"/>
        <w:rPr>
          <w:rFonts w:ascii="Arial" w:cs="Arial" w:eastAsia="Arial" w:hAnsi="Arial"/>
          <w:sz w:val="16"/>
          <w:szCs w:val="16"/>
          <w:color w:val="auto"/>
        </w:rPr>
      </w:pPr>
    </w:p>
    <w:p>
      <w:pPr>
        <w:jc w:val="both"/>
        <w:ind w:right="20" w:firstLine="1716"/>
        <w:spacing w:after="0" w:line="287" w:lineRule="auto"/>
        <w:tabs>
          <w:tab w:leader="none" w:pos="1983" w:val="left"/>
        </w:tabs>
        <w:numPr>
          <w:ilvl w:val="0"/>
          <w:numId w:val="159"/>
        </w:numPr>
        <w:rPr>
          <w:rFonts w:ascii="Arial" w:cs="Arial" w:eastAsia="Arial" w:hAnsi="Arial"/>
          <w:sz w:val="15"/>
          <w:szCs w:val="15"/>
          <w:color w:val="auto"/>
        </w:rPr>
      </w:pPr>
      <w:r>
        <w:rPr>
          <w:rFonts w:ascii="Arial" w:cs="Arial" w:eastAsia="Arial" w:hAnsi="Arial"/>
          <w:sz w:val="15"/>
          <w:szCs w:val="15"/>
          <w:color w:val="auto"/>
        </w:rPr>
        <w:t>Except for any conversions for which the relevant Conversion Date occurs during a Redemption Period, the Company shall use the same Settlement Method for all conversions with the same Conversion Date and in the same proportions of cash and/or shares of Common Stock during the respective periods, but the Company shall not have any obligation to use the same Settlement Method with respect to conversions with different Conversion Dates.</w:t>
      </w:r>
    </w:p>
    <w:p>
      <w:pPr>
        <w:spacing w:after="0" w:line="146" w:lineRule="exact"/>
        <w:rPr>
          <w:rFonts w:ascii="Arial" w:cs="Arial" w:eastAsia="Arial" w:hAnsi="Arial"/>
          <w:sz w:val="15"/>
          <w:szCs w:val="15"/>
          <w:color w:val="auto"/>
        </w:rPr>
      </w:pPr>
    </w:p>
    <w:p>
      <w:pPr>
        <w:jc w:val="both"/>
        <w:ind w:firstLine="1716"/>
        <w:spacing w:after="0" w:line="291" w:lineRule="auto"/>
        <w:tabs>
          <w:tab w:leader="none" w:pos="2019" w:val="left"/>
        </w:tabs>
        <w:numPr>
          <w:ilvl w:val="0"/>
          <w:numId w:val="159"/>
        </w:numPr>
        <w:rPr>
          <w:rFonts w:ascii="Arial" w:cs="Arial" w:eastAsia="Arial" w:hAnsi="Arial"/>
          <w:sz w:val="14"/>
          <w:szCs w:val="14"/>
          <w:color w:val="auto"/>
        </w:rPr>
      </w:pPr>
      <w:r>
        <w:rPr>
          <w:rFonts w:ascii="Arial" w:cs="Arial" w:eastAsia="Arial" w:hAnsi="Arial"/>
          <w:sz w:val="14"/>
          <w:szCs w:val="14"/>
          <w:color w:val="auto"/>
        </w:rPr>
        <w:t>If, in respect of any Conversion Date (or any conversions for which the relevant Conversion Date occurs during a Redemption Period), the Company elects to deliver a notice (the “</w:t>
      </w:r>
      <w:r>
        <w:rPr>
          <w:rFonts w:ascii="Arial" w:cs="Arial" w:eastAsia="Arial" w:hAnsi="Arial"/>
          <w:sz w:val="14"/>
          <w:szCs w:val="14"/>
          <w:b w:val="1"/>
          <w:bCs w:val="1"/>
          <w:color w:val="auto"/>
        </w:rPr>
        <w:t>Settlement Notice</w:t>
      </w:r>
      <w:r>
        <w:rPr>
          <w:rFonts w:ascii="Arial" w:cs="Arial" w:eastAsia="Arial" w:hAnsi="Arial"/>
          <w:sz w:val="14"/>
          <w:szCs w:val="14"/>
          <w:color w:val="auto"/>
        </w:rPr>
        <w:t>”)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any conversions for which the relevant Conversion Date occurs during a Redemption Period, in the applicable Notice of Redemption) (the “</w:t>
      </w:r>
      <w:r>
        <w:rPr>
          <w:rFonts w:ascii="Arial" w:cs="Arial" w:eastAsia="Arial" w:hAnsi="Arial"/>
          <w:sz w:val="14"/>
          <w:szCs w:val="14"/>
          <w:b w:val="1"/>
          <w:bCs w:val="1"/>
          <w:color w:val="auto"/>
        </w:rPr>
        <w:t>Settlement Method Election Date</w:t>
      </w:r>
      <w:r>
        <w:rPr>
          <w:rFonts w:ascii="Arial" w:cs="Arial" w:eastAsia="Arial" w:hAnsi="Arial"/>
          <w:sz w:val="14"/>
          <w:szCs w:val="14"/>
          <w:color w:val="auto"/>
        </w:rPr>
        <w:t>”). If the Company does not elect a Settlement Method as set forth in the immediately preceding sentence, the Company shall be deemed to have elected the Default Settlement Method in respect of its Conversion Obligation and the Specified Dollar Amount per $1,000 principal amount of Notes shall be equal to $1,000. Such Settlement Notice shall specify the relevant Settlement Method and in the case of an election of Combination Settlement, the relevant Settlement Notice shall indicate the Specified Dollar Amount per $1,000 principal amount of Notes. If the Company timely delivers a Settlement Notice electing Combination Settlement in respect of its Conversion Obligation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the applicable Specified Dollar Amount will not constitute a Default or Event of Default under this Indenture.</w:t>
      </w:r>
    </w:p>
    <w:p>
      <w:pPr>
        <w:spacing w:after="0" w:line="143" w:lineRule="exact"/>
        <w:rPr>
          <w:rFonts w:ascii="Arial" w:cs="Arial" w:eastAsia="Arial" w:hAnsi="Arial"/>
          <w:sz w:val="14"/>
          <w:szCs w:val="14"/>
          <w:color w:val="auto"/>
        </w:rPr>
      </w:pPr>
    </w:p>
    <w:p>
      <w:pPr>
        <w:ind w:firstLine="1716"/>
        <w:spacing w:after="0" w:line="280" w:lineRule="auto"/>
        <w:tabs>
          <w:tab w:leader="none" w:pos="199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cash, shares of Common Stock or combination of cash and shares of Common Stock in respect of any conversion of Notes (the “</w:t>
      </w:r>
      <w:r>
        <w:rPr>
          <w:rFonts w:ascii="Arial" w:cs="Arial" w:eastAsia="Arial" w:hAnsi="Arial"/>
          <w:sz w:val="16"/>
          <w:szCs w:val="16"/>
          <w:b w:val="1"/>
          <w:bCs w:val="1"/>
          <w:color w:val="auto"/>
        </w:rPr>
        <w:t>Settlement</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shall be computed as follows:</w:t>
      </w:r>
    </w:p>
    <w:p>
      <w:pPr>
        <w:spacing w:after="0" w:line="148" w:lineRule="exact"/>
        <w:rPr>
          <w:sz w:val="20"/>
          <w:szCs w:val="20"/>
          <w:color w:val="auto"/>
        </w:rPr>
      </w:pPr>
    </w:p>
    <w:p>
      <w:pPr>
        <w:jc w:val="both"/>
        <w:ind w:firstLine="1716"/>
        <w:spacing w:after="0" w:line="262" w:lineRule="auto"/>
        <w:tabs>
          <w:tab w:leader="none" w:pos="199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w:t>
      </w:r>
    </w:p>
    <w:p>
      <w:pPr>
        <w:spacing w:after="0" w:line="21" w:lineRule="exact"/>
        <w:rPr>
          <w:sz w:val="20"/>
          <w:szCs w:val="20"/>
          <w:color w:val="auto"/>
        </w:rPr>
      </w:pPr>
    </w:p>
    <w:p>
      <w:pPr>
        <w:ind w:left="580" w:hanging="580"/>
        <w:spacing w:after="0" w:line="407" w:lineRule="auto"/>
        <w:tabs>
          <w:tab w:leader="none" w:pos="165" w:val="left"/>
        </w:tabs>
        <w:numPr>
          <w:ilvl w:val="0"/>
          <w:numId w:val="161"/>
        </w:numPr>
        <w:rPr>
          <w:rFonts w:ascii="Arial" w:cs="Arial" w:eastAsia="Arial" w:hAnsi="Arial"/>
          <w:sz w:val="22"/>
          <w:szCs w:val="22"/>
          <w:color w:val="auto"/>
          <w:vertAlign w:val="superscript"/>
        </w:rPr>
      </w:pPr>
      <w:r>
        <w:rPr>
          <w:rFonts w:ascii="Arial" w:cs="Arial" w:eastAsia="Arial" w:hAnsi="Arial"/>
          <w:sz w:val="26"/>
          <w:szCs w:val="26"/>
          <w:color w:val="auto"/>
          <w:vertAlign w:val="subscript"/>
        </w:rPr>
        <w:t>NTD:</w:t>
      </w:r>
      <w:r>
        <w:rPr>
          <w:rFonts w:ascii="Arial" w:cs="Arial" w:eastAsia="Arial" w:hAnsi="Arial"/>
          <w:sz w:val="14"/>
          <w:szCs w:val="14"/>
          <w:color w:val="auto"/>
        </w:rPr>
        <w:t xml:space="preserve"> The initial conversion price will be the lesser of (i) $13.00 and (ii) a 30% premium to the lowest per share price at which any equity of the Company is issued within 15 days prior to the Closing Date. The rate inserted reflects subparagraph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-396875</wp:posOffset>
            </wp:positionV>
            <wp:extent cx="1790700"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62" w:name="page163"/>
    <w:bookmarkEnd w:id="162"/>
    <w:p>
      <w:pPr>
        <w:jc w:val="both"/>
        <w:ind w:firstLine="1716"/>
        <w:spacing w:after="0" w:line="262" w:lineRule="auto"/>
        <w:tabs>
          <w:tab w:leader="none" w:pos="199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30 consecutive Trading Days during the related Observation Period; and</w:t>
      </w:r>
    </w:p>
    <w:p>
      <w:pPr>
        <w:spacing w:after="0" w:line="162" w:lineRule="exact"/>
        <w:rPr>
          <w:rFonts w:ascii="Arial" w:cs="Arial" w:eastAsia="Arial" w:hAnsi="Arial"/>
          <w:sz w:val="16"/>
          <w:szCs w:val="16"/>
          <w:color w:val="auto"/>
        </w:rPr>
      </w:pPr>
    </w:p>
    <w:p>
      <w:pPr>
        <w:jc w:val="both"/>
        <w:ind w:right="20" w:firstLine="1716"/>
        <w:spacing w:after="0" w:line="287" w:lineRule="auto"/>
        <w:tabs>
          <w:tab w:leader="none" w:pos="2003" w:val="left"/>
        </w:tabs>
        <w:numPr>
          <w:ilvl w:val="0"/>
          <w:numId w:val="162"/>
        </w:numPr>
        <w:rPr>
          <w:rFonts w:ascii="Arial" w:cs="Arial" w:eastAsia="Arial" w:hAnsi="Arial"/>
          <w:sz w:val="15"/>
          <w:szCs w:val="15"/>
          <w:color w:val="auto"/>
        </w:rPr>
      </w:pPr>
      <w:r>
        <w:rPr>
          <w:rFonts w:ascii="Arial" w:cs="Arial" w:eastAsia="Arial" w:hAnsi="Arial"/>
          <w:sz w:val="15"/>
          <w:szCs w:val="15"/>
          <w:color w:val="auto"/>
        </w:rPr>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30 consecutive Trading Days during the related Observation Period.</w:t>
      </w:r>
    </w:p>
    <w:p>
      <w:pPr>
        <w:spacing w:after="0" w:line="146" w:lineRule="exact"/>
        <w:rPr>
          <w:sz w:val="20"/>
          <w:szCs w:val="20"/>
          <w:color w:val="auto"/>
        </w:rPr>
      </w:pPr>
    </w:p>
    <w:p>
      <w:pPr>
        <w:jc w:val="both"/>
        <w:ind w:firstLine="1716"/>
        <w:spacing w:after="0" w:line="276" w:lineRule="auto"/>
        <w:tabs>
          <w:tab w:leader="none" w:pos="1959" w:val="left"/>
        </w:tabs>
        <w:numPr>
          <w:ilvl w:val="1"/>
          <w:numId w:val="163"/>
        </w:numPr>
        <w:rPr>
          <w:rFonts w:ascii="Arial" w:cs="Arial" w:eastAsia="Arial" w:hAnsi="Arial"/>
          <w:sz w:val="15"/>
          <w:szCs w:val="15"/>
          <w:color w:val="auto"/>
        </w:rPr>
      </w:pPr>
      <w:r>
        <w:rPr>
          <w:rFonts w:ascii="Arial" w:cs="Arial" w:eastAsia="Arial" w:hAnsi="Arial"/>
          <w:sz w:val="15"/>
          <w:szCs w:val="15"/>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55" w:lineRule="exact"/>
        <w:rPr>
          <w:rFonts w:ascii="Arial" w:cs="Arial" w:eastAsia="Arial" w:hAnsi="Arial"/>
          <w:sz w:val="15"/>
          <w:szCs w:val="15"/>
          <w:color w:val="auto"/>
        </w:rPr>
      </w:pPr>
    </w:p>
    <w:p>
      <w:pPr>
        <w:jc w:val="both"/>
        <w:ind w:firstLine="1143"/>
        <w:spacing w:after="0" w:line="269" w:lineRule="auto"/>
        <w:tabs>
          <w:tab w:leader="none" w:pos="1375" w:val="left"/>
        </w:tabs>
        <w:numPr>
          <w:ilvl w:val="0"/>
          <w:numId w:val="164"/>
        </w:numPr>
        <w:rPr>
          <w:rFonts w:ascii="Arial" w:cs="Arial" w:eastAsia="Arial" w:hAnsi="Arial"/>
          <w:sz w:val="15"/>
          <w:szCs w:val="15"/>
          <w:color w:val="auto"/>
        </w:rPr>
      </w:pPr>
      <w:r>
        <w:rPr>
          <w:rFonts w:ascii="Arial" w:cs="Arial" w:eastAsia="Arial" w:hAnsi="Arial"/>
          <w:sz w:val="15"/>
          <w:szCs w:val="15"/>
          <w:color w:val="auto"/>
        </w:rPr>
        <w:t>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 of the Depositary or a notice as set forth in the Form of Notice of Conversion, a “</w:t>
      </w:r>
      <w:r>
        <w:rPr>
          <w:rFonts w:ascii="Arial" w:cs="Arial" w:eastAsia="Arial" w:hAnsi="Arial"/>
          <w:sz w:val="15"/>
          <w:szCs w:val="15"/>
          <w:b w:val="1"/>
          <w:bCs w:val="1"/>
          <w:color w:val="auto"/>
        </w:rPr>
        <w:t>Notice of Conversion</w:t>
      </w:r>
      <w:r>
        <w:rPr>
          <w:rFonts w:ascii="Arial" w:cs="Arial" w:eastAsia="Arial" w:hAnsi="Arial"/>
          <w:sz w:val="15"/>
          <w:szCs w:val="15"/>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in a form reasonably satisfactory to the Conversion Agent), at the office of the Conversion Agent, (3) if required, furnish appropriate endorsements and transfer documents in a form reasonably satisfactory to the Conversion Agent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w:t>
      </w:r>
    </w:p>
    <w:p>
      <w:pPr>
        <w:spacing w:after="0" w:line="164"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48" w:lineRule="exact"/>
        <w:rPr>
          <w:sz w:val="20"/>
          <w:szCs w:val="20"/>
          <w:color w:val="auto"/>
        </w:rPr>
      </w:pPr>
    </w:p>
    <w:p>
      <w:pPr>
        <w:jc w:val="both"/>
        <w:ind w:firstLine="1143"/>
        <w:spacing w:after="0" w:line="295" w:lineRule="auto"/>
        <w:tabs>
          <w:tab w:leader="none" w:pos="1374" w:val="left"/>
        </w:tabs>
        <w:numPr>
          <w:ilvl w:val="0"/>
          <w:numId w:val="165"/>
        </w:numPr>
        <w:rPr>
          <w:rFonts w:ascii="Arial" w:cs="Arial" w:eastAsia="Arial" w:hAnsi="Arial"/>
          <w:sz w:val="14"/>
          <w:szCs w:val="14"/>
          <w:color w:val="auto"/>
        </w:rPr>
      </w:pPr>
      <w:r>
        <w:rPr>
          <w:rFonts w:ascii="Arial" w:cs="Arial" w:eastAsia="Arial" w:hAnsi="Arial"/>
          <w:sz w:val="14"/>
          <w:szCs w:val="14"/>
          <w:color w:val="auto"/>
        </w:rPr>
        <w:t>A Note shall be deemed to have been converted immediately prior to the close of business on the date (the “</w:t>
      </w:r>
      <w:r>
        <w:rPr>
          <w:rFonts w:ascii="Arial" w:cs="Arial" w:eastAsia="Arial" w:hAnsi="Arial"/>
          <w:sz w:val="14"/>
          <w:szCs w:val="14"/>
          <w:b w:val="1"/>
          <w:bCs w:val="1"/>
          <w:color w:val="auto"/>
        </w:rPr>
        <w:t>Conversion Date</w:t>
      </w:r>
      <w:r>
        <w:rPr>
          <w:rFonts w:ascii="Arial" w:cs="Arial" w:eastAsia="Arial" w:hAnsi="Arial"/>
          <w:sz w:val="14"/>
          <w:szCs w:val="14"/>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to satisfy its Conversion Obligation through Physical Settlement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with respect to any Conversion Date following the Regular Record Date immediately preceding the Maturity Date where Physical Settlement applies to the related conversion, the Company will settle any such conversion on the Maturity Date), or on the second Business Day immediately following the last Trading Day of the Observation Period, in the case of any other Settlement Method. If any shares of Common Stock are due to a converting Holder, the Company shall issue or cause to be issued, and deliver (if applicable) to the converting Holder, or such Holder’s nominee or nominees, the full number of shares of Common Stock to which such Holder shall be entitled, in book-entry format through the Depositary, in satisfaction of the Company’s Conversion Obligation.</w:t>
      </w:r>
    </w:p>
    <w:p>
      <w:pPr>
        <w:spacing w:after="0" w:line="141" w:lineRule="exact"/>
        <w:rPr>
          <w:rFonts w:ascii="Arial" w:cs="Arial" w:eastAsia="Arial" w:hAnsi="Arial"/>
          <w:sz w:val="14"/>
          <w:szCs w:val="14"/>
          <w:color w:val="auto"/>
        </w:rPr>
      </w:pPr>
    </w:p>
    <w:p>
      <w:pPr>
        <w:jc w:val="both"/>
        <w:ind w:firstLine="1143"/>
        <w:spacing w:after="0" w:line="301" w:lineRule="auto"/>
        <w:tabs>
          <w:tab w:leader="none" w:pos="139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37" w:lineRule="exact"/>
        <w:rPr>
          <w:rFonts w:ascii="Arial" w:cs="Arial" w:eastAsia="Arial" w:hAnsi="Arial"/>
          <w:sz w:val="14"/>
          <w:szCs w:val="14"/>
          <w:color w:val="auto"/>
        </w:rPr>
      </w:pPr>
    </w:p>
    <w:p>
      <w:pPr>
        <w:jc w:val="both"/>
        <w:ind w:right="20" w:firstLine="1143"/>
        <w:spacing w:after="0" w:line="280" w:lineRule="auto"/>
        <w:tabs>
          <w:tab w:leader="none" w:pos="1365" w:val="left"/>
        </w:tabs>
        <w:numPr>
          <w:ilvl w:val="0"/>
          <w:numId w:val="165"/>
        </w:numPr>
        <w:rPr>
          <w:rFonts w:ascii="Arial" w:cs="Arial" w:eastAsia="Arial" w:hAnsi="Arial"/>
          <w:sz w:val="15"/>
          <w:szCs w:val="15"/>
          <w:color w:val="auto"/>
        </w:rPr>
      </w:pPr>
      <w:r>
        <w:rPr>
          <w:rFonts w:ascii="Arial" w:cs="Arial" w:eastAsia="Arial" w:hAnsi="Arial"/>
          <w:sz w:val="15"/>
          <w:szCs w:val="15"/>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63" w:name="page164"/>
    <w:bookmarkEnd w:id="163"/>
    <w:p>
      <w:pPr>
        <w:ind w:left="4" w:firstLine="1143"/>
        <w:spacing w:after="0" w:line="275" w:lineRule="auto"/>
        <w:tabs>
          <w:tab w:leader="none" w:pos="135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Except as provided in Section 14.04, no adjustment shall be made for dividends on any shares of Common Stock issued upon the conversion of any Note as provided in this Article 14.</w:t>
      </w:r>
    </w:p>
    <w:p>
      <w:pPr>
        <w:spacing w:after="0" w:line="151" w:lineRule="exact"/>
        <w:rPr>
          <w:rFonts w:ascii="Arial" w:cs="Arial" w:eastAsia="Arial" w:hAnsi="Arial"/>
          <w:sz w:val="16"/>
          <w:szCs w:val="16"/>
          <w:color w:val="auto"/>
        </w:rPr>
      </w:pPr>
    </w:p>
    <w:p>
      <w:pPr>
        <w:jc w:val="both"/>
        <w:ind w:left="4" w:right="20" w:firstLine="1143"/>
        <w:spacing w:after="0" w:line="262" w:lineRule="auto"/>
        <w:tabs>
          <w:tab w:leader="none" w:pos="138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62" w:lineRule="exact"/>
        <w:rPr>
          <w:rFonts w:ascii="Arial" w:cs="Arial" w:eastAsia="Arial" w:hAnsi="Arial"/>
          <w:sz w:val="16"/>
          <w:szCs w:val="16"/>
          <w:color w:val="auto"/>
        </w:rPr>
      </w:pPr>
    </w:p>
    <w:p>
      <w:pPr>
        <w:jc w:val="both"/>
        <w:ind w:left="4" w:firstLine="1143"/>
        <w:spacing w:after="0" w:line="288" w:lineRule="auto"/>
        <w:tabs>
          <w:tab w:leader="none" w:pos="138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 xml:space="preserve">Upon conversion, a Holder shall not receive any separate cash payment for accrued and unpaid interest, if any, except as set forth in this Section 14.02(h), and the Company will not adjust the Conversion Rate for any accrued and unpaid interest on any converted Notes.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(to, but not including the corresponding Interest Payment Date)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on the corresponding Interest Payment Date (regardless of whether the converting Holder was the Holder of record on such Regular Record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such payment shall be required (1) for conversions following the Regular Record Date immediately preceding the Maturity Date; (2) if the Company has specified a Redemption Date that is after a Regular Record Date and on or prior to the Scheduled Trading Day immediately following the corresponding Interest Payment Date; (3) if the Company has specified a Fundamental Change Repurchase Date or a Mandatory Conversion Date that is after a Regular Record Date and on or prior to the Business Day immediately following the corresponding Interest Payment Date; or (4) to the extent of any Defaulted Amounts, if any Defaulted Amounts exist at the time of conversion with respect to such Note. Therefore, for the avoidance of doubt, all Holders of record at the close of business on the Regular Record Date immediately preceding the Maturity Date, any Redemption Date described in clause (2) of the immediately preceding sentence and any Fundamental Change Repurchase Date described in clause (3) of the immediately preceding sentence shall receive and retain the full interest payment due on the Maturity Date or other applicable Interest Payment Date in cash regardless of whether their Notes have been converted following such Regular Record Date.</w:t>
      </w:r>
    </w:p>
    <w:p>
      <w:pPr>
        <w:spacing w:after="0" w:line="155" w:lineRule="exact"/>
        <w:rPr>
          <w:rFonts w:ascii="Arial" w:cs="Arial" w:eastAsia="Arial" w:hAnsi="Arial"/>
          <w:sz w:val="14"/>
          <w:szCs w:val="14"/>
          <w:color w:val="auto"/>
        </w:rPr>
      </w:pPr>
    </w:p>
    <w:p>
      <w:pPr>
        <w:jc w:val="both"/>
        <w:ind w:left="4" w:firstLine="1143"/>
        <w:spacing w:after="0" w:line="255" w:lineRule="auto"/>
        <w:tabs>
          <w:tab w:leader="none" w:pos="135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Person in whose name the shares of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 Prior to conversion of a Holder’s Note, such Holder (in such capacity) shall not have any rights as a stockholder of the Company.</w:t>
      </w:r>
    </w:p>
    <w:p>
      <w:pPr>
        <w:spacing w:after="0" w:line="169" w:lineRule="exact"/>
        <w:rPr>
          <w:rFonts w:ascii="Arial" w:cs="Arial" w:eastAsia="Arial" w:hAnsi="Arial"/>
          <w:sz w:val="16"/>
          <w:szCs w:val="16"/>
          <w:color w:val="auto"/>
        </w:rPr>
      </w:pPr>
    </w:p>
    <w:p>
      <w:pPr>
        <w:jc w:val="both"/>
        <w:ind w:left="4" w:firstLine="1143"/>
        <w:spacing w:after="0" w:line="254" w:lineRule="auto"/>
        <w:tabs>
          <w:tab w:leader="none" w:pos="135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Company shall not issue any fractional share of Common Stock upon conversion of the Notes and shall instead pay cash in lieu of delivering any fractional share of Common Stock issuable upon conversion based on the Daily VWAP for the relevant Conversion Date (or, if such Conversion Date is not a Trading Day, the immediately preceding Trading Day),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70"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i w:val="1"/>
          <w:iCs w:val="1"/>
          <w:color w:val="auto"/>
        </w:rPr>
        <w:t>Company’s Mandatory Conversion Option</w:t>
      </w:r>
      <w:r>
        <w:rPr>
          <w:rFonts w:ascii="Arial" w:cs="Arial" w:eastAsia="Arial" w:hAnsi="Arial"/>
          <w:sz w:val="16"/>
          <w:szCs w:val="16"/>
          <w:color w:val="auto"/>
        </w:rPr>
        <w:t>.</w:t>
      </w:r>
    </w:p>
    <w:p>
      <w:pPr>
        <w:spacing w:after="0" w:line="202" w:lineRule="exact"/>
        <w:rPr>
          <w:sz w:val="20"/>
          <w:szCs w:val="20"/>
          <w:color w:val="auto"/>
        </w:rPr>
      </w:pPr>
    </w:p>
    <w:p>
      <w:pPr>
        <w:jc w:val="both"/>
        <w:ind w:left="4" w:firstLine="1143"/>
        <w:spacing w:after="0" w:line="246" w:lineRule="auto"/>
        <w:tabs>
          <w:tab w:leader="none" w:pos="1372" w:val="left"/>
        </w:tabs>
        <w:numPr>
          <w:ilvl w:val="0"/>
          <w:numId w:val="167"/>
        </w:numPr>
        <w:rPr>
          <w:rFonts w:ascii="Arial" w:cs="Arial" w:eastAsia="Arial" w:hAnsi="Arial"/>
          <w:sz w:val="15"/>
          <w:szCs w:val="15"/>
          <w:color w:val="auto"/>
        </w:rPr>
      </w:pPr>
      <w:r>
        <w:rPr>
          <w:rFonts w:ascii="Arial" w:cs="Arial" w:eastAsia="Arial" w:hAnsi="Arial"/>
          <w:sz w:val="15"/>
          <w:szCs w:val="15"/>
          <w:color w:val="auto"/>
        </w:rPr>
        <w:t>On or after [●], 2023</w:t>
      </w:r>
      <w:r>
        <w:rPr>
          <w:rFonts w:ascii="Arial" w:cs="Arial" w:eastAsia="Arial" w:hAnsi="Arial"/>
          <w:sz w:val="25"/>
          <w:szCs w:val="25"/>
          <w:color w:val="auto"/>
          <w:vertAlign w:val="superscript"/>
        </w:rPr>
        <w:t>15</w:t>
      </w:r>
      <w:r>
        <w:rPr>
          <w:rFonts w:ascii="Arial" w:cs="Arial" w:eastAsia="Arial" w:hAnsi="Arial"/>
          <w:sz w:val="15"/>
          <w:szCs w:val="15"/>
          <w:color w:val="auto"/>
        </w:rPr>
        <w:t xml:space="preserve"> and prior to the close of business on [●], 2026</w:t>
      </w:r>
      <w:r>
        <w:rPr>
          <w:rFonts w:ascii="Arial" w:cs="Arial" w:eastAsia="Arial" w:hAnsi="Arial"/>
          <w:sz w:val="25"/>
          <w:szCs w:val="25"/>
          <w:color w:val="auto"/>
          <w:vertAlign w:val="superscript"/>
        </w:rPr>
        <w:t>16</w:t>
      </w:r>
      <w:r>
        <w:rPr>
          <w:rFonts w:ascii="Arial" w:cs="Arial" w:eastAsia="Arial" w:hAnsi="Arial"/>
          <w:sz w:val="15"/>
          <w:szCs w:val="15"/>
          <w:color w:val="auto"/>
        </w:rPr>
        <w:t>, the Company may, at its option, elect to convert the original principal amount of the Notes in whole but not in part (a “</w:t>
      </w:r>
      <w:r>
        <w:rPr>
          <w:rFonts w:ascii="Arial" w:cs="Arial" w:eastAsia="Arial" w:hAnsi="Arial"/>
          <w:sz w:val="15"/>
          <w:szCs w:val="15"/>
          <w:b w:val="1"/>
          <w:bCs w:val="1"/>
          <w:color w:val="auto"/>
        </w:rPr>
        <w:t>Mandatory Conversion</w:t>
      </w:r>
      <w:r>
        <w:rPr>
          <w:rFonts w:ascii="Arial" w:cs="Arial" w:eastAsia="Arial" w:hAnsi="Arial"/>
          <w:sz w:val="15"/>
          <w:szCs w:val="15"/>
          <w:color w:val="auto"/>
        </w:rPr>
        <w:t>”) if (x) the Last Reported Sale Price of the Common Stock for at least 20 Trading Days (whether or not consecutive) during the period of 30 consecutive Trading Days ending on, and including, the last Trading Day of the immediately preceding calendar quarter (the “</w:t>
      </w:r>
      <w:r>
        <w:rPr>
          <w:rFonts w:ascii="Arial" w:cs="Arial" w:eastAsia="Arial" w:hAnsi="Arial"/>
          <w:sz w:val="15"/>
          <w:szCs w:val="15"/>
          <w:b w:val="1"/>
          <w:bCs w:val="1"/>
          <w:color w:val="auto"/>
        </w:rPr>
        <w:t>Mandatory</w:t>
      </w:r>
      <w:r>
        <w:rPr>
          <w:rFonts w:ascii="Arial" w:cs="Arial" w:eastAsia="Arial" w:hAnsi="Arial"/>
          <w:sz w:val="15"/>
          <w:szCs w:val="15"/>
          <w:color w:val="auto"/>
        </w:rPr>
        <w:t xml:space="preserve"> </w:t>
      </w:r>
      <w:r>
        <w:rPr>
          <w:rFonts w:ascii="Arial" w:cs="Arial" w:eastAsia="Arial" w:hAnsi="Arial"/>
          <w:sz w:val="15"/>
          <w:szCs w:val="15"/>
          <w:b w:val="1"/>
          <w:bCs w:val="1"/>
          <w:color w:val="auto"/>
        </w:rPr>
        <w:t>Conversion Determination Date</w:t>
      </w:r>
      <w:r>
        <w:rPr>
          <w:rFonts w:ascii="Arial" w:cs="Arial" w:eastAsia="Arial" w:hAnsi="Arial"/>
          <w:sz w:val="15"/>
          <w:szCs w:val="15"/>
          <w:color w:val="auto"/>
        </w:rPr>
        <w:t>”) is greater than or equal to 130% of the Conversion Price on each applicable Trading Day and (y) the 30-Day ADTV ending on, and</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the Mandatory Conversion Determination Date is greater than or equal to $2,000,000 (the “</w:t>
      </w:r>
      <w:r>
        <w:rPr>
          <w:rFonts w:ascii="Arial" w:cs="Arial" w:eastAsia="Arial" w:hAnsi="Arial"/>
          <w:sz w:val="15"/>
          <w:szCs w:val="15"/>
          <w:b w:val="1"/>
          <w:bCs w:val="1"/>
          <w:color w:val="auto"/>
        </w:rPr>
        <w:t>Mandatory Conversion Condition</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1790700"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80" w:lineRule="exact"/>
        <w:rPr>
          <w:sz w:val="20"/>
          <w:szCs w:val="20"/>
          <w:color w:val="auto"/>
        </w:rPr>
      </w:pPr>
    </w:p>
    <w:p>
      <w:pPr>
        <w:ind w:left="164" w:hanging="164"/>
        <w:spacing w:after="0"/>
        <w:tabs>
          <w:tab w:leader="none" w:pos="164" w:val="left"/>
        </w:tabs>
        <w:numPr>
          <w:ilvl w:val="0"/>
          <w:numId w:val="168"/>
        </w:numPr>
        <w:rPr>
          <w:rFonts w:ascii="Arial" w:cs="Arial" w:eastAsia="Arial" w:hAnsi="Arial"/>
          <w:sz w:val="22"/>
          <w:szCs w:val="22"/>
          <w:color w:val="auto"/>
          <w:vertAlign w:val="superscript"/>
        </w:rPr>
      </w:pPr>
      <w:r>
        <w:rPr>
          <w:rFonts w:ascii="Arial" w:cs="Arial" w:eastAsia="Arial" w:hAnsi="Arial"/>
          <w:sz w:val="14"/>
          <w:szCs w:val="14"/>
          <w:color w:val="auto"/>
        </w:rPr>
        <w:t>NTD: To be the date that is one day after the first anniversary of the issuance date.</w:t>
      </w:r>
    </w:p>
    <w:p>
      <w:pPr>
        <w:spacing w:after="0" w:line="37" w:lineRule="exact"/>
        <w:rPr>
          <w:rFonts w:ascii="Arial" w:cs="Arial" w:eastAsia="Arial" w:hAnsi="Arial"/>
          <w:sz w:val="22"/>
          <w:szCs w:val="22"/>
          <w:color w:val="auto"/>
          <w:vertAlign w:val="superscript"/>
        </w:rPr>
      </w:pPr>
    </w:p>
    <w:p>
      <w:pPr>
        <w:ind w:left="164" w:hanging="164"/>
        <w:spacing w:after="0" w:line="180" w:lineRule="auto"/>
        <w:tabs>
          <w:tab w:leader="none" w:pos="164" w:val="left"/>
        </w:tabs>
        <w:numPr>
          <w:ilvl w:val="0"/>
          <w:numId w:val="168"/>
        </w:numPr>
        <w:rPr>
          <w:rFonts w:ascii="Arial" w:cs="Arial" w:eastAsia="Arial" w:hAnsi="Arial"/>
          <w:sz w:val="22"/>
          <w:szCs w:val="22"/>
          <w:color w:val="auto"/>
          <w:vertAlign w:val="superscript"/>
        </w:rPr>
      </w:pPr>
      <w:r>
        <w:rPr>
          <w:rFonts w:ascii="Arial" w:cs="Arial" w:eastAsia="Arial" w:hAnsi="Arial"/>
          <w:sz w:val="14"/>
          <w:szCs w:val="14"/>
          <w:color w:val="auto"/>
        </w:rPr>
        <w:t>NTD: To be the two Business Days before the Maturity Date.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64" w:name="page165"/>
    <w:bookmarkEnd w:id="164"/>
    <w:p>
      <w:pPr>
        <w:ind w:right="20" w:firstLine="1143"/>
        <w:spacing w:after="0" w:line="280" w:lineRule="auto"/>
        <w:tabs>
          <w:tab w:leader="none" w:pos="139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To exercise its right to a Mandatory Conversion, the Company will send notice of the Company’s election (a “</w:t>
      </w:r>
      <w:r>
        <w:rPr>
          <w:rFonts w:ascii="Arial" w:cs="Arial" w:eastAsia="Arial" w:hAnsi="Arial"/>
          <w:sz w:val="16"/>
          <w:szCs w:val="16"/>
          <w:b w:val="1"/>
          <w:bCs w:val="1"/>
          <w:color w:val="auto"/>
        </w:rPr>
        <w:t>Mandatory Conversion Notice</w:t>
      </w:r>
      <w:r>
        <w:rPr>
          <w:rFonts w:ascii="Arial" w:cs="Arial" w:eastAsia="Arial" w:hAnsi="Arial"/>
          <w:sz w:val="16"/>
          <w:szCs w:val="16"/>
          <w:color w:val="auto"/>
        </w:rPr>
        <w:t>”) to Holders, the Trustee and the Conversion Agent no later than the fifth Business Day following the Mandatory Conversion Determination Date.</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Such Mandatory Conversion Notice must state:</w:t>
      </w:r>
    </w:p>
    <w:p>
      <w:pPr>
        <w:spacing w:after="0" w:line="198" w:lineRule="exact"/>
        <w:rPr>
          <w:sz w:val="20"/>
          <w:szCs w:val="20"/>
          <w:color w:val="auto"/>
        </w:rPr>
      </w:pPr>
    </w:p>
    <w:p>
      <w:pPr>
        <w:ind w:left="1900" w:hanging="184"/>
        <w:spacing w:after="0"/>
        <w:tabs>
          <w:tab w:leader="none" w:pos="19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that the Notes have been called for Mandatory Conversion, briefly describing the Mandatory Conversion under this Indenture;</w:t>
      </w:r>
    </w:p>
    <w:p>
      <w:pPr>
        <w:spacing w:after="0" w:line="198" w:lineRule="exact"/>
        <w:rPr>
          <w:rFonts w:ascii="Arial" w:cs="Arial" w:eastAsia="Arial" w:hAnsi="Arial"/>
          <w:sz w:val="16"/>
          <w:szCs w:val="16"/>
          <w:color w:val="auto"/>
        </w:rPr>
      </w:pPr>
    </w:p>
    <w:p>
      <w:pPr>
        <w:ind w:left="1960" w:hanging="244"/>
        <w:spacing w:after="0"/>
        <w:tabs>
          <w:tab w:leader="none" w:pos="196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Mandatory Conversion Date;</w:t>
      </w:r>
    </w:p>
    <w:p>
      <w:pPr>
        <w:spacing w:after="0" w:line="198" w:lineRule="exact"/>
        <w:rPr>
          <w:rFonts w:ascii="Arial" w:cs="Arial" w:eastAsia="Arial" w:hAnsi="Arial"/>
          <w:sz w:val="16"/>
          <w:szCs w:val="16"/>
          <w:color w:val="auto"/>
        </w:rPr>
      </w:pPr>
    </w:p>
    <w:p>
      <w:pPr>
        <w:ind w:left="2000" w:hanging="284"/>
        <w:spacing w:after="0"/>
        <w:tabs>
          <w:tab w:leader="none" w:pos="20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current Conversion Rate;</w:t>
      </w:r>
    </w:p>
    <w:p>
      <w:pPr>
        <w:spacing w:after="0" w:line="198" w:lineRule="exact"/>
        <w:rPr>
          <w:rFonts w:ascii="Arial" w:cs="Arial" w:eastAsia="Arial" w:hAnsi="Arial"/>
          <w:sz w:val="16"/>
          <w:szCs w:val="16"/>
          <w:color w:val="auto"/>
        </w:rPr>
      </w:pPr>
    </w:p>
    <w:p>
      <w:pPr>
        <w:ind w:left="1980" w:hanging="264"/>
        <w:spacing w:after="0"/>
        <w:tabs>
          <w:tab w:leader="none" w:pos="19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name and address of the Paying Agent and the Conversion Agent;</w:t>
      </w:r>
    </w:p>
    <w:p>
      <w:pPr>
        <w:spacing w:after="0" w:line="198" w:lineRule="exact"/>
        <w:rPr>
          <w:rFonts w:ascii="Arial" w:cs="Arial" w:eastAsia="Arial" w:hAnsi="Arial"/>
          <w:sz w:val="16"/>
          <w:szCs w:val="16"/>
          <w:color w:val="auto"/>
        </w:rPr>
      </w:pPr>
    </w:p>
    <w:p>
      <w:pPr>
        <w:ind w:left="1940" w:hanging="224"/>
        <w:spacing w:after="0"/>
        <w:tabs>
          <w:tab w:leader="none" w:pos="19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Settlement Method, which shall apply in the same proportions of cash and/or shares of Common Stock to all Holders; and</w:t>
      </w:r>
    </w:p>
    <w:p>
      <w:pPr>
        <w:spacing w:after="0" w:line="198" w:lineRule="exact"/>
        <w:rPr>
          <w:rFonts w:ascii="Arial" w:cs="Arial" w:eastAsia="Arial" w:hAnsi="Arial"/>
          <w:sz w:val="16"/>
          <w:szCs w:val="16"/>
          <w:color w:val="auto"/>
        </w:rPr>
      </w:pPr>
    </w:p>
    <w:p>
      <w:pPr>
        <w:ind w:left="1980" w:hanging="264"/>
        <w:spacing w:after="0"/>
        <w:tabs>
          <w:tab w:leader="none" w:pos="19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CUSIP and ISIN numbers, if any, of the Notes.</w:t>
      </w:r>
    </w:p>
    <w:p>
      <w:pPr>
        <w:spacing w:after="0" w:line="198" w:lineRule="exact"/>
        <w:rPr>
          <w:rFonts w:ascii="Arial" w:cs="Arial" w:eastAsia="Arial" w:hAnsi="Arial"/>
          <w:sz w:val="16"/>
          <w:szCs w:val="16"/>
          <w:color w:val="auto"/>
        </w:rPr>
      </w:pPr>
    </w:p>
    <w:p>
      <w:pPr>
        <w:jc w:val="both"/>
        <w:ind w:right="20" w:firstLine="1143"/>
        <w:spacing w:after="0" w:line="274" w:lineRule="auto"/>
        <w:tabs>
          <w:tab w:leader="none" w:pos="1366" w:val="left"/>
        </w:tabs>
        <w:numPr>
          <w:ilvl w:val="0"/>
          <w:numId w:val="171"/>
        </w:numPr>
        <w:rPr>
          <w:rFonts w:ascii="Arial" w:cs="Arial" w:eastAsia="Arial" w:hAnsi="Arial"/>
          <w:sz w:val="15"/>
          <w:szCs w:val="15"/>
          <w:color w:val="auto"/>
        </w:rPr>
      </w:pPr>
      <w:r>
        <w:rPr>
          <w:rFonts w:ascii="Arial" w:cs="Arial" w:eastAsia="Arial" w:hAnsi="Arial"/>
          <w:sz w:val="15"/>
          <w:szCs w:val="15"/>
          <w:color w:val="auto"/>
        </w:rPr>
        <w:t>If the Company exercises its right to effect a Mandatory Conversion in accordance with this Section 14.03, then a Conversion Date will automatically, and without the need for any action on the part of any Holder, the Trustee or the Conversion Agent, be deemed to occur, with respect to each Note then outstanding, on the Mandatory Conversion Date. The Mandatory Conversion Date will be a Business Day of the Company’s choosing that is no more than 30, nor less than 10, Business Days after the Company sends the Mandatory Conversion Notice; provided that the Mandatory Conversion Date shall be no later than the second Scheduled Trading Day prior to the Maturity Date. The Company shall pay or deliver, as the case may be, the consideration due in respect of the Conversion Obligation on the second Business Day immediately following the Mandatory Conversion Date or the related Observation Period.</w:t>
      </w:r>
    </w:p>
    <w:p>
      <w:pPr>
        <w:spacing w:after="0" w:line="156" w:lineRule="exact"/>
        <w:rPr>
          <w:rFonts w:ascii="Arial" w:cs="Arial" w:eastAsia="Arial" w:hAnsi="Arial"/>
          <w:sz w:val="15"/>
          <w:szCs w:val="15"/>
          <w:color w:val="auto"/>
        </w:rPr>
      </w:pPr>
    </w:p>
    <w:p>
      <w:pPr>
        <w:ind w:right="20" w:firstLine="1143"/>
        <w:spacing w:after="0" w:line="275" w:lineRule="auto"/>
        <w:tabs>
          <w:tab w:leader="none" w:pos="138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Conversion Rate in connection with a Mandatory Conversion shall be increased by a number of Additional Shares per $1,000 principal amount of Notes assuming the Notes had been converted pursuant to Section 14.04.</w:t>
      </w:r>
    </w:p>
    <w:p>
      <w:pPr>
        <w:spacing w:after="0" w:line="151" w:lineRule="exact"/>
        <w:rPr>
          <w:rFonts w:ascii="Arial" w:cs="Arial" w:eastAsia="Arial" w:hAnsi="Arial"/>
          <w:sz w:val="16"/>
          <w:szCs w:val="16"/>
          <w:color w:val="auto"/>
        </w:rPr>
      </w:pPr>
    </w:p>
    <w:p>
      <w:pPr>
        <w:jc w:val="both"/>
        <w:ind w:right="20" w:firstLine="1143"/>
        <w:spacing w:after="0" w:line="276" w:lineRule="auto"/>
        <w:tabs>
          <w:tab w:leader="none" w:pos="1371" w:val="left"/>
        </w:tabs>
        <w:numPr>
          <w:ilvl w:val="0"/>
          <w:numId w:val="171"/>
        </w:numPr>
        <w:rPr>
          <w:rFonts w:ascii="Arial" w:cs="Arial" w:eastAsia="Arial" w:hAnsi="Arial"/>
          <w:sz w:val="15"/>
          <w:szCs w:val="15"/>
          <w:color w:val="auto"/>
        </w:rPr>
      </w:pPr>
      <w:r>
        <w:rPr>
          <w:rFonts w:ascii="Arial" w:cs="Arial" w:eastAsia="Arial" w:hAnsi="Arial"/>
          <w:sz w:val="15"/>
          <w:szCs w:val="15"/>
          <w:color w:val="auto"/>
        </w:rPr>
        <w:t>Each share of Common Stock delivered upon a Mandatory Conversion of any Note will be a newly issued or treasury share and will be duly and validly issued, fully paid, non-assessable, free from preemptive rights and free of any lien or adverse claim. If the Common Stock is then listed on any securities exchange and has been registered on an effective registration statement with the Commission, then the Company will cause each share of Common Stock, when delivered upon a Mandatory Conversion of any Note, to be admitted for listing on such exchange. Notwithstanding anything herein to the contrary, the Company shall not be permitted to effect any Mandatory Conversion hereunder unless as of such Mandatory Conversion Date no Equity Conditions Failure then exists.</w:t>
      </w:r>
    </w:p>
    <w:p>
      <w:pPr>
        <w:spacing w:after="0" w:line="155"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 xml:space="preserve">Section 14.04. </w:t>
      </w:r>
      <w:r>
        <w:rPr>
          <w:rFonts w:ascii="Arial" w:cs="Arial" w:eastAsia="Arial" w:hAnsi="Arial"/>
          <w:sz w:val="14"/>
          <w:szCs w:val="14"/>
          <w:i w:val="1"/>
          <w:iCs w:val="1"/>
          <w:color w:val="auto"/>
        </w:rPr>
        <w:t>Increased Conversion Rate Applicable to Certain Notes Surrendered in Connection with Make-Whole Fundamental Changes or during a Redemption</w:t>
      </w:r>
      <w:r>
        <w:rPr>
          <w:rFonts w:ascii="Arial" w:cs="Arial" w:eastAsia="Arial" w:hAnsi="Arial"/>
          <w:sz w:val="14"/>
          <w:szCs w:val="14"/>
          <w:color w:val="auto"/>
        </w:rPr>
        <w:t xml:space="preserve"> </w:t>
      </w:r>
      <w:r>
        <w:rPr>
          <w:rFonts w:ascii="Arial" w:cs="Arial" w:eastAsia="Arial" w:hAnsi="Arial"/>
          <w:sz w:val="14"/>
          <w:szCs w:val="14"/>
          <w:i w:val="1"/>
          <w:iCs w:val="1"/>
          <w:color w:val="auto"/>
        </w:rPr>
        <w:t>Period</w:t>
      </w:r>
      <w:r>
        <w:rPr>
          <w:rFonts w:ascii="Arial" w:cs="Arial" w:eastAsia="Arial" w:hAnsi="Arial"/>
          <w:sz w:val="14"/>
          <w:szCs w:val="14"/>
          <w:color w:val="auto"/>
        </w:rPr>
        <w:t>. (a) If (i) the Effective Date of a Make-Whole Fundamental Change occurs prior to the Maturity Date and a Holder elects to convert its Notes in connection with such</w:t>
      </w:r>
      <w:r>
        <w:rPr>
          <w:rFonts w:ascii="Arial" w:cs="Arial" w:eastAsia="Arial" w:hAnsi="Arial"/>
          <w:sz w:val="14"/>
          <w:szCs w:val="14"/>
          <w:i w:val="1"/>
          <w:iCs w:val="1"/>
          <w:color w:val="auto"/>
        </w:rPr>
        <w:t xml:space="preserve"> </w:t>
      </w:r>
      <w:r>
        <w:rPr>
          <w:rFonts w:ascii="Arial" w:cs="Arial" w:eastAsia="Arial" w:hAnsi="Arial"/>
          <w:sz w:val="14"/>
          <w:szCs w:val="14"/>
          <w:color w:val="auto"/>
        </w:rPr>
        <w:t>Make-Whole Fundamental Change or (ii) the Company issues a Notice of Redemption as provided under Section 16.02 and a Holder elects to convert such Notes with a Conversion Date during the related Redemption Period, the Company shall, in each case, under the circumstances described below, increase the Conversion Rate for the Notes so surrendered for conversion by a number of additional shares of Common Stock (the “</w:t>
      </w:r>
      <w:r>
        <w:rPr>
          <w:rFonts w:ascii="Arial" w:cs="Arial" w:eastAsia="Arial" w:hAnsi="Arial"/>
          <w:sz w:val="14"/>
          <w:szCs w:val="14"/>
          <w:b w:val="1"/>
          <w:bCs w:val="1"/>
          <w:color w:val="auto"/>
        </w:rPr>
        <w:t>Additional Shares</w:t>
      </w:r>
      <w:r>
        <w:rPr>
          <w:rFonts w:ascii="Arial" w:cs="Arial" w:eastAsia="Arial" w:hAnsi="Arial"/>
          <w:sz w:val="14"/>
          <w:szCs w:val="14"/>
          <w:color w:val="auto"/>
        </w:rPr>
        <w:t>”), as described below. A conversion of Notes shall be deemed for these purposes to be “in connection with” such Make-Whole Fundamental Change if the relevant Conversion Date occurs during the period from, and including, the Effective Date of the Make-Whole Fundamental Change up to, and including, the close of business on the Business Day immediately prior to the related Fundamental Change Repurchase Date (or, in the case of a Make-Whole Fundamental Change that would have been a Fundamental Change but for the proviso in clause (b) of the definition thereof, the 35th Trading Day immediately following the Effective Date of such Make-Whole Fundamental Change) (such period, the “</w:t>
      </w:r>
      <w:r>
        <w:rPr>
          <w:rFonts w:ascii="Arial" w:cs="Arial" w:eastAsia="Arial" w:hAnsi="Arial"/>
          <w:sz w:val="14"/>
          <w:szCs w:val="14"/>
          <w:b w:val="1"/>
          <w:bCs w:val="1"/>
          <w:color w:val="auto"/>
        </w:rPr>
        <w:t>Make-Whole Fundamental Change Period</w:t>
      </w:r>
      <w:r>
        <w:rPr>
          <w:rFonts w:ascii="Arial" w:cs="Arial" w:eastAsia="Arial" w:hAnsi="Arial"/>
          <w:sz w:val="14"/>
          <w:szCs w:val="14"/>
          <w:color w:val="auto"/>
        </w:rPr>
        <w:t>”). For the avoidance of doubt, the Company shall not increase the Conversion Rate pursuant to the provisions of this Section 14.03 on account of an anticipated Fundamental Change that does not occur. If the Company issues a Notice of Redemption as set forth under Section 16.02 the Company shall increase the Conversion Rate during the related Redemption Period only with respect to conversions of Notes called for redemption (or deemed called for redemption as contemplated by the penultimate sentence of Section 16.02(d)), and not for Notes not called for redemption. Accordingly, if the Company elects to redeem fewer than all of the outstanding Notes as described under Section 16.05. Holders of the Notes not called for redemption will not be entitled to convert such Notes on account of the Notice of Redemption and will not be entitled to an increased Conversion Rate for conversions of such Notes on account of the Notice of Redemption during the related Redemption Period if such Notes are otherwise convertible, except in the limited circumstances set forth in the penultimate sentence of Section 16.02(d).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65" w:name="page166"/>
    <w:bookmarkEnd w:id="165"/>
    <w:p>
      <w:pPr>
        <w:jc w:val="both"/>
        <w:ind w:left="4" w:firstLine="1143"/>
        <w:spacing w:after="0" w:line="252" w:lineRule="auto"/>
        <w:tabs>
          <w:tab w:leader="none" w:pos="137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Upon surrender of Notes for conversion in connection with a Make-Whole Fundamental Change or of Notes called for redemption with a Conversion Date occurring during the related Redemption Period, the Company shall, at its option, satisfy the related Conversion Obligation by Physical Settlement, Cash Settlement or Combination Settlement based on the Conversion Rate as increased to reflect the additional shares pursuant to the table set forth below, in accordance with Section 14.02;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at the effective time of a Make-Whole Fundamental Change described in clause (b) of the definition of Fundamental Change, the Reference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such Stock Price. In such event, the Conversion Obligation shall be determined and paid to Holders in cash on the second Business Day following the Conversion Date. The Company shall notify the Holders, the Trustee and the Conversion Agent (if other than the Trustee) of the Effective Date of any Make-Whole Fundamental Change in writing no later than five Business Days after such Effective Date.</w:t>
      </w:r>
    </w:p>
    <w:p>
      <w:pPr>
        <w:spacing w:after="0" w:line="171" w:lineRule="exact"/>
        <w:rPr>
          <w:rFonts w:ascii="Arial" w:cs="Arial" w:eastAsia="Arial" w:hAnsi="Arial"/>
          <w:sz w:val="16"/>
          <w:szCs w:val="16"/>
          <w:color w:val="auto"/>
        </w:rPr>
      </w:pPr>
    </w:p>
    <w:p>
      <w:pPr>
        <w:jc w:val="both"/>
        <w:ind w:left="4" w:firstLine="1143"/>
        <w:spacing w:after="0" w:line="292" w:lineRule="auto"/>
        <w:tabs>
          <w:tab w:leader="none" w:pos="1366"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(in each case, the “</w:t>
      </w:r>
      <w:r>
        <w:rPr>
          <w:rFonts w:ascii="Arial" w:cs="Arial" w:eastAsia="Arial" w:hAnsi="Arial"/>
          <w:sz w:val="14"/>
          <w:szCs w:val="14"/>
          <w:b w:val="1"/>
          <w:bCs w:val="1"/>
          <w:color w:val="auto"/>
        </w:rPr>
        <w:t>Effective Date</w:t>
      </w:r>
      <w:r>
        <w:rPr>
          <w:rFonts w:ascii="Arial" w:cs="Arial" w:eastAsia="Arial" w:hAnsi="Arial"/>
          <w:sz w:val="14"/>
          <w:szCs w:val="14"/>
          <w:color w:val="auto"/>
        </w:rPr>
        <w:t>”) or the Redemption Notice Date, as applicable, and the price (the “</w:t>
      </w:r>
      <w:r>
        <w:rPr>
          <w:rFonts w:ascii="Arial" w:cs="Arial" w:eastAsia="Arial" w:hAnsi="Arial"/>
          <w:sz w:val="14"/>
          <w:szCs w:val="14"/>
          <w:b w:val="1"/>
          <w:bCs w:val="1"/>
          <w:color w:val="auto"/>
        </w:rPr>
        <w:t>Stock Price</w:t>
      </w:r>
      <w:r>
        <w:rPr>
          <w:rFonts w:ascii="Arial" w:cs="Arial" w:eastAsia="Arial" w:hAnsi="Arial"/>
          <w:sz w:val="14"/>
          <w:szCs w:val="14"/>
          <w:color w:val="auto"/>
        </w:rPr>
        <w:t>”) paid (or deemed to be paid) per share of the Common Stock in the Make-Whole Fundamental Change or on the Redemption Notice Date, as applicable.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ten consecutive Trading Day period ending on, and including, the Trading Day immediately preceding the applicable Effective Date of the Make-Whole Fundamental Change or the Redemption Notice Date, as the case may be. In the event that a conversion during a Redemption Period would also be deemed to be in connection with a Make-Whole Fundamental Change, a Holder of the Notes to be converted will be entitled to a single increase to the Conversion Rate with respect to the first to occur of the applicable Redemption Notice Date or the Effective Date of the applicable Make-Whole Fundamental Change, and the later event will be deemed not to have occurred for purposes of this Section 14.03.</w:t>
      </w:r>
    </w:p>
    <w:p>
      <w:pPr>
        <w:spacing w:after="0" w:line="144" w:lineRule="exact"/>
        <w:rPr>
          <w:rFonts w:ascii="Arial" w:cs="Arial" w:eastAsia="Arial" w:hAnsi="Arial"/>
          <w:sz w:val="14"/>
          <w:szCs w:val="14"/>
          <w:color w:val="auto"/>
        </w:rPr>
      </w:pPr>
    </w:p>
    <w:p>
      <w:pPr>
        <w:jc w:val="both"/>
        <w:ind w:left="4" w:firstLine="1143"/>
        <w:spacing w:after="0" w:line="306" w:lineRule="auto"/>
        <w:tabs>
          <w:tab w:leader="none" w:pos="1394" w:val="left"/>
        </w:tabs>
        <w:numPr>
          <w:ilvl w:val="0"/>
          <w:numId w:val="172"/>
        </w:numPr>
        <w:rPr>
          <w:rFonts w:ascii="Arial" w:cs="Arial" w:eastAsia="Arial" w:hAnsi="Arial"/>
          <w:sz w:val="14"/>
          <w:szCs w:val="14"/>
          <w:color w:val="auto"/>
        </w:rPr>
      </w:pPr>
      <w:r>
        <w:rPr>
          <w:rFonts w:ascii="Arial" w:cs="Arial" w:eastAsia="Arial" w:hAnsi="Arial"/>
          <w:sz w:val="14"/>
          <w:szCs w:val="14"/>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34" w:lineRule="exact"/>
        <w:rPr>
          <w:rFonts w:ascii="Arial" w:cs="Arial" w:eastAsia="Arial" w:hAnsi="Arial"/>
          <w:sz w:val="14"/>
          <w:szCs w:val="14"/>
          <w:color w:val="auto"/>
        </w:rPr>
      </w:pPr>
    </w:p>
    <w:p>
      <w:pPr>
        <w:ind w:left="4" w:firstLine="1143"/>
        <w:spacing w:after="0" w:line="286" w:lineRule="auto"/>
        <w:tabs>
          <w:tab w:leader="none" w:pos="137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following table sets forth the number of Additional Shares by which the Conversion Rate shall be increased per $1,000 principal amount of Notes pursuant to this Section 14.03 for each Stock Price and Effective Date or Redemption Notice Date, as applicable, set forth below:</w:t>
      </w:r>
      <w:r>
        <w:rPr>
          <w:rFonts w:ascii="Arial" w:cs="Arial" w:eastAsia="Arial" w:hAnsi="Arial"/>
          <w:sz w:val="26"/>
          <w:szCs w:val="26"/>
          <w:color w:val="auto"/>
          <w:vertAlign w:val="superscript"/>
        </w:rPr>
        <w:t>17</w:t>
      </w:r>
    </w:p>
    <w:tbl>
      <w:tblPr>
        <w:tblLayout w:type="fixed"/>
        <w:tblInd w:w="4" w:type="dxa"/>
        <w:tblCellMar>
          <w:top w:w="0" w:type="dxa"/>
          <w:left w:w="0" w:type="dxa"/>
          <w:bottom w:w="0" w:type="dxa"/>
          <w:right w:w="0" w:type="dxa"/>
        </w:tblCellMar>
      </w:tblPr>
      <w:tr>
        <w:trPr>
          <w:trHeight w:val="277"/>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100"/>
              <w:spacing w:after="0" w:line="273" w:lineRule="exact"/>
              <w:rPr>
                <w:sz w:val="20"/>
                <w:szCs w:val="20"/>
                <w:color w:val="auto"/>
              </w:rPr>
            </w:pPr>
            <w:r>
              <w:rPr>
                <w:rFonts w:ascii="Arial" w:cs="Arial" w:eastAsia="Arial" w:hAnsi="Arial"/>
                <w:sz w:val="16"/>
                <w:szCs w:val="16"/>
                <w:b w:val="1"/>
                <w:bCs w:val="1"/>
                <w:color w:val="auto"/>
              </w:rPr>
              <w:t>Stock Price</w:t>
            </w:r>
            <w:r>
              <w:rPr>
                <w:rFonts w:ascii="Arial" w:cs="Arial" w:eastAsia="Arial" w:hAnsi="Arial"/>
                <w:sz w:val="26"/>
                <w:szCs w:val="26"/>
                <w:b w:val="1"/>
                <w:bCs w:val="1"/>
                <w:color w:val="auto"/>
                <w:vertAlign w:val="superscript"/>
              </w:rPr>
              <w:t>18</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07"/>
        </w:trPr>
        <w:tc>
          <w:tcPr>
            <w:tcW w:w="4780" w:type="dxa"/>
            <w:vAlign w:val="bottom"/>
            <w:gridSpan w:val="2"/>
          </w:tcPr>
          <w:p>
            <w:pPr>
              <w:spacing w:after="0"/>
              <w:rPr>
                <w:sz w:val="20"/>
                <w:szCs w:val="20"/>
                <w:color w:val="auto"/>
              </w:rPr>
            </w:pPr>
            <w:r>
              <w:rPr>
                <w:rFonts w:ascii="Arial" w:cs="Arial" w:eastAsia="Arial" w:hAnsi="Arial"/>
                <w:sz w:val="16"/>
                <w:szCs w:val="16"/>
                <w:b w:val="1"/>
                <w:bCs w:val="1"/>
                <w:color w:val="auto"/>
              </w:rPr>
              <w:t>Effective Date/Redemption Notice Date</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9"/>
              </w:rPr>
              <w:t>$10.00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$12.00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$14.00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$16.00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$18.00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$20.00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$25.00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5"/>
              </w:rPr>
              <w:t>$</w:t>
            </w:r>
            <w:r>
              <w:rPr>
                <w:rFonts w:ascii="Arial" w:cs="Arial" w:eastAsia="Arial" w:hAnsi="Arial"/>
                <w:sz w:val="16"/>
                <w:szCs w:val="16"/>
                <w:b w:val="1"/>
                <w:bCs w:val="1"/>
                <w:color w:val="auto"/>
                <w:w w:val="85"/>
              </w:rPr>
              <w:t>30.00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$40.00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$50.00</w:t>
            </w:r>
          </w:p>
        </w:tc>
      </w:tr>
      <w:tr>
        <w:trPr>
          <w:trHeight w:val="191"/>
        </w:trPr>
        <w:tc>
          <w:tcPr>
            <w:tcW w:w="4680" w:type="dxa"/>
            <w:vAlign w:val="bottom"/>
            <w:tcBorders>
              <w:top w:val="single" w:sz="8" w:color="auto"/>
            </w:tcBorders>
            <w:shd w:val="clear" w:color="auto" w:fill="C5E7F7"/>
          </w:tcPr>
          <w:p>
            <w:pPr>
              <w:spacing w:after="0"/>
              <w:rPr>
                <w:sz w:val="20"/>
                <w:szCs w:val="20"/>
                <w:color w:val="auto"/>
              </w:rPr>
            </w:pPr>
            <w:r>
              <w:rPr>
                <w:rFonts w:ascii="Arial" w:cs="Arial" w:eastAsia="Arial" w:hAnsi="Arial"/>
                <w:sz w:val="16"/>
                <w:szCs w:val="16"/>
                <w:color w:val="auto"/>
              </w:rPr>
              <w:t>[●], 2022</w:t>
            </w:r>
          </w:p>
        </w:tc>
        <w:tc>
          <w:tcPr>
            <w:tcW w:w="10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jc w:val="center"/>
              <w:spacing w:after="0"/>
              <w:rPr>
                <w:sz w:val="20"/>
                <w:szCs w:val="20"/>
                <w:color w:val="auto"/>
              </w:rPr>
            </w:pPr>
            <w:r>
              <w:rPr>
                <w:rFonts w:ascii="Arial" w:cs="Arial" w:eastAsia="Arial" w:hAnsi="Arial"/>
                <w:sz w:val="16"/>
                <w:szCs w:val="16"/>
                <w:color w:val="auto"/>
                <w:w w:val="89"/>
              </w:rPr>
              <w:t>13.0430</w:t>
            </w:r>
          </w:p>
        </w:tc>
        <w:tc>
          <w:tcPr>
            <w:tcW w:w="12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0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2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0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2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0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20" w:type="dxa"/>
            <w:vAlign w:val="bottom"/>
            <w:tcBorders>
              <w:top w:val="single" w:sz="8" w:color="C5E7F7"/>
            </w:tcBorders>
            <w:shd w:val="clear" w:color="auto" w:fill="C5E7F7"/>
          </w:tcPr>
          <w:p>
            <w:pPr>
              <w:spacing w:after="0"/>
              <w:rPr>
                <w:sz w:val="16"/>
                <w:szCs w:val="16"/>
                <w:color w:val="auto"/>
              </w:rPr>
            </w:pPr>
          </w:p>
        </w:tc>
        <w:tc>
          <w:tcPr>
            <w:tcW w:w="440" w:type="dxa"/>
            <w:vAlign w:val="bottom"/>
            <w:tcBorders>
              <w:top w:val="single" w:sz="8" w:color="auto"/>
            </w:tcBorders>
            <w:shd w:val="clear" w:color="auto" w:fill="C5E7F7"/>
          </w:tcPr>
          <w:p>
            <w:pPr>
              <w:spacing w:after="0"/>
              <w:rPr>
                <w:sz w:val="16"/>
                <w:szCs w:val="16"/>
                <w:color w:val="auto"/>
              </w:rPr>
            </w:pPr>
          </w:p>
        </w:tc>
        <w:tc>
          <w:tcPr>
            <w:tcW w:w="10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2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r>
      <w:tr>
        <w:trPr>
          <w:trHeight w:val="191"/>
        </w:trPr>
        <w:tc>
          <w:tcPr>
            <w:tcW w:w="4780" w:type="dxa"/>
            <w:vAlign w:val="bottom"/>
            <w:gridSpan w:val="2"/>
          </w:tcPr>
          <w:p>
            <w:pPr>
              <w:spacing w:after="0"/>
              <w:rPr>
                <w:sz w:val="20"/>
                <w:szCs w:val="20"/>
                <w:color w:val="auto"/>
              </w:rPr>
            </w:pPr>
            <w:r>
              <w:rPr>
                <w:rFonts w:ascii="Arial" w:cs="Arial" w:eastAsia="Arial" w:hAnsi="Arial"/>
                <w:sz w:val="16"/>
                <w:szCs w:val="16"/>
                <w:color w:val="auto"/>
              </w:rPr>
              <w:t>[●], 2023</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13.0430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4780" w:type="dxa"/>
            <w:vAlign w:val="bottom"/>
            <w:gridSpan w:val="2"/>
            <w:shd w:val="clear" w:color="auto" w:fill="C5E7F7"/>
          </w:tcPr>
          <w:p>
            <w:pPr>
              <w:spacing w:after="0"/>
              <w:rPr>
                <w:sz w:val="20"/>
                <w:szCs w:val="20"/>
                <w:color w:val="auto"/>
              </w:rPr>
            </w:pPr>
            <w:r>
              <w:rPr>
                <w:rFonts w:ascii="Arial" w:cs="Arial" w:eastAsia="Arial" w:hAnsi="Arial"/>
                <w:sz w:val="16"/>
                <w:szCs w:val="16"/>
                <w:color w:val="auto"/>
              </w:rPr>
              <w:t>[●], 2024</w:t>
            </w:r>
          </w:p>
        </w:tc>
        <w:tc>
          <w:tcPr>
            <w:tcW w:w="560" w:type="dxa"/>
            <w:vAlign w:val="bottom"/>
            <w:shd w:val="clear" w:color="auto" w:fill="C5E7F7"/>
          </w:tcPr>
          <w:p>
            <w:pPr>
              <w:jc w:val="center"/>
              <w:spacing w:after="0"/>
              <w:rPr>
                <w:sz w:val="20"/>
                <w:szCs w:val="20"/>
                <w:color w:val="auto"/>
              </w:rPr>
            </w:pPr>
            <w:r>
              <w:rPr>
                <w:rFonts w:ascii="Arial" w:cs="Arial" w:eastAsia="Arial" w:hAnsi="Arial"/>
                <w:sz w:val="16"/>
                <w:szCs w:val="16"/>
                <w:color w:val="auto"/>
                <w:w w:val="89"/>
              </w:rPr>
              <w:t>13.0430</w:t>
            </w: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44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r>
      <w:tr>
        <w:trPr>
          <w:trHeight w:val="191"/>
        </w:trPr>
        <w:tc>
          <w:tcPr>
            <w:tcW w:w="4780" w:type="dxa"/>
            <w:vAlign w:val="bottom"/>
            <w:gridSpan w:val="2"/>
          </w:tcPr>
          <w:p>
            <w:pPr>
              <w:spacing w:after="0"/>
              <w:rPr>
                <w:sz w:val="20"/>
                <w:szCs w:val="20"/>
                <w:color w:val="auto"/>
              </w:rPr>
            </w:pPr>
            <w:r>
              <w:rPr>
                <w:rFonts w:ascii="Arial" w:cs="Arial" w:eastAsia="Arial" w:hAnsi="Arial"/>
                <w:sz w:val="16"/>
                <w:szCs w:val="16"/>
                <w:color w:val="auto"/>
              </w:rPr>
              <w:t>[●], 2025</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13.0430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4780" w:type="dxa"/>
            <w:vAlign w:val="bottom"/>
            <w:gridSpan w:val="2"/>
            <w:shd w:val="clear" w:color="auto" w:fill="C5E7F7"/>
          </w:tcPr>
          <w:p>
            <w:pPr>
              <w:spacing w:after="0"/>
              <w:rPr>
                <w:sz w:val="20"/>
                <w:szCs w:val="20"/>
                <w:color w:val="auto"/>
              </w:rPr>
            </w:pPr>
            <w:r>
              <w:rPr>
                <w:rFonts w:ascii="Arial" w:cs="Arial" w:eastAsia="Arial" w:hAnsi="Arial"/>
                <w:sz w:val="16"/>
                <w:szCs w:val="16"/>
                <w:color w:val="auto"/>
              </w:rPr>
              <w:t>[●], 2026</w:t>
            </w:r>
          </w:p>
        </w:tc>
        <w:tc>
          <w:tcPr>
            <w:tcW w:w="560" w:type="dxa"/>
            <w:vAlign w:val="bottom"/>
            <w:shd w:val="clear" w:color="auto" w:fill="C5E7F7"/>
          </w:tcPr>
          <w:p>
            <w:pPr>
              <w:jc w:val="center"/>
              <w:spacing w:after="0"/>
              <w:rPr>
                <w:sz w:val="20"/>
                <w:szCs w:val="20"/>
                <w:color w:val="auto"/>
              </w:rPr>
            </w:pPr>
            <w:r>
              <w:rPr>
                <w:rFonts w:ascii="Arial" w:cs="Arial" w:eastAsia="Arial" w:hAnsi="Arial"/>
                <w:sz w:val="16"/>
                <w:szCs w:val="16"/>
                <w:color w:val="auto"/>
                <w:w w:val="89"/>
              </w:rPr>
              <w:t>13.0430</w:t>
            </w: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44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r>
    </w:tbl>
    <w:p>
      <w:pPr>
        <w:spacing w:after="0" w:line="179"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exact Stock Prices and Effective Dates or Redemption Notice Dates may not be set forth in the table above, in which case:</w:t>
      </w:r>
    </w:p>
    <w:p>
      <w:pPr>
        <w:spacing w:after="0" w:line="198" w:lineRule="exact"/>
        <w:rPr>
          <w:sz w:val="20"/>
          <w:szCs w:val="20"/>
          <w:color w:val="auto"/>
        </w:rPr>
      </w:pPr>
    </w:p>
    <w:p>
      <w:pPr>
        <w:jc w:val="both"/>
        <w:ind w:left="4" w:firstLine="1716"/>
        <w:spacing w:after="0" w:line="258" w:lineRule="auto"/>
        <w:tabs>
          <w:tab w:leader="none" w:pos="192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the Stock Price is between two Stock Prices in the table above or the Effective Date or Redemption Notice Date, as applicable, is between two Effective Dates or Redemption Notice Dates, as applicable, in the table, the number of Additional Shares by which the Conversion Rate shall be increased shall be determined by a straight-line interpolation between the number of Additional Shares set forth for the higher and lower Stock Prices and the earlier and later Effective Dates or Redemption Notice Dates, as applicable, based on a 365- or 366-day year, as applicable;</w:t>
      </w:r>
    </w:p>
    <w:p>
      <w:pPr>
        <w:spacing w:after="0" w:line="164" w:lineRule="exact"/>
        <w:rPr>
          <w:rFonts w:ascii="Arial" w:cs="Arial" w:eastAsia="Arial" w:hAnsi="Arial"/>
          <w:sz w:val="16"/>
          <w:szCs w:val="16"/>
          <w:color w:val="auto"/>
        </w:rPr>
      </w:pPr>
    </w:p>
    <w:p>
      <w:pPr>
        <w:ind w:left="4" w:right="20" w:firstLine="1716"/>
        <w:spacing w:after="0" w:line="275" w:lineRule="auto"/>
        <w:tabs>
          <w:tab w:leader="none" w:pos="196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the Stock Price is greater than $50.00 per share (subject to adjustment in the same manner as the Stock Prices set forth in the column headings of the table above pursuant to subsection (d) above), no Additional Shares shall be added to the Conversion Rate;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1790700"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68" w:lineRule="exact"/>
        <w:rPr>
          <w:sz w:val="20"/>
          <w:szCs w:val="20"/>
          <w:color w:val="auto"/>
        </w:rPr>
      </w:pPr>
    </w:p>
    <w:p>
      <w:pPr>
        <w:ind w:left="584" w:hanging="584"/>
        <w:spacing w:after="0" w:line="229" w:lineRule="auto"/>
        <w:tabs>
          <w:tab w:leader="none" w:pos="166" w:val="left"/>
        </w:tabs>
        <w:numPr>
          <w:ilvl w:val="0"/>
          <w:numId w:val="174"/>
        </w:numPr>
        <w:rPr>
          <w:rFonts w:ascii="Arial" w:cs="Arial" w:eastAsia="Arial" w:hAnsi="Arial"/>
          <w:sz w:val="22"/>
          <w:szCs w:val="22"/>
          <w:color w:val="auto"/>
          <w:vertAlign w:val="superscript"/>
        </w:rPr>
      </w:pPr>
      <w:r>
        <w:rPr>
          <w:rFonts w:ascii="Arial" w:cs="Arial" w:eastAsia="Arial" w:hAnsi="Arial"/>
          <w:sz w:val="14"/>
          <w:szCs w:val="14"/>
          <w:color w:val="auto"/>
        </w:rPr>
        <w:t>NTD: Table to be completed prior to issuance using customary methodology with the assistance of a nationally recognized investment bank that has experience with convertible notes of this type.</w:t>
      </w:r>
    </w:p>
    <w:p>
      <w:pPr>
        <w:ind w:left="164" w:hanging="164"/>
        <w:spacing w:after="0" w:line="181" w:lineRule="auto"/>
        <w:tabs>
          <w:tab w:leader="none" w:pos="164" w:val="left"/>
        </w:tabs>
        <w:numPr>
          <w:ilvl w:val="0"/>
          <w:numId w:val="174"/>
        </w:numPr>
        <w:rPr>
          <w:rFonts w:ascii="Arial" w:cs="Arial" w:eastAsia="Arial" w:hAnsi="Arial"/>
          <w:sz w:val="22"/>
          <w:szCs w:val="22"/>
          <w:color w:val="auto"/>
          <w:vertAlign w:val="superscript"/>
        </w:rPr>
      </w:pPr>
      <w:r>
        <w:rPr>
          <w:rFonts w:ascii="Arial" w:cs="Arial" w:eastAsia="Arial" w:hAnsi="Arial"/>
          <w:sz w:val="14"/>
          <w:szCs w:val="14"/>
          <w:color w:val="auto"/>
        </w:rPr>
        <w:t>NTD: Bankers to confirm.</w:t>
      </w:r>
    </w:p>
    <w:p>
      <w:pPr>
        <w:spacing w:after="0" w:line="36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66" w:name="page167"/>
    <w:bookmarkEnd w:id="166"/>
    <w:p>
      <w:pPr>
        <w:ind w:left="4" w:right="20" w:firstLine="1716"/>
        <w:spacing w:after="0" w:line="275" w:lineRule="auto"/>
        <w:tabs>
          <w:tab w:leader="none" w:pos="200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the Stock Price is less than $10.00 per share (subject to adjustment in the same manner as the Stock Prices set forth in the column headings of the table above pursuant to subsection (d) above), no Additional Shares shall be added to the Conversion Rate.</w:t>
      </w:r>
    </w:p>
    <w:p>
      <w:pPr>
        <w:spacing w:after="0" w:line="152" w:lineRule="exact"/>
        <w:rPr>
          <w:sz w:val="20"/>
          <w:szCs w:val="20"/>
          <w:color w:val="auto"/>
        </w:rPr>
      </w:pPr>
    </w:p>
    <w:p>
      <w:pPr>
        <w:ind w:left="4" w:right="20" w:firstLine="574"/>
        <w:spacing w:after="0" w:line="275" w:lineRule="auto"/>
        <w:rPr>
          <w:sz w:val="20"/>
          <w:szCs w:val="20"/>
          <w:color w:val="auto"/>
        </w:rPr>
      </w:pPr>
      <w:r>
        <w:rPr>
          <w:rFonts w:ascii="Arial" w:cs="Arial" w:eastAsia="Arial" w:hAnsi="Arial"/>
          <w:sz w:val="16"/>
          <w:szCs w:val="16"/>
          <w:color w:val="auto"/>
        </w:rPr>
        <w:t>Notwithstanding the foregoing, in no event shall the Conversion Rate per $1,000 principal amount of Notes exceed [●] shares of Common Stock, subject to adjustment in the same manner as the Conversion Rate pursuant to Section 14.04.</w:t>
      </w:r>
    </w:p>
    <w:p>
      <w:pPr>
        <w:spacing w:after="0" w:line="152" w:lineRule="exact"/>
        <w:rPr>
          <w:sz w:val="20"/>
          <w:szCs w:val="20"/>
          <w:color w:val="auto"/>
        </w:rPr>
      </w:pPr>
    </w:p>
    <w:p>
      <w:pPr>
        <w:ind w:left="4" w:right="20" w:firstLine="1143"/>
        <w:spacing w:after="0" w:line="275" w:lineRule="auto"/>
        <w:tabs>
          <w:tab w:leader="none" w:pos="135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Nothing in this Section 14.04 shall prevent an adjustment to the Conversion Rate that would otherwise be required pursuant to Section 14.04 in respect of a Make-Whole Fundamental Change.</w:t>
      </w:r>
    </w:p>
    <w:p>
      <w:pPr>
        <w:spacing w:after="0" w:line="152" w:lineRule="exact"/>
        <w:rPr>
          <w:sz w:val="20"/>
          <w:szCs w:val="20"/>
          <w:color w:val="auto"/>
        </w:rPr>
      </w:pPr>
    </w:p>
    <w:p>
      <w:pPr>
        <w:ind w:left="4" w:firstLine="574"/>
        <w:spacing w:after="0" w:line="294" w:lineRule="auto"/>
        <w:rPr>
          <w:sz w:val="20"/>
          <w:szCs w:val="20"/>
          <w:color w:val="auto"/>
        </w:rPr>
      </w:pPr>
      <w:r>
        <w:rPr>
          <w:rFonts w:ascii="Arial" w:cs="Arial" w:eastAsia="Arial" w:hAnsi="Arial"/>
          <w:sz w:val="14"/>
          <w:szCs w:val="14"/>
          <w:color w:val="auto"/>
        </w:rPr>
        <w:t xml:space="preserve">Section 14.05. </w:t>
      </w:r>
      <w:r>
        <w:rPr>
          <w:rFonts w:ascii="Arial" w:cs="Arial" w:eastAsia="Arial" w:hAnsi="Arial"/>
          <w:sz w:val="14"/>
          <w:szCs w:val="14"/>
          <w:i w:val="1"/>
          <w:iCs w:val="1"/>
          <w:color w:val="auto"/>
        </w:rPr>
        <w:t>Adjustment of Conversion Rate</w:t>
      </w:r>
      <w:r>
        <w:rPr>
          <w:rFonts w:ascii="Arial" w:cs="Arial" w:eastAsia="Arial" w:hAnsi="Arial"/>
          <w:sz w:val="14"/>
          <w:szCs w:val="14"/>
          <w:color w:val="auto"/>
        </w:rPr>
        <w:t>.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w:t>
      </w:r>
    </w:p>
    <w:p>
      <w:pPr>
        <w:spacing w:after="0" w:line="1" w:lineRule="exact"/>
        <w:rPr>
          <w:sz w:val="20"/>
          <w:szCs w:val="20"/>
          <w:color w:val="auto"/>
        </w:rPr>
      </w:pPr>
    </w:p>
    <w:p>
      <w:pPr>
        <w:jc w:val="both"/>
        <w:ind w:left="4" w:right="20" w:hanging="4"/>
        <w:spacing w:after="0" w:line="272" w:lineRule="auto"/>
        <w:tabs>
          <w:tab w:leader="none" w:pos="231" w:val="left"/>
        </w:tabs>
        <w:numPr>
          <w:ilvl w:val="0"/>
          <w:numId w:val="177"/>
        </w:numPr>
        <w:rPr>
          <w:rFonts w:ascii="Arial" w:cs="Arial" w:eastAsia="Arial" w:hAnsi="Arial"/>
          <w:sz w:val="15"/>
          <w:szCs w:val="15"/>
          <w:color w:val="auto"/>
        </w:rPr>
      </w:pPr>
      <w:r>
        <w:rPr>
          <w:rFonts w:ascii="Arial" w:cs="Arial" w:eastAsia="Arial" w:hAnsi="Arial"/>
          <w:sz w:val="15"/>
          <w:szCs w:val="15"/>
          <w:color w:val="auto"/>
        </w:rPr>
        <w:t xml:space="preserve">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the principal amount (expressed in thousands) of Notes held by such Holder. Neither the Trustee nor the Conversion Agent shall have any responsibility to verify the accuracy of any adjustment to the Conversion Rate. The Company shall notify the Holders, the Trustee and the Conversion Agent promptly in writing of any adjustments to the Conversion Rate, which adjustments shall be conclusive and binding on holders, absent manifest error.</w:t>
      </w:r>
    </w:p>
    <w:p>
      <w:pPr>
        <w:spacing w:after="0" w:line="157" w:lineRule="exact"/>
        <w:rPr>
          <w:rFonts w:ascii="Arial" w:cs="Arial" w:eastAsia="Arial" w:hAnsi="Arial"/>
          <w:sz w:val="15"/>
          <w:szCs w:val="15"/>
          <w:color w:val="auto"/>
        </w:rPr>
      </w:pPr>
    </w:p>
    <w:p>
      <w:pPr>
        <w:ind w:left="4" w:right="20" w:firstLine="1143"/>
        <w:spacing w:after="0" w:line="309" w:lineRule="auto"/>
        <w:tabs>
          <w:tab w:leader="none" w:pos="1370" w:val="left"/>
        </w:tabs>
        <w:numPr>
          <w:ilvl w:val="1"/>
          <w:numId w:val="177"/>
        </w:numPr>
        <w:rPr>
          <w:rFonts w:ascii="Arial" w:cs="Arial" w:eastAsia="Arial" w:hAnsi="Arial"/>
          <w:sz w:val="15"/>
          <w:szCs w:val="15"/>
          <w:color w:val="auto"/>
        </w:rPr>
      </w:pPr>
      <w:r>
        <w:rPr>
          <w:rFonts w:ascii="Arial" w:cs="Arial" w:eastAsia="Arial" w:hAnsi="Arial"/>
          <w:sz w:val="15"/>
          <w:szCs w:val="15"/>
          <w:color w:val="auto"/>
        </w:rPr>
        <w:t>If the Company exclusively issues shares of Common Stock as a dividend or distribution on shares of the Common Stock to all or substantially all holders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90170</wp:posOffset>
            </wp:positionV>
            <wp:extent cx="880110" cy="3416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0110" cy="34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564" w:type="dxa"/>
        <w:tblCellMar>
          <w:top w:w="0" w:type="dxa"/>
          <w:left w:w="0" w:type="dxa"/>
          <w:bottom w:w="0" w:type="dxa"/>
          <w:right w:w="0" w:type="dxa"/>
        </w:tblCellMar>
      </w:tblPr>
      <w:tr>
        <w:trPr>
          <w:trHeight w:val="204"/>
        </w:trPr>
        <w:tc>
          <w:tcPr>
            <w:tcW w:w="560" w:type="dxa"/>
            <w:vAlign w:val="bottom"/>
            <w:gridSpan w:val="2"/>
          </w:tcPr>
          <w:p>
            <w:pPr>
              <w:spacing w:after="0"/>
              <w:rPr>
                <w:sz w:val="20"/>
                <w:szCs w:val="20"/>
                <w:color w:val="auto"/>
              </w:rPr>
            </w:pPr>
            <w:r>
              <w:rPr>
                <w:rFonts w:ascii="Arial" w:cs="Arial" w:eastAsia="Arial" w:hAnsi="Arial"/>
                <w:sz w:val="16"/>
                <w:szCs w:val="16"/>
                <w:color w:val="auto"/>
              </w:rPr>
              <w:t>where,</w:t>
            </w:r>
          </w:p>
        </w:tc>
        <w:tc>
          <w:tcPr>
            <w:tcW w:w="10120" w:type="dxa"/>
            <w:vAlign w:val="bottom"/>
          </w:tcPr>
          <w:p>
            <w:pPr>
              <w:spacing w:after="0"/>
              <w:rPr>
                <w:sz w:val="17"/>
                <w:szCs w:val="17"/>
                <w:color w:val="auto"/>
              </w:rPr>
            </w:pPr>
          </w:p>
        </w:tc>
      </w:tr>
      <w:tr>
        <w:trPr>
          <w:trHeight w:val="370"/>
        </w:trPr>
        <w:tc>
          <w:tcPr>
            <w:tcW w:w="360" w:type="dxa"/>
            <w:vAlign w:val="bottom"/>
          </w:tcPr>
          <w:p>
            <w:pPr>
              <w:spacing w:after="0"/>
              <w:rPr>
                <w:sz w:val="20"/>
                <w:szCs w:val="20"/>
                <w:color w:val="auto"/>
              </w:rPr>
            </w:pPr>
            <w:r>
              <w:rPr>
                <w:rFonts w:ascii="Arial" w:cs="Arial" w:eastAsia="Arial" w:hAnsi="Arial"/>
                <w:sz w:val="16"/>
                <w:szCs w:val="16"/>
                <w:color w:val="auto"/>
              </w:rPr>
              <w:t>CR0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60"/>
              <w:spacing w:after="0"/>
              <w:rPr>
                <w:sz w:val="20"/>
                <w:szCs w:val="20"/>
                <w:color w:val="auto"/>
              </w:rPr>
            </w:pPr>
            <w:r>
              <w:rPr>
                <w:rFonts w:ascii="Arial" w:cs="Arial" w:eastAsia="Arial" w:hAnsi="Arial"/>
                <w:sz w:val="16"/>
                <w:szCs w:val="16"/>
                <w:color w:val="auto"/>
                <w:w w:val="91"/>
              </w:rPr>
              <w:t>the Conversion Rate in effect immediately prior to the open of business on the Ex-Dividend Date of such dividend or distribution, or immediately prior to the</w:t>
            </w:r>
          </w:p>
        </w:tc>
      </w:tr>
      <w:tr>
        <w:trPr>
          <w:trHeight w:val="204"/>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tcPr>
          <w:p>
            <w:pPr>
              <w:ind w:left="60"/>
              <w:spacing w:after="0"/>
              <w:rPr>
                <w:sz w:val="20"/>
                <w:szCs w:val="20"/>
                <w:color w:val="auto"/>
              </w:rPr>
            </w:pPr>
            <w:r>
              <w:rPr>
                <w:rFonts w:ascii="Arial" w:cs="Arial" w:eastAsia="Arial" w:hAnsi="Arial"/>
                <w:sz w:val="16"/>
                <w:szCs w:val="16"/>
                <w:color w:val="auto"/>
              </w:rPr>
              <w:t>open of business on the Effective Date of such share split or share combination, as applicable;</w:t>
            </w:r>
          </w:p>
        </w:tc>
      </w:tr>
      <w:tr>
        <w:trPr>
          <w:trHeight w:val="382"/>
        </w:trPr>
        <w:tc>
          <w:tcPr>
            <w:tcW w:w="360" w:type="dxa"/>
            <w:vAlign w:val="bottom"/>
          </w:tcPr>
          <w:p>
            <w:pPr>
              <w:spacing w:after="0"/>
              <w:rPr>
                <w:sz w:val="20"/>
                <w:szCs w:val="20"/>
                <w:color w:val="auto"/>
              </w:rPr>
            </w:pPr>
            <w:r>
              <w:rPr>
                <w:rFonts w:ascii="Arial" w:cs="Arial" w:eastAsia="Arial" w:hAnsi="Arial"/>
                <w:sz w:val="16"/>
                <w:szCs w:val="16"/>
                <w:color w:val="auto"/>
              </w:rPr>
              <w:t>CR’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40"/>
              <w:spacing w:after="0"/>
              <w:rPr>
                <w:sz w:val="20"/>
                <w:szCs w:val="20"/>
                <w:color w:val="auto"/>
              </w:rPr>
            </w:pPr>
            <w:r>
              <w:rPr>
                <w:rFonts w:ascii="Arial" w:cs="Arial" w:eastAsia="Arial" w:hAnsi="Arial"/>
                <w:sz w:val="16"/>
                <w:szCs w:val="16"/>
                <w:color w:val="auto"/>
              </w:rPr>
              <w:t>the Conversion Rate in effect immediately after the open of business on such Ex-Dividend Date or Effective Date, as applicable;</w:t>
            </w:r>
          </w:p>
        </w:tc>
      </w:tr>
      <w:tr>
        <w:trPr>
          <w:trHeight w:val="370"/>
        </w:trPr>
        <w:tc>
          <w:tcPr>
            <w:tcW w:w="360" w:type="dxa"/>
            <w:vAlign w:val="bottom"/>
          </w:tcPr>
          <w:p>
            <w:pPr>
              <w:spacing w:after="0"/>
              <w:rPr>
                <w:sz w:val="20"/>
                <w:szCs w:val="20"/>
                <w:color w:val="auto"/>
              </w:rPr>
            </w:pPr>
            <w:r>
              <w:rPr>
                <w:rFonts w:ascii="Arial" w:cs="Arial" w:eastAsia="Arial" w:hAnsi="Arial"/>
                <w:sz w:val="16"/>
                <w:szCs w:val="16"/>
                <w:color w:val="auto"/>
              </w:rPr>
              <w:t>OS0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40"/>
              <w:spacing w:after="0"/>
              <w:rPr>
                <w:sz w:val="20"/>
                <w:szCs w:val="20"/>
                <w:color w:val="auto"/>
              </w:rPr>
            </w:pPr>
            <w:r>
              <w:rPr>
                <w:rFonts w:ascii="Arial" w:cs="Arial" w:eastAsia="Arial" w:hAnsi="Arial"/>
                <w:sz w:val="16"/>
                <w:szCs w:val="16"/>
                <w:color w:val="auto"/>
                <w:w w:val="92"/>
              </w:rPr>
              <w:t>the number of shares of Common Stock outstanding immediately prior to the open of business on such Ex-Dividend Date or Effective Date, as applicable;</w:t>
            </w:r>
          </w:p>
        </w:tc>
      </w:tr>
      <w:tr>
        <w:trPr>
          <w:trHeight w:val="204"/>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tcPr>
          <w:p>
            <w:pPr>
              <w:ind w:left="40"/>
              <w:spacing w:after="0"/>
              <w:rPr>
                <w:sz w:val="20"/>
                <w:szCs w:val="20"/>
                <w:color w:val="auto"/>
              </w:rPr>
            </w:pPr>
            <w:r>
              <w:rPr>
                <w:rFonts w:ascii="Arial" w:cs="Arial" w:eastAsia="Arial" w:hAnsi="Arial"/>
                <w:sz w:val="16"/>
                <w:szCs w:val="16"/>
                <w:color w:val="auto"/>
              </w:rPr>
              <w:t>and</w:t>
            </w:r>
          </w:p>
        </w:tc>
      </w:tr>
      <w:tr>
        <w:trPr>
          <w:trHeight w:val="370"/>
        </w:trPr>
        <w:tc>
          <w:tcPr>
            <w:tcW w:w="360" w:type="dxa"/>
            <w:vAlign w:val="bottom"/>
          </w:tcPr>
          <w:p>
            <w:pPr>
              <w:spacing w:after="0"/>
              <w:rPr>
                <w:sz w:val="20"/>
                <w:szCs w:val="20"/>
                <w:color w:val="auto"/>
              </w:rPr>
            </w:pPr>
            <w:r>
              <w:rPr>
                <w:rFonts w:ascii="Arial" w:cs="Arial" w:eastAsia="Arial" w:hAnsi="Arial"/>
                <w:sz w:val="16"/>
                <w:szCs w:val="16"/>
                <w:color w:val="auto"/>
              </w:rPr>
              <w:t>OS’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40"/>
              <w:spacing w:after="0"/>
              <w:rPr>
                <w:sz w:val="20"/>
                <w:szCs w:val="20"/>
                <w:color w:val="auto"/>
              </w:rPr>
            </w:pPr>
            <w:r>
              <w:rPr>
                <w:rFonts w:ascii="Arial" w:cs="Arial" w:eastAsia="Arial" w:hAnsi="Arial"/>
                <w:sz w:val="16"/>
                <w:szCs w:val="16"/>
                <w:color w:val="auto"/>
                <w:w w:val="95"/>
              </w:rPr>
              <w:t>the number of shares of Common Stock outstanding immediately after giving effect to such dividend, distribution, share split or share combination, as</w:t>
            </w:r>
          </w:p>
        </w:tc>
      </w:tr>
      <w:tr>
        <w:trPr>
          <w:trHeight w:val="204"/>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tcPr>
          <w:p>
            <w:pPr>
              <w:ind w:left="40"/>
              <w:spacing w:after="0"/>
              <w:rPr>
                <w:sz w:val="20"/>
                <w:szCs w:val="20"/>
                <w:color w:val="auto"/>
              </w:rPr>
            </w:pPr>
            <w:r>
              <w:rPr>
                <w:rFonts w:ascii="Arial" w:cs="Arial" w:eastAsia="Arial" w:hAnsi="Arial"/>
                <w:sz w:val="16"/>
                <w:szCs w:val="16"/>
                <w:color w:val="auto"/>
              </w:rPr>
              <w:t>applicable.</w:t>
            </w:r>
          </w:p>
        </w:tc>
      </w:tr>
    </w:tbl>
    <w:p>
      <w:pPr>
        <w:spacing w:after="0" w:line="178" w:lineRule="exact"/>
        <w:rPr>
          <w:sz w:val="20"/>
          <w:szCs w:val="20"/>
          <w:color w:val="auto"/>
        </w:rPr>
      </w:pPr>
    </w:p>
    <w:p>
      <w:pPr>
        <w:jc w:val="both"/>
        <w:ind w:left="4" w:right="20" w:firstLine="574"/>
        <w:spacing w:after="0" w:line="306" w:lineRule="auto"/>
        <w:rPr>
          <w:sz w:val="20"/>
          <w:szCs w:val="20"/>
          <w:color w:val="auto"/>
        </w:rPr>
      </w:pPr>
      <w:r>
        <w:rPr>
          <w:rFonts w:ascii="Arial" w:cs="Arial" w:eastAsia="Arial" w:hAnsi="Arial"/>
          <w:sz w:val="14"/>
          <w:szCs w:val="14"/>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Company determines in good faith not to pay such dividend or distribution, to the Conversion Rate that would then be in effect if such dividend or distribution had not been declared.</w:t>
      </w:r>
    </w:p>
    <w:p>
      <w:pPr>
        <w:spacing w:after="0" w:line="32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67" w:name="page168"/>
    <w:bookmarkEnd w:id="167"/>
    <w:p>
      <w:pPr>
        <w:jc w:val="both"/>
        <w:ind w:firstLine="1143"/>
        <w:spacing w:after="0" w:line="306" w:lineRule="auto"/>
        <w:tabs>
          <w:tab w:leader="none" w:pos="1377"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93980</wp:posOffset>
            </wp:positionV>
            <wp:extent cx="1100455" cy="3263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00455" cy="32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560" w:type="dxa"/>
            <w:vAlign w:val="bottom"/>
            <w:gridSpan w:val="2"/>
          </w:tcPr>
          <w:p>
            <w:pPr>
              <w:spacing w:after="0"/>
              <w:rPr>
                <w:sz w:val="20"/>
                <w:szCs w:val="20"/>
                <w:color w:val="auto"/>
              </w:rPr>
            </w:pPr>
            <w:r>
              <w:rPr>
                <w:rFonts w:ascii="Arial" w:cs="Arial" w:eastAsia="Arial" w:hAnsi="Arial"/>
                <w:sz w:val="16"/>
                <w:szCs w:val="16"/>
                <w:color w:val="auto"/>
              </w:rPr>
              <w:t>where,</w:t>
            </w:r>
          </w:p>
        </w:tc>
        <w:tc>
          <w:tcPr>
            <w:tcW w:w="7840" w:type="dxa"/>
            <w:vAlign w:val="bottom"/>
          </w:tcPr>
          <w:p>
            <w:pPr>
              <w:spacing w:after="0"/>
              <w:rPr>
                <w:sz w:val="17"/>
                <w:szCs w:val="17"/>
                <w:color w:val="auto"/>
              </w:rPr>
            </w:pPr>
          </w:p>
        </w:tc>
      </w:tr>
      <w:tr>
        <w:trPr>
          <w:trHeight w:val="382"/>
        </w:trPr>
        <w:tc>
          <w:tcPr>
            <w:tcW w:w="360" w:type="dxa"/>
            <w:vAlign w:val="bottom"/>
          </w:tcPr>
          <w:p>
            <w:pPr>
              <w:spacing w:after="0"/>
              <w:rPr>
                <w:sz w:val="20"/>
                <w:szCs w:val="20"/>
                <w:color w:val="auto"/>
              </w:rPr>
            </w:pPr>
            <w:r>
              <w:rPr>
                <w:rFonts w:ascii="Arial" w:cs="Arial" w:eastAsia="Arial" w:hAnsi="Arial"/>
                <w:sz w:val="16"/>
                <w:szCs w:val="16"/>
                <w:color w:val="auto"/>
              </w:rPr>
              <w:t>CR0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40" w:type="dxa"/>
            <w:vAlign w:val="bottom"/>
          </w:tcPr>
          <w:p>
            <w:pPr>
              <w:ind w:left="60"/>
              <w:spacing w:after="0"/>
              <w:rPr>
                <w:sz w:val="20"/>
                <w:szCs w:val="20"/>
                <w:color w:val="auto"/>
              </w:rPr>
            </w:pPr>
            <w:r>
              <w:rPr>
                <w:rFonts w:ascii="Arial" w:cs="Arial" w:eastAsia="Arial" w:hAnsi="Arial"/>
                <w:sz w:val="16"/>
                <w:szCs w:val="16"/>
                <w:color w:val="auto"/>
                <w:w w:val="95"/>
              </w:rPr>
              <w:t>the Conversion Rate in effect immediately prior to the open of business on the Ex-Dividend Date for such issuance;</w:t>
            </w:r>
          </w:p>
        </w:tc>
      </w:tr>
      <w:tr>
        <w:trPr>
          <w:trHeight w:val="382"/>
        </w:trPr>
        <w:tc>
          <w:tcPr>
            <w:tcW w:w="360" w:type="dxa"/>
            <w:vAlign w:val="bottom"/>
          </w:tcPr>
          <w:p>
            <w:pPr>
              <w:spacing w:after="0"/>
              <w:rPr>
                <w:sz w:val="20"/>
                <w:szCs w:val="20"/>
                <w:color w:val="auto"/>
              </w:rPr>
            </w:pPr>
            <w:r>
              <w:rPr>
                <w:rFonts w:ascii="Arial" w:cs="Arial" w:eastAsia="Arial" w:hAnsi="Arial"/>
                <w:sz w:val="16"/>
                <w:szCs w:val="16"/>
                <w:color w:val="auto"/>
              </w:rPr>
              <w:t>CR’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40" w:type="dxa"/>
            <w:vAlign w:val="bottom"/>
          </w:tcPr>
          <w:p>
            <w:pPr>
              <w:ind w:left="40"/>
              <w:spacing w:after="0"/>
              <w:rPr>
                <w:sz w:val="20"/>
                <w:szCs w:val="20"/>
                <w:color w:val="auto"/>
              </w:rPr>
            </w:pPr>
            <w:r>
              <w:rPr>
                <w:rFonts w:ascii="Arial" w:cs="Arial" w:eastAsia="Arial" w:hAnsi="Arial"/>
                <w:sz w:val="16"/>
                <w:szCs w:val="16"/>
                <w:color w:val="auto"/>
              </w:rPr>
              <w:t>the Conversion Rate in effect immediately after the open of business on such Ex-Dividend Date;</w:t>
            </w:r>
          </w:p>
        </w:tc>
      </w:tr>
      <w:tr>
        <w:trPr>
          <w:trHeight w:val="382"/>
        </w:trPr>
        <w:tc>
          <w:tcPr>
            <w:tcW w:w="360" w:type="dxa"/>
            <w:vAlign w:val="bottom"/>
          </w:tcPr>
          <w:p>
            <w:pPr>
              <w:spacing w:after="0"/>
              <w:rPr>
                <w:sz w:val="20"/>
                <w:szCs w:val="20"/>
                <w:color w:val="auto"/>
              </w:rPr>
            </w:pPr>
            <w:r>
              <w:rPr>
                <w:rFonts w:ascii="Arial" w:cs="Arial" w:eastAsia="Arial" w:hAnsi="Arial"/>
                <w:sz w:val="16"/>
                <w:szCs w:val="16"/>
                <w:color w:val="auto"/>
              </w:rPr>
              <w:t>OS0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40" w:type="dxa"/>
            <w:vAlign w:val="bottom"/>
          </w:tcPr>
          <w:p>
            <w:pPr>
              <w:ind w:left="40"/>
              <w:spacing w:after="0"/>
              <w:rPr>
                <w:sz w:val="20"/>
                <w:szCs w:val="20"/>
                <w:color w:val="auto"/>
              </w:rPr>
            </w:pPr>
            <w:r>
              <w:rPr>
                <w:rFonts w:ascii="Arial" w:cs="Arial" w:eastAsia="Arial" w:hAnsi="Arial"/>
                <w:sz w:val="16"/>
                <w:szCs w:val="16"/>
                <w:color w:val="auto"/>
                <w:w w:val="90"/>
              </w:rPr>
              <w:t>the number of shares of Common Stock outstanding immediately prior to the open of business on such Ex-Dividend Date;</w:t>
            </w:r>
          </w:p>
        </w:tc>
      </w:tr>
    </w:tbl>
    <w:p>
      <w:pPr>
        <w:spacing w:after="0" w:line="178" w:lineRule="exact"/>
        <w:rPr>
          <w:sz w:val="20"/>
          <w:szCs w:val="20"/>
          <w:color w:val="auto"/>
        </w:rPr>
      </w:pPr>
    </w:p>
    <w:p>
      <w:pPr>
        <w:ind w:left="960" w:hanging="391"/>
        <w:spacing w:after="0"/>
        <w:tabs>
          <w:tab w:leader="none" w:pos="9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the total number of shares of Common Stock issuable pursuant to such rights, options or warrants; and</w:t>
      </w:r>
    </w:p>
    <w:p>
      <w:pPr>
        <w:spacing w:after="0" w:line="198" w:lineRule="exact"/>
        <w:rPr>
          <w:sz w:val="20"/>
          <w:szCs w:val="20"/>
          <w:color w:val="auto"/>
        </w:rPr>
      </w:pPr>
    </w:p>
    <w:p>
      <w:pPr>
        <w:ind w:left="1160" w:right="20" w:hanging="591"/>
        <w:spacing w:after="0" w:line="262" w:lineRule="auto"/>
        <w:tabs>
          <w:tab w:leader="none" w:pos="9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the number of shares of Common Stock equal to the aggregate price payable to exercise such rights, options or warrants, divided by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6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Any increase made under this Section 14.04(a)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or if no such rights, options or warrants are exercised prior to their expiration, the Conversion Rate shall be decreased to the Conversion Rate that would then be in effect if such Ex-Dividend Date for such issuance had not occurred.</w:t>
      </w:r>
    </w:p>
    <w:p>
      <w:pPr>
        <w:spacing w:after="0" w:line="170"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For purposes of this Section 14.04(a) and for the purpose of Section 14.01(b)(ii)(A), in determining whether any rights, options or warrants entitle the holders of the Common Stock to subscribe for or purchase shares of the Common Stock at less than such average of the Last Reported Sale Prices of the Common Stock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55" w:lineRule="exact"/>
        <w:rPr>
          <w:sz w:val="20"/>
          <w:szCs w:val="20"/>
          <w:color w:val="auto"/>
        </w:rPr>
      </w:pPr>
    </w:p>
    <w:p>
      <w:pPr>
        <w:jc w:val="both"/>
        <w:ind w:right="20" w:firstLine="1143"/>
        <w:spacing w:after="0" w:line="273" w:lineRule="auto"/>
        <w:tabs>
          <w:tab w:leader="none" w:pos="1365" w:val="left"/>
        </w:tabs>
        <w:numPr>
          <w:ilvl w:val="0"/>
          <w:numId w:val="181"/>
        </w:numPr>
        <w:rPr>
          <w:rFonts w:ascii="Arial" w:cs="Arial" w:eastAsia="Arial" w:hAnsi="Arial"/>
          <w:sz w:val="15"/>
          <w:szCs w:val="15"/>
          <w:color w:val="auto"/>
        </w:rPr>
      </w:pPr>
      <w:r>
        <w:rPr>
          <w:rFonts w:ascii="Arial" w:cs="Arial" w:eastAsia="Arial" w:hAnsi="Arial"/>
          <w:sz w:val="15"/>
          <w:szCs w:val="15"/>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as to which an adjustment was effected (or would be effected, disregarding the 1% Provision) pursuant to Section 14.04(a) or Section 14.04(b), (ii) rights issued under a stockholders rights plan (except as provided in Section 14.11), (iii) dividends or distributions paid exclusively in cash as to which the provisions set forth in Section 14.04(d) shall apply, (iv) distributions of Reference Property in exchange for, or upon conversion of, Common Stock in a Merger Event and (v) Spin-Offs as to which the provisions set forth in this Section 14.04(c) shall apply (any of such shares of Capital Stock, evidences of indebtedness, other assets or property or rights, options or warrants to acquire Capital Stock or other securities, the “</w:t>
      </w:r>
      <w:r>
        <w:rPr>
          <w:rFonts w:ascii="Arial" w:cs="Arial" w:eastAsia="Arial" w:hAnsi="Arial"/>
          <w:sz w:val="15"/>
          <w:szCs w:val="15"/>
          <w:b w:val="1"/>
          <w:bCs w:val="1"/>
          <w:color w:val="auto"/>
        </w:rPr>
        <w:t>Distributed Property</w:t>
      </w:r>
      <w:r>
        <w:rPr>
          <w:rFonts w:ascii="Arial" w:cs="Arial" w:eastAsia="Arial" w:hAnsi="Arial"/>
          <w:sz w:val="15"/>
          <w:szCs w:val="15"/>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107315</wp:posOffset>
            </wp:positionV>
            <wp:extent cx="1244600" cy="3340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4460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68" w:name="page169"/>
    <w:bookmarkEnd w:id="168"/>
    <w:tbl>
      <w:tblPr>
        <w:tblLayout w:type="fixed"/>
        <w:tblInd w:w="564" w:type="dxa"/>
        <w:tblCellMar>
          <w:top w:w="0" w:type="dxa"/>
          <w:left w:w="0" w:type="dxa"/>
          <w:bottom w:w="0" w:type="dxa"/>
          <w:right w:w="0" w:type="dxa"/>
        </w:tblCellMar>
      </w:tblPr>
      <w:tr>
        <w:trPr>
          <w:trHeight w:val="204"/>
        </w:trPr>
        <w:tc>
          <w:tcPr>
            <w:tcW w:w="560" w:type="dxa"/>
            <w:vAlign w:val="bottom"/>
            <w:gridSpan w:val="2"/>
          </w:tcPr>
          <w:p>
            <w:pPr>
              <w:spacing w:after="0"/>
              <w:rPr>
                <w:sz w:val="20"/>
                <w:szCs w:val="20"/>
                <w:color w:val="auto"/>
              </w:rPr>
            </w:pPr>
            <w:r>
              <w:rPr>
                <w:rFonts w:ascii="Arial" w:cs="Arial" w:eastAsia="Arial" w:hAnsi="Arial"/>
                <w:sz w:val="16"/>
                <w:szCs w:val="16"/>
                <w:color w:val="auto"/>
              </w:rPr>
              <w:t>where,</w:t>
            </w:r>
          </w:p>
        </w:tc>
        <w:tc>
          <w:tcPr>
            <w:tcW w:w="10120" w:type="dxa"/>
            <w:vAlign w:val="bottom"/>
          </w:tcPr>
          <w:p>
            <w:pPr>
              <w:spacing w:after="0"/>
              <w:rPr>
                <w:sz w:val="17"/>
                <w:szCs w:val="17"/>
                <w:color w:val="auto"/>
              </w:rPr>
            </w:pPr>
          </w:p>
        </w:tc>
      </w:tr>
      <w:tr>
        <w:trPr>
          <w:trHeight w:val="382"/>
        </w:trPr>
        <w:tc>
          <w:tcPr>
            <w:tcW w:w="360" w:type="dxa"/>
            <w:vAlign w:val="bottom"/>
          </w:tcPr>
          <w:p>
            <w:pPr>
              <w:spacing w:after="0"/>
              <w:rPr>
                <w:sz w:val="20"/>
                <w:szCs w:val="20"/>
                <w:color w:val="auto"/>
              </w:rPr>
            </w:pPr>
            <w:r>
              <w:rPr>
                <w:rFonts w:ascii="Arial" w:cs="Arial" w:eastAsia="Arial" w:hAnsi="Arial"/>
                <w:sz w:val="16"/>
                <w:szCs w:val="16"/>
                <w:color w:val="auto"/>
              </w:rPr>
              <w:t>CR0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60"/>
              <w:spacing w:after="0"/>
              <w:rPr>
                <w:sz w:val="20"/>
                <w:szCs w:val="20"/>
                <w:color w:val="auto"/>
              </w:rPr>
            </w:pPr>
            <w:r>
              <w:rPr>
                <w:rFonts w:ascii="Arial" w:cs="Arial" w:eastAsia="Arial" w:hAnsi="Arial"/>
                <w:sz w:val="16"/>
                <w:szCs w:val="16"/>
                <w:color w:val="auto"/>
              </w:rPr>
              <w:t>the Conversion Rate in effect immediately prior to the open of business on the Ex-Dividend Date for such distribution;</w:t>
            </w:r>
          </w:p>
        </w:tc>
      </w:tr>
      <w:tr>
        <w:trPr>
          <w:trHeight w:val="382"/>
        </w:trPr>
        <w:tc>
          <w:tcPr>
            <w:tcW w:w="360" w:type="dxa"/>
            <w:vAlign w:val="bottom"/>
          </w:tcPr>
          <w:p>
            <w:pPr>
              <w:spacing w:after="0"/>
              <w:rPr>
                <w:sz w:val="20"/>
                <w:szCs w:val="20"/>
                <w:color w:val="auto"/>
              </w:rPr>
            </w:pPr>
            <w:r>
              <w:rPr>
                <w:rFonts w:ascii="Arial" w:cs="Arial" w:eastAsia="Arial" w:hAnsi="Arial"/>
                <w:sz w:val="16"/>
                <w:szCs w:val="16"/>
                <w:color w:val="auto"/>
              </w:rPr>
              <w:t>CR’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40"/>
              <w:spacing w:after="0"/>
              <w:rPr>
                <w:sz w:val="20"/>
                <w:szCs w:val="20"/>
                <w:color w:val="auto"/>
              </w:rPr>
            </w:pPr>
            <w:r>
              <w:rPr>
                <w:rFonts w:ascii="Arial" w:cs="Arial" w:eastAsia="Arial" w:hAnsi="Arial"/>
                <w:sz w:val="16"/>
                <w:szCs w:val="16"/>
                <w:color w:val="auto"/>
              </w:rPr>
              <w:t>the Conversion Rate in effect immediately after the open of business on such Ex-Dividend Date;</w:t>
            </w:r>
          </w:p>
        </w:tc>
      </w:tr>
      <w:tr>
        <w:trPr>
          <w:trHeight w:val="370"/>
        </w:trPr>
        <w:tc>
          <w:tcPr>
            <w:tcW w:w="360" w:type="dxa"/>
            <w:vAlign w:val="bottom"/>
          </w:tcPr>
          <w:p>
            <w:pPr>
              <w:spacing w:after="0"/>
              <w:rPr>
                <w:sz w:val="20"/>
                <w:szCs w:val="20"/>
                <w:color w:val="auto"/>
              </w:rPr>
            </w:pPr>
            <w:r>
              <w:rPr>
                <w:rFonts w:ascii="Arial" w:cs="Arial" w:eastAsia="Arial" w:hAnsi="Arial"/>
                <w:sz w:val="16"/>
                <w:szCs w:val="16"/>
                <w:color w:val="auto"/>
              </w:rPr>
              <w:t>SP0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40"/>
              <w:spacing w:after="0"/>
              <w:rPr>
                <w:sz w:val="20"/>
                <w:szCs w:val="20"/>
                <w:color w:val="auto"/>
              </w:rPr>
            </w:pPr>
            <w:r>
              <w:rPr>
                <w:rFonts w:ascii="Arial" w:cs="Arial" w:eastAsia="Arial" w:hAnsi="Arial"/>
                <w:sz w:val="16"/>
                <w:szCs w:val="16"/>
                <w:color w:val="auto"/>
                <w:w w:val="92"/>
              </w:rPr>
              <w:t>the average of the Last Reported Sale Prices of the Common Stock over the 10 consecutive Trading Day period ending on, and including, the Trading Day</w:t>
            </w:r>
          </w:p>
        </w:tc>
      </w:tr>
      <w:tr>
        <w:trPr>
          <w:trHeight w:val="204"/>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tcPr>
          <w:p>
            <w:pPr>
              <w:ind w:left="40"/>
              <w:spacing w:after="0"/>
              <w:rPr>
                <w:sz w:val="20"/>
                <w:szCs w:val="20"/>
                <w:color w:val="auto"/>
              </w:rPr>
            </w:pPr>
            <w:r>
              <w:rPr>
                <w:rFonts w:ascii="Arial" w:cs="Arial" w:eastAsia="Arial" w:hAnsi="Arial"/>
                <w:sz w:val="16"/>
                <w:szCs w:val="16"/>
                <w:color w:val="auto"/>
              </w:rPr>
              <w:t>immediately preceding the Ex-Dividend Date for such distribution; and</w:t>
            </w:r>
          </w:p>
        </w:tc>
      </w:tr>
    </w:tbl>
    <w:p>
      <w:pPr>
        <w:spacing w:after="0" w:line="178" w:lineRule="exact"/>
        <w:rPr>
          <w:sz w:val="20"/>
          <w:szCs w:val="20"/>
          <w:color w:val="auto"/>
        </w:rPr>
      </w:pPr>
    </w:p>
    <w:p>
      <w:pPr>
        <w:jc w:val="both"/>
        <w:ind w:left="1204" w:hanging="632"/>
        <w:spacing w:after="0" w:line="275" w:lineRule="auto"/>
        <w:rPr>
          <w:sz w:val="20"/>
          <w:szCs w:val="20"/>
          <w:color w:val="auto"/>
        </w:rPr>
      </w:pPr>
      <w:r>
        <w:rPr>
          <w:rFonts w:ascii="Arial" w:cs="Arial" w:eastAsia="Arial" w:hAnsi="Arial"/>
          <w:sz w:val="16"/>
          <w:szCs w:val="16"/>
          <w:color w:val="auto"/>
        </w:rPr>
        <w:t>FMV = the fair market value (as determined by the Company in good faith) of the Distributed Property with respect to each outstanding share of the Common Stock on the Ex-Dividend Date for such distribution.</w:t>
      </w:r>
    </w:p>
    <w:p>
      <w:pPr>
        <w:spacing w:after="0" w:line="152" w:lineRule="exact"/>
        <w:rPr>
          <w:sz w:val="20"/>
          <w:szCs w:val="20"/>
          <w:color w:val="auto"/>
        </w:rPr>
      </w:pPr>
    </w:p>
    <w:p>
      <w:pPr>
        <w:jc w:val="both"/>
        <w:ind w:left="4" w:firstLine="574"/>
        <w:spacing w:after="0" w:line="253" w:lineRule="auto"/>
        <w:rPr>
          <w:sz w:val="20"/>
          <w:szCs w:val="20"/>
          <w:color w:val="auto"/>
        </w:rPr>
      </w:pPr>
      <w:r>
        <w:rPr>
          <w:rFonts w:ascii="Arial" w:cs="Arial" w:eastAsia="Arial" w:hAnsi="Arial"/>
          <w:sz w:val="16"/>
          <w:szCs w:val="16"/>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In the case of any distribution of rights, options or warrants, to the extent such rights, options or warrants expire unexercised, the Conversion Rate shall be immediately readjusted to the Conversion Rate that would then be in effect had such unexercised rights, options or warrants not been distributed. Notwithstanding the foregoing, if “FMV” (as defined above) is equal to or greater than “SP0”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w:t>
      </w:r>
    </w:p>
    <w:p>
      <w:pPr>
        <w:spacing w:after="0" w:line="169" w:lineRule="exact"/>
        <w:rPr>
          <w:sz w:val="20"/>
          <w:szCs w:val="20"/>
          <w:color w:val="auto"/>
        </w:rPr>
      </w:pPr>
    </w:p>
    <w:p>
      <w:pPr>
        <w:jc w:val="both"/>
        <w:ind w:left="4" w:right="20" w:firstLine="574"/>
        <w:spacing w:after="0" w:line="317" w:lineRule="auto"/>
        <w:rPr>
          <w:sz w:val="20"/>
          <w:szCs w:val="20"/>
          <w:color w:val="auto"/>
        </w:rPr>
      </w:pPr>
      <w:r>
        <w:rPr>
          <w:rFonts w:ascii="Arial" w:cs="Arial" w:eastAsia="Arial" w:hAnsi="Arial"/>
          <w:sz w:val="14"/>
          <w:szCs w:val="14"/>
          <w:color w:val="auto"/>
        </w:rPr>
        <w:t>With respect to an adjustment pursuant to this Section 14.04(c) where there has been a payment of a dividend or other distribution on the Common Stock of shares of Capital Stock of any class or series, or similar equity interest, of or relating to a Subsidiary, other business unit or Affiliate of the Company, that are, or, when issued, will be, listed or admitted for trading on a U.S. national securities exchange (a “</w:t>
      </w:r>
      <w:r>
        <w:rPr>
          <w:rFonts w:ascii="Arial" w:cs="Arial" w:eastAsia="Arial" w:hAnsi="Arial"/>
          <w:sz w:val="14"/>
          <w:szCs w:val="14"/>
          <w:b w:val="1"/>
          <w:bCs w:val="1"/>
          <w:color w:val="auto"/>
        </w:rPr>
        <w:t>Spin-Off</w:t>
      </w:r>
      <w:r>
        <w:rPr>
          <w:rFonts w:ascii="Arial" w:cs="Arial" w:eastAsia="Arial" w:hAnsi="Arial"/>
          <w:sz w:val="14"/>
          <w:szCs w:val="14"/>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2952115</wp:posOffset>
            </wp:positionH>
            <wp:positionV relativeFrom="paragraph">
              <wp:posOffset>88265</wp:posOffset>
            </wp:positionV>
            <wp:extent cx="1244600" cy="3340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4460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64"/>
          </w:cols>
          <w:pgMar w:left="316" w:top="318" w:right="319" w:bottom="1440" w:gutter="0" w:footer="0" w:header="0"/>
        </w:sectPr>
      </w:pPr>
    </w:p>
    <w:p>
      <w:pPr>
        <w:spacing w:after="0" w:line="198" w:lineRule="exact"/>
        <w:rPr>
          <w:sz w:val="20"/>
          <w:szCs w:val="20"/>
          <w:color w:val="auto"/>
        </w:rPr>
      </w:pPr>
    </w:p>
    <w:p>
      <w:pPr>
        <w:ind w:left="564"/>
        <w:spacing w:after="0"/>
        <w:rPr>
          <w:sz w:val="20"/>
          <w:szCs w:val="20"/>
          <w:color w:val="auto"/>
        </w:rPr>
      </w:pPr>
      <w:r>
        <w:rPr>
          <w:rFonts w:ascii="Arial" w:cs="Arial" w:eastAsia="Arial" w:hAnsi="Arial"/>
          <w:sz w:val="15"/>
          <w:szCs w:val="15"/>
          <w:color w:val="auto"/>
        </w:rPr>
        <w:t>CR0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 the Conversion Rate in effect immediately prior to the end of the Valuation Period;</w:t>
      </w:r>
    </w:p>
    <w:p>
      <w:pPr>
        <w:spacing w:after="0" w:line="211" w:lineRule="exact"/>
        <w:rPr>
          <w:sz w:val="20"/>
          <w:szCs w:val="20"/>
          <w:color w:val="auto"/>
        </w:rPr>
      </w:pPr>
    </w:p>
    <w:p>
      <w:pPr>
        <w:sectPr>
          <w:pgSz w:w="11900" w:h="16838" w:orient="portrait"/>
          <w:cols w:equalWidth="0" w:num="2">
            <w:col w:w="864" w:space="180"/>
            <w:col w:w="10220"/>
          </w:cols>
          <w:pgMar w:left="316" w:top="318" w:right="319" w:bottom="1440" w:gutter="0" w:footer="0" w:header="0"/>
          <w:type w:val="continuous"/>
        </w:sectPr>
      </w:pPr>
    </w:p>
    <w:p>
      <w:pPr>
        <w:spacing w:after="0" w:line="10" w:lineRule="exact"/>
        <w:rPr>
          <w:sz w:val="20"/>
          <w:szCs w:val="20"/>
          <w:color w:val="auto"/>
        </w:rPr>
      </w:pPr>
    </w:p>
    <w:p>
      <w:pPr>
        <w:ind w:left="564"/>
        <w:spacing w:after="0"/>
        <w:rPr>
          <w:sz w:val="20"/>
          <w:szCs w:val="20"/>
          <w:color w:val="auto"/>
        </w:rPr>
      </w:pPr>
      <w:r>
        <w:rPr>
          <w:rFonts w:ascii="Arial" w:cs="Arial" w:eastAsia="Arial" w:hAnsi="Arial"/>
          <w:sz w:val="16"/>
          <w:szCs w:val="16"/>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the Conversion Rate in effect immediately after the end of the Valuation Period;</w:t>
      </w:r>
    </w:p>
    <w:p>
      <w:pPr>
        <w:spacing w:after="0" w:line="220" w:lineRule="exact"/>
        <w:rPr>
          <w:sz w:val="20"/>
          <w:szCs w:val="20"/>
          <w:color w:val="auto"/>
        </w:rPr>
      </w:pPr>
    </w:p>
    <w:p>
      <w:pPr>
        <w:sectPr>
          <w:pgSz w:w="11900" w:h="16838" w:orient="portrait"/>
          <w:cols w:equalWidth="0" w:num="2">
            <w:col w:w="844" w:space="200"/>
            <w:col w:w="10220"/>
          </w:cols>
          <w:pgMar w:left="316" w:top="318" w:right="319" w:bottom="1440" w:gutter="0" w:footer="0" w:header="0"/>
          <w:type w:val="continuous"/>
        </w:sectPr>
      </w:pPr>
    </w:p>
    <w:p>
      <w:pPr>
        <w:jc w:val="both"/>
        <w:ind w:left="1224" w:hanging="644"/>
        <w:spacing w:after="0" w:line="258" w:lineRule="auto"/>
        <w:rPr>
          <w:sz w:val="20"/>
          <w:szCs w:val="20"/>
          <w:color w:val="auto"/>
        </w:rPr>
      </w:pPr>
      <w:r>
        <w:rPr>
          <w:rFonts w:ascii="Arial" w:cs="Arial" w:eastAsia="Arial" w:hAnsi="Arial"/>
          <w:sz w:val="16"/>
          <w:szCs w:val="16"/>
          <w:color w:val="auto"/>
        </w:rPr>
        <w:t>FMV0 = 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“Valuation Period”); and</w:t>
      </w:r>
    </w:p>
    <w:p>
      <w:pPr>
        <w:spacing w:after="0" w:line="165" w:lineRule="exact"/>
        <w:rPr>
          <w:sz w:val="20"/>
          <w:szCs w:val="20"/>
          <w:color w:val="auto"/>
        </w:rPr>
      </w:pPr>
    </w:p>
    <w:p>
      <w:pPr>
        <w:ind w:left="564"/>
        <w:spacing w:after="0"/>
        <w:tabs>
          <w:tab w:leader="none" w:pos="1024" w:val="left"/>
        </w:tabs>
        <w:rPr>
          <w:sz w:val="20"/>
          <w:szCs w:val="20"/>
          <w:color w:val="auto"/>
        </w:rPr>
      </w:pPr>
      <w:r>
        <w:rPr>
          <w:rFonts w:ascii="Arial" w:cs="Arial" w:eastAsia="Arial" w:hAnsi="Arial"/>
          <w:sz w:val="16"/>
          <w:szCs w:val="16"/>
          <w:color w:val="auto"/>
        </w:rPr>
        <w:t>MP0</w:t>
      </w:r>
      <w:r>
        <w:rPr>
          <w:sz w:val="20"/>
          <w:szCs w:val="20"/>
          <w:color w:val="auto"/>
        </w:rPr>
        <w:tab/>
      </w:r>
      <w:r>
        <w:rPr>
          <w:rFonts w:ascii="Arial" w:cs="Arial" w:eastAsia="Arial" w:hAnsi="Arial"/>
          <w:sz w:val="14"/>
          <w:szCs w:val="14"/>
          <w:color w:val="auto"/>
        </w:rPr>
        <w:t>= the average of the Last Reported Sale Prices of the Common Stock over the Valuation Period.</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 xml:space="preserve">The increase to the Conversion Rate under the preceding paragraph shall occur at the close of business on the last Trading Day of the Valuation Period;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p>
      <w:pPr>
        <w:spacing w:after="0" w:line="43" w:lineRule="exact"/>
        <w:rPr>
          <w:sz w:val="20"/>
          <w:szCs w:val="20"/>
          <w:color w:val="auto"/>
        </w:rPr>
      </w:pPr>
    </w:p>
    <w:p>
      <w:pPr>
        <w:jc w:val="both"/>
        <w:ind w:left="4" w:right="20" w:hanging="4"/>
        <w:spacing w:after="0" w:line="251" w:lineRule="auto"/>
        <w:tabs>
          <w:tab w:leader="none" w:pos="23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to be replaced with such lesser number of Trading Days as have elapsed between the Ex-Dividend Date of such Spin-Off and such Trading Day in determining the Conversion Rate as of such Trading Day.</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type w:val="continuous"/>
        </w:sectPr>
      </w:pPr>
    </w:p>
    <w:bookmarkStart w:id="169" w:name="page170"/>
    <w:bookmarkEnd w:id="169"/>
    <w:p>
      <w:pPr>
        <w:jc w:val="both"/>
        <w:ind w:left="4" w:right="20" w:firstLine="574"/>
        <w:spacing w:after="0" w:line="262" w:lineRule="auto"/>
        <w:rPr>
          <w:sz w:val="20"/>
          <w:szCs w:val="20"/>
          <w:color w:val="auto"/>
        </w:rPr>
      </w:pPr>
      <w:r>
        <w:rPr>
          <w:rFonts w:ascii="Arial" w:cs="Arial" w:eastAsia="Arial" w:hAnsi="Arial"/>
          <w:sz w:val="16"/>
          <w:szCs w:val="16"/>
          <w:color w:val="auto"/>
        </w:rPr>
        <w:t>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62" w:lineRule="exact"/>
        <w:rPr>
          <w:sz w:val="20"/>
          <w:szCs w:val="20"/>
          <w:color w:val="auto"/>
        </w:rPr>
      </w:pPr>
    </w:p>
    <w:p>
      <w:pPr>
        <w:jc w:val="both"/>
        <w:ind w:left="4" w:firstLine="574"/>
        <w:spacing w:after="0" w:line="291" w:lineRule="auto"/>
        <w:rPr>
          <w:sz w:val="20"/>
          <w:szCs w:val="20"/>
          <w:color w:val="auto"/>
        </w:rPr>
      </w:pPr>
      <w:r>
        <w:rPr>
          <w:rFonts w:ascii="Arial" w:cs="Arial" w:eastAsia="Arial" w:hAnsi="Arial"/>
          <w:sz w:val="14"/>
          <w:szCs w:val="14"/>
          <w:color w:val="auto"/>
        </w:rPr>
        <w:t>For purposes of this Section 14.04(c) (and subject in all respects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4"/>
          <w:szCs w:val="14"/>
          <w:b w:val="1"/>
          <w:bCs w:val="1"/>
          <w:color w:val="auto"/>
        </w:rPr>
        <w:t>Trigger Event</w:t>
      </w:r>
      <w:r>
        <w:rPr>
          <w:rFonts w:ascii="Arial" w:cs="Arial" w:eastAsia="Arial" w:hAnsi="Arial"/>
          <w:sz w:val="14"/>
          <w:szCs w:val="14"/>
          <w:color w:val="auto"/>
        </w:rPr>
        <w:t>”): (i) are deemed to be transferred with such shares of the Common Stock;</w:t>
      </w:r>
    </w:p>
    <w:p>
      <w:pPr>
        <w:spacing w:after="0" w:line="1" w:lineRule="exact"/>
        <w:rPr>
          <w:sz w:val="20"/>
          <w:szCs w:val="20"/>
          <w:color w:val="auto"/>
        </w:rPr>
      </w:pPr>
    </w:p>
    <w:p>
      <w:pPr>
        <w:jc w:val="both"/>
        <w:ind w:left="4" w:hanging="4"/>
        <w:spacing w:after="0" w:line="285" w:lineRule="auto"/>
        <w:tabs>
          <w:tab w:leader="none" w:pos="246" w:val="left"/>
        </w:tabs>
        <w:numPr>
          <w:ilvl w:val="0"/>
          <w:numId w:val="183"/>
        </w:numPr>
        <w:rPr>
          <w:rFonts w:ascii="Arial" w:cs="Arial" w:eastAsia="Arial" w:hAnsi="Arial"/>
          <w:sz w:val="14"/>
          <w:szCs w:val="14"/>
          <w:color w:val="auto"/>
        </w:rPr>
      </w:pPr>
      <w:r>
        <w:rPr>
          <w:rFonts w:ascii="Arial" w:cs="Arial" w:eastAsia="Arial" w:hAnsi="Arial"/>
          <w:sz w:val="14"/>
          <w:szCs w:val="14"/>
          <w:color w:val="auto"/>
        </w:rPr>
        <w:t>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w:t>
      </w:r>
    </w:p>
    <w:p>
      <w:pPr>
        <w:jc w:val="both"/>
        <w:ind w:left="4"/>
        <w:spacing w:after="0" w:line="294" w:lineRule="auto"/>
        <w:rPr>
          <w:rFonts w:ascii="Arial" w:cs="Arial" w:eastAsia="Arial" w:hAnsi="Arial"/>
          <w:sz w:val="14"/>
          <w:szCs w:val="14"/>
          <w:color w:val="auto"/>
        </w:rPr>
      </w:pPr>
      <w:r>
        <w:rPr>
          <w:rFonts w:ascii="Arial" w:cs="Arial" w:eastAsia="Arial" w:hAnsi="Arial"/>
          <w:sz w:val="14"/>
          <w:szCs w:val="14"/>
          <w:color w:val="auto"/>
        </w:rPr>
        <w:t>(1)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42" w:lineRule="exact"/>
        <w:rPr>
          <w:sz w:val="20"/>
          <w:szCs w:val="20"/>
          <w:color w:val="auto"/>
        </w:rPr>
      </w:pPr>
    </w:p>
    <w:p>
      <w:pPr>
        <w:ind w:left="4" w:right="20" w:firstLine="574"/>
        <w:spacing w:after="0" w:line="275" w:lineRule="auto"/>
        <w:rPr>
          <w:sz w:val="20"/>
          <w:szCs w:val="20"/>
          <w:color w:val="auto"/>
        </w:rPr>
      </w:pPr>
      <w:r>
        <w:rPr>
          <w:rFonts w:ascii="Arial" w:cs="Arial" w:eastAsia="Arial" w:hAnsi="Arial"/>
          <w:sz w:val="16"/>
          <w:szCs w:val="16"/>
          <w:color w:val="auto"/>
        </w:rPr>
        <w:t>For purposes of Section 14.04(a), Section 14.04(b) and this Section 14.04(c), if any dividend or distribution to which this Section 14.04(c) is applicable also includes one or both of:</w:t>
      </w:r>
    </w:p>
    <w:p>
      <w:pPr>
        <w:spacing w:after="0" w:line="148"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(A) a dividend or distribution of shares of Common Stock to which Section 14.04(a) is applicable (the “</w:t>
      </w:r>
      <w:r>
        <w:rPr>
          <w:rFonts w:ascii="Arial" w:cs="Arial" w:eastAsia="Arial" w:hAnsi="Arial"/>
          <w:sz w:val="16"/>
          <w:szCs w:val="16"/>
          <w:b w:val="1"/>
          <w:bCs w:val="1"/>
          <w:color w:val="auto"/>
        </w:rPr>
        <w:t>Clause A Distribution</w:t>
      </w:r>
      <w:r>
        <w:rPr>
          <w:rFonts w:ascii="Arial" w:cs="Arial" w:eastAsia="Arial" w:hAnsi="Arial"/>
          <w:sz w:val="16"/>
          <w:szCs w:val="16"/>
          <w:color w:val="auto"/>
        </w:rPr>
        <w:t>”); or</w:t>
      </w:r>
    </w:p>
    <w:p>
      <w:pPr>
        <w:spacing w:after="0" w:line="387"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70" w:name="page171"/>
    <w:bookmarkEnd w:id="170"/>
    <w:p>
      <w:pPr>
        <w:ind w:left="1720"/>
        <w:spacing w:after="0"/>
        <w:rPr>
          <w:sz w:val="20"/>
          <w:szCs w:val="20"/>
          <w:color w:val="auto"/>
        </w:rPr>
      </w:pPr>
      <w:r>
        <w:rPr>
          <w:rFonts w:ascii="Arial" w:cs="Arial" w:eastAsia="Arial" w:hAnsi="Arial"/>
          <w:sz w:val="16"/>
          <w:szCs w:val="16"/>
          <w:color w:val="auto"/>
        </w:rPr>
        <w:t>(B) a dividend or distribution of rights, options or warrants to which Section 14.04(b) is applicable (the “</w:t>
      </w:r>
      <w:r>
        <w:rPr>
          <w:rFonts w:ascii="Arial" w:cs="Arial" w:eastAsia="Arial" w:hAnsi="Arial"/>
          <w:sz w:val="16"/>
          <w:szCs w:val="16"/>
          <w:b w:val="1"/>
          <w:bCs w:val="1"/>
          <w:color w:val="auto"/>
        </w:rPr>
        <w:t>Clause B Distribution</w:t>
      </w:r>
      <w:r>
        <w:rPr>
          <w:rFonts w:ascii="Arial" w:cs="Arial" w:eastAsia="Arial" w:hAnsi="Arial"/>
          <w:sz w:val="16"/>
          <w:szCs w:val="16"/>
          <w:color w:val="auto"/>
        </w:rPr>
        <w: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then, in either case, (1) such dividend or distribution, other than the Clause A Distribution and the Clause B Distribution, shall be deemed to be a dividend or distribution to which this Section 14.04(c) is applicable (the “</w:t>
      </w:r>
      <w:r>
        <w:rPr>
          <w:rFonts w:ascii="Arial" w:cs="Arial" w:eastAsia="Arial" w:hAnsi="Arial"/>
          <w:sz w:val="16"/>
          <w:szCs w:val="16"/>
          <w:b w:val="1"/>
          <w:bCs w:val="1"/>
          <w:color w:val="auto"/>
        </w:rPr>
        <w:t>Clause C Distribution</w:t>
      </w:r>
      <w:r>
        <w:rPr>
          <w:rFonts w:ascii="Arial" w:cs="Arial" w:eastAsia="Arial" w:hAnsi="Arial"/>
          <w:sz w:val="16"/>
          <w:szCs w:val="16"/>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69" w:lineRule="exact"/>
        <w:rPr>
          <w:sz w:val="20"/>
          <w:szCs w:val="20"/>
          <w:color w:val="auto"/>
        </w:rPr>
      </w:pPr>
    </w:p>
    <w:p>
      <w:pPr>
        <w:ind w:left="1380" w:hanging="237"/>
        <w:spacing w:after="0"/>
        <w:tabs>
          <w:tab w:leader="none" w:pos="138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If any cash dividend or distribution is made to all or substantially all holders of the Common Stock, the Conversion Rate shall be increased based on the</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125730</wp:posOffset>
            </wp:positionV>
            <wp:extent cx="1085215" cy="3340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8521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60"/>
          </w:cols>
          <w:pgMar w:left="320" w:top="505" w:right="319" w:bottom="1440" w:gutter="0" w:footer="0" w:header="0"/>
        </w:sectPr>
      </w:pP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CR0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 the Conversion Rate in effect immediately prior to the open of business on the Ex-Dividend Date for such dividend or distribution;</w:t>
      </w:r>
    </w:p>
    <w:p>
      <w:pPr>
        <w:spacing w:after="0" w:line="211" w:lineRule="exact"/>
        <w:rPr>
          <w:sz w:val="20"/>
          <w:szCs w:val="20"/>
          <w:color w:val="auto"/>
        </w:rPr>
      </w:pPr>
    </w:p>
    <w:p>
      <w:pPr>
        <w:sectPr>
          <w:pgSz w:w="11900" w:h="16838" w:orient="portrait"/>
          <w:cols w:equalWidth="0" w:num="2">
            <w:col w:w="860" w:space="640"/>
            <w:col w:w="9760"/>
          </w:cols>
          <w:pgMar w:left="320" w:top="505" w:right="319" w:bottom="1440" w:gutter="0" w:footer="0" w:header="0"/>
          <w:type w:val="continuous"/>
        </w:sectPr>
      </w:pPr>
    </w:p>
    <w:p>
      <w:pPr>
        <w:spacing w:after="0" w:line="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 the Conversion Rate in effect immediately after the open of business on the Ex-Dividend Date for such dividend or distribution;</w:t>
      </w:r>
    </w:p>
    <w:p>
      <w:pPr>
        <w:spacing w:after="0" w:line="222" w:lineRule="exact"/>
        <w:rPr>
          <w:sz w:val="20"/>
          <w:szCs w:val="20"/>
          <w:color w:val="auto"/>
        </w:rPr>
      </w:pPr>
    </w:p>
    <w:p>
      <w:pPr>
        <w:sectPr>
          <w:pgSz w:w="11900" w:h="16838" w:orient="portrait"/>
          <w:cols w:equalWidth="0" w:num="2">
            <w:col w:w="840" w:space="660"/>
            <w:col w:w="9760"/>
          </w:cols>
          <w:pgMar w:left="320" w:top="505" w:right="319" w:bottom="1440" w:gutter="0" w:footer="0" w:header="0"/>
          <w:type w:val="continuous"/>
        </w:sectPr>
      </w:pPr>
    </w:p>
    <w:p>
      <w:pPr>
        <w:spacing w:after="0" w:line="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SP0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the Last Reported Sale Price of the Common Stock on the Trading Day immediately preceding the Ex-Dividend Date for such dividend or distribution; and</w:t>
      </w:r>
    </w:p>
    <w:p>
      <w:pPr>
        <w:spacing w:after="0" w:line="152" w:lineRule="exact"/>
        <w:rPr>
          <w:sz w:val="20"/>
          <w:szCs w:val="20"/>
          <w:color w:val="auto"/>
        </w:rPr>
      </w:pPr>
    </w:p>
    <w:p>
      <w:pPr>
        <w:sectPr>
          <w:pgSz w:w="11900" w:h="16838" w:orient="portrait"/>
          <w:cols w:equalWidth="0" w:num="2">
            <w:col w:w="820" w:space="680"/>
            <w:col w:w="9760"/>
          </w:cols>
          <w:pgMar w:left="320" w:top="505" w:right="319" w:bottom="1440" w:gutter="0" w:footer="0" w:header="0"/>
          <w:type w:val="continuous"/>
        </w:sectPr>
      </w:pPr>
    </w:p>
    <w:p>
      <w:pPr>
        <w:ind w:left="1500" w:hanging="931"/>
        <w:spacing w:after="0"/>
        <w:tabs>
          <w:tab w:leader="none" w:pos="15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the amount in cash per share the Company distributes to all or substantially all holders of the Common Stock.</w:t>
      </w:r>
    </w:p>
    <w:p>
      <w:pPr>
        <w:spacing w:after="0" w:line="198"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Company determines in good faith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it holds,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05" w:right="319" w:bottom="1440" w:gutter="0" w:footer="0" w:header="0"/>
          <w:type w:val="continuous"/>
        </w:sectPr>
      </w:pPr>
    </w:p>
    <w:bookmarkStart w:id="171" w:name="page172"/>
    <w:bookmarkEnd w:id="171"/>
    <w:p>
      <w:pPr>
        <w:jc w:val="both"/>
        <w:ind w:firstLine="1143"/>
        <w:spacing w:after="0" w:line="255" w:lineRule="auto"/>
        <w:tabs>
          <w:tab w:leader="none" w:pos="138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the Company or any of its Subsidiaries make a payment in respect of a tender or exchange offer for the Common Stock that is subject to the then 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115570</wp:posOffset>
            </wp:positionV>
            <wp:extent cx="1555750" cy="341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55750" cy="34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60"/>
          </w:cols>
          <w:pgMar w:left="320" w:top="318" w:right="319" w:bottom="1440" w:gutter="0" w:footer="0" w:header="0"/>
        </w:sectPr>
      </w:pP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CR0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the Conversion Rate in effect immediately prior to the close of business on the 10th Trading Day immediately following, and including, the Trading Day next succeeding the date such tender or exchange offer expires;</w:t>
      </w:r>
    </w:p>
    <w:p>
      <w:pPr>
        <w:spacing w:after="0" w:line="152" w:lineRule="exact"/>
        <w:rPr>
          <w:sz w:val="20"/>
          <w:szCs w:val="20"/>
          <w:color w:val="auto"/>
        </w:rPr>
      </w:pPr>
    </w:p>
    <w:p>
      <w:pPr>
        <w:sectPr>
          <w:pgSz w:w="11900" w:h="16838" w:orient="portrait"/>
          <w:cols w:equalWidth="0" w:num="2">
            <w:col w:w="860" w:space="640"/>
            <w:col w:w="9760"/>
          </w:cols>
          <w:pgMar w:left="320" w:top="318" w:right="31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CR’</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6"/>
          <w:szCs w:val="16"/>
          <w:color w:val="auto"/>
        </w:rPr>
        <w:t>= the Conversion Rate in effect immediately after the close of business on the 10th Trading Day immediately following, and including, the Trading Day next succeeding the date such tender or exchange offer expires;</w:t>
      </w:r>
    </w:p>
    <w:p>
      <w:pPr>
        <w:spacing w:after="0" w:line="152" w:lineRule="exact"/>
        <w:rPr>
          <w:sz w:val="20"/>
          <w:szCs w:val="20"/>
          <w:color w:val="auto"/>
        </w:rPr>
      </w:pPr>
    </w:p>
    <w:p>
      <w:pPr>
        <w:sectPr>
          <w:pgSz w:w="11900" w:h="16838" w:orient="portrait"/>
          <w:cols w:equalWidth="0" w:num="2">
            <w:col w:w="840" w:space="660"/>
            <w:col w:w="9760"/>
          </w:cols>
          <w:pgMar w:left="320" w:top="318" w:right="31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AC</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Arial" w:cs="Arial" w:eastAsia="Arial" w:hAnsi="Arial"/>
          <w:sz w:val="16"/>
          <w:szCs w:val="16"/>
          <w:color w:val="auto"/>
        </w:rPr>
        <w:t>= the aggregate value of all cash and any other consideration (as determined by the Company in good faith) paid or payable for shares of Common Stock purchased in such tender or exchange offer;</w:t>
      </w:r>
    </w:p>
    <w:p>
      <w:pPr>
        <w:spacing w:after="0" w:line="152" w:lineRule="exact"/>
        <w:rPr>
          <w:sz w:val="20"/>
          <w:szCs w:val="20"/>
          <w:color w:val="auto"/>
        </w:rPr>
      </w:pPr>
    </w:p>
    <w:p>
      <w:pPr>
        <w:sectPr>
          <w:pgSz w:w="11900" w:h="16838" w:orient="portrait"/>
          <w:cols w:equalWidth="0" w:num="2">
            <w:col w:w="800" w:space="700"/>
            <w:col w:w="9760"/>
          </w:cols>
          <w:pgMar w:left="320" w:top="318" w:right="319" w:bottom="1440" w:gutter="0" w:footer="0" w:header="0"/>
          <w:type w:val="continuous"/>
        </w:sectPr>
      </w:pPr>
    </w:p>
    <w:p>
      <w:pPr>
        <w:ind w:left="560"/>
        <w:spacing w:after="0"/>
        <w:rPr>
          <w:sz w:val="20"/>
          <w:szCs w:val="20"/>
          <w:color w:val="auto"/>
        </w:rPr>
      </w:pPr>
      <w:r>
        <w:rPr>
          <w:rFonts w:ascii="Arial" w:cs="Arial" w:eastAsia="Arial" w:hAnsi="Arial"/>
          <w:sz w:val="14"/>
          <w:szCs w:val="14"/>
          <w:color w:val="auto"/>
        </w:rPr>
        <w:t>OS0</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Arial" w:cs="Arial" w:eastAsia="Arial" w:hAnsi="Arial"/>
          <w:sz w:val="16"/>
          <w:szCs w:val="16"/>
          <w:color w:val="auto"/>
        </w:rPr>
        <w:t>= 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152" w:lineRule="exact"/>
        <w:rPr>
          <w:sz w:val="20"/>
          <w:szCs w:val="20"/>
          <w:color w:val="auto"/>
        </w:rPr>
      </w:pPr>
    </w:p>
    <w:p>
      <w:pPr>
        <w:sectPr>
          <w:pgSz w:w="11900" w:h="16838" w:orient="portrait"/>
          <w:cols w:equalWidth="0" w:num="2">
            <w:col w:w="860" w:space="640"/>
            <w:col w:w="9760"/>
          </w:cols>
          <w:pgMar w:left="320" w:top="318" w:right="319" w:bottom="1440" w:gutter="0" w:footer="0" w:header="0"/>
          <w:type w:val="continuous"/>
        </w:sectPr>
      </w:pPr>
    </w:p>
    <w:p>
      <w:pPr>
        <w:ind w:left="560"/>
        <w:spacing w:after="0"/>
        <w:rPr>
          <w:sz w:val="20"/>
          <w:szCs w:val="20"/>
          <w:color w:val="auto"/>
        </w:rPr>
      </w:pPr>
      <w:r>
        <w:rPr>
          <w:rFonts w:ascii="Arial" w:cs="Arial" w:eastAsia="Arial" w:hAnsi="Arial"/>
          <w:sz w:val="15"/>
          <w:szCs w:val="15"/>
          <w:color w:val="auto"/>
        </w:rPr>
        <w:t>OS’</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Arial" w:cs="Arial" w:eastAsia="Arial" w:hAnsi="Arial"/>
          <w:sz w:val="16"/>
          <w:szCs w:val="16"/>
          <w:color w:val="auto"/>
        </w:rPr>
        <w:t>= 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152" w:lineRule="exact"/>
        <w:rPr>
          <w:sz w:val="20"/>
          <w:szCs w:val="20"/>
          <w:color w:val="auto"/>
        </w:rPr>
      </w:pPr>
    </w:p>
    <w:p>
      <w:pPr>
        <w:sectPr>
          <w:pgSz w:w="11900" w:h="16838" w:orient="portrait"/>
          <w:cols w:equalWidth="0" w:num="2">
            <w:col w:w="820" w:space="680"/>
            <w:col w:w="9760"/>
          </w:cols>
          <w:pgMar w:left="320" w:top="318" w:right="319" w:bottom="1440" w:gutter="0" w:footer="0" w:header="0"/>
          <w:type w:val="continuous"/>
        </w:sectPr>
      </w:pPr>
    </w:p>
    <w:p>
      <w:pPr>
        <w:ind w:left="560"/>
        <w:spacing w:after="0"/>
        <w:rPr>
          <w:sz w:val="20"/>
          <w:szCs w:val="20"/>
          <w:color w:val="auto"/>
        </w:rPr>
      </w:pPr>
      <w:r>
        <w:rPr>
          <w:rFonts w:ascii="Arial" w:cs="Arial" w:eastAsia="Arial" w:hAnsi="Arial"/>
          <w:sz w:val="15"/>
          <w:szCs w:val="15"/>
          <w:color w:val="auto"/>
        </w:rPr>
        <w:t>SP’</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Arial" w:cs="Arial" w:eastAsia="Arial" w:hAnsi="Arial"/>
          <w:sz w:val="16"/>
          <w:szCs w:val="16"/>
          <w:color w:val="auto"/>
        </w:rPr>
        <w:t>= the average of the Last Reported Sale Prices of the Common Stock over the 10 consecutive Trading Day period commencing on, and including, the Trading Day next succeeding the date such tender or exchange offer expires.</w:t>
      </w:r>
    </w:p>
    <w:p>
      <w:pPr>
        <w:spacing w:after="0" w:line="152" w:lineRule="exact"/>
        <w:rPr>
          <w:sz w:val="20"/>
          <w:szCs w:val="20"/>
          <w:color w:val="auto"/>
        </w:rPr>
      </w:pPr>
    </w:p>
    <w:p>
      <w:pPr>
        <w:sectPr>
          <w:pgSz w:w="11900" w:h="16838" w:orient="portrait"/>
          <w:cols w:equalWidth="0" w:num="2">
            <w:col w:w="800" w:space="700"/>
            <w:col w:w="9760"/>
          </w:cols>
          <w:pgMar w:left="320" w:top="318" w:right="319" w:bottom="1440" w:gutter="0" w:footer="0" w:header="0"/>
          <w:type w:val="continuous"/>
        </w:sectPr>
      </w:pPr>
    </w:p>
    <w:p>
      <w:pPr>
        <w:jc w:val="both"/>
        <w:ind w:firstLine="574"/>
        <w:spacing w:after="0" w:line="293" w:lineRule="auto"/>
        <w:rPr>
          <w:sz w:val="20"/>
          <w:szCs w:val="20"/>
          <w:color w:val="auto"/>
        </w:rPr>
      </w:pPr>
      <w:r>
        <w:rPr>
          <w:rFonts w:ascii="Arial" w:cs="Arial" w:eastAsia="Arial" w:hAnsi="Arial"/>
          <w:sz w:val="14"/>
          <w:szCs w:val="14"/>
          <w:color w:val="auto"/>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type w:val="continuous"/>
        </w:sectPr>
      </w:pPr>
    </w:p>
    <w:bookmarkStart w:id="172" w:name="page173"/>
    <w:bookmarkEnd w:id="172"/>
    <w:p>
      <w:pPr>
        <w:jc w:val="both"/>
        <w:ind w:right="20" w:firstLine="574"/>
        <w:spacing w:after="0" w:line="258" w:lineRule="auto"/>
        <w:rPr>
          <w:sz w:val="20"/>
          <w:szCs w:val="20"/>
          <w:color w:val="auto"/>
        </w:rPr>
      </w:pPr>
      <w:r>
        <w:rPr>
          <w:rFonts w:ascii="Arial" w:cs="Arial" w:eastAsia="Arial" w:hAnsi="Arial"/>
          <w:sz w:val="16"/>
          <w:szCs w:val="16"/>
          <w:color w:val="auto"/>
        </w:rPr>
        <w:t>If the Company or one of its Subsidiaries is obligated to purchase shares of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165" w:lineRule="exact"/>
        <w:rPr>
          <w:sz w:val="20"/>
          <w:szCs w:val="20"/>
          <w:color w:val="auto"/>
        </w:rPr>
      </w:pPr>
    </w:p>
    <w:p>
      <w:pPr>
        <w:jc w:val="both"/>
        <w:ind w:firstLine="1143"/>
        <w:spacing w:after="0" w:line="273" w:lineRule="auto"/>
        <w:tabs>
          <w:tab w:leader="none" w:pos="1473" w:val="left"/>
        </w:tabs>
        <w:numPr>
          <w:ilvl w:val="0"/>
          <w:numId w:val="187"/>
        </w:numPr>
        <w:rPr>
          <w:rFonts w:ascii="Arial" w:cs="Arial" w:eastAsia="Arial" w:hAnsi="Arial"/>
          <w:sz w:val="15"/>
          <w:szCs w:val="15"/>
          <w:color w:val="auto"/>
        </w:rPr>
      </w:pPr>
      <w:r>
        <w:rPr>
          <w:rFonts w:ascii="Arial" w:cs="Arial" w:eastAsia="Arial" w:hAnsi="Arial"/>
          <w:sz w:val="15"/>
          <w:szCs w:val="15"/>
          <w:color w:val="auto"/>
        </w:rPr>
        <w:t>Notwithstanding this Section 14.04 or any other provision of this Indenture or the Notes, if: (i) a Conversion Rate adjustment for any dividend or distribution becomes effective on any Ex-Dividend Date as described in this Section 14.04; (ii) a Note is to be converted for which the conversion consideration includes shares of Common Stock; (iii) any Trading Day in the Observation Period for such conversion occurs on or after such Ex-Dividend Date and on or before the related Record Date; (iv) the consideration due upon such conversion includes any whole shares of Common Stock based on a Conversion Rate that is adjusted for such dividend or distribution; and (v) the Holder would be entitled to participate in such dividend or distribution on account of such shares, then, notwithstanding anything to the contrary: the Conversion Rate adjustment relating to such Ex-Dividend Date shall be made for such conversion in respect of such Trading Day, but the shares of Common Stock issuable with respect to such Trading Day based on such adjusted conversion rate shall not be entitled to participate in such dividend or distribution.</w:t>
      </w:r>
    </w:p>
    <w:p>
      <w:pPr>
        <w:spacing w:after="0" w:line="156" w:lineRule="exact"/>
        <w:rPr>
          <w:rFonts w:ascii="Arial" w:cs="Arial" w:eastAsia="Arial" w:hAnsi="Arial"/>
          <w:sz w:val="15"/>
          <w:szCs w:val="15"/>
          <w:color w:val="auto"/>
        </w:rPr>
      </w:pPr>
    </w:p>
    <w:p>
      <w:pPr>
        <w:jc w:val="both"/>
        <w:ind w:firstLine="1143"/>
        <w:spacing w:after="0" w:line="255" w:lineRule="auto"/>
        <w:tabs>
          <w:tab w:leader="none" w:pos="13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a Holder has converted its Notes on or after such Ex-Dividend Date and on or prior to the related Record Date would become the record holder of the shares of Common Stock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69" w:lineRule="exact"/>
        <w:rPr>
          <w:rFonts w:ascii="Arial" w:cs="Arial" w:eastAsia="Arial" w:hAnsi="Arial"/>
          <w:sz w:val="16"/>
          <w:szCs w:val="16"/>
          <w:color w:val="auto"/>
        </w:rPr>
      </w:pPr>
    </w:p>
    <w:p>
      <w:pPr>
        <w:ind w:right="20" w:firstLine="1143"/>
        <w:spacing w:after="0" w:line="309" w:lineRule="auto"/>
        <w:tabs>
          <w:tab w:leader="none" w:pos="1381" w:val="left"/>
        </w:tabs>
        <w:numPr>
          <w:ilvl w:val="0"/>
          <w:numId w:val="187"/>
        </w:numPr>
        <w:rPr>
          <w:rFonts w:ascii="Arial" w:cs="Arial" w:eastAsia="Arial" w:hAnsi="Arial"/>
          <w:sz w:val="15"/>
          <w:szCs w:val="15"/>
          <w:color w:val="auto"/>
        </w:rPr>
      </w:pPr>
      <w:r>
        <w:rPr>
          <w:rFonts w:ascii="Arial" w:cs="Arial" w:eastAsia="Arial" w:hAnsi="Arial"/>
          <w:sz w:val="15"/>
          <w:szCs w:val="15"/>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29" w:lineRule="exact"/>
        <w:rPr>
          <w:rFonts w:ascii="Arial" w:cs="Arial" w:eastAsia="Arial" w:hAnsi="Arial"/>
          <w:sz w:val="15"/>
          <w:szCs w:val="15"/>
          <w:color w:val="auto"/>
        </w:rPr>
      </w:pPr>
    </w:p>
    <w:p>
      <w:pPr>
        <w:jc w:val="both"/>
        <w:ind w:firstLine="1143"/>
        <w:spacing w:after="0" w:line="274" w:lineRule="auto"/>
        <w:tabs>
          <w:tab w:leader="none" w:pos="1453" w:val="left"/>
        </w:tabs>
        <w:numPr>
          <w:ilvl w:val="0"/>
          <w:numId w:val="187"/>
        </w:numPr>
        <w:rPr>
          <w:rFonts w:ascii="Arial" w:cs="Arial" w:eastAsia="Arial" w:hAnsi="Arial"/>
          <w:sz w:val="15"/>
          <w:szCs w:val="15"/>
          <w:color w:val="auto"/>
        </w:rPr>
      </w:pPr>
      <w:r>
        <w:rPr>
          <w:rFonts w:ascii="Arial" w:cs="Arial" w:eastAsia="Arial" w:hAnsi="Arial"/>
          <w:sz w:val="15"/>
          <w:szCs w:val="15"/>
          <w:color w:val="auto"/>
        </w:rPr>
        <w:t>In addition to those adjustments required by clauses (a), (b), (c), (d) and (e) of this Section 14.04, and to the extent permitted by applicable law and subject to the applicable rules of any exchange on which any of the Company’s securities are then-listed, the Company from time to time may increase the Conversion Rate by any amount for a period of at least 20 Business Days if the Company determines, in good faith, that such increase would be in the Company’s best interest. In addition, to the extent permitted by applicable law and subject to the applicable rules of any exchange on which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w:t>
      </w:r>
    </w:p>
    <w:p>
      <w:pPr>
        <w:spacing w:after="0" w:line="156" w:lineRule="exact"/>
        <w:rPr>
          <w:rFonts w:ascii="Arial" w:cs="Arial" w:eastAsia="Arial" w:hAnsi="Arial"/>
          <w:sz w:val="15"/>
          <w:szCs w:val="15"/>
          <w:color w:val="auto"/>
        </w:rPr>
      </w:pPr>
    </w:p>
    <w:p>
      <w:pPr>
        <w:ind w:left="1420" w:hanging="277"/>
        <w:spacing w:after="0"/>
        <w:tabs>
          <w:tab w:leader="none" w:pos="14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14, the Conversion Rate shall not be adjusted:</w:t>
      </w:r>
    </w:p>
    <w:p>
      <w:pPr>
        <w:spacing w:after="0" w:line="198" w:lineRule="exact"/>
        <w:rPr>
          <w:rFonts w:ascii="Arial" w:cs="Arial" w:eastAsia="Arial" w:hAnsi="Arial"/>
          <w:sz w:val="16"/>
          <w:szCs w:val="16"/>
          <w:color w:val="auto"/>
        </w:rPr>
      </w:pPr>
    </w:p>
    <w:p>
      <w:pPr>
        <w:ind w:right="20" w:firstLine="1716"/>
        <w:spacing w:after="0" w:line="275" w:lineRule="auto"/>
        <w:tabs>
          <w:tab w:leader="none" w:pos="2002" w:val="left"/>
        </w:tabs>
        <w:numPr>
          <w:ilvl w:val="1"/>
          <w:numId w:val="187"/>
        </w:numPr>
        <w:rPr>
          <w:rFonts w:ascii="Arial" w:cs="Arial" w:eastAsia="Arial" w:hAnsi="Arial"/>
          <w:sz w:val="16"/>
          <w:szCs w:val="16"/>
          <w:color w:val="auto"/>
        </w:rPr>
      </w:pPr>
      <w:r>
        <w:rPr>
          <w:rFonts w:ascii="Arial" w:cs="Arial" w:eastAsia="Arial" w:hAnsi="Arial"/>
          <w:sz w:val="16"/>
          <w:szCs w:val="16"/>
          <w:color w:val="auto"/>
        </w:rPr>
        <w:t>upon the issuance of any shares of Common Stock (other than any such issuance described in clause (a), (b) or (c) of this Section 14.04) at a price below the Conversion Price for the Notes;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73" w:name="page174"/>
    <w:bookmarkEnd w:id="173"/>
    <w:p>
      <w:pPr>
        <w:ind w:left="4" w:right="20" w:firstLine="1716"/>
        <w:spacing w:after="0" w:line="275" w:lineRule="auto"/>
        <w:tabs>
          <w:tab w:leader="none" w:pos="2039" w:val="left"/>
        </w:tabs>
        <w:numPr>
          <w:ilvl w:val="1"/>
          <w:numId w:val="188"/>
        </w:numPr>
        <w:rPr>
          <w:rFonts w:ascii="Arial" w:cs="Arial" w:eastAsia="Arial" w:hAnsi="Arial"/>
          <w:sz w:val="16"/>
          <w:szCs w:val="16"/>
          <w:color w:val="auto"/>
        </w:rPr>
      </w:pPr>
      <w:r>
        <w:rPr>
          <w:rFonts w:ascii="Arial" w:cs="Arial" w:eastAsia="Arial" w:hAnsi="Arial"/>
          <w:sz w:val="16"/>
          <w:szCs w:val="16"/>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51" w:lineRule="exact"/>
        <w:rPr>
          <w:rFonts w:ascii="Arial" w:cs="Arial" w:eastAsia="Arial" w:hAnsi="Arial"/>
          <w:sz w:val="16"/>
          <w:szCs w:val="16"/>
          <w:color w:val="auto"/>
        </w:rPr>
      </w:pPr>
    </w:p>
    <w:p>
      <w:pPr>
        <w:ind w:left="4" w:firstLine="1716"/>
        <w:spacing w:after="0" w:line="309" w:lineRule="auto"/>
        <w:tabs>
          <w:tab w:leader="none" w:pos="202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upon the issuance of any shares of Common Stock or options or rights to purchase those shares pursuant to any present or future employee, director or consultant benefit plan or program of or assumed by the Company or any of the Company’s Subsidiaries (other than any stockholder rights plan);</w:t>
      </w:r>
    </w:p>
    <w:p>
      <w:pPr>
        <w:spacing w:after="0" w:line="129" w:lineRule="exact"/>
        <w:rPr>
          <w:rFonts w:ascii="Arial" w:cs="Arial" w:eastAsia="Arial" w:hAnsi="Arial"/>
          <w:sz w:val="15"/>
          <w:szCs w:val="15"/>
          <w:color w:val="auto"/>
        </w:rPr>
      </w:pPr>
    </w:p>
    <w:p>
      <w:pPr>
        <w:ind w:left="4" w:firstLine="1716"/>
        <w:spacing w:after="0" w:line="275" w:lineRule="auto"/>
        <w:tabs>
          <w:tab w:leader="none" w:pos="1997" w:val="left"/>
        </w:tabs>
        <w:numPr>
          <w:ilvl w:val="1"/>
          <w:numId w:val="188"/>
        </w:numPr>
        <w:rPr>
          <w:rFonts w:ascii="Arial" w:cs="Arial" w:eastAsia="Arial" w:hAnsi="Arial"/>
          <w:sz w:val="16"/>
          <w:szCs w:val="16"/>
          <w:color w:val="auto"/>
        </w:rPr>
      </w:pPr>
      <w:r>
        <w:rPr>
          <w:rFonts w:ascii="Arial" w:cs="Arial" w:eastAsia="Arial" w:hAnsi="Arial"/>
          <w:sz w:val="16"/>
          <w:szCs w:val="16"/>
          <w:color w:val="auto"/>
        </w:rPr>
        <w:t>upon the issuance of any shares of the Common Stock pursuant to any option, warrant, right or exercisable, exchangeable or convertible security not described in clause (iii) of this subsection and outstanding as of the date the Notes were first issued;</w:t>
      </w:r>
    </w:p>
    <w:p>
      <w:pPr>
        <w:spacing w:after="0" w:line="151" w:lineRule="exact"/>
        <w:rPr>
          <w:rFonts w:ascii="Arial" w:cs="Arial" w:eastAsia="Arial" w:hAnsi="Arial"/>
          <w:sz w:val="16"/>
          <w:szCs w:val="16"/>
          <w:color w:val="auto"/>
        </w:rPr>
      </w:pPr>
    </w:p>
    <w:p>
      <w:pPr>
        <w:ind w:left="1944" w:hanging="224"/>
        <w:spacing w:after="0"/>
        <w:tabs>
          <w:tab w:leader="none" w:pos="1944" w:val="left"/>
        </w:tabs>
        <w:numPr>
          <w:ilvl w:val="1"/>
          <w:numId w:val="188"/>
        </w:numPr>
        <w:rPr>
          <w:rFonts w:ascii="Arial" w:cs="Arial" w:eastAsia="Arial" w:hAnsi="Arial"/>
          <w:sz w:val="14"/>
          <w:szCs w:val="14"/>
          <w:color w:val="auto"/>
        </w:rPr>
      </w:pPr>
      <w:r>
        <w:rPr>
          <w:rFonts w:ascii="Arial" w:cs="Arial" w:eastAsia="Arial" w:hAnsi="Arial"/>
          <w:sz w:val="14"/>
          <w:szCs w:val="14"/>
          <w:color w:val="auto"/>
        </w:rPr>
        <w:t>for a third-party tender offer by any party other than a tender offer by one or more of the Company’s Subsidiaries described in clause (e) of this</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Section 14.04;</w:t>
      </w:r>
    </w:p>
    <w:p>
      <w:pPr>
        <w:spacing w:after="0" w:line="185" w:lineRule="exact"/>
        <w:rPr>
          <w:rFonts w:ascii="Arial" w:cs="Arial" w:eastAsia="Arial" w:hAnsi="Arial"/>
          <w:sz w:val="14"/>
          <w:szCs w:val="14"/>
          <w:color w:val="auto"/>
        </w:rPr>
      </w:pPr>
    </w:p>
    <w:p>
      <w:pPr>
        <w:jc w:val="both"/>
        <w:ind w:left="4" w:firstLine="1716"/>
        <w:spacing w:after="0" w:line="262" w:lineRule="auto"/>
        <w:tabs>
          <w:tab w:leader="none" w:pos="200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upon the repurchase of any shares of Common Stock that is not a tender offer or exchange offer of the nature described under clause (e) of this Section 14.04 including (structured or derivative transactions and open market repurchases of shares of Common Stock, or transactions pursuant to a stock repurchase program approved by the Board of Directors or otherwise);</w:t>
      </w:r>
    </w:p>
    <w:p>
      <w:pPr>
        <w:spacing w:after="0" w:line="162" w:lineRule="exact"/>
        <w:rPr>
          <w:rFonts w:ascii="Arial" w:cs="Arial" w:eastAsia="Arial" w:hAnsi="Arial"/>
          <w:sz w:val="16"/>
          <w:szCs w:val="16"/>
          <w:color w:val="auto"/>
        </w:rPr>
      </w:pPr>
    </w:p>
    <w:p>
      <w:pPr>
        <w:ind w:left="2104" w:hanging="384"/>
        <w:spacing w:after="0"/>
        <w:tabs>
          <w:tab w:leader="none" w:pos="210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for any issuance of PIK Notes;</w:t>
      </w:r>
    </w:p>
    <w:p>
      <w:pPr>
        <w:spacing w:after="0" w:line="198" w:lineRule="exact"/>
        <w:rPr>
          <w:rFonts w:ascii="Arial" w:cs="Arial" w:eastAsia="Arial" w:hAnsi="Arial"/>
          <w:sz w:val="16"/>
          <w:szCs w:val="16"/>
          <w:color w:val="auto"/>
        </w:rPr>
      </w:pPr>
    </w:p>
    <w:p>
      <w:pPr>
        <w:ind w:left="2084" w:hanging="364"/>
        <w:spacing w:after="0"/>
        <w:tabs>
          <w:tab w:leader="none" w:pos="208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solely for a change in the par value of the Common Stock; or</w:t>
      </w:r>
    </w:p>
    <w:p>
      <w:pPr>
        <w:spacing w:after="0" w:line="198" w:lineRule="exact"/>
        <w:rPr>
          <w:rFonts w:ascii="Arial" w:cs="Arial" w:eastAsia="Arial" w:hAnsi="Arial"/>
          <w:sz w:val="16"/>
          <w:szCs w:val="16"/>
          <w:color w:val="auto"/>
        </w:rPr>
      </w:pPr>
    </w:p>
    <w:p>
      <w:pPr>
        <w:ind w:left="1984" w:hanging="264"/>
        <w:spacing w:after="0"/>
        <w:tabs>
          <w:tab w:leader="none" w:pos="198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for accrued and unpaid interest, if any.</w:t>
      </w:r>
    </w:p>
    <w:p>
      <w:pPr>
        <w:spacing w:after="0" w:line="198" w:lineRule="exact"/>
        <w:rPr>
          <w:rFonts w:ascii="Arial" w:cs="Arial" w:eastAsia="Arial" w:hAnsi="Arial"/>
          <w:sz w:val="16"/>
          <w:szCs w:val="16"/>
          <w:color w:val="auto"/>
        </w:rPr>
      </w:pPr>
    </w:p>
    <w:p>
      <w:pPr>
        <w:ind w:left="4" w:firstLine="1143"/>
        <w:spacing w:after="0" w:line="275" w:lineRule="auto"/>
        <w:tabs>
          <w:tab w:leader="none" w:pos="139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All calculations and other determinations under this Article 14 shall be made by the Company and shall be made to the nearest one-ten thousandth (1/10,000th) of a share.</w:t>
      </w:r>
    </w:p>
    <w:p>
      <w:pPr>
        <w:spacing w:after="0" w:line="151" w:lineRule="exact"/>
        <w:rPr>
          <w:rFonts w:ascii="Arial" w:cs="Arial" w:eastAsia="Arial" w:hAnsi="Arial"/>
          <w:sz w:val="16"/>
          <w:szCs w:val="16"/>
          <w:color w:val="auto"/>
        </w:rPr>
      </w:pPr>
    </w:p>
    <w:p>
      <w:pPr>
        <w:jc w:val="both"/>
        <w:ind w:left="4" w:right="20" w:firstLine="1143"/>
        <w:spacing w:after="0" w:line="289" w:lineRule="auto"/>
        <w:tabs>
          <w:tab w:leader="none" w:pos="1433" w:val="left"/>
        </w:tabs>
        <w:numPr>
          <w:ilvl w:val="0"/>
          <w:numId w:val="189"/>
        </w:numPr>
        <w:rPr>
          <w:rFonts w:ascii="Arial" w:cs="Arial" w:eastAsia="Arial" w:hAnsi="Arial"/>
          <w:sz w:val="14"/>
          <w:szCs w:val="14"/>
          <w:color w:val="auto"/>
        </w:rPr>
      </w:pPr>
      <w:r>
        <w:rPr>
          <w:rFonts w:ascii="Arial" w:cs="Arial" w:eastAsia="Arial" w:hAnsi="Arial"/>
          <w:sz w:val="14"/>
          <w:szCs w:val="14"/>
          <w:color w:val="auto"/>
        </w:rPr>
        <w:t>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the Conversion Date for any Notes (in the case of Physical Settlement); (iii) on each Trading Day of an Observation Period for any Note; (iii) the effective date of a</w:t>
      </w:r>
    </w:p>
    <w:p>
      <w:pPr>
        <w:spacing w:after="0" w:line="2" w:lineRule="exact"/>
        <w:rPr>
          <w:sz w:val="20"/>
          <w:szCs w:val="20"/>
          <w:color w:val="auto"/>
        </w:rPr>
      </w:pPr>
    </w:p>
    <w:p>
      <w:pPr>
        <w:ind w:left="4" w:right="20"/>
        <w:spacing w:after="0" w:line="218" w:lineRule="auto"/>
        <w:rPr>
          <w:sz w:val="20"/>
          <w:szCs w:val="20"/>
          <w:color w:val="auto"/>
        </w:rPr>
      </w:pPr>
      <w:r>
        <w:rPr>
          <w:rFonts w:ascii="Arial" w:cs="Arial" w:eastAsia="Arial" w:hAnsi="Arial"/>
          <w:sz w:val="15"/>
          <w:szCs w:val="15"/>
          <w:color w:val="auto"/>
        </w:rPr>
        <w:t>Fundamental Change and/or Make-Whole Fundamental Change; (iv) if the Company calls any Notes for redemption; or (v) [●], 2026</w:t>
      </w:r>
      <w:r>
        <w:rPr>
          <w:rFonts w:ascii="Arial" w:cs="Arial" w:eastAsia="Arial" w:hAnsi="Arial"/>
          <w:sz w:val="25"/>
          <w:szCs w:val="25"/>
          <w:color w:val="auto"/>
          <w:vertAlign w:val="superscript"/>
        </w:rPr>
        <w:t>19</w:t>
      </w:r>
      <w:r>
        <w:rPr>
          <w:rFonts w:ascii="Arial" w:cs="Arial" w:eastAsia="Arial" w:hAnsi="Arial"/>
          <w:sz w:val="15"/>
          <w:szCs w:val="15"/>
          <w:color w:val="auto"/>
        </w:rPr>
        <w:t>, in each case, unless the adjustment has already been made. The provision described in the immediately preceding sentence of this Section 14.04(l) is referred to herein as the “</w:t>
      </w:r>
      <w:r>
        <w:rPr>
          <w:rFonts w:ascii="Arial" w:cs="Arial" w:eastAsia="Arial" w:hAnsi="Arial"/>
          <w:sz w:val="15"/>
          <w:szCs w:val="15"/>
          <w:b w:val="1"/>
          <w:bCs w:val="1"/>
          <w:color w:val="auto"/>
        </w:rPr>
        <w:t>1% Provision</w:t>
      </w:r>
      <w:r>
        <w:rPr>
          <w:rFonts w:ascii="Arial" w:cs="Arial" w:eastAsia="Arial" w:hAnsi="Arial"/>
          <w:sz w:val="15"/>
          <w:szCs w:val="15"/>
          <w:color w:val="auto"/>
        </w:rPr>
        <w:t>.”</w:t>
      </w:r>
    </w:p>
    <w:p>
      <w:pPr>
        <w:spacing w:after="0" w:line="179" w:lineRule="exact"/>
        <w:rPr>
          <w:sz w:val="20"/>
          <w:szCs w:val="20"/>
          <w:color w:val="auto"/>
        </w:rPr>
      </w:pPr>
    </w:p>
    <w:p>
      <w:pPr>
        <w:jc w:val="both"/>
        <w:ind w:left="4" w:right="20" w:firstLine="1143"/>
        <w:spacing w:after="0" w:line="297" w:lineRule="auto"/>
        <w:tabs>
          <w:tab w:leader="none" w:pos="1431" w:val="left"/>
        </w:tabs>
        <w:numPr>
          <w:ilvl w:val="0"/>
          <w:numId w:val="190"/>
        </w:numPr>
        <w:rPr>
          <w:rFonts w:ascii="Arial" w:cs="Arial" w:eastAsia="Arial" w:hAnsi="Arial"/>
          <w:sz w:val="14"/>
          <w:szCs w:val="14"/>
          <w:color w:val="auto"/>
        </w:rPr>
      </w:pPr>
      <w:r>
        <w:rPr>
          <w:rFonts w:ascii="Arial" w:cs="Arial" w:eastAsia="Arial" w:hAnsi="Arial"/>
          <w:sz w:val="14"/>
          <w:szCs w:val="14"/>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79070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52" w:lineRule="exact"/>
        <w:rPr>
          <w:sz w:val="20"/>
          <w:szCs w:val="20"/>
          <w:color w:val="auto"/>
        </w:rPr>
      </w:pPr>
    </w:p>
    <w:p>
      <w:pPr>
        <w:ind w:left="284" w:hanging="284"/>
        <w:spacing w:after="0"/>
        <w:tabs>
          <w:tab w:leader="none" w:pos="284" w:val="left"/>
        </w:tabs>
        <w:numPr>
          <w:ilvl w:val="0"/>
          <w:numId w:val="191"/>
        </w:numPr>
        <w:rPr>
          <w:rFonts w:ascii="Arial" w:cs="Arial" w:eastAsia="Arial" w:hAnsi="Arial"/>
          <w:sz w:val="27"/>
          <w:szCs w:val="27"/>
          <w:color w:val="auto"/>
          <w:vertAlign w:val="superscript"/>
        </w:rPr>
      </w:pPr>
      <w:r>
        <w:rPr>
          <w:rFonts w:ascii="Arial" w:cs="Arial" w:eastAsia="Arial" w:hAnsi="Arial"/>
          <w:sz w:val="16"/>
          <w:szCs w:val="16"/>
          <w:color w:val="auto"/>
        </w:rPr>
        <w:t>NTD: This shall be the date that is 6 months before maturity.</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74" w:name="page175"/>
    <w:bookmarkEnd w:id="174"/>
    <w:p>
      <w:pPr>
        <w:jc w:val="both"/>
        <w:ind w:right="20" w:firstLine="1143"/>
        <w:spacing w:after="0" w:line="287" w:lineRule="auto"/>
        <w:tabs>
          <w:tab w:leader="none" w:pos="1376" w:val="left"/>
        </w:tabs>
        <w:numPr>
          <w:ilvl w:val="0"/>
          <w:numId w:val="192"/>
        </w:numPr>
        <w:rPr>
          <w:rFonts w:ascii="Arial" w:cs="Arial" w:eastAsia="Arial" w:hAnsi="Arial"/>
          <w:sz w:val="15"/>
          <w:szCs w:val="15"/>
          <w:color w:val="auto"/>
        </w:rPr>
      </w:pPr>
      <w:r>
        <w:rPr>
          <w:rFonts w:ascii="Arial" w:cs="Arial" w:eastAsia="Arial" w:hAnsi="Arial"/>
          <w:sz w:val="15"/>
          <w:szCs w:val="15"/>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46"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14.06. </w:t>
      </w:r>
      <w:r>
        <w:rPr>
          <w:rFonts w:ascii="Arial" w:cs="Arial" w:eastAsia="Arial" w:hAnsi="Arial"/>
          <w:sz w:val="16"/>
          <w:szCs w:val="16"/>
          <w:i w:val="1"/>
          <w:iCs w:val="1"/>
          <w:color w:val="auto"/>
        </w:rPr>
        <w:t>Adjustments of Prices</w:t>
      </w:r>
      <w:r>
        <w:rPr>
          <w:rFonts w:ascii="Arial" w:cs="Arial" w:eastAsia="Arial" w:hAnsi="Arial"/>
          <w:sz w:val="16"/>
          <w:szCs w:val="16"/>
          <w:color w:val="auto"/>
        </w:rPr>
        <w:t>. Whenever any provision of this Indenture requires the Company to calculate the Last Reported Sale Prices, the Daily VWAPs, the Daily Conversion Values or the Daily Settlement Amounts over a span of multiple days (including an Observation Period and the Stock Price for purposes of a Make-Whole Fundamental Change or for purposes of determining whether the Company may issue a Notice of Redemption), the Company shall make appropriate adjustments in good faith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70"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14.07. </w:t>
      </w:r>
      <w:r>
        <w:rPr>
          <w:rFonts w:ascii="Arial" w:cs="Arial" w:eastAsia="Arial" w:hAnsi="Arial"/>
          <w:sz w:val="16"/>
          <w:szCs w:val="16"/>
          <w:i w:val="1"/>
          <w:iCs w:val="1"/>
          <w:color w:val="auto"/>
        </w:rPr>
        <w:t>Shares to Be Fully Paid</w:t>
      </w:r>
      <w:r>
        <w:rPr>
          <w:rFonts w:ascii="Arial" w:cs="Arial" w:eastAsia="Arial" w:hAnsi="Arial"/>
          <w:sz w:val="16"/>
          <w:szCs w:val="16"/>
          <w:color w:val="auto"/>
        </w:rPr>
        <w:t>. The Company shall maintain, free from preemptive rights, out of its authorized but unissued shares or shares held in treasury, sufficient shares of Common Stock to provide for the conversion of the Notes from time to time as such Notes are presented for conversion (assuming delivery of the maximum number of Additional Shares pursuant to Section 14.03 and that at the time of computation of such number of shares, all such Notes would be converted by a single Holder and that Physical Settlement were applicable.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14.08. </w:t>
      </w:r>
      <w:r>
        <w:rPr>
          <w:rFonts w:ascii="Arial" w:cs="Arial" w:eastAsia="Arial" w:hAnsi="Arial"/>
          <w:sz w:val="16"/>
          <w:szCs w:val="16"/>
          <w:i w:val="1"/>
          <w:iCs w:val="1"/>
          <w:color w:val="auto"/>
        </w:rPr>
        <w:t>Effect of Recapitalizations, Reclassifications and Changes of the Common Stock</w:t>
      </w:r>
      <w:r>
        <w:rPr>
          <w:rFonts w:ascii="Arial" w:cs="Arial" w:eastAsia="Arial" w:hAnsi="Arial"/>
          <w:sz w:val="16"/>
          <w:szCs w:val="16"/>
          <w:color w:val="auto"/>
        </w:rPr>
        <w:t>.</w:t>
      </w:r>
    </w:p>
    <w:p>
      <w:pPr>
        <w:spacing w:after="0" w:line="198" w:lineRule="exact"/>
        <w:rPr>
          <w:sz w:val="20"/>
          <w:szCs w:val="20"/>
          <w:color w:val="auto"/>
        </w:rPr>
      </w:pPr>
    </w:p>
    <w:p>
      <w:pPr>
        <w:ind w:left="1360" w:hanging="217"/>
        <w:spacing w:after="0"/>
        <w:tabs>
          <w:tab w:leader="none" w:pos="13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 the case of:</w:t>
      </w:r>
    </w:p>
    <w:p>
      <w:pPr>
        <w:spacing w:after="0" w:line="198" w:lineRule="exact"/>
        <w:rPr>
          <w:rFonts w:ascii="Arial" w:cs="Arial" w:eastAsia="Arial" w:hAnsi="Arial"/>
          <w:sz w:val="16"/>
          <w:szCs w:val="16"/>
          <w:color w:val="auto"/>
        </w:rPr>
      </w:pPr>
    </w:p>
    <w:p>
      <w:pPr>
        <w:ind w:right="20" w:firstLine="1716"/>
        <w:spacing w:after="0" w:line="275" w:lineRule="auto"/>
        <w:tabs>
          <w:tab w:leader="none" w:pos="2026"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any recapitalization, reclassification or change of the Common Stock (other than changes in par value or from par value to no par value, or changes resulting from a subdivision or combination),</w:t>
      </w:r>
    </w:p>
    <w:p>
      <w:pPr>
        <w:spacing w:after="0" w:line="151" w:lineRule="exact"/>
        <w:rPr>
          <w:rFonts w:ascii="Arial" w:cs="Arial" w:eastAsia="Arial" w:hAnsi="Arial"/>
          <w:sz w:val="16"/>
          <w:szCs w:val="16"/>
          <w:color w:val="auto"/>
        </w:rPr>
      </w:pPr>
    </w:p>
    <w:p>
      <w:pPr>
        <w:ind w:left="2040" w:hanging="324"/>
        <w:spacing w:after="0"/>
        <w:tabs>
          <w:tab w:leader="none" w:pos="204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any consolidation, merger, combination or similar transaction involving the Company,</w:t>
      </w:r>
    </w:p>
    <w:p>
      <w:pPr>
        <w:spacing w:after="0" w:line="198" w:lineRule="exact"/>
        <w:rPr>
          <w:rFonts w:ascii="Arial" w:cs="Arial" w:eastAsia="Arial" w:hAnsi="Arial"/>
          <w:sz w:val="16"/>
          <w:szCs w:val="16"/>
          <w:color w:val="auto"/>
        </w:rPr>
      </w:pPr>
    </w:p>
    <w:p>
      <w:pPr>
        <w:ind w:left="2020" w:hanging="304"/>
        <w:spacing w:after="0"/>
        <w:tabs>
          <w:tab w:leader="none" w:pos="2020" w:val="left"/>
        </w:tabs>
        <w:numPr>
          <w:ilvl w:val="1"/>
          <w:numId w:val="193"/>
        </w:numPr>
        <w:rPr>
          <w:rFonts w:ascii="Arial" w:cs="Arial" w:eastAsia="Arial" w:hAnsi="Arial"/>
          <w:sz w:val="15"/>
          <w:szCs w:val="15"/>
          <w:color w:val="auto"/>
        </w:rPr>
      </w:pPr>
      <w:r>
        <w:rPr>
          <w:rFonts w:ascii="Arial" w:cs="Arial" w:eastAsia="Arial" w:hAnsi="Arial"/>
          <w:sz w:val="15"/>
          <w:szCs w:val="15"/>
          <w:color w:val="auto"/>
        </w:rPr>
        <w:t>any sale, lease or other transfer to a third party of all or substantially all of the consolidated assets of the Company and the Company’s</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Subsidiaries or</w:t>
      </w:r>
    </w:p>
    <w:p>
      <w:pPr>
        <w:spacing w:after="0" w:line="185" w:lineRule="exact"/>
        <w:rPr>
          <w:rFonts w:ascii="Arial" w:cs="Arial" w:eastAsia="Arial" w:hAnsi="Arial"/>
          <w:sz w:val="15"/>
          <w:szCs w:val="15"/>
          <w:color w:val="auto"/>
        </w:rPr>
      </w:pPr>
    </w:p>
    <w:p>
      <w:pPr>
        <w:ind w:left="1980" w:hanging="264"/>
        <w:spacing w:after="0"/>
        <w:tabs>
          <w:tab w:leader="none" w:pos="198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any statutory share exchange,</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each case, as a result of which the Common Stock would be converted into, or exchanged for, stock, other securities, other property or assets (including cash or any combination thereof) (any such event, a “</w:t>
      </w:r>
      <w:r>
        <w:rPr>
          <w:rFonts w:ascii="Arial" w:cs="Arial" w:eastAsia="Arial" w:hAnsi="Arial"/>
          <w:sz w:val="15"/>
          <w:szCs w:val="15"/>
          <w:b w:val="1"/>
          <w:bCs w:val="1"/>
          <w:color w:val="auto"/>
        </w:rPr>
        <w:t>Merger Event</w:t>
      </w:r>
      <w:r>
        <w:rPr>
          <w:rFonts w:ascii="Arial" w:cs="Arial" w:eastAsia="Arial" w:hAnsi="Arial"/>
          <w:sz w:val="15"/>
          <w:szCs w:val="15"/>
          <w:color w:val="auto"/>
        </w:rPr>
        <w:t>”), then, at the effective time of the Merger Event, the Company or the successor or acquiring person, as the case may be, shall execute with the Trustee a supplemental indenture, without the consent of the Holders, providing that at and after the effective time of such Merger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Arial" w:cs="Arial" w:eastAsia="Arial" w:hAnsi="Arial"/>
          <w:sz w:val="15"/>
          <w:szCs w:val="15"/>
          <w:b w:val="1"/>
          <w:bCs w:val="1"/>
          <w:color w:val="auto"/>
        </w:rPr>
        <w:t>Reference Property</w:t>
      </w:r>
      <w:r>
        <w:rPr>
          <w:rFonts w:ascii="Arial" w:cs="Arial" w:eastAsia="Arial" w:hAnsi="Arial"/>
          <w:sz w:val="15"/>
          <w:szCs w:val="15"/>
          <w:color w:val="auto"/>
        </w:rPr>
        <w:t>,” with each “</w:t>
      </w:r>
      <w:r>
        <w:rPr>
          <w:rFonts w:ascii="Arial" w:cs="Arial" w:eastAsia="Arial" w:hAnsi="Arial"/>
          <w:sz w:val="15"/>
          <w:szCs w:val="15"/>
          <w:b w:val="1"/>
          <w:bCs w:val="1"/>
          <w:color w:val="auto"/>
        </w:rPr>
        <w:t>unit of Reference Property</w:t>
      </w:r>
      <w:r>
        <w:rPr>
          <w:rFonts w:ascii="Arial" w:cs="Arial" w:eastAsia="Arial" w:hAnsi="Arial"/>
          <w:sz w:val="15"/>
          <w:szCs w:val="15"/>
          <w:color w:val="auto"/>
        </w:rPr>
        <w:t xml:space="preserve">” meaning the kind and amount of Reference Property that a holder of one share of Common Stock is entitled to receive) upon such Merger Event and, prior to or at the effective time of such Merger Event, the Company or the successor or purchasing Person, as the case may be, shall execute with the Trustee a supplemental indenture permitted under Section 10.01(j) providing for such change in the right to convert each $1,000 principal amount of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at and after the effective time of the Merger Event (A) the Company or the successor or acquiring company, as the case may be, shall continue to have the right to elect to determine the form of consideration to be paid or delivered, as the case may be, in respect of the remainder, if any, of the Conversion Obligation in excess of the principal amount of the Notes being converted, in accordance with Section 14.02, (B) any amount payable in cash upon conversion of the Notes in accordance with Section 14.02 shall continue to be payable in cash, (C)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received in such Merger Event and (D) the Daily VWAP shall be calculated based on the value of a unit of Reference Property.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75" w:name="page176"/>
    <w:bookmarkEnd w:id="175"/>
    <w:p>
      <w:pPr>
        <w:jc w:val="both"/>
        <w:ind w:firstLine="574"/>
        <w:spacing w:after="0" w:line="293" w:lineRule="auto"/>
        <w:rPr>
          <w:sz w:val="20"/>
          <w:szCs w:val="20"/>
          <w:color w:val="auto"/>
        </w:rPr>
      </w:pPr>
      <w:r>
        <w:rPr>
          <w:rFonts w:ascii="Arial" w:cs="Arial" w:eastAsia="Arial" w:hAnsi="Arial"/>
          <w:sz w:val="14"/>
          <w:szCs w:val="14"/>
          <w:color w:val="auto"/>
        </w:rPr>
        <w:t xml:space="preserve">If the Merger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Merger Event, then for all conversions for which the relevant Conversion Date occurs after the effective date of such Merger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the price paid per share of Common Stock in such Merger Event and (B) the Company shall satisfy the Conversion Obligation by paying cash to converting Holders on the second Business Day immediately following the relevant Conversion Date. The Company shall notify Holders, the Trustee and the Conversion Agent (if other than the Trustee) in writing of such weighted average as soon as reasonably practicable after such determination is made.</w:t>
      </w:r>
    </w:p>
    <w:p>
      <w:pPr>
        <w:spacing w:after="0" w:line="143"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If the Reference Property in respect of any Merger Event includes, in whole or in part, shares of Common Equity or securities convertible into or exchangeable for shares of Common Equity, the supplemental indenture described in the second immediately preceding paragraph shall provide for anti-dilution and other adjustments that shall be as nearly equivalent as is possible to the adjustments provided for in this Article 14 with respect to the portion of Reference Property consisting of such Common Equity or securities convertible into or exchangeable for shares of Common Equity. If the Reference Property in respect of any such Merger Event includes shares of stock, securities or other property or assets, other than cash and/or cash equivalents, of a Person other than the Company or the successor or purchasing corporation, as the case may be, in such Merger Event and such other company, if an affiliate of the Company (or, if the Company does not survive the Merger Event, an affiliate of the successor or purchasing company) is party to the transaction, such other company shall also execute such supplemental indenture, and such supplemental indenture shall contain such additional provisions to protect the interests of the Holders as the Company shall in good faith reasonably consider necessary by reason of the foregoing, including the provisions providing for the purchase rights set forth in Article 15.</w:t>
      </w:r>
    </w:p>
    <w:p>
      <w:pPr>
        <w:spacing w:after="0" w:line="159" w:lineRule="exact"/>
        <w:rPr>
          <w:sz w:val="20"/>
          <w:szCs w:val="20"/>
          <w:color w:val="auto"/>
        </w:rPr>
      </w:pPr>
    </w:p>
    <w:p>
      <w:pPr>
        <w:jc w:val="both"/>
        <w:ind w:right="20" w:firstLine="1143"/>
        <w:spacing w:after="0" w:line="276" w:lineRule="auto"/>
        <w:tabs>
          <w:tab w:leader="none" w:pos="1375" w:val="left"/>
        </w:tabs>
        <w:numPr>
          <w:ilvl w:val="0"/>
          <w:numId w:val="194"/>
        </w:numPr>
        <w:rPr>
          <w:rFonts w:ascii="Arial" w:cs="Arial" w:eastAsia="Arial" w:hAnsi="Arial"/>
          <w:sz w:val="15"/>
          <w:szCs w:val="15"/>
          <w:color w:val="auto"/>
        </w:rPr>
      </w:pPr>
      <w:r>
        <w:rPr>
          <w:rFonts w:ascii="Arial" w:cs="Arial" w:eastAsia="Arial" w:hAnsi="Arial"/>
          <w:sz w:val="15"/>
          <w:szCs w:val="15"/>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Merger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76" w:name="page177"/>
    <w:bookmarkEnd w:id="176"/>
    <w:p>
      <w:pPr>
        <w:jc w:val="both"/>
        <w:ind w:firstLine="1143"/>
        <w:spacing w:after="0" w:line="287" w:lineRule="auto"/>
        <w:tabs>
          <w:tab w:leader="none" w:pos="1374"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Company shall not become a party to any Merger Event unless its terms are reasonably consistent with this Section 14.07 and in compliance with Section 14.10. None of the foregoing provisions shall affect the right of a holder of Notes to convert its Notes into cash, shares of Common Stock or a combination of cash and shares of Common Stock, as applicable, as set forth in Section 14.01 and Section 14.02 prior to the effective date of such Merger Event.</w:t>
      </w:r>
    </w:p>
    <w:p>
      <w:pPr>
        <w:spacing w:after="0" w:line="146" w:lineRule="exact"/>
        <w:rPr>
          <w:rFonts w:ascii="Arial" w:cs="Arial" w:eastAsia="Arial" w:hAnsi="Arial"/>
          <w:sz w:val="15"/>
          <w:szCs w:val="15"/>
          <w:color w:val="auto"/>
        </w:rPr>
      </w:pPr>
    </w:p>
    <w:p>
      <w:pPr>
        <w:ind w:left="1360" w:hanging="217"/>
        <w:spacing w:after="0"/>
        <w:tabs>
          <w:tab w:leader="none" w:pos="13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above provisions of this Section shall similarly apply to successive Merger Events.</w:t>
      </w:r>
    </w:p>
    <w:p>
      <w:pPr>
        <w:spacing w:after="0" w:line="198"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 xml:space="preserve">Section 14.09. </w:t>
      </w:r>
      <w:r>
        <w:rPr>
          <w:rFonts w:ascii="Arial" w:cs="Arial" w:eastAsia="Arial" w:hAnsi="Arial"/>
          <w:sz w:val="16"/>
          <w:szCs w:val="16"/>
          <w:i w:val="1"/>
          <w:iCs w:val="1"/>
          <w:color w:val="auto"/>
        </w:rPr>
        <w:t>Certain Covenants</w:t>
      </w:r>
      <w:r>
        <w:rPr>
          <w:rFonts w:ascii="Arial" w:cs="Arial" w:eastAsia="Arial" w:hAnsi="Arial"/>
          <w:sz w:val="16"/>
          <w:szCs w:val="16"/>
          <w:color w:val="auto"/>
        </w:rPr>
        <w:t>. (a) The Company covenants that all shares of Common Stock issued upon conversion of Notes will be fully paid and non-assessable by the Company and free from all taxes, liens and charges with respect to the issue thereof.</w:t>
      </w:r>
    </w:p>
    <w:p>
      <w:pPr>
        <w:spacing w:after="0" w:line="152" w:lineRule="exact"/>
        <w:rPr>
          <w:sz w:val="20"/>
          <w:szCs w:val="20"/>
          <w:color w:val="auto"/>
        </w:rPr>
      </w:pPr>
    </w:p>
    <w:p>
      <w:pPr>
        <w:jc w:val="both"/>
        <w:ind w:right="20" w:firstLine="1143"/>
        <w:spacing w:after="0" w:line="262" w:lineRule="auto"/>
        <w:tabs>
          <w:tab w:leader="none" w:pos="137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62"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color w:val="auto"/>
        </w:rPr>
        <w:t xml:space="preserve">Section 14.10. </w:t>
      </w:r>
      <w:r>
        <w:rPr>
          <w:rFonts w:ascii="Arial" w:cs="Arial" w:eastAsia="Arial" w:hAnsi="Arial"/>
          <w:sz w:val="14"/>
          <w:szCs w:val="14"/>
          <w:i w:val="1"/>
          <w:iCs w:val="1"/>
          <w:color w:val="auto"/>
        </w:rPr>
        <w:t>Responsibility of Trustee</w:t>
      </w:r>
      <w:r>
        <w:rPr>
          <w:rFonts w:ascii="Arial" w:cs="Arial" w:eastAsia="Arial" w:hAnsi="Arial"/>
          <w:sz w:val="14"/>
          <w:szCs w:val="14"/>
          <w:color w:val="auto"/>
        </w:rPr>
        <w:t>.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 Except as otherwise expressly provided herein, neither the Trustee nor any other agent acting under this Indenture (other than the Company, if acting in such capacity)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77" w:name="page178"/>
    <w:bookmarkEnd w:id="177"/>
    <w:p>
      <w:pPr>
        <w:ind w:left="560"/>
        <w:spacing w:after="0"/>
        <w:rPr>
          <w:sz w:val="20"/>
          <w:szCs w:val="20"/>
          <w:color w:val="auto"/>
        </w:rPr>
      </w:pPr>
      <w:r>
        <w:rPr>
          <w:rFonts w:ascii="Arial" w:cs="Arial" w:eastAsia="Arial" w:hAnsi="Arial"/>
          <w:sz w:val="16"/>
          <w:szCs w:val="16"/>
          <w:color w:val="auto"/>
        </w:rPr>
        <w:t xml:space="preserve">Section 14.11. </w:t>
      </w:r>
      <w:r>
        <w:rPr>
          <w:rFonts w:ascii="Arial" w:cs="Arial" w:eastAsia="Arial" w:hAnsi="Arial"/>
          <w:sz w:val="16"/>
          <w:szCs w:val="16"/>
          <w:i w:val="1"/>
          <w:iCs w:val="1"/>
          <w:color w:val="auto"/>
        </w:rPr>
        <w:t>Notice to Holders Prior to Certain Actions</w:t>
      </w:r>
      <w:r>
        <w:rPr>
          <w:rFonts w:ascii="Arial" w:cs="Arial" w:eastAsia="Arial" w:hAnsi="Arial"/>
          <w:sz w:val="16"/>
          <w:szCs w:val="16"/>
          <w:color w:val="auto"/>
        </w:rPr>
        <w:t>. In case of any:</w:t>
      </w:r>
    </w:p>
    <w:p>
      <w:pPr>
        <w:spacing w:after="0" w:line="198" w:lineRule="exact"/>
        <w:rPr>
          <w:sz w:val="20"/>
          <w:szCs w:val="20"/>
          <w:color w:val="auto"/>
        </w:rPr>
      </w:pPr>
    </w:p>
    <w:p>
      <w:pPr>
        <w:ind w:left="1360" w:hanging="217"/>
        <w:spacing w:after="0"/>
        <w:tabs>
          <w:tab w:leader="none" w:pos="136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action by the Company or one of its Subsidiaries that would require an adjustment in the Conversion Rate pursuant to Section 14.04 or Section 14.11; or</w:t>
      </w:r>
    </w:p>
    <w:p>
      <w:pPr>
        <w:spacing w:after="0" w:line="221" w:lineRule="exact"/>
        <w:rPr>
          <w:rFonts w:ascii="Arial" w:cs="Arial" w:eastAsia="Arial" w:hAnsi="Arial"/>
          <w:sz w:val="14"/>
          <w:szCs w:val="14"/>
          <w:color w:val="auto"/>
        </w:rPr>
      </w:pPr>
    </w:p>
    <w:p>
      <w:pPr>
        <w:ind w:left="1360" w:hanging="217"/>
        <w:spacing w:after="0"/>
        <w:tabs>
          <w:tab w:leader="none" w:pos="13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voluntary or involuntary dissolution, liquidation or winding-up of the Company;</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then, in each case (unless notice of such event is otherwise required pursuant to another provision of this Indenture), the Company shall cause to be filed with the Trustee and the Conversion Agent (if other than the Trustee) and to be delivered to each Holder, as promptly as possible,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dissolution, liquidation or winding-up is expected to become effective or occur, and the date as of which it is expected that holders of Common Stock of record shall be entitled to exchange their Common Stock for securities or other property deliverable upon such dissolution, liquidation or winding-up. Failure to give such notice, or any defect therein, shall not affect the legality or validity of such action by the Company or one of its Subsidiaries, dissolution, liquidation or winding-up.</w:t>
      </w:r>
    </w:p>
    <w:p>
      <w:pPr>
        <w:spacing w:after="0" w:line="156"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Section 14.12. </w:t>
      </w:r>
      <w:r>
        <w:rPr>
          <w:rFonts w:ascii="Arial" w:cs="Arial" w:eastAsia="Arial" w:hAnsi="Arial"/>
          <w:sz w:val="15"/>
          <w:szCs w:val="15"/>
          <w:i w:val="1"/>
          <w:iCs w:val="1"/>
          <w:color w:val="auto"/>
        </w:rPr>
        <w:t>Stockholder Rights Plans</w:t>
      </w:r>
      <w:r>
        <w:rPr>
          <w:rFonts w:ascii="Arial" w:cs="Arial" w:eastAsia="Arial" w:hAnsi="Arial"/>
          <w:sz w:val="15"/>
          <w:szCs w:val="15"/>
          <w:color w:val="auto"/>
        </w:rPr>
        <w:t>.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14.13. </w:t>
      </w:r>
      <w:r>
        <w:rPr>
          <w:rFonts w:ascii="Arial" w:cs="Arial" w:eastAsia="Arial" w:hAnsi="Arial"/>
          <w:sz w:val="16"/>
          <w:szCs w:val="16"/>
          <w:i w:val="1"/>
          <w:iCs w:val="1"/>
          <w:color w:val="auto"/>
        </w:rPr>
        <w:t>Exchange in Lieu of Conversion</w:t>
      </w:r>
      <w:r>
        <w:rPr>
          <w:rFonts w:ascii="Arial" w:cs="Arial" w:eastAsia="Arial" w:hAnsi="Arial"/>
          <w:sz w:val="16"/>
          <w:szCs w:val="16"/>
          <w:color w:val="auto"/>
        </w:rPr>
        <w:t>.</w:t>
      </w:r>
    </w:p>
    <w:p>
      <w:pPr>
        <w:spacing w:after="0" w:line="194" w:lineRule="exact"/>
        <w:rPr>
          <w:sz w:val="20"/>
          <w:szCs w:val="20"/>
          <w:color w:val="auto"/>
        </w:rPr>
      </w:pPr>
    </w:p>
    <w:p>
      <w:pPr>
        <w:jc w:val="both"/>
        <w:ind w:firstLine="1143"/>
        <w:spacing w:after="0" w:line="293" w:lineRule="auto"/>
        <w:tabs>
          <w:tab w:leader="none" w:pos="1362" w:val="left"/>
        </w:tabs>
        <w:numPr>
          <w:ilvl w:val="0"/>
          <w:numId w:val="198"/>
        </w:numPr>
        <w:rPr>
          <w:rFonts w:ascii="Arial" w:cs="Arial" w:eastAsia="Arial" w:hAnsi="Arial"/>
          <w:sz w:val="14"/>
          <w:szCs w:val="14"/>
          <w:color w:val="auto"/>
        </w:rPr>
      </w:pPr>
      <w:r>
        <w:rPr>
          <w:rFonts w:ascii="Arial" w:cs="Arial" w:eastAsia="Arial" w:hAnsi="Arial"/>
          <w:sz w:val="14"/>
          <w:szCs w:val="14"/>
          <w:color w:val="auto"/>
        </w:rPr>
        <w:t>When a Holder surrenders its Notes for conversion, the Company may, at its election (an “</w:t>
      </w:r>
      <w:r>
        <w:rPr>
          <w:rFonts w:ascii="Arial" w:cs="Arial" w:eastAsia="Arial" w:hAnsi="Arial"/>
          <w:sz w:val="14"/>
          <w:szCs w:val="14"/>
          <w:b w:val="1"/>
          <w:bCs w:val="1"/>
          <w:color w:val="auto"/>
        </w:rPr>
        <w:t>Exchange Election</w:t>
      </w:r>
      <w:r>
        <w:rPr>
          <w:rFonts w:ascii="Arial" w:cs="Arial" w:eastAsia="Arial" w:hAnsi="Arial"/>
          <w:sz w:val="14"/>
          <w:szCs w:val="14"/>
          <w:color w:val="auto"/>
        </w:rPr>
        <w:t>”), direct the Conversion Agent in writing to deliver, on or prior to the Trading Day immediately following the Conversion Date, such Notes to one or more financial institutions designated by the Company (each, a “</w:t>
      </w:r>
      <w:r>
        <w:rPr>
          <w:rFonts w:ascii="Arial" w:cs="Arial" w:eastAsia="Arial" w:hAnsi="Arial"/>
          <w:sz w:val="14"/>
          <w:szCs w:val="14"/>
          <w:b w:val="1"/>
          <w:bCs w:val="1"/>
          <w:color w:val="auto"/>
        </w:rPr>
        <w:t>Designated Financial Institution</w:t>
      </w:r>
      <w:r>
        <w:rPr>
          <w:rFonts w:ascii="Arial" w:cs="Arial" w:eastAsia="Arial" w:hAnsi="Arial"/>
          <w:sz w:val="14"/>
          <w:szCs w:val="14"/>
          <w:color w:val="auto"/>
        </w:rPr>
        <w:t>”) for exchange in lieu of conversion. In order to accept any Notes surrendered for conversion, the Designated Financial Institution(s) must agree to timely pay and/or deliver, as the case may be, in exchange for such Notes, cash up to the aggregate principal amount of the Notes to be converted and pay or deliver, as the case may be, cash, shares of Common Stock or combination thereof at the election of the Company due upon conversion pursuant to Section 14.02 or such other amount agreed to by the Holder and the Designated Financial Institution(s) (the “</w:t>
      </w:r>
      <w:r>
        <w:rPr>
          <w:rFonts w:ascii="Arial" w:cs="Arial" w:eastAsia="Arial" w:hAnsi="Arial"/>
          <w:sz w:val="14"/>
          <w:szCs w:val="14"/>
          <w:b w:val="1"/>
          <w:bCs w:val="1"/>
          <w:color w:val="auto"/>
        </w:rPr>
        <w:t>Conversion Consideration</w:t>
      </w:r>
      <w:r>
        <w:rPr>
          <w:rFonts w:ascii="Arial" w:cs="Arial" w:eastAsia="Arial" w:hAnsi="Arial"/>
          <w:sz w:val="14"/>
          <w:szCs w:val="14"/>
          <w:color w:val="auto"/>
        </w:rPr>
        <w:t>”).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notify the Designated Financial Institution(s) of the relevant deadline for delivery of the Conversion Consideration and the type of Conversion Consideration to be paid and/or delivered, as the case may be.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78" w:name="page179"/>
    <w:bookmarkEnd w:id="178"/>
    <w:p>
      <w:pPr>
        <w:jc w:val="both"/>
        <w:ind w:right="20" w:firstLine="1143"/>
        <w:spacing w:after="0" w:line="254" w:lineRule="auto"/>
        <w:tabs>
          <w:tab w:leader="none" w:pos="136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Notes delivered to the Designated Financial Institution(s) shall remain outstanding and the Designated Financial Institution(s) shall be the holder(s) of the Notes, subject to the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notify the Trustee, the Conversion Agent and the Holder surrendering its Notes for conversion and pay and/or deliver, as the case may be, the relevant Conversion Consideration, as, and at the time, required pursuant to this Indenture as if the Company had not made the Exchange Election and the Notes will be cancelled in accordance with the provisions of this Indenture.</w:t>
      </w:r>
    </w:p>
    <w:p>
      <w:pPr>
        <w:spacing w:after="0" w:line="170" w:lineRule="exact"/>
        <w:rPr>
          <w:rFonts w:ascii="Arial" w:cs="Arial" w:eastAsia="Arial" w:hAnsi="Arial"/>
          <w:sz w:val="16"/>
          <w:szCs w:val="16"/>
          <w:color w:val="auto"/>
        </w:rPr>
      </w:pPr>
    </w:p>
    <w:p>
      <w:pPr>
        <w:ind w:right="20" w:firstLine="1143"/>
        <w:spacing w:after="0" w:line="275" w:lineRule="auto"/>
        <w:tabs>
          <w:tab w:leader="none" w:pos="1396"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Company’s designation of any Designated Financial Institution(s) to which the Notes may be submitted for exchange does not require such Designated Financial Institution(s) to accept any Notes.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w:t>
      </w:r>
      <w:r>
        <w:rPr>
          <w:rFonts w:ascii="Arial" w:cs="Arial" w:eastAsia="Arial" w:hAnsi="Arial"/>
          <w:sz w:val="10"/>
          <w:szCs w:val="10"/>
          <w:color w:val="auto"/>
        </w:rPr>
        <w:t>EPURCHASE OF</w:t>
      </w:r>
      <w:r>
        <w:rPr>
          <w:rFonts w:ascii="Arial" w:cs="Arial" w:eastAsia="Arial" w:hAnsi="Arial"/>
          <w:sz w:val="16"/>
          <w:szCs w:val="16"/>
          <w:color w:val="auto"/>
        </w:rPr>
        <w:t xml:space="preserve"> N</w:t>
      </w:r>
      <w:r>
        <w:rPr>
          <w:rFonts w:ascii="Arial" w:cs="Arial" w:eastAsia="Arial" w:hAnsi="Arial"/>
          <w:sz w:val="10"/>
          <w:szCs w:val="10"/>
          <w:color w:val="auto"/>
        </w:rPr>
        <w:t>OTES AT</w:t>
      </w:r>
      <w:r>
        <w:rPr>
          <w:rFonts w:ascii="Arial" w:cs="Arial" w:eastAsia="Arial" w:hAnsi="Arial"/>
          <w:sz w:val="16"/>
          <w:szCs w:val="16"/>
          <w:color w:val="auto"/>
        </w:rPr>
        <w:t xml:space="preserve"> O</w:t>
      </w:r>
      <w:r>
        <w:rPr>
          <w:rFonts w:ascii="Arial" w:cs="Arial" w:eastAsia="Arial" w:hAnsi="Arial"/>
          <w:sz w:val="10"/>
          <w:szCs w:val="10"/>
          <w:color w:val="auto"/>
        </w:rPr>
        <w:t>PTION OF</w:t>
      </w:r>
      <w:r>
        <w:rPr>
          <w:rFonts w:ascii="Arial" w:cs="Arial" w:eastAsia="Arial" w:hAnsi="Arial"/>
          <w:sz w:val="16"/>
          <w:szCs w:val="16"/>
          <w:color w:val="auto"/>
        </w:rPr>
        <w:t xml:space="preserve"> H</w:t>
      </w:r>
      <w:r>
        <w:rPr>
          <w:rFonts w:ascii="Arial" w:cs="Arial" w:eastAsia="Arial" w:hAnsi="Arial"/>
          <w:sz w:val="10"/>
          <w:szCs w:val="10"/>
          <w:color w:val="auto"/>
        </w:rPr>
        <w:t>OLDERS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15.01. </w:t>
      </w:r>
      <w:r>
        <w:rPr>
          <w:rFonts w:ascii="Arial" w:cs="Arial" w:eastAsia="Arial" w:hAnsi="Arial"/>
          <w:sz w:val="16"/>
          <w:szCs w:val="16"/>
          <w:i w:val="1"/>
          <w:iCs w:val="1"/>
          <w:color w:val="auto"/>
        </w:rPr>
        <w:t>[Intentionally Omitted]</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Section 15.02. </w:t>
      </w:r>
      <w:r>
        <w:rPr>
          <w:rFonts w:ascii="Arial" w:cs="Arial" w:eastAsia="Arial" w:hAnsi="Arial"/>
          <w:sz w:val="15"/>
          <w:szCs w:val="15"/>
          <w:i w:val="1"/>
          <w:iCs w:val="1"/>
          <w:color w:val="auto"/>
        </w:rPr>
        <w:t>Repurchase at Option of Holders Upon a Fundamental Change</w:t>
      </w:r>
      <w:r>
        <w:rPr>
          <w:rFonts w:ascii="Arial" w:cs="Arial" w:eastAsia="Arial" w:hAnsi="Arial"/>
          <w:sz w:val="15"/>
          <w:szCs w:val="15"/>
          <w:color w:val="auto"/>
        </w:rPr>
        <w:t>. (a) If a Fundamental Change occurs at any time prior to the Maturity Date,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Arial" w:cs="Arial" w:eastAsia="Arial" w:hAnsi="Arial"/>
          <w:sz w:val="15"/>
          <w:szCs w:val="15"/>
          <w:b w:val="1"/>
          <w:bCs w:val="1"/>
          <w:color w:val="auto"/>
        </w:rPr>
        <w:t>Fundamental Change Repurchase</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specified by the Company that is not less than 20 Business Days or more than 35 Business Days following the date of the Fundamental Change Company Notice at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repurchase price equal to 100% of the principal amount thereof, </w:t>
      </w:r>
      <w:r>
        <w:rPr>
          <w:rFonts w:ascii="Arial" w:cs="Arial" w:eastAsia="Arial" w:hAnsi="Arial"/>
          <w:sz w:val="15"/>
          <w:szCs w:val="15"/>
          <w:i w:val="1"/>
          <w:iCs w:val="1"/>
          <w:color w:val="auto"/>
        </w:rPr>
        <w:t>plus</w:t>
      </w:r>
      <w:r>
        <w:rPr>
          <w:rFonts w:ascii="Arial" w:cs="Arial" w:eastAsia="Arial" w:hAnsi="Arial"/>
          <w:sz w:val="15"/>
          <w:szCs w:val="15"/>
          <w:color w:val="auto"/>
        </w:rPr>
        <w:t xml:space="preserve"> accrued and unpaid interest thereon to, but excluding, the Fundamental Change Repurchase Date (the “</w:t>
      </w:r>
      <w:r>
        <w:rPr>
          <w:rFonts w:ascii="Arial" w:cs="Arial" w:eastAsia="Arial" w:hAnsi="Arial"/>
          <w:sz w:val="15"/>
          <w:szCs w:val="15"/>
          <w:b w:val="1"/>
          <w:bCs w:val="1"/>
          <w:color w:val="auto"/>
        </w:rPr>
        <w:t>Fundamental Change Repurchase Price</w:t>
      </w:r>
      <w:r>
        <w:rPr>
          <w:rFonts w:ascii="Arial" w:cs="Arial" w:eastAsia="Arial" w:hAnsi="Arial"/>
          <w:sz w:val="15"/>
          <w:szCs w:val="15"/>
          <w:color w:val="auto"/>
        </w:rPr>
        <w:t>”), unless the Fundamental Change Repurchase Date falls after a Regular Record Date but on or prior to the Interest Payment Date to which such Regular Record Date relates, in which case the Company shall instead pay, on or, at the Company’s election, before such Interest Payment Date, the full amount of accrued and unpaid interest to Holders of record as of such Regular Record Date, and the Fundamental Change Repurchase Price shall be equal to 100% of the principal amount of Notes to be repurchased pursuant to this Article 15.</w:t>
      </w:r>
    </w:p>
    <w:p>
      <w:pPr>
        <w:spacing w:after="0" w:line="159" w:lineRule="exact"/>
        <w:rPr>
          <w:sz w:val="20"/>
          <w:szCs w:val="20"/>
          <w:color w:val="auto"/>
        </w:rPr>
      </w:pPr>
    </w:p>
    <w:p>
      <w:pPr>
        <w:ind w:left="1360" w:hanging="217"/>
        <w:spacing w:after="0"/>
        <w:tabs>
          <w:tab w:leader="none" w:pos="13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Repurchases of Notes under this Section 15.02 shall be made, at the option of the Holder thereof, upon:</w:t>
      </w:r>
    </w:p>
    <w:p>
      <w:pPr>
        <w:spacing w:after="0" w:line="194" w:lineRule="exact"/>
        <w:rPr>
          <w:rFonts w:ascii="Arial" w:cs="Arial" w:eastAsia="Arial" w:hAnsi="Arial"/>
          <w:sz w:val="16"/>
          <w:szCs w:val="16"/>
          <w:color w:val="auto"/>
        </w:rPr>
      </w:pPr>
    </w:p>
    <w:p>
      <w:pPr>
        <w:jc w:val="both"/>
        <w:ind w:right="20" w:firstLine="1716"/>
        <w:spacing w:after="0" w:line="259" w:lineRule="auto"/>
        <w:tabs>
          <w:tab w:leader="none" w:pos="199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delivery to the Paying Agent by a Holder of a duly completed notice (the “</w:t>
      </w:r>
      <w:r>
        <w:rPr>
          <w:rFonts w:ascii="Arial" w:cs="Arial" w:eastAsia="Arial" w:hAnsi="Arial"/>
          <w:sz w:val="16"/>
          <w:szCs w:val="16"/>
          <w:b w:val="1"/>
          <w:bCs w:val="1"/>
          <w:color w:val="auto"/>
        </w:rPr>
        <w:t>Fundamental Change Repurchase Notice</w:t>
      </w:r>
      <w:r>
        <w:rPr>
          <w:rFonts w:ascii="Arial" w:cs="Arial" w:eastAsia="Arial" w:hAnsi="Arial"/>
          <w:sz w:val="16"/>
          <w:szCs w:val="16"/>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165" w:lineRule="exact"/>
        <w:rPr>
          <w:rFonts w:ascii="Arial" w:cs="Arial" w:eastAsia="Arial" w:hAnsi="Arial"/>
          <w:sz w:val="16"/>
          <w:szCs w:val="16"/>
          <w:color w:val="auto"/>
        </w:rPr>
      </w:pPr>
    </w:p>
    <w:p>
      <w:pPr>
        <w:jc w:val="both"/>
        <w:ind w:right="20" w:firstLine="1716"/>
        <w:spacing w:after="0" w:line="258" w:lineRule="auto"/>
        <w:tabs>
          <w:tab w:leader="none" w:pos="2047" w:val="left"/>
        </w:tabs>
        <w:numPr>
          <w:ilvl w:val="1"/>
          <w:numId w:val="200"/>
        </w:numPr>
        <w:rPr>
          <w:rFonts w:ascii="Arial" w:cs="Arial" w:eastAsia="Arial" w:hAnsi="Arial"/>
          <w:sz w:val="16"/>
          <w:szCs w:val="16"/>
          <w:color w:val="auto"/>
        </w:rPr>
      </w:pPr>
      <w:r>
        <w:rPr>
          <w:rFonts w:ascii="Arial" w:cs="Arial" w:eastAsia="Arial" w:hAnsi="Arial"/>
          <w:sz w:val="16"/>
          <w:szCs w:val="16"/>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or transfer being a condition to receipt by the Holder of the Fundamental Change Repurchase Price therefor.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Fundamental Change Repurchase Notice in respect of any Physical Notes to be repurchased shall state:</w:t>
      </w:r>
    </w:p>
    <w:p>
      <w:pPr>
        <w:spacing w:after="0" w:line="198" w:lineRule="exact"/>
        <w:rPr>
          <w:sz w:val="20"/>
          <w:szCs w:val="20"/>
          <w:color w:val="auto"/>
        </w:rPr>
      </w:pPr>
    </w:p>
    <w:p>
      <w:pPr>
        <w:ind w:left="800" w:hanging="231"/>
        <w:spacing w:after="0"/>
        <w:tabs>
          <w:tab w:leader="none" w:pos="8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Physical Notes have been issued the certificate numbers of the Notes to be delivered for repurchase;</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must be $1,000 or an integral multiple thereof; and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79" w:name="page180"/>
    <w:bookmarkEnd w:id="179"/>
    <w:p>
      <w:pPr>
        <w:ind w:left="560"/>
        <w:spacing w:after="0"/>
        <w:rPr>
          <w:sz w:val="20"/>
          <w:szCs w:val="20"/>
          <w:color w:val="auto"/>
        </w:rPr>
      </w:pPr>
      <w:r>
        <w:rPr>
          <w:rFonts w:ascii="Arial" w:cs="Arial" w:eastAsia="Arial" w:hAnsi="Arial"/>
          <w:sz w:val="16"/>
          <w:szCs w:val="16"/>
          <w:color w:val="auto"/>
        </w:rPr>
        <w:t>(3) that the Notes are to be repurchased by the Company pursuant to the applicable provisions of the Notes and this Indenture.</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If the Notes are Global Notes, to exercise the Fundamental Change repurchase right, Holders must surrender their Notes in accordance with applicable Depositary procedures.</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Paying Agent shall promptly notify the Company of the receipt by it of any Fundamental Change Repurchase Notice or written notice of withdrawal thereof.</w:t>
      </w:r>
    </w:p>
    <w:p>
      <w:pPr>
        <w:spacing w:after="0" w:line="210" w:lineRule="exact"/>
        <w:rPr>
          <w:sz w:val="20"/>
          <w:szCs w:val="20"/>
          <w:color w:val="auto"/>
        </w:rPr>
      </w:pPr>
    </w:p>
    <w:p>
      <w:pPr>
        <w:jc w:val="both"/>
        <w:ind w:firstLine="1143"/>
        <w:spacing w:after="0" w:line="274" w:lineRule="auto"/>
        <w:tabs>
          <w:tab w:leader="none" w:pos="1368" w:val="left"/>
        </w:tabs>
        <w:numPr>
          <w:ilvl w:val="0"/>
          <w:numId w:val="202"/>
        </w:numPr>
        <w:rPr>
          <w:rFonts w:ascii="Arial" w:cs="Arial" w:eastAsia="Arial" w:hAnsi="Arial"/>
          <w:sz w:val="15"/>
          <w:szCs w:val="15"/>
          <w:color w:val="auto"/>
        </w:rPr>
      </w:pPr>
      <w:r>
        <w:rPr>
          <w:rFonts w:ascii="Arial" w:cs="Arial" w:eastAsia="Arial" w:hAnsi="Arial"/>
          <w:sz w:val="15"/>
          <w:szCs w:val="15"/>
          <w:color w:val="auto"/>
        </w:rPr>
        <w:t>On or before the 15th Business Day after the occurrence of the effective date of a Fundamental Change, the Company shall provide to all Holders and the Trustee, the Conversion Agent (if other than the Trustee) and the Paying Agent (if other than the Trustee) a written notice (the “</w:t>
      </w:r>
      <w:r>
        <w:rPr>
          <w:rFonts w:ascii="Arial" w:cs="Arial" w:eastAsia="Arial" w:hAnsi="Arial"/>
          <w:sz w:val="15"/>
          <w:szCs w:val="15"/>
          <w:b w:val="1"/>
          <w:bCs w:val="1"/>
          <w:color w:val="auto"/>
        </w:rPr>
        <w:t>Fundamental Change Company Notice</w:t>
      </w:r>
      <w:r>
        <w:rPr>
          <w:rFonts w:ascii="Arial" w:cs="Arial" w:eastAsia="Arial" w:hAnsi="Arial"/>
          <w:sz w:val="15"/>
          <w:szCs w:val="15"/>
          <w:color w:val="auto"/>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including through the filing of a Form 8-K with the Commission. Each Fundamental Change Company Notice shall specify:</w:t>
      </w:r>
    </w:p>
    <w:p>
      <w:pPr>
        <w:spacing w:after="0" w:line="156" w:lineRule="exact"/>
        <w:rPr>
          <w:rFonts w:ascii="Arial" w:cs="Arial" w:eastAsia="Arial" w:hAnsi="Arial"/>
          <w:sz w:val="15"/>
          <w:szCs w:val="15"/>
          <w:color w:val="auto"/>
        </w:rPr>
      </w:pPr>
    </w:p>
    <w:p>
      <w:pPr>
        <w:ind w:left="1980" w:hanging="264"/>
        <w:spacing w:after="0"/>
        <w:tabs>
          <w:tab w:leader="none" w:pos="19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events causing the Fundamental Change;</w:t>
      </w:r>
    </w:p>
    <w:p>
      <w:pPr>
        <w:spacing w:after="0" w:line="198" w:lineRule="exact"/>
        <w:rPr>
          <w:rFonts w:ascii="Arial" w:cs="Arial" w:eastAsia="Arial" w:hAnsi="Arial"/>
          <w:sz w:val="16"/>
          <w:szCs w:val="16"/>
          <w:color w:val="auto"/>
        </w:rPr>
      </w:pPr>
    </w:p>
    <w:p>
      <w:pPr>
        <w:ind w:left="2040" w:hanging="324"/>
        <w:spacing w:after="0"/>
        <w:tabs>
          <w:tab w:leader="none" w:pos="204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effective date of the Fundamental Change;</w:t>
      </w:r>
    </w:p>
    <w:p>
      <w:pPr>
        <w:spacing w:after="0" w:line="198" w:lineRule="exact"/>
        <w:rPr>
          <w:rFonts w:ascii="Arial" w:cs="Arial" w:eastAsia="Arial" w:hAnsi="Arial"/>
          <w:sz w:val="16"/>
          <w:szCs w:val="16"/>
          <w:color w:val="auto"/>
        </w:rPr>
      </w:pPr>
    </w:p>
    <w:p>
      <w:pPr>
        <w:ind w:left="2000" w:hanging="284"/>
        <w:spacing w:after="0"/>
        <w:tabs>
          <w:tab w:leader="none" w:pos="200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last date on which a Holder may exercise the repurchase right pursuant to this Article 15;</w:t>
      </w:r>
    </w:p>
    <w:p>
      <w:pPr>
        <w:spacing w:after="0" w:line="198" w:lineRule="exact"/>
        <w:rPr>
          <w:rFonts w:ascii="Arial" w:cs="Arial" w:eastAsia="Arial" w:hAnsi="Arial"/>
          <w:sz w:val="16"/>
          <w:szCs w:val="16"/>
          <w:color w:val="auto"/>
        </w:rPr>
      </w:pPr>
    </w:p>
    <w:p>
      <w:pPr>
        <w:ind w:left="1980" w:hanging="264"/>
        <w:spacing w:after="0"/>
        <w:tabs>
          <w:tab w:leader="none" w:pos="19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Fundamental Change Repurchase Price;</w:t>
      </w:r>
    </w:p>
    <w:p>
      <w:pPr>
        <w:spacing w:after="0" w:line="198" w:lineRule="exact"/>
        <w:rPr>
          <w:rFonts w:ascii="Arial" w:cs="Arial" w:eastAsia="Arial" w:hAnsi="Arial"/>
          <w:sz w:val="16"/>
          <w:szCs w:val="16"/>
          <w:color w:val="auto"/>
        </w:rPr>
      </w:pPr>
    </w:p>
    <w:p>
      <w:pPr>
        <w:ind w:left="1940" w:hanging="224"/>
        <w:spacing w:after="0"/>
        <w:tabs>
          <w:tab w:leader="none" w:pos="194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Fundamental Change Repurchase Date;</w:t>
      </w:r>
    </w:p>
    <w:p>
      <w:pPr>
        <w:spacing w:after="0" w:line="198" w:lineRule="exact"/>
        <w:rPr>
          <w:rFonts w:ascii="Arial" w:cs="Arial" w:eastAsia="Arial" w:hAnsi="Arial"/>
          <w:sz w:val="16"/>
          <w:szCs w:val="16"/>
          <w:color w:val="auto"/>
        </w:rPr>
      </w:pPr>
    </w:p>
    <w:p>
      <w:pPr>
        <w:ind w:left="1980" w:hanging="264"/>
        <w:spacing w:after="0"/>
        <w:tabs>
          <w:tab w:leader="none" w:pos="19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name and address of the Paying Agent and the Conversion Agent, if applicable;</w:t>
      </w:r>
    </w:p>
    <w:p>
      <w:pPr>
        <w:spacing w:after="0" w:line="198" w:lineRule="exact"/>
        <w:rPr>
          <w:rFonts w:ascii="Arial" w:cs="Arial" w:eastAsia="Arial" w:hAnsi="Arial"/>
          <w:sz w:val="16"/>
          <w:szCs w:val="16"/>
          <w:color w:val="auto"/>
        </w:rPr>
      </w:pPr>
    </w:p>
    <w:p>
      <w:pPr>
        <w:ind w:left="2120" w:hanging="404"/>
        <w:spacing w:after="0"/>
        <w:tabs>
          <w:tab w:leader="none" w:pos="2120" w:val="left"/>
        </w:tabs>
        <w:numPr>
          <w:ilvl w:val="1"/>
          <w:numId w:val="202"/>
        </w:numPr>
        <w:rPr>
          <w:rFonts w:ascii="Arial" w:cs="Arial" w:eastAsia="Arial" w:hAnsi="Arial"/>
          <w:sz w:val="14"/>
          <w:szCs w:val="14"/>
          <w:color w:val="auto"/>
        </w:rPr>
      </w:pPr>
      <w:r>
        <w:rPr>
          <w:rFonts w:ascii="Arial" w:cs="Arial" w:eastAsia="Arial" w:hAnsi="Arial"/>
          <w:sz w:val="14"/>
          <w:szCs w:val="14"/>
          <w:color w:val="auto"/>
        </w:rPr>
        <w:t>if applicable, the Conversion Rate and any adjustments to the Conversion Rate as a result of a Fundamental Change (or related Make-Whole</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Fundamental Change);</w:t>
      </w:r>
    </w:p>
    <w:p>
      <w:pPr>
        <w:spacing w:after="0" w:line="185" w:lineRule="exact"/>
        <w:rPr>
          <w:rFonts w:ascii="Arial" w:cs="Arial" w:eastAsia="Arial" w:hAnsi="Arial"/>
          <w:sz w:val="14"/>
          <w:szCs w:val="14"/>
          <w:color w:val="auto"/>
        </w:rPr>
      </w:pPr>
    </w:p>
    <w:p>
      <w:pPr>
        <w:ind w:right="20" w:firstLine="1716"/>
        <w:spacing w:after="0" w:line="275" w:lineRule="auto"/>
        <w:tabs>
          <w:tab w:leader="none" w:pos="2089"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that the Notes with respect to which a Fundamental Change Repurchase Notice has been delivered by a Holder may be converted only if the Holder validly withdraws the Fundamental Change Repurchase Notice in accordance with the terms of this Indenture; and</w:t>
      </w:r>
    </w:p>
    <w:p>
      <w:pPr>
        <w:spacing w:after="0" w:line="151" w:lineRule="exact"/>
        <w:rPr>
          <w:rFonts w:ascii="Arial" w:cs="Arial" w:eastAsia="Arial" w:hAnsi="Arial"/>
          <w:sz w:val="16"/>
          <w:szCs w:val="16"/>
          <w:color w:val="auto"/>
        </w:rPr>
      </w:pPr>
    </w:p>
    <w:p>
      <w:pPr>
        <w:ind w:left="1980" w:hanging="264"/>
        <w:spacing w:after="0"/>
        <w:tabs>
          <w:tab w:leader="none" w:pos="19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procedures that Holders must follow to require the Company to repurchase their Notes.</w:t>
      </w:r>
    </w:p>
    <w:p>
      <w:pPr>
        <w:spacing w:after="0" w:line="198"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0" w:name="page181"/>
    <w:bookmarkEnd w:id="180"/>
    <w:p>
      <w:pPr>
        <w:jc w:val="both"/>
        <w:ind w:right="20" w:firstLine="574"/>
        <w:spacing w:after="0" w:line="262" w:lineRule="auto"/>
        <w:rPr>
          <w:sz w:val="20"/>
          <w:szCs w:val="20"/>
          <w:color w:val="auto"/>
        </w:rPr>
      </w:pPr>
      <w:r>
        <w:rPr>
          <w:rFonts w:ascii="Arial" w:cs="Arial" w:eastAsia="Arial" w:hAnsi="Arial"/>
          <w:sz w:val="16"/>
          <w:szCs w:val="16"/>
          <w:color w:val="auto"/>
        </w:rPr>
        <w:t xml:space="preserve">At the Company’s written request, the Trustee shall give such notice in the Company’s name and at the Company’s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all cases, the text of such Fundamental Change Company Notice shall be prepared by the Company and delivered to the Trustee at least three Business Days prior (or such shorter period as shall be acceptable to the Trustee).</w:t>
      </w:r>
    </w:p>
    <w:p>
      <w:pPr>
        <w:spacing w:after="0" w:line="162" w:lineRule="exact"/>
        <w:rPr>
          <w:sz w:val="20"/>
          <w:szCs w:val="20"/>
          <w:color w:val="auto"/>
        </w:rPr>
      </w:pPr>
    </w:p>
    <w:p>
      <w:pPr>
        <w:jc w:val="both"/>
        <w:ind w:right="20" w:firstLine="1143"/>
        <w:spacing w:after="0" w:line="280" w:lineRule="auto"/>
        <w:tabs>
          <w:tab w:leader="none" w:pos="1376" w:val="left"/>
        </w:tabs>
        <w:numPr>
          <w:ilvl w:val="0"/>
          <w:numId w:val="203"/>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51" w:lineRule="exact"/>
        <w:rPr>
          <w:rFonts w:ascii="Arial" w:cs="Arial" w:eastAsia="Arial" w:hAnsi="Arial"/>
          <w:sz w:val="15"/>
          <w:szCs w:val="15"/>
          <w:color w:val="auto"/>
        </w:rPr>
      </w:pPr>
    </w:p>
    <w:p>
      <w:pPr>
        <w:jc w:val="both"/>
        <w:ind w:firstLine="1143"/>
        <w:spacing w:after="0" w:line="273" w:lineRule="auto"/>
        <w:tabs>
          <w:tab w:leader="none" w:pos="1367" w:val="left"/>
        </w:tabs>
        <w:numPr>
          <w:ilvl w:val="0"/>
          <w:numId w:val="203"/>
        </w:numPr>
        <w:rPr>
          <w:rFonts w:ascii="Arial" w:cs="Arial" w:eastAsia="Arial" w:hAnsi="Arial"/>
          <w:sz w:val="15"/>
          <w:szCs w:val="15"/>
          <w:color w:val="auto"/>
        </w:rPr>
      </w:pPr>
      <w:r>
        <w:rPr>
          <w:rFonts w:ascii="Arial" w:cs="Arial" w:eastAsia="Arial" w:hAnsi="Arial"/>
          <w:sz w:val="15"/>
          <w:szCs w:val="15"/>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156"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 xml:space="preserve">Section 15.03. </w:t>
      </w:r>
      <w:r>
        <w:rPr>
          <w:rFonts w:ascii="Arial" w:cs="Arial" w:eastAsia="Arial" w:hAnsi="Arial"/>
          <w:sz w:val="15"/>
          <w:szCs w:val="15"/>
          <w:i w:val="1"/>
          <w:iCs w:val="1"/>
          <w:color w:val="auto"/>
        </w:rPr>
        <w:t>Withdrawal of Fundamental Change Repurchase Notice</w:t>
      </w:r>
      <w:r>
        <w:rPr>
          <w:rFonts w:ascii="Arial" w:cs="Arial" w:eastAsia="Arial" w:hAnsi="Arial"/>
          <w:sz w:val="15"/>
          <w:szCs w:val="15"/>
          <w:color w:val="auto"/>
        </w:rPr>
        <w:t>. (a) A Fundamental Change Repurchase Notice may be withdrawn (in whole or in part) in respect of Physical Notes by means of a written notice of withdrawal received by the Corporate Trust Office of the Paying Agent in accordance with this Section 15.03 at any time prior to the close of business on the Business Day immediately preceding the Fundamental Change Repurchase Date, specifying:</w:t>
      </w:r>
    </w:p>
    <w:p>
      <w:pPr>
        <w:spacing w:after="0" w:line="146" w:lineRule="exact"/>
        <w:rPr>
          <w:sz w:val="20"/>
          <w:szCs w:val="20"/>
          <w:color w:val="auto"/>
        </w:rPr>
      </w:pPr>
    </w:p>
    <w:p>
      <w:pPr>
        <w:ind w:left="1720"/>
        <w:spacing w:after="0"/>
        <w:tabs>
          <w:tab w:leader="none" w:pos="200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5"/>
          <w:szCs w:val="15"/>
          <w:color w:val="auto"/>
        </w:rPr>
        <w:t>the principal amount of the Notes with respect to which such notice of withdrawal is being submitted, which must be $1,000 or an integral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multiple thereof,</w:t>
      </w:r>
    </w:p>
    <w:p>
      <w:pPr>
        <w:spacing w:after="0" w:line="186" w:lineRule="exact"/>
        <w:rPr>
          <w:sz w:val="20"/>
          <w:szCs w:val="20"/>
          <w:color w:val="auto"/>
        </w:rPr>
      </w:pPr>
    </w:p>
    <w:p>
      <w:pPr>
        <w:ind w:left="2040" w:hanging="324"/>
        <w:spacing w:after="0"/>
        <w:tabs>
          <w:tab w:leader="none" w:pos="20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certificate number of the Note in respect of which such notice of withdrawal is being submitted, and</w:t>
      </w:r>
    </w:p>
    <w:p>
      <w:pPr>
        <w:spacing w:after="0" w:line="198" w:lineRule="exact"/>
        <w:rPr>
          <w:rFonts w:ascii="Arial" w:cs="Arial" w:eastAsia="Arial" w:hAnsi="Arial"/>
          <w:sz w:val="16"/>
          <w:szCs w:val="16"/>
          <w:color w:val="auto"/>
        </w:rPr>
      </w:pPr>
    </w:p>
    <w:p>
      <w:pPr>
        <w:ind w:left="2000" w:hanging="284"/>
        <w:spacing w:after="0"/>
        <w:tabs>
          <w:tab w:leader="none" w:pos="200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the principal amount, if any, of such Note that remains subject to the original Fundamental Change Repurchase Notice, which must be $1,000 or</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an integral multiple thereof;</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Notes are Global Notes, such notice of withdrawal must comply with applicable procedures of the Depositary.</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15.04. </w:t>
      </w:r>
      <w:r>
        <w:rPr>
          <w:rFonts w:ascii="Arial" w:cs="Arial" w:eastAsia="Arial" w:hAnsi="Arial"/>
          <w:sz w:val="15"/>
          <w:szCs w:val="15"/>
          <w:i w:val="1"/>
          <w:iCs w:val="1"/>
          <w:color w:val="auto"/>
        </w:rPr>
        <w:t>Deposit of Fundamental Change Repurchase Price</w:t>
      </w:r>
      <w:r>
        <w:rPr>
          <w:rFonts w:ascii="Arial" w:cs="Arial" w:eastAsia="Arial" w:hAnsi="Arial"/>
          <w:sz w:val="15"/>
          <w:szCs w:val="15"/>
          <w:color w:val="auto"/>
        </w:rPr>
        <w:t>. (a)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will be made on the later of (i) the Fundamental Change Repurchase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1" w:name="page182"/>
    <w:bookmarkEnd w:id="181"/>
    <w:p>
      <w:pPr>
        <w:jc w:val="both"/>
        <w:ind w:firstLine="1143"/>
        <w:spacing w:after="0" w:line="253" w:lineRule="auto"/>
        <w:tabs>
          <w:tab w:leader="none" w:pos="137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by 11:00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and, to the extent not included in the Fundamental Change Repurchase Price, accrued and unpaid interest, if applicable).</w:t>
      </w:r>
    </w:p>
    <w:p>
      <w:pPr>
        <w:spacing w:after="0" w:line="171" w:lineRule="exact"/>
        <w:rPr>
          <w:rFonts w:ascii="Arial" w:cs="Arial" w:eastAsia="Arial" w:hAnsi="Arial"/>
          <w:sz w:val="16"/>
          <w:szCs w:val="16"/>
          <w:color w:val="auto"/>
        </w:rPr>
      </w:pPr>
    </w:p>
    <w:p>
      <w:pPr>
        <w:ind w:right="20" w:firstLine="1143"/>
        <w:spacing w:after="0" w:line="309" w:lineRule="auto"/>
        <w:tabs>
          <w:tab w:leader="none" w:pos="1374" w:val="left"/>
        </w:tabs>
        <w:numPr>
          <w:ilvl w:val="0"/>
          <w:numId w:val="205"/>
        </w:numPr>
        <w:rPr>
          <w:rFonts w:ascii="Arial" w:cs="Arial" w:eastAsia="Arial" w:hAnsi="Arial"/>
          <w:sz w:val="15"/>
          <w:szCs w:val="15"/>
          <w:color w:val="auto"/>
        </w:rPr>
      </w:pPr>
      <w:r>
        <w:rPr>
          <w:rFonts w:ascii="Arial" w:cs="Arial" w:eastAsia="Arial" w:hAnsi="Arial"/>
          <w:sz w:val="15"/>
          <w:szCs w:val="15"/>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29"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 xml:space="preserve">Section 15.05. </w:t>
      </w:r>
      <w:r>
        <w:rPr>
          <w:rFonts w:ascii="Arial" w:cs="Arial" w:eastAsia="Arial" w:hAnsi="Arial"/>
          <w:sz w:val="16"/>
          <w:szCs w:val="16"/>
          <w:i w:val="1"/>
          <w:iCs w:val="1"/>
          <w:color w:val="auto"/>
        </w:rPr>
        <w:t>Covenant to Comply with Applicable Laws Upon Repurchase of Notes</w:t>
      </w:r>
      <w:r>
        <w:rPr>
          <w:rFonts w:ascii="Arial" w:cs="Arial" w:eastAsia="Arial" w:hAnsi="Arial"/>
          <w:sz w:val="16"/>
          <w:szCs w:val="16"/>
          <w:color w:val="auto"/>
        </w:rPr>
        <w:t>. In connection with any repurchase offer upon a Fundamental Change pursuant to this Article 15, the Company will, if required:</w:t>
      </w:r>
    </w:p>
    <w:p>
      <w:pPr>
        <w:spacing w:after="0" w:line="152" w:lineRule="exact"/>
        <w:rPr>
          <w:sz w:val="20"/>
          <w:szCs w:val="20"/>
          <w:color w:val="auto"/>
        </w:rPr>
      </w:pPr>
    </w:p>
    <w:p>
      <w:pPr>
        <w:ind w:left="1360" w:hanging="217"/>
        <w:spacing w:after="0"/>
        <w:tabs>
          <w:tab w:leader="none" w:pos="13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 the Exchange Act that may then be applicable;</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file a Schedule TO or any other required schedule under the Exchange Act; and</w:t>
      </w:r>
    </w:p>
    <w:p>
      <w:pPr>
        <w:spacing w:after="0" w:line="198" w:lineRule="exact"/>
        <w:rPr>
          <w:rFonts w:ascii="Arial" w:cs="Arial" w:eastAsia="Arial" w:hAnsi="Arial"/>
          <w:sz w:val="16"/>
          <w:szCs w:val="16"/>
          <w:color w:val="auto"/>
        </w:rPr>
      </w:pPr>
    </w:p>
    <w:p>
      <w:pPr>
        <w:ind w:right="200" w:firstLine="1143"/>
        <w:spacing w:after="0" w:line="532" w:lineRule="auto"/>
        <w:tabs>
          <w:tab w:leader="none" w:pos="1364" w:val="left"/>
        </w:tabs>
        <w:numPr>
          <w:ilvl w:val="0"/>
          <w:numId w:val="206"/>
        </w:numPr>
        <w:rPr>
          <w:rFonts w:ascii="Arial" w:cs="Arial" w:eastAsia="Arial" w:hAnsi="Arial"/>
          <w:sz w:val="15"/>
          <w:szCs w:val="15"/>
          <w:color w:val="auto"/>
        </w:rPr>
      </w:pPr>
      <w:r>
        <w:rPr>
          <w:rFonts w:ascii="Arial" w:cs="Arial" w:eastAsia="Arial" w:hAnsi="Arial"/>
          <w:sz w:val="15"/>
          <w:szCs w:val="15"/>
          <w:color w:val="auto"/>
        </w:rPr>
        <w:t>otherwise comply in all material respects with all federal and state securities laws in connection with any offer by the Company to repurchase the Notes; in each case, so as to permit the rights and obligations under this Article 15 to be exercised in the time and in the manner specified in this Article 15.</w:t>
      </w:r>
    </w:p>
    <w:p>
      <w:pPr>
        <w:jc w:val="both"/>
        <w:ind w:right="20" w:firstLine="574"/>
        <w:spacing w:after="0" w:line="262" w:lineRule="auto"/>
        <w:rPr>
          <w:sz w:val="20"/>
          <w:szCs w:val="20"/>
          <w:color w:val="auto"/>
        </w:rPr>
      </w:pPr>
      <w:r>
        <w:rPr>
          <w:rFonts w:ascii="Arial" w:cs="Arial" w:eastAsia="Arial" w:hAnsi="Arial"/>
          <w:sz w:val="16"/>
          <w:szCs w:val="16"/>
          <w:color w:val="auto"/>
        </w:rPr>
        <w:t>However, to the extent that the obligations of the Company to offer to repurchase and to repurchase Notes pursuant to the provisions described above conflict with any law or regulation adopted after the date of this Indenture and that is applicable to the Company, the Company’s compliance with such law or regulation shall not be considered to be a Default of those obligations.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w:t>
      </w:r>
      <w:r>
        <w:rPr>
          <w:rFonts w:ascii="Arial" w:cs="Arial" w:eastAsia="Arial" w:hAnsi="Arial"/>
          <w:sz w:val="10"/>
          <w:szCs w:val="10"/>
          <w:color w:val="auto"/>
        </w:rPr>
        <w:t>PTIONAL</w:t>
      </w:r>
      <w:r>
        <w:rPr>
          <w:rFonts w:ascii="Arial" w:cs="Arial" w:eastAsia="Arial" w:hAnsi="Arial"/>
          <w:sz w:val="16"/>
          <w:szCs w:val="16"/>
          <w:color w:val="auto"/>
        </w:rPr>
        <w:t xml:space="preserve"> R</w:t>
      </w:r>
      <w:r>
        <w:rPr>
          <w:rFonts w:ascii="Arial" w:cs="Arial" w:eastAsia="Arial" w:hAnsi="Arial"/>
          <w:sz w:val="10"/>
          <w:szCs w:val="10"/>
          <w:color w:val="auto"/>
        </w:rPr>
        <w:t>EDEMPTION</w:t>
      </w:r>
    </w:p>
    <w:p>
      <w:pPr>
        <w:spacing w:after="0" w:line="189" w:lineRule="exact"/>
        <w:rPr>
          <w:sz w:val="20"/>
          <w:szCs w:val="20"/>
          <w:color w:val="auto"/>
        </w:rPr>
      </w:pPr>
    </w:p>
    <w:p>
      <w:pPr>
        <w:jc w:val="both"/>
        <w:ind w:right="20" w:firstLine="574"/>
        <w:spacing w:after="0" w:line="228" w:lineRule="auto"/>
        <w:rPr>
          <w:sz w:val="20"/>
          <w:szCs w:val="20"/>
          <w:color w:val="auto"/>
        </w:rPr>
      </w:pPr>
      <w:r>
        <w:rPr>
          <w:rFonts w:ascii="Arial" w:cs="Arial" w:eastAsia="Arial" w:hAnsi="Arial"/>
          <w:sz w:val="16"/>
          <w:szCs w:val="16"/>
          <w:color w:val="auto"/>
        </w:rPr>
        <w:t xml:space="preserve">Section 16.01. </w:t>
      </w:r>
      <w:r>
        <w:rPr>
          <w:rFonts w:ascii="Arial" w:cs="Arial" w:eastAsia="Arial" w:hAnsi="Arial"/>
          <w:sz w:val="16"/>
          <w:szCs w:val="16"/>
          <w:i w:val="1"/>
          <w:iCs w:val="1"/>
          <w:color w:val="auto"/>
        </w:rPr>
        <w:t>Optional Redemption</w:t>
      </w:r>
      <w:r>
        <w:rPr>
          <w:rFonts w:ascii="Arial" w:cs="Arial" w:eastAsia="Arial" w:hAnsi="Arial"/>
          <w:sz w:val="16"/>
          <w:szCs w:val="16"/>
          <w:color w:val="auto"/>
        </w:rPr>
        <w:t>. No sinking fund is provided for the Notes. On a Redemption Date occurring before the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Scheduled Trading Day before the Maturity Date, the Company may redeem (an “</w:t>
      </w:r>
      <w:r>
        <w:rPr>
          <w:rFonts w:ascii="Arial" w:cs="Arial" w:eastAsia="Arial" w:hAnsi="Arial"/>
          <w:sz w:val="16"/>
          <w:szCs w:val="16"/>
          <w:b w:val="1"/>
          <w:bCs w:val="1"/>
          <w:color w:val="auto"/>
        </w:rPr>
        <w:t>Optional Redemption</w:t>
      </w:r>
      <w:r>
        <w:rPr>
          <w:rFonts w:ascii="Arial" w:cs="Arial" w:eastAsia="Arial" w:hAnsi="Arial"/>
          <w:sz w:val="16"/>
          <w:szCs w:val="16"/>
          <w:color w:val="auto"/>
        </w:rPr>
        <w:t>”) for cash all or any part of the Notes, at a redemption price equal to 100% of the principal amount of the Notes plus the Applicable Premium as of, and accrued and unpaid interest to, the Redemption Date (subject to the right of Holders on the relevant Regular Record Date to receive interest due on the relevant Interest Payment Date).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2" w:name="page183"/>
    <w:bookmarkEnd w:id="182"/>
    <w:p>
      <w:pPr>
        <w:jc w:val="both"/>
        <w:ind w:firstLine="574"/>
        <w:spacing w:after="0" w:line="294" w:lineRule="auto"/>
        <w:rPr>
          <w:sz w:val="20"/>
          <w:szCs w:val="20"/>
          <w:color w:val="auto"/>
        </w:rPr>
      </w:pPr>
      <w:r>
        <w:rPr>
          <w:rFonts w:ascii="Arial" w:cs="Arial" w:eastAsia="Arial" w:hAnsi="Arial"/>
          <w:sz w:val="14"/>
          <w:szCs w:val="14"/>
          <w:color w:val="auto"/>
        </w:rPr>
        <w:t xml:space="preserve">Section 16.02. </w:t>
      </w:r>
      <w:r>
        <w:rPr>
          <w:rFonts w:ascii="Arial" w:cs="Arial" w:eastAsia="Arial" w:hAnsi="Arial"/>
          <w:sz w:val="14"/>
          <w:szCs w:val="14"/>
          <w:i w:val="1"/>
          <w:iCs w:val="1"/>
          <w:color w:val="auto"/>
        </w:rPr>
        <w:t>Notice of Optional Redemption; Selection of Notes</w:t>
      </w:r>
      <w:r>
        <w:rPr>
          <w:rFonts w:ascii="Arial" w:cs="Arial" w:eastAsia="Arial" w:hAnsi="Arial"/>
          <w:sz w:val="14"/>
          <w:szCs w:val="14"/>
          <w:color w:val="auto"/>
        </w:rPr>
        <w:t>. (a) In case the Company exercises its Optional Redemption right to redeem all or, as the case may be, any part of the Notes pursuant to Section 16.01, it shall fix a date for redemption (each, a “</w:t>
      </w:r>
      <w:r>
        <w:rPr>
          <w:rFonts w:ascii="Arial" w:cs="Arial" w:eastAsia="Arial" w:hAnsi="Arial"/>
          <w:sz w:val="14"/>
          <w:szCs w:val="14"/>
          <w:b w:val="1"/>
          <w:bCs w:val="1"/>
          <w:color w:val="auto"/>
        </w:rPr>
        <w:t>Redemption Date</w:t>
      </w:r>
      <w:r>
        <w:rPr>
          <w:rFonts w:ascii="Arial" w:cs="Arial" w:eastAsia="Arial" w:hAnsi="Arial"/>
          <w:sz w:val="14"/>
          <w:szCs w:val="14"/>
          <w:color w:val="auto"/>
        </w:rPr>
        <w:t>”) and it or, at its written request received by the Trustee not less than five Business Days prior to the Redemption Notice Date (or such shorter period of time as may be acceptable to the Trustee), the Trustee, in the name of and at the expense of the Company, shall deliver or cause to be delivered a written notice of such Optional Redemption (a “</w:t>
      </w:r>
      <w:r>
        <w:rPr>
          <w:rFonts w:ascii="Arial" w:cs="Arial" w:eastAsia="Arial" w:hAnsi="Arial"/>
          <w:sz w:val="14"/>
          <w:szCs w:val="14"/>
          <w:b w:val="1"/>
          <w:bCs w:val="1"/>
          <w:color w:val="auto"/>
        </w:rPr>
        <w:t>Notice of Redemption</w:t>
      </w:r>
      <w:r>
        <w:rPr>
          <w:rFonts w:ascii="Arial" w:cs="Arial" w:eastAsia="Arial" w:hAnsi="Arial"/>
          <w:sz w:val="14"/>
          <w:szCs w:val="14"/>
          <w:color w:val="auto"/>
        </w:rPr>
        <w:t xml:space="preserve">”) (in all cases, the text of such Notice of Redemption shall be prepared by the Company) not less than 35 nor more than 65 Scheduled Trading Days prior to the Redemption Date to each Holder of Notes so to be redeemed in whole or in part;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the Company shall give such notice, it shall also give written notice of the Redemption Date to the Trustee, the Conversion Agent and the Paying Agent. In the case of any Optional Redemption in part, Holders of Notes not called for Optional Redemption will not be entitled to an increased Conversion Rate for such Notes in accordance with Section 14.03 and Section 16.02(c). The Redemption Date must be a Business Day.</w:t>
      </w:r>
    </w:p>
    <w:p>
      <w:pPr>
        <w:spacing w:after="0" w:line="143" w:lineRule="exact"/>
        <w:rPr>
          <w:sz w:val="20"/>
          <w:szCs w:val="20"/>
          <w:color w:val="auto"/>
        </w:rPr>
      </w:pPr>
    </w:p>
    <w:p>
      <w:pPr>
        <w:jc w:val="both"/>
        <w:ind w:right="20" w:firstLine="1143"/>
        <w:spacing w:after="0" w:line="262" w:lineRule="auto"/>
        <w:tabs>
          <w:tab w:leader="none" w:pos="137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w:t>
      </w:r>
    </w:p>
    <w:p>
      <w:pPr>
        <w:spacing w:after="0" w:line="162" w:lineRule="exact"/>
        <w:rPr>
          <w:rFonts w:ascii="Arial" w:cs="Arial" w:eastAsia="Arial" w:hAnsi="Arial"/>
          <w:sz w:val="16"/>
          <w:szCs w:val="16"/>
          <w:color w:val="auto"/>
        </w:rPr>
      </w:pPr>
    </w:p>
    <w:p>
      <w:pPr>
        <w:ind w:left="1360" w:hanging="217"/>
        <w:spacing w:after="0"/>
        <w:tabs>
          <w:tab w:leader="none" w:pos="13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Each Notice of Redemption shall specify:</w:t>
      </w:r>
    </w:p>
    <w:p>
      <w:pPr>
        <w:spacing w:after="0" w:line="198" w:lineRule="exact"/>
        <w:rPr>
          <w:rFonts w:ascii="Arial" w:cs="Arial" w:eastAsia="Arial" w:hAnsi="Arial"/>
          <w:sz w:val="16"/>
          <w:szCs w:val="16"/>
          <w:color w:val="auto"/>
        </w:rPr>
      </w:pPr>
    </w:p>
    <w:p>
      <w:pPr>
        <w:ind w:left="1900" w:hanging="184"/>
        <w:spacing w:after="0"/>
        <w:tabs>
          <w:tab w:leader="none" w:pos="190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Redemption Date (which must be a Business Day);</w:t>
      </w:r>
    </w:p>
    <w:p>
      <w:pPr>
        <w:spacing w:after="0" w:line="198" w:lineRule="exact"/>
        <w:rPr>
          <w:rFonts w:ascii="Arial" w:cs="Arial" w:eastAsia="Arial" w:hAnsi="Arial"/>
          <w:sz w:val="16"/>
          <w:szCs w:val="16"/>
          <w:color w:val="auto"/>
        </w:rPr>
      </w:pPr>
    </w:p>
    <w:p>
      <w:pPr>
        <w:ind w:left="1960" w:hanging="244"/>
        <w:spacing w:after="0"/>
        <w:tabs>
          <w:tab w:leader="none" w:pos="196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Redemption Price;</w:t>
      </w:r>
    </w:p>
    <w:p>
      <w:pPr>
        <w:spacing w:after="0" w:line="198" w:lineRule="exact"/>
        <w:rPr>
          <w:rFonts w:ascii="Arial" w:cs="Arial" w:eastAsia="Arial" w:hAnsi="Arial"/>
          <w:sz w:val="16"/>
          <w:szCs w:val="16"/>
          <w:color w:val="auto"/>
        </w:rPr>
      </w:pPr>
    </w:p>
    <w:p>
      <w:pPr>
        <w:ind w:right="20" w:firstLine="1716"/>
        <w:spacing w:after="0" w:line="275" w:lineRule="auto"/>
        <w:tabs>
          <w:tab w:leader="none" w:pos="2008"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that on the Redemption Date, the Redemption Price will become due and payable upon each Note to be redeemed, and that interest thereon, if any, shall cease to accrue on and after the Redemption Date;</w:t>
      </w:r>
    </w:p>
    <w:p>
      <w:pPr>
        <w:spacing w:after="0" w:line="151" w:lineRule="exact"/>
        <w:rPr>
          <w:rFonts w:ascii="Arial" w:cs="Arial" w:eastAsia="Arial" w:hAnsi="Arial"/>
          <w:sz w:val="16"/>
          <w:szCs w:val="16"/>
          <w:color w:val="auto"/>
        </w:rPr>
      </w:pPr>
    </w:p>
    <w:p>
      <w:pPr>
        <w:ind w:left="1980" w:hanging="264"/>
        <w:spacing w:after="0"/>
        <w:tabs>
          <w:tab w:leader="none" w:pos="198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place or places where such Notes are to be surrendered for payment of the Redemption Price;</w:t>
      </w:r>
    </w:p>
    <w:p>
      <w:pPr>
        <w:spacing w:after="0" w:line="198" w:lineRule="exact"/>
        <w:rPr>
          <w:rFonts w:ascii="Arial" w:cs="Arial" w:eastAsia="Arial" w:hAnsi="Arial"/>
          <w:sz w:val="16"/>
          <w:szCs w:val="16"/>
          <w:color w:val="auto"/>
        </w:rPr>
      </w:pPr>
    </w:p>
    <w:p>
      <w:pPr>
        <w:ind w:firstLine="1716"/>
        <w:spacing w:after="0" w:line="275" w:lineRule="auto"/>
        <w:tabs>
          <w:tab w:leader="none" w:pos="198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that Holders may surrender their Notes for conversion at any time prior to the close of business on the second Scheduled Trading Day immediately preceding the Redemption Date;</w:t>
      </w:r>
    </w:p>
    <w:p>
      <w:pPr>
        <w:spacing w:after="0" w:line="151" w:lineRule="exact"/>
        <w:rPr>
          <w:rFonts w:ascii="Arial" w:cs="Arial" w:eastAsia="Arial" w:hAnsi="Arial"/>
          <w:sz w:val="16"/>
          <w:szCs w:val="16"/>
          <w:color w:val="auto"/>
        </w:rPr>
      </w:pPr>
    </w:p>
    <w:p>
      <w:pPr>
        <w:ind w:left="2000" w:hanging="284"/>
        <w:spacing w:after="0"/>
        <w:tabs>
          <w:tab w:leader="none" w:pos="2000" w:val="left"/>
        </w:tabs>
        <w:numPr>
          <w:ilvl w:val="1"/>
          <w:numId w:val="207"/>
        </w:numPr>
        <w:rPr>
          <w:rFonts w:ascii="Arial" w:cs="Arial" w:eastAsia="Arial" w:hAnsi="Arial"/>
          <w:sz w:val="14"/>
          <w:szCs w:val="14"/>
          <w:color w:val="auto"/>
        </w:rPr>
      </w:pPr>
      <w:r>
        <w:rPr>
          <w:rFonts w:ascii="Arial" w:cs="Arial" w:eastAsia="Arial" w:hAnsi="Arial"/>
          <w:sz w:val="14"/>
          <w:szCs w:val="14"/>
          <w:color w:val="auto"/>
        </w:rPr>
        <w:t>the procedures a converting Holder must follow to convert its Notes and the forms and amounts of consideration payable by the Company upon</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conversion;</w:t>
      </w:r>
    </w:p>
    <w:p>
      <w:pPr>
        <w:spacing w:after="0" w:line="185" w:lineRule="exact"/>
        <w:rPr>
          <w:rFonts w:ascii="Arial" w:cs="Arial" w:eastAsia="Arial" w:hAnsi="Arial"/>
          <w:sz w:val="14"/>
          <w:szCs w:val="14"/>
          <w:color w:val="auto"/>
        </w:rPr>
      </w:pPr>
    </w:p>
    <w:p>
      <w:pPr>
        <w:ind w:left="2040" w:hanging="324"/>
        <w:spacing w:after="0"/>
        <w:tabs>
          <w:tab w:leader="none" w:pos="2040" w:val="left"/>
        </w:tabs>
        <w:numPr>
          <w:ilvl w:val="1"/>
          <w:numId w:val="207"/>
        </w:numPr>
        <w:rPr>
          <w:rFonts w:ascii="Arial" w:cs="Arial" w:eastAsia="Arial" w:hAnsi="Arial"/>
          <w:sz w:val="15"/>
          <w:szCs w:val="15"/>
          <w:color w:val="auto"/>
        </w:rPr>
      </w:pPr>
      <w:r>
        <w:rPr>
          <w:rFonts w:ascii="Arial" w:cs="Arial" w:eastAsia="Arial" w:hAnsi="Arial"/>
          <w:sz w:val="15"/>
          <w:szCs w:val="15"/>
          <w:color w:val="auto"/>
        </w:rPr>
        <w:t>the Conversion Rate and, if applicable, the number of Additional Shares added to the Conversion Rate in accordance with Section 14.03;</w:t>
      </w:r>
    </w:p>
    <w:p>
      <w:pPr>
        <w:spacing w:after="0" w:line="209" w:lineRule="exact"/>
        <w:rPr>
          <w:rFonts w:ascii="Arial" w:cs="Arial" w:eastAsia="Arial" w:hAnsi="Arial"/>
          <w:sz w:val="15"/>
          <w:szCs w:val="15"/>
          <w:color w:val="auto"/>
        </w:rPr>
      </w:pPr>
    </w:p>
    <w:p>
      <w:pPr>
        <w:ind w:left="2080" w:hanging="364"/>
        <w:spacing w:after="0"/>
        <w:tabs>
          <w:tab w:leader="none" w:pos="208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CUSIP, ISIN or other similar numbers, if any, assigned to such Notes; and</w:t>
      </w:r>
    </w:p>
    <w:p>
      <w:pPr>
        <w:spacing w:after="0" w:line="198" w:lineRule="exact"/>
        <w:rPr>
          <w:rFonts w:ascii="Arial" w:cs="Arial" w:eastAsia="Arial" w:hAnsi="Arial"/>
          <w:sz w:val="16"/>
          <w:szCs w:val="16"/>
          <w:color w:val="auto"/>
        </w:rPr>
      </w:pPr>
    </w:p>
    <w:p>
      <w:pPr>
        <w:jc w:val="both"/>
        <w:ind w:right="20" w:firstLine="1716"/>
        <w:spacing w:after="0" w:line="287" w:lineRule="auto"/>
        <w:tabs>
          <w:tab w:leader="none" w:pos="2003" w:val="left"/>
        </w:tabs>
        <w:numPr>
          <w:ilvl w:val="1"/>
          <w:numId w:val="207"/>
        </w:numPr>
        <w:rPr>
          <w:rFonts w:ascii="Arial" w:cs="Arial" w:eastAsia="Arial" w:hAnsi="Arial"/>
          <w:sz w:val="15"/>
          <w:szCs w:val="15"/>
          <w:color w:val="auto"/>
        </w:rPr>
      </w:pPr>
      <w:r>
        <w:rPr>
          <w:rFonts w:ascii="Arial" w:cs="Arial" w:eastAsia="Arial" w:hAnsi="Arial"/>
          <w:sz w:val="15"/>
          <w:szCs w:val="15"/>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 which principal amount must be $1,000 or a multiple thereof (or if a PIK Payment has been made, in a principal amount of $1.00 or an integral multiple of $1.00 in excess of $1.00).</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 Notice of Redemption shall be irrevocable.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3" w:name="page184"/>
    <w:bookmarkEnd w:id="183"/>
    <w:p>
      <w:pPr>
        <w:jc w:val="both"/>
        <w:ind w:firstLine="1143"/>
        <w:spacing w:after="0" w:line="290" w:lineRule="auto"/>
        <w:tabs>
          <w:tab w:leader="none" w:pos="1379" w:val="left"/>
        </w:tabs>
        <w:numPr>
          <w:ilvl w:val="0"/>
          <w:numId w:val="208"/>
        </w:numPr>
        <w:rPr>
          <w:rFonts w:ascii="Arial" w:cs="Arial" w:eastAsia="Arial" w:hAnsi="Arial"/>
          <w:sz w:val="14"/>
          <w:szCs w:val="14"/>
          <w:color w:val="auto"/>
        </w:rPr>
      </w:pPr>
      <w:r>
        <w:rPr>
          <w:rFonts w:ascii="Arial" w:cs="Arial" w:eastAsia="Arial" w:hAnsi="Arial"/>
          <w:sz w:val="14"/>
          <w:szCs w:val="14"/>
          <w:color w:val="auto"/>
        </w:rPr>
        <w:t xml:space="preserve">If fewer than all of the outstanding Notes are to be redeemed and the Notes to be redeemed are Global Notes, the Notes to be redeemed shall be selected by the Depositary in accordance with the applicable rules and procedures of the Depositary. If fewer than all of the outstanding Notes are to be redeemed and the Notes to be redeemed are not Global Notes, the Trustee shall select the Notes or portions thereof to be redeemed (in principal amounts of $1,000 or multiples thereof) by lot,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or by another method the Trustee considers to be fair and appropriate.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 If fewer than all of the outstanding Notes are to be redeemed and the Holder of any Note (or any owner of a beneficial interest in any Global Note) is reasonably not able to determine, before the close of business on the 45th scheduled Trading Day immediately before the relevant Redemption Date, whether such Note or beneficial interest, as applicable, is to be redeemed pursuant to such redemption, then such Holder or owner, as applicable, will be entitled to convert such Note or beneficial interest, as applicable, at any time before the close of business on the second Scheduled Trading Day prior to such Redemption Date, unless the Company defaults in the payment of the Redemption Price pursuant to Section 14.01(b)(v), in which case such Holder or owner, as applicable, will be entitled to convert such Note or beneficial interest, as applicable, until the Redemption Price has been paid or duly provided for, and each such conversion will be deemed to be of a Note called for redemption. The Trustee shall not be obligated to make any determination in connection with the foregoing.</w:t>
      </w:r>
    </w:p>
    <w:p>
      <w:pPr>
        <w:spacing w:after="0" w:line="151"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 xml:space="preserve">Section 16.03. </w:t>
      </w:r>
      <w:r>
        <w:rPr>
          <w:rFonts w:ascii="Arial" w:cs="Arial" w:eastAsia="Arial" w:hAnsi="Arial"/>
          <w:sz w:val="14"/>
          <w:szCs w:val="14"/>
          <w:i w:val="1"/>
          <w:iCs w:val="1"/>
          <w:color w:val="auto"/>
        </w:rPr>
        <w:t>Payment of Notes Called for Redemption</w:t>
      </w:r>
      <w:r>
        <w:rPr>
          <w:rFonts w:ascii="Arial" w:cs="Arial" w:eastAsia="Arial" w:hAnsi="Arial"/>
          <w:sz w:val="14"/>
          <w:szCs w:val="14"/>
          <w:color w:val="auto"/>
        </w:rPr>
        <w:t>. (a) If any Notice of Redemption has been given in respect of the Notes in accordance with Section 16.02, the Notes shall become due and payable on the Redemption Date at the place or places stated in the Notice of Redemption and at the applicable Redemption Price. On presentation and surrender of the Notes at the place or places stated in the Notice of Redemption, the Notes shall be paid and redeemed by the Company at the applicable Redemption Price.</w:t>
      </w:r>
    </w:p>
    <w:p>
      <w:pPr>
        <w:spacing w:after="0" w:line="127" w:lineRule="exact"/>
        <w:rPr>
          <w:sz w:val="20"/>
          <w:szCs w:val="20"/>
          <w:color w:val="auto"/>
        </w:rPr>
      </w:pPr>
    </w:p>
    <w:p>
      <w:pPr>
        <w:jc w:val="both"/>
        <w:ind w:firstLine="1143"/>
        <w:spacing w:after="0" w:line="255" w:lineRule="auto"/>
        <w:tabs>
          <w:tab w:leader="none" w:pos="137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70"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16.04. </w:t>
      </w:r>
      <w:r>
        <w:rPr>
          <w:rFonts w:ascii="Arial" w:cs="Arial" w:eastAsia="Arial" w:hAnsi="Arial"/>
          <w:sz w:val="16"/>
          <w:szCs w:val="16"/>
          <w:i w:val="1"/>
          <w:iCs w:val="1"/>
          <w:color w:val="auto"/>
        </w:rPr>
        <w:t>Restrictions on Redemption</w:t>
      </w:r>
      <w:r>
        <w:rPr>
          <w:rFonts w:ascii="Arial" w:cs="Arial" w:eastAsia="Arial" w:hAnsi="Arial"/>
          <w:sz w:val="16"/>
          <w:szCs w:val="16"/>
          <w:color w:val="auto"/>
        </w:rPr>
        <w:t>. No Notes may be redeemed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w:t>
      </w:r>
      <w:r>
        <w:rPr>
          <w:rFonts w:ascii="Arial" w:cs="Arial" w:eastAsia="Arial" w:hAnsi="Arial"/>
          <w:sz w:val="10"/>
          <w:szCs w:val="10"/>
          <w:color w:val="auto"/>
        </w:rPr>
        <w:t>UARANTEE</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17.01. </w:t>
      </w:r>
      <w:r>
        <w:rPr>
          <w:rFonts w:ascii="Arial" w:cs="Arial" w:eastAsia="Arial" w:hAnsi="Arial"/>
          <w:sz w:val="16"/>
          <w:szCs w:val="16"/>
          <w:i w:val="1"/>
          <w:iCs w:val="1"/>
          <w:color w:val="auto"/>
        </w:rPr>
        <w:t>Guarantee</w:t>
      </w:r>
      <w:r>
        <w:rPr>
          <w:rFonts w:ascii="Arial" w:cs="Arial" w:eastAsia="Arial" w:hAnsi="Arial"/>
          <w:sz w:val="16"/>
          <w:szCs w:val="16"/>
          <w:color w:val="auto"/>
        </w:rPr>
        <w:t>.</w:t>
      </w:r>
    </w:p>
    <w:p>
      <w:pPr>
        <w:spacing w:after="0" w:line="186"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Subject to this Article 17, each of the Guarantors hereby, jointly and severally, unconditionally guarantees to each Holder of a Note authenticated and delivered by the Trustee and to the Trustee and its successors and assigns the Notes or the obligations of the Company hereunder or thereunder, that: (a) the principal of, premium (if any) and interest on the Notes will be promptly paid in full when due, whether at the Maturity Date, by acceleration,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 (b) in case of any extension of time of payment or renewal of any Notes or any of such other obligations, that same will be promptly paid in full when due or performed in accordance with the terms of the extension or renewal, whether at the Maturity Date,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4" w:name="page185"/>
    <w:bookmarkEnd w:id="184"/>
    <w:p>
      <w:pPr>
        <w:jc w:val="both"/>
        <w:ind w:firstLine="574"/>
        <w:spacing w:after="0" w:line="274" w:lineRule="auto"/>
        <w:rPr>
          <w:sz w:val="20"/>
          <w:szCs w:val="20"/>
          <w:color w:val="auto"/>
        </w:rPr>
      </w:pPr>
      <w:r>
        <w:rPr>
          <w:rFonts w:ascii="Arial" w:cs="Arial" w:eastAsia="Arial" w:hAnsi="Arial"/>
          <w:sz w:val="15"/>
          <w:szCs w:val="15"/>
          <w:color w:val="auto"/>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to the extent permitted by applicable law, diligence, presentment, demand of payment, filing of claims with a court in the event of insolvency or bankruptcy of the Company, any right to require a proceeding first against the Company, protest, notice and all demands whatsoever and covenant that this Guarantee shall not be discharged except by complete performance of the obligations contained in the Notes and this Indenture.</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162"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Article Six hereof for the purposes of this Guarantee, notwithstanding any stay, injunction or other prohibition preventing such acceleration in respect of the obligations guaranteed hereby, and (y) in the event of any declaration of acceleration of such obligations as provided in Article Six hereof, such obligations (whether or not due and payable) shall forthwith become due and payable by the Guarantors for the purpose of this Guarantee.</w:t>
      </w:r>
    </w:p>
    <w:p>
      <w:pPr>
        <w:spacing w:after="0" w:line="13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If an Officer of a Guarantor whose signature is on this Indenture no longer holds that office at the time the Trustee authenticates any Note hereunder, this Guarantee shall be valid nevertheless.</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delivery of any Note by the Trustee, after the authentication thereof hereunder, shall constitute due delivery of the Guarantee set forth in this Indenture on behalf of the Guarantors.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17.02. </w:t>
      </w:r>
      <w:r>
        <w:rPr>
          <w:rFonts w:ascii="Arial" w:cs="Arial" w:eastAsia="Arial" w:hAnsi="Arial"/>
          <w:sz w:val="16"/>
          <w:szCs w:val="16"/>
          <w:i w:val="1"/>
          <w:iCs w:val="1"/>
          <w:color w:val="auto"/>
        </w:rPr>
        <w:t>Limitation on Guarantor Liability</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Ten, result in the obligations of such Guarantor under its Guarantee not constituting a fraudulent transfer or conveyance.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5" w:name="page186"/>
    <w:bookmarkEnd w:id="185"/>
    <w:p>
      <w:pPr>
        <w:ind w:left="4" w:right="20"/>
        <w:spacing w:after="0" w:line="275" w:lineRule="auto"/>
        <w:rPr>
          <w:sz w:val="20"/>
          <w:szCs w:val="20"/>
          <w:color w:val="auto"/>
        </w:rPr>
      </w:pPr>
      <w:r>
        <w:rPr>
          <w:rFonts w:ascii="Arial" w:cs="Arial" w:eastAsia="Arial" w:hAnsi="Arial"/>
          <w:sz w:val="16"/>
          <w:szCs w:val="16"/>
          <w:color w:val="auto"/>
        </w:rPr>
        <w:t>Each Guarantor that makes a payment for distribution under its Guarantee is entitled to a contribution from each other Guarantor in a pro rata amount based on the adjusted net assets of each Guarantor.</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17.03. </w:t>
      </w:r>
      <w:r>
        <w:rPr>
          <w:rFonts w:ascii="Arial" w:cs="Arial" w:eastAsia="Arial" w:hAnsi="Arial"/>
          <w:sz w:val="16"/>
          <w:szCs w:val="16"/>
          <w:i w:val="1"/>
          <w:iCs w:val="1"/>
          <w:color w:val="auto"/>
        </w:rPr>
        <w:t>Release of Guarantees</w:t>
      </w:r>
      <w:r>
        <w:rPr>
          <w:rFonts w:ascii="Arial" w:cs="Arial" w:eastAsia="Arial" w:hAnsi="Arial"/>
          <w:sz w:val="16"/>
          <w:szCs w:val="16"/>
          <w:color w:val="auto"/>
        </w:rPr>
        <w:t>.</w:t>
      </w:r>
    </w:p>
    <w:p>
      <w:pPr>
        <w:spacing w:after="0" w:line="198" w:lineRule="exact"/>
        <w:rPr>
          <w:sz w:val="20"/>
          <w:szCs w:val="20"/>
          <w:color w:val="auto"/>
        </w:rPr>
      </w:pPr>
    </w:p>
    <w:p>
      <w:pPr>
        <w:ind w:left="4" w:right="20" w:firstLine="574"/>
        <w:spacing w:after="0" w:line="275" w:lineRule="auto"/>
        <w:rPr>
          <w:sz w:val="20"/>
          <w:szCs w:val="20"/>
          <w:color w:val="auto"/>
        </w:rPr>
      </w:pPr>
      <w:r>
        <w:rPr>
          <w:rFonts w:ascii="Arial" w:cs="Arial" w:eastAsia="Arial" w:hAnsi="Arial"/>
          <w:sz w:val="16"/>
          <w:szCs w:val="16"/>
          <w:color w:val="auto"/>
        </w:rPr>
        <w:t>Any Guarantee by a Subsidiary of the Notes shall provide by its terms that it (and all Liens securing such Guarantee) shall be automatically and unconditionally released and discharged, without any further action required on the part of the Trustee or any Holder, upon:</w:t>
      </w:r>
    </w:p>
    <w:p>
      <w:pPr>
        <w:spacing w:after="0" w:line="152" w:lineRule="exact"/>
        <w:rPr>
          <w:sz w:val="20"/>
          <w:szCs w:val="20"/>
          <w:color w:val="auto"/>
        </w:rPr>
      </w:pPr>
    </w:p>
    <w:p>
      <w:pPr>
        <w:ind w:left="1364" w:hanging="217"/>
        <w:spacing w:after="0"/>
        <w:tabs>
          <w:tab w:leader="none" w:pos="136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Company’s obligations under this Indenture being discharged in accordance with the terms of this Indenture; or</w:t>
      </w:r>
    </w:p>
    <w:p>
      <w:pPr>
        <w:spacing w:after="0" w:line="198" w:lineRule="exact"/>
        <w:rPr>
          <w:rFonts w:ascii="Arial" w:cs="Arial" w:eastAsia="Arial" w:hAnsi="Arial"/>
          <w:sz w:val="16"/>
          <w:szCs w:val="16"/>
          <w:color w:val="auto"/>
        </w:rPr>
      </w:pPr>
    </w:p>
    <w:p>
      <w:pPr>
        <w:jc w:val="both"/>
        <w:ind w:left="564" w:firstLine="583"/>
        <w:spacing w:after="0" w:line="262" w:lineRule="auto"/>
        <w:tabs>
          <w:tab w:leader="none" w:pos="136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any sale, issuance or other disposition (by merger or otherwise) to any Person which is not a Subsidiary of the Company of (i) all or substantially all of the assets of such Subsidiary or (ii) Capital Stock of a Subsidiary such that such Subsidiary ceases to be a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or disposition of such Capital Stock is otherwise permitted by the terms of this Indenture.</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ARTICLE 18</w:t>
      </w:r>
    </w:p>
    <w:p>
      <w:pPr>
        <w:spacing w:after="0" w:line="2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M</w:t>
      </w:r>
      <w:r>
        <w:rPr>
          <w:rFonts w:ascii="Arial" w:cs="Arial" w:eastAsia="Arial" w:hAnsi="Arial"/>
          <w:sz w:val="10"/>
          <w:szCs w:val="10"/>
          <w:color w:val="auto"/>
        </w:rPr>
        <w:t>ISCELLANEOUS</w:t>
      </w:r>
      <w:r>
        <w:rPr>
          <w:rFonts w:ascii="Arial" w:cs="Arial" w:eastAsia="Arial" w:hAnsi="Arial"/>
          <w:sz w:val="16"/>
          <w:szCs w:val="16"/>
          <w:color w:val="auto"/>
        </w:rPr>
        <w:t xml:space="preserve"> P</w:t>
      </w:r>
      <w:r>
        <w:rPr>
          <w:rFonts w:ascii="Arial" w:cs="Arial" w:eastAsia="Arial" w:hAnsi="Arial"/>
          <w:sz w:val="10"/>
          <w:szCs w:val="10"/>
          <w:color w:val="auto"/>
        </w:rPr>
        <w:t>ROVISIONS</w:t>
      </w:r>
    </w:p>
    <w:p>
      <w:pPr>
        <w:spacing w:after="0" w:line="186"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 xml:space="preserve">Section 18.01. </w:t>
      </w:r>
      <w:r>
        <w:rPr>
          <w:rFonts w:ascii="Arial" w:cs="Arial" w:eastAsia="Arial" w:hAnsi="Arial"/>
          <w:sz w:val="16"/>
          <w:szCs w:val="16"/>
          <w:i w:val="1"/>
          <w:iCs w:val="1"/>
          <w:color w:val="auto"/>
        </w:rPr>
        <w:t>Provisions Binding on Company’s Successors</w:t>
      </w:r>
      <w:r>
        <w:rPr>
          <w:rFonts w:ascii="Arial" w:cs="Arial" w:eastAsia="Arial" w:hAnsi="Arial"/>
          <w:sz w:val="16"/>
          <w:szCs w:val="16"/>
          <w:color w:val="auto"/>
        </w:rPr>
        <w:t>. All the covenants, stipulations, promises and agreements of the Company contained in this Indenture shall bind its successors and assigns whether so expressed or not.</w:t>
      </w:r>
    </w:p>
    <w:p>
      <w:pPr>
        <w:spacing w:after="0" w:line="152"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 xml:space="preserve">Section 18.02. </w:t>
      </w:r>
      <w:r>
        <w:rPr>
          <w:rFonts w:ascii="Arial" w:cs="Arial" w:eastAsia="Arial" w:hAnsi="Arial"/>
          <w:sz w:val="16"/>
          <w:szCs w:val="16"/>
          <w:i w:val="1"/>
          <w:iCs w:val="1"/>
          <w:color w:val="auto"/>
        </w:rPr>
        <w:t>Official Acts by Successor Corporation</w:t>
      </w:r>
      <w:r>
        <w:rPr>
          <w:rFonts w:ascii="Arial" w:cs="Arial" w:eastAsia="Arial" w:hAnsi="Arial"/>
          <w:sz w:val="16"/>
          <w:szCs w:val="16"/>
          <w:color w:val="auto"/>
        </w:rPr>
        <w: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62" w:lineRule="exact"/>
        <w:rPr>
          <w:sz w:val="20"/>
          <w:szCs w:val="20"/>
          <w:color w:val="auto"/>
        </w:rPr>
      </w:pPr>
    </w:p>
    <w:p>
      <w:pPr>
        <w:jc w:val="both"/>
        <w:ind w:left="4" w:right="20" w:firstLine="574"/>
        <w:spacing w:after="0" w:line="294" w:lineRule="auto"/>
        <w:rPr>
          <w:sz w:val="20"/>
          <w:szCs w:val="20"/>
          <w:color w:val="auto"/>
        </w:rPr>
      </w:pPr>
      <w:r>
        <w:rPr>
          <w:rFonts w:ascii="Arial" w:cs="Arial" w:eastAsia="Arial" w:hAnsi="Arial"/>
          <w:sz w:val="14"/>
          <w:szCs w:val="14"/>
          <w:color w:val="auto"/>
        </w:rPr>
        <w:t xml:space="preserve">Section 18.03. </w:t>
      </w:r>
      <w:r>
        <w:rPr>
          <w:rFonts w:ascii="Arial" w:cs="Arial" w:eastAsia="Arial" w:hAnsi="Arial"/>
          <w:sz w:val="14"/>
          <w:szCs w:val="14"/>
          <w:i w:val="1"/>
          <w:iCs w:val="1"/>
          <w:color w:val="auto"/>
        </w:rPr>
        <w:t>Addresses for Notices, Etc</w:t>
      </w:r>
      <w:r>
        <w:rPr>
          <w:rFonts w:ascii="Arial" w:cs="Arial" w:eastAsia="Arial" w:hAnsi="Arial"/>
          <w:sz w:val="14"/>
          <w:szCs w:val="14"/>
          <w:color w:val="auto"/>
        </w:rPr>
        <w:t>.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w:t>
      </w:r>
    </w:p>
    <w:p>
      <w:pPr>
        <w:spacing w:after="0" w:line="1" w:lineRule="exact"/>
        <w:rPr>
          <w:sz w:val="20"/>
          <w:szCs w:val="20"/>
          <w:color w:val="auto"/>
        </w:rPr>
      </w:pPr>
    </w:p>
    <w:p>
      <w:pPr>
        <w:jc w:val="both"/>
        <w:ind w:left="4" w:right="20"/>
        <w:spacing w:after="0" w:line="230" w:lineRule="auto"/>
        <w:rPr>
          <w:sz w:val="20"/>
          <w:szCs w:val="20"/>
          <w:color w:val="auto"/>
        </w:rPr>
      </w:pPr>
      <w:r>
        <w:rPr>
          <w:rFonts w:ascii="Arial" w:cs="Arial" w:eastAsia="Arial" w:hAnsi="Arial"/>
          <w:sz w:val="16"/>
          <w:szCs w:val="16"/>
          <w:color w:val="auto"/>
        </w:rPr>
        <w:t>prepaid by registered or certified mail in a post office letter box addressed (until another address is filed by the Company with the Trustee) to [●]</w:t>
      </w:r>
      <w:r>
        <w:rPr>
          <w:rFonts w:ascii="Arial" w:cs="Arial" w:eastAsia="Arial" w:hAnsi="Arial"/>
          <w:sz w:val="26"/>
          <w:szCs w:val="26"/>
          <w:color w:val="auto"/>
          <w:vertAlign w:val="superscript"/>
        </w:rPr>
        <w:t>20</w:t>
      </w:r>
      <w:r>
        <w:rPr>
          <w:rFonts w:ascii="Arial" w:cs="Arial" w:eastAsia="Arial" w:hAnsi="Arial"/>
          <w:sz w:val="16"/>
          <w:szCs w:val="16"/>
          <w:color w:val="auto"/>
        </w:rPr>
        <w:t>, Attention: [●], Email: [●], with a copy to Colin Diamond, White &amp; Case LLP, 1221 Avenue of the Americas, New York, NY 10020 and Laura Katherine Mann, White &amp; Case LLP, 609 Main Street, Houston, TX, 77002.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whether by mail or electronically, upon actual receipt by the Trustee.</w:t>
      </w:r>
    </w:p>
    <w:p>
      <w:pPr>
        <w:spacing w:after="0" w:line="17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Trustee, by notice to the Company, may designate additional or different addresses for subsequent notices or communications.</w:t>
      </w:r>
    </w:p>
    <w:p>
      <w:pPr>
        <w:spacing w:after="0" w:line="198" w:lineRule="exact"/>
        <w:rPr>
          <w:sz w:val="20"/>
          <w:szCs w:val="20"/>
          <w:color w:val="auto"/>
        </w:rPr>
      </w:pPr>
    </w:p>
    <w:p>
      <w:pPr>
        <w:jc w:val="both"/>
        <w:ind w:left="4" w:firstLine="574"/>
        <w:spacing w:after="0" w:line="297" w:lineRule="auto"/>
        <w:rPr>
          <w:sz w:val="20"/>
          <w:szCs w:val="20"/>
          <w:color w:val="auto"/>
        </w:rPr>
      </w:pPr>
      <w:r>
        <w:rPr>
          <w:rFonts w:ascii="Arial" w:cs="Arial" w:eastAsia="Arial" w:hAnsi="Arial"/>
          <w:sz w:val="14"/>
          <w:szCs w:val="14"/>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790700"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46" w:lineRule="exact"/>
        <w:rPr>
          <w:sz w:val="20"/>
          <w:szCs w:val="20"/>
          <w:color w:val="auto"/>
        </w:rPr>
      </w:pPr>
    </w:p>
    <w:p>
      <w:pPr>
        <w:ind w:left="164" w:hanging="164"/>
        <w:spacing w:after="0"/>
        <w:tabs>
          <w:tab w:leader="none" w:pos="164" w:val="left"/>
        </w:tabs>
        <w:numPr>
          <w:ilvl w:val="0"/>
          <w:numId w:val="211"/>
        </w:numPr>
        <w:rPr>
          <w:rFonts w:ascii="Arial" w:cs="Arial" w:eastAsia="Arial" w:hAnsi="Arial"/>
          <w:sz w:val="22"/>
          <w:szCs w:val="22"/>
          <w:color w:val="auto"/>
          <w:vertAlign w:val="superscript"/>
        </w:rPr>
      </w:pPr>
      <w:r>
        <w:rPr>
          <w:rFonts w:ascii="Arial" w:cs="Arial" w:eastAsia="Arial" w:hAnsi="Arial"/>
          <w:sz w:val="14"/>
          <w:szCs w:val="14"/>
          <w:color w:val="auto"/>
        </w:rPr>
        <w:t>Note to Draft: Company to provide.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86" w:name="page187"/>
    <w:bookmarkEnd w:id="186"/>
    <w:p>
      <w:pPr>
        <w:jc w:val="both"/>
        <w:ind w:right="20" w:firstLine="574"/>
        <w:spacing w:after="0" w:line="275" w:lineRule="auto"/>
        <w:rPr>
          <w:sz w:val="20"/>
          <w:szCs w:val="20"/>
          <w:color w:val="auto"/>
        </w:rPr>
      </w:pPr>
      <w:r>
        <w:rPr>
          <w:rFonts w:ascii="Arial" w:cs="Arial" w:eastAsia="Arial" w:hAnsi="Arial"/>
          <w:sz w:val="16"/>
          <w:szCs w:val="16"/>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18.04. </w:t>
      </w:r>
      <w:r>
        <w:rPr>
          <w:rFonts w:ascii="Arial" w:cs="Arial" w:eastAsia="Arial" w:hAnsi="Arial"/>
          <w:sz w:val="16"/>
          <w:szCs w:val="16"/>
          <w:i w:val="1"/>
          <w:iCs w:val="1"/>
          <w:color w:val="auto"/>
        </w:rPr>
        <w:t>Governing Law; Jurisdiction</w:t>
      </w:r>
      <w:r>
        <w:rPr>
          <w:rFonts w:ascii="Arial" w:cs="Arial" w:eastAsia="Arial" w:hAnsi="Arial"/>
          <w:sz w:val="16"/>
          <w:szCs w:val="16"/>
          <w:color w:val="auto"/>
        </w:rPr>
        <w:t>. THIS INDENTURE AND EACH NOTE, AND ANY CLAIM, CONTROVERSY OR DISPUTE ARISING UNDER OR RELATED TO THIS INDENTURE AND EACH NOTE, SHALL BE GOVERNED BY, AND CONSTRUED IN ACCORDANCE WITH, THE LAWS OF THE STATE OF NEW YORK.</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Arial" w:cs="Arial" w:eastAsia="Arial" w:hAnsi="Arial"/>
          <w:sz w:val="16"/>
          <w:szCs w:val="16"/>
          <w:i w:val="1"/>
          <w:iCs w:val="1"/>
          <w:color w:val="auto"/>
        </w:rPr>
        <w:t>in personam</w:t>
      </w:r>
      <w:r>
        <w:rPr>
          <w:rFonts w:ascii="Arial" w:cs="Arial" w:eastAsia="Arial" w:hAnsi="Arial"/>
          <w:sz w:val="16"/>
          <w:szCs w:val="16"/>
          <w:color w:val="auto"/>
        </w:rPr>
        <w:t>, generally and unconditionally with respect to any action, suit or proceeding for itself in respect of its properties, assets and revenues.</w:t>
      </w:r>
    </w:p>
    <w:p>
      <w:pPr>
        <w:spacing w:after="0" w:line="170"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51"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18.05. </w:t>
      </w:r>
      <w:r>
        <w:rPr>
          <w:rFonts w:ascii="Arial" w:cs="Arial" w:eastAsia="Arial" w:hAnsi="Arial"/>
          <w:sz w:val="16"/>
          <w:szCs w:val="16"/>
          <w:i w:val="1"/>
          <w:iCs w:val="1"/>
          <w:color w:val="auto"/>
        </w:rPr>
        <w:t>Evidence of Compliance with Conditions Precedent; Certificates and Opinions of Counsel to Trustee</w:t>
      </w:r>
      <w:r>
        <w:rPr>
          <w:rFonts w:ascii="Arial" w:cs="Arial" w:eastAsia="Arial" w:hAnsi="Arial"/>
          <w:sz w:val="16"/>
          <w:szCs w:val="16"/>
          <w:color w:val="auto"/>
        </w:rPr>
        <w:t>. Upon any application or demand by the Company to the Trustee to take any action under any of the provisions of this Indenture, the Company shall furnish to the Trustee an Officer’s Certificate and an Opinion of Counsel stating that such action is permitted by the terms of this Indenture.</w:t>
      </w:r>
    </w:p>
    <w:p>
      <w:pPr>
        <w:spacing w:after="0" w:line="16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and the removal of the restrictive legends in connection therewith unless a new Note is to be authenticated,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7" w:name="page188"/>
    <w:bookmarkEnd w:id="187"/>
    <w:p>
      <w:pPr>
        <w:jc w:val="both"/>
        <w:ind w:right="20" w:firstLine="574"/>
        <w:spacing w:after="0" w:line="309" w:lineRule="auto"/>
        <w:rPr>
          <w:sz w:val="20"/>
          <w:szCs w:val="20"/>
          <w:color w:val="auto"/>
        </w:rPr>
      </w:pPr>
      <w:r>
        <w:rPr>
          <w:rFonts w:ascii="Arial" w:cs="Arial" w:eastAsia="Arial" w:hAnsi="Arial"/>
          <w:sz w:val="15"/>
          <w:szCs w:val="15"/>
          <w:color w:val="auto"/>
        </w:rPr>
        <w:t>Notwithstanding anything to the contrary in this Section 18.05, if any provision in this Indenture specifically provides that the Trustee shall or may receive an Opinion of Counsel in connection with any action to be taken by the Trustee or the Company hereunder, the Trustee shall be entitled to such Opinion of Counsel.</w:t>
      </w:r>
    </w:p>
    <w:p>
      <w:pPr>
        <w:spacing w:after="0" w:line="129"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18.06. </w:t>
      </w:r>
      <w:r>
        <w:rPr>
          <w:rFonts w:ascii="Arial" w:cs="Arial" w:eastAsia="Arial" w:hAnsi="Arial"/>
          <w:sz w:val="16"/>
          <w:szCs w:val="16"/>
          <w:i w:val="1"/>
          <w:iCs w:val="1"/>
          <w:color w:val="auto"/>
        </w:rPr>
        <w:t>Legal Holidays</w:t>
      </w:r>
      <w:r>
        <w:rPr>
          <w:rFonts w:ascii="Arial" w:cs="Arial" w:eastAsia="Arial" w:hAnsi="Arial"/>
          <w:sz w:val="16"/>
          <w:szCs w:val="16"/>
          <w:color w:val="auto"/>
        </w:rPr>
        <w:t>. In any case where any Interest Payment Date, any Fundamental Change Repurchase Date, any Redemption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18.07. </w:t>
      </w:r>
      <w:r>
        <w:rPr>
          <w:rFonts w:ascii="Arial" w:cs="Arial" w:eastAsia="Arial" w:hAnsi="Arial"/>
          <w:sz w:val="16"/>
          <w:szCs w:val="16"/>
          <w:i w:val="1"/>
          <w:iCs w:val="1"/>
          <w:color w:val="auto"/>
        </w:rPr>
        <w:t>No Security Interest Created</w:t>
      </w:r>
      <w:r>
        <w:rPr>
          <w:rFonts w:ascii="Arial" w:cs="Arial" w:eastAsia="Arial" w:hAnsi="Arial"/>
          <w:sz w:val="16"/>
          <w:szCs w:val="16"/>
          <w:color w:val="auto"/>
        </w:rPr>
        <w:t>. Nothing in this Indenture or in the Notes, expressed or implied, shall be construed to constitute a security interest under the Uniform Commercial Code or similar legislation, as now or hereafter enacted and in effect, in any jurisdiction.</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18.08. </w:t>
      </w:r>
      <w:r>
        <w:rPr>
          <w:rFonts w:ascii="Arial" w:cs="Arial" w:eastAsia="Arial" w:hAnsi="Arial"/>
          <w:sz w:val="16"/>
          <w:szCs w:val="16"/>
          <w:i w:val="1"/>
          <w:iCs w:val="1"/>
          <w:color w:val="auto"/>
        </w:rPr>
        <w:t>Benefits of Indenture</w:t>
      </w:r>
      <w:r>
        <w:rPr>
          <w:rFonts w:ascii="Arial" w:cs="Arial" w:eastAsia="Arial" w:hAnsi="Arial"/>
          <w:sz w:val="16"/>
          <w:szCs w:val="16"/>
          <w:color w:val="auto"/>
        </w:rPr>
        <w:t>. Nothing in this Indenture or in the Notes, expressed or implied, shall give to any Person, other than the Holders, the parties hereto, any Paying Agent, any Conversion Agent, any Custodian, any authenticating agent, any Note Registrar and their successors hereunder, any benefit or any legal or equitable right, remedy or claim under this Indenture.</w:t>
      </w:r>
    </w:p>
    <w:p>
      <w:pPr>
        <w:spacing w:after="0" w:line="16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 xml:space="preserve">Section 18.09. </w:t>
      </w:r>
      <w:r>
        <w:rPr>
          <w:rFonts w:ascii="Arial" w:cs="Arial" w:eastAsia="Arial" w:hAnsi="Arial"/>
          <w:sz w:val="15"/>
          <w:szCs w:val="15"/>
          <w:i w:val="1"/>
          <w:iCs w:val="1"/>
          <w:color w:val="auto"/>
        </w:rPr>
        <w:t>Table of Contents, Headings, Etc</w:t>
      </w:r>
      <w:r>
        <w:rPr>
          <w:rFonts w:ascii="Arial" w:cs="Arial" w:eastAsia="Arial" w:hAnsi="Arial"/>
          <w:sz w:val="15"/>
          <w:szCs w:val="15"/>
          <w:color w:val="auto"/>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29"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18.10. </w:t>
      </w:r>
      <w:r>
        <w:rPr>
          <w:rFonts w:ascii="Arial" w:cs="Arial" w:eastAsia="Arial" w:hAnsi="Arial"/>
          <w:sz w:val="15"/>
          <w:szCs w:val="15"/>
          <w:i w:val="1"/>
          <w:iCs w:val="1"/>
          <w:color w:val="auto"/>
        </w:rPr>
        <w:t>Authenticating Agent</w:t>
      </w:r>
      <w:r>
        <w:rPr>
          <w:rFonts w:ascii="Arial" w:cs="Arial" w:eastAsia="Arial" w:hAnsi="Arial"/>
          <w:sz w:val="15"/>
          <w:szCs w:val="15"/>
          <w:color w:val="auto"/>
        </w:rPr>
        <w: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5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18.10, without the execution or filing of any paper or any further act on the part of the parties hereto or the authenticating agent or such successor corporation or other entity.</w:t>
      </w:r>
    </w:p>
    <w:p>
      <w:pPr>
        <w:spacing w:after="0" w:line="170"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8" w:name="page189"/>
    <w:bookmarkEnd w:id="188"/>
    <w:p>
      <w:pPr>
        <w:jc w:val="both"/>
        <w:ind w:firstLine="574"/>
        <w:spacing w:after="0" w:line="275" w:lineRule="auto"/>
        <w:rPr>
          <w:sz w:val="20"/>
          <w:szCs w:val="20"/>
          <w:color w:val="auto"/>
        </w:rPr>
      </w:pPr>
      <w:r>
        <w:rPr>
          <w:rFonts w:ascii="Arial" w:cs="Arial" w:eastAsia="Arial" w:hAnsi="Arial"/>
          <w:sz w:val="16"/>
          <w:szCs w:val="16"/>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provisions of Section 7.02, Section 7.03, Section 7.04, Section 8.03 and this Section 18.10 shall be applicable to any authenticating agent.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If an authenticating agent is appointed pursuant to this Section 18.10, the Notes may have endorsed thereon, in addition to the Trustee’s certificate of authentication, an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alternative certificate of authentication in the following form: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as Authenticating Agent, certifies that this is one of the Notes described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 the within-named Indenture.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Signatory</w:t>
      </w:r>
    </w:p>
    <w:p>
      <w:pPr>
        <w:spacing w:after="0" w:line="186"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Section 18.11. </w:t>
      </w:r>
      <w:r>
        <w:rPr>
          <w:rFonts w:ascii="Arial" w:cs="Arial" w:eastAsia="Arial" w:hAnsi="Arial"/>
          <w:sz w:val="16"/>
          <w:szCs w:val="16"/>
          <w:i w:val="1"/>
          <w:iCs w:val="1"/>
          <w:color w:val="auto"/>
        </w:rPr>
        <w:t>Execution in Counterparts</w:t>
      </w:r>
      <w:r>
        <w:rPr>
          <w:rFonts w:ascii="Arial" w:cs="Arial" w:eastAsia="Arial" w:hAnsi="Arial"/>
          <w:sz w:val="16"/>
          <w:szCs w:val="16"/>
          <w:color w:val="auto"/>
        </w:rPr>
        <w:t>.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spacing w:after="0" w:line="170"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All notices, approvals, consents, requests and any communications hereunder must be in writing (provided that any communication sent to Trustee hereunder that is required to be signed must be in the form of a document that is signed manually or by way of a digital signature provided by DocuSign (or such other digital signature provider as specified in writing to Trustee by the Company)), in English. The Company agrees to assume all risks arising out of the use of digital signatures and electronic methods to submit communications to Trustee, including, without limitation, the risk of the Trustee acting on unauthorized instructions, and the risk of interception and misuse by third parties.</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18.12. </w:t>
      </w:r>
      <w:r>
        <w:rPr>
          <w:rFonts w:ascii="Arial" w:cs="Arial" w:eastAsia="Arial" w:hAnsi="Arial"/>
          <w:sz w:val="16"/>
          <w:szCs w:val="16"/>
          <w:i w:val="1"/>
          <w:iCs w:val="1"/>
          <w:color w:val="auto"/>
        </w:rPr>
        <w:t>Severability</w:t>
      </w:r>
      <w:r>
        <w:rPr>
          <w:rFonts w:ascii="Arial" w:cs="Arial" w:eastAsia="Arial" w:hAnsi="Arial"/>
          <w:sz w:val="16"/>
          <w:szCs w:val="16"/>
          <w:color w:val="auto"/>
        </w:rPr>
        <w:t>.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18.13. </w:t>
      </w:r>
      <w:r>
        <w:rPr>
          <w:rFonts w:ascii="Arial" w:cs="Arial" w:eastAsia="Arial" w:hAnsi="Arial"/>
          <w:sz w:val="16"/>
          <w:szCs w:val="16"/>
          <w:i w:val="1"/>
          <w:iCs w:val="1"/>
          <w:color w:val="auto"/>
        </w:rPr>
        <w:t>Waiver of Jury Trial</w:t>
      </w:r>
      <w:r>
        <w:rPr>
          <w:rFonts w:ascii="Arial" w:cs="Arial" w:eastAsia="Arial" w:hAnsi="Arial"/>
          <w:sz w:val="16"/>
          <w:szCs w:val="16"/>
          <w:color w:val="auto"/>
        </w:rPr>
        <w:t>. 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18.14. </w:t>
      </w:r>
      <w:r>
        <w:rPr>
          <w:rFonts w:ascii="Arial" w:cs="Arial" w:eastAsia="Arial" w:hAnsi="Arial"/>
          <w:sz w:val="16"/>
          <w:szCs w:val="16"/>
          <w:i w:val="1"/>
          <w:iCs w:val="1"/>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epidemics, pandemics,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9" w:name="page190"/>
    <w:bookmarkEnd w:id="189"/>
    <w:p>
      <w:pPr>
        <w:jc w:val="both"/>
        <w:ind w:firstLine="574"/>
        <w:spacing w:after="0" w:line="295" w:lineRule="auto"/>
        <w:rPr>
          <w:sz w:val="20"/>
          <w:szCs w:val="20"/>
          <w:color w:val="auto"/>
        </w:rPr>
      </w:pPr>
      <w:r>
        <w:rPr>
          <w:rFonts w:ascii="Arial" w:cs="Arial" w:eastAsia="Arial" w:hAnsi="Arial"/>
          <w:sz w:val="14"/>
          <w:szCs w:val="14"/>
          <w:color w:val="auto"/>
        </w:rPr>
        <w:t xml:space="preserve">Section 18.15. </w:t>
      </w:r>
      <w:r>
        <w:rPr>
          <w:rFonts w:ascii="Arial" w:cs="Arial" w:eastAsia="Arial" w:hAnsi="Arial"/>
          <w:sz w:val="14"/>
          <w:szCs w:val="14"/>
          <w:i w:val="1"/>
          <w:iCs w:val="1"/>
          <w:color w:val="auto"/>
        </w:rPr>
        <w:t>Calculations</w:t>
      </w:r>
      <w:r>
        <w:rPr>
          <w:rFonts w:ascii="Arial" w:cs="Arial" w:eastAsia="Arial" w:hAnsi="Arial"/>
          <w:sz w:val="14"/>
          <w:szCs w:val="14"/>
          <w:color w:val="auto"/>
        </w:rPr>
        <w:t>. Except as otherwise provided herein, the Company shall be responsible for making all calculations called for under the Notes. These calculations include, but are not limited to, determinations of the Redemption Price, Last Reported Sale Prices of the Common Stock, the Daily VWAPs, the Daily Conversion Values, the Daily Settlement Amounts, accrued interest payable on the Notes, any Additional Interest payable on the Notes, the Conversion Rate of the Notes, and the Trading Price of the Notes for purposes of determining whether the Notes are convertible as described in this Indenture. The Company shall make all of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Company will forward its calculations to any Holder of Notes upon the written request of that Holder.</w:t>
      </w:r>
    </w:p>
    <w:p>
      <w:pPr>
        <w:spacing w:after="0" w:line="144"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18.16. </w:t>
      </w:r>
      <w:r>
        <w:rPr>
          <w:rFonts w:ascii="Arial" w:cs="Arial" w:eastAsia="Arial" w:hAnsi="Arial"/>
          <w:sz w:val="16"/>
          <w:szCs w:val="16"/>
          <w:i w:val="1"/>
          <w:iCs w:val="1"/>
          <w:color w:val="auto"/>
        </w:rPr>
        <w:t>USA PATRIOT Act</w:t>
      </w:r>
      <w:r>
        <w:rPr>
          <w:rFonts w:ascii="Arial" w:cs="Arial" w:eastAsia="Arial" w:hAnsi="Arial"/>
          <w:sz w:val="16"/>
          <w:szCs w:val="16"/>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page intentionally left blank</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90" w:name="page191"/>
    <w:bookmarkEnd w:id="190"/>
    <w:p>
      <w:pPr>
        <w:spacing w:after="0"/>
        <w:rPr>
          <w:sz w:val="20"/>
          <w:szCs w:val="20"/>
          <w:color w:val="auto"/>
        </w:rPr>
      </w:pPr>
      <w:r>
        <w:rPr>
          <w:rFonts w:ascii="Arial" w:cs="Arial" w:eastAsia="Arial" w:hAnsi="Arial"/>
          <w:sz w:val="15"/>
          <w:szCs w:val="15"/>
          <w:color w:val="auto"/>
        </w:rPr>
        <w:t>IN WITNESS WHEREOF, the parties hereto have caused this Indenture to be duly executed as of the date first written above.</w:t>
      </w:r>
    </w:p>
    <w:p>
      <w:pPr>
        <w:spacing w:after="0" w:line="210"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[Rajat Suri]</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5"/>
          <w:szCs w:val="15"/>
          <w:color w:val="auto"/>
        </w:rPr>
        <w:t>Title:</w:t>
        <w:tab/>
        <w:t>[Chief Executive Officer]</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U.S. Bank National Association, as</w:t>
      </w:r>
    </w:p>
    <w:p>
      <w:pPr>
        <w:spacing w:after="0" w:line="20"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Trustee</w:t>
      </w:r>
    </w:p>
    <w:p>
      <w:pPr>
        <w:spacing w:after="0" w:line="1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384175</wp:posOffset>
            </wp:positionV>
            <wp:extent cx="714819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318" w:right="1440" w:bottom="1440" w:gutter="0" w:footer="0" w:header="0"/>
        </w:sectPr>
      </w:pPr>
    </w:p>
    <w:bookmarkStart w:id="191" w:name="page192"/>
    <w:bookmarkEnd w:id="191"/>
    <w:p>
      <w:pPr>
        <w:ind w:left="10424"/>
        <w:spacing w:after="0"/>
        <w:rPr>
          <w:sz w:val="20"/>
          <w:szCs w:val="20"/>
          <w:color w:val="auto"/>
        </w:rPr>
      </w:pPr>
      <w:r>
        <w:rPr>
          <w:rFonts w:ascii="Arial" w:cs="Arial" w:eastAsia="Arial" w:hAnsi="Arial"/>
          <w:sz w:val="16"/>
          <w:szCs w:val="16"/>
          <w:b w:val="1"/>
          <w:bCs w:val="1"/>
          <w:color w:val="auto"/>
        </w:rPr>
        <w:t>EXHIBIT A</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[FORM OF FACE OF NOTE]</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[INCLUDE FOLLOWING LEGEND IF A GLOBAL NOTE]</w:t>
      </w:r>
    </w:p>
    <w:p>
      <w:pPr>
        <w:spacing w:after="0" w:line="198"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[INCLUDE FOLLOWING LEGEND IF A RESTRICTED SECURITY]</w:t>
      </w:r>
    </w:p>
    <w:p>
      <w:pPr>
        <w:spacing w:after="0" w:line="198"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5"/>
          <w:szCs w:val="15"/>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46" w:lineRule="exact"/>
        <w:rPr>
          <w:sz w:val="20"/>
          <w:szCs w:val="20"/>
          <w:color w:val="auto"/>
        </w:rPr>
      </w:pPr>
    </w:p>
    <w:p>
      <w:pPr>
        <w:jc w:val="both"/>
        <w:ind w:left="564" w:right="20"/>
        <w:spacing w:after="0" w:line="258" w:lineRule="auto"/>
        <w:rPr>
          <w:sz w:val="20"/>
          <w:szCs w:val="20"/>
          <w:color w:val="auto"/>
        </w:rPr>
      </w:pPr>
      <w:r>
        <w:rPr>
          <w:rFonts w:ascii="Arial" w:cs="Arial" w:eastAsia="Arial" w:hAnsi="Arial"/>
          <w:sz w:val="16"/>
          <w:szCs w:val="16"/>
          <w:color w:val="auto"/>
        </w:rPr>
        <w:t>AGREES FOR THE BENEFIT OF [●]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5" w:lineRule="exact"/>
        <w:rPr>
          <w:sz w:val="20"/>
          <w:szCs w:val="20"/>
          <w:color w:val="auto"/>
        </w:rPr>
      </w:pPr>
    </w:p>
    <w:p>
      <w:pPr>
        <w:ind w:left="1144" w:hanging="571"/>
        <w:spacing w:after="0"/>
        <w:tabs>
          <w:tab w:leader="none" w:pos="114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TO THE COMPANY OR ANY SUBSIDIARY THEREOF, OR</w:t>
      </w:r>
    </w:p>
    <w:p>
      <w:pPr>
        <w:spacing w:after="0" w:line="222" w:lineRule="exact"/>
        <w:rPr>
          <w:rFonts w:ascii="Arial" w:cs="Arial" w:eastAsia="Arial" w:hAnsi="Arial"/>
          <w:sz w:val="16"/>
          <w:szCs w:val="16"/>
          <w:color w:val="auto"/>
        </w:rPr>
      </w:pPr>
    </w:p>
    <w:p>
      <w:pPr>
        <w:ind w:left="1144" w:right="20" w:hanging="571"/>
        <w:spacing w:after="0" w:line="275" w:lineRule="auto"/>
        <w:tabs>
          <w:tab w:leader="none" w:pos="114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PURSUANT TO A REGISTRATION STATEMENT THAT HAS BECOME EFFECTIVE UNDER THE SECURITIES ACT AND IS EFFECTIVE AT THE TIME OF SUCH TRANSFER, OR</w:t>
      </w:r>
    </w:p>
    <w:p>
      <w:pPr>
        <w:spacing w:after="0" w:line="175" w:lineRule="exact"/>
        <w:rPr>
          <w:rFonts w:ascii="Arial" w:cs="Arial" w:eastAsia="Arial" w:hAnsi="Arial"/>
          <w:sz w:val="16"/>
          <w:szCs w:val="16"/>
          <w:color w:val="auto"/>
        </w:rPr>
      </w:pPr>
    </w:p>
    <w:p>
      <w:pPr>
        <w:ind w:left="1144" w:hanging="571"/>
        <w:spacing w:after="0" w:line="275" w:lineRule="auto"/>
        <w:tabs>
          <w:tab w:leader="none" w:pos="114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TO A PERSON REASONABLY BELIEVED TO BE A QUALIFIED INSTITUTIONAL BUYER IN COMPLIANCE WITH RULE 144A UNDER THE SECURITIES ACT, OR</w:t>
      </w:r>
    </w:p>
    <w:p>
      <w:pPr>
        <w:spacing w:after="0" w:line="175" w:lineRule="exact"/>
        <w:rPr>
          <w:rFonts w:ascii="Arial" w:cs="Arial" w:eastAsia="Arial" w:hAnsi="Arial"/>
          <w:sz w:val="16"/>
          <w:szCs w:val="16"/>
          <w:color w:val="auto"/>
        </w:rPr>
      </w:pPr>
    </w:p>
    <w:p>
      <w:pPr>
        <w:ind w:left="1144" w:right="20" w:hanging="571"/>
        <w:spacing w:after="0" w:line="275" w:lineRule="auto"/>
        <w:tabs>
          <w:tab w:leader="none" w:pos="114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PURSUANT TO AN EXEMPTION FROM REGISTRATION PROVIDED BY RULE 144 UNDER THE SECURITIES ACT OR ANY OTHER AVAILABLE EXEMPTION FROM THE REGISTRATION REQUIREMENTS OF THE SECURITIES ACT.</w:t>
      </w:r>
    </w:p>
    <w:p>
      <w:pPr>
        <w:spacing w:after="0" w:line="152"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 NO AFFILIATE (AS DEFINED IN RULE 144 UNDER THE SECURITIES ACT) OF [●] OR PERSON THAT HAS BEEN AN AFFILIATE (AS DEFINED IN RULE 144 UNDER THE SECURITIES ACT) OF [ ● ] DURING THE PRECEDING THREE MONTHS MAY PURCHASE, OTHERWISE ACQUIRE OR HOLD THIS SECURITY OR A BENEFICIAL INTEREST HEREIN.]</w:t>
      </w:r>
      <w:r>
        <w:rPr>
          <w:rFonts w:ascii="Arial" w:cs="Arial" w:eastAsia="Arial" w:hAnsi="Arial"/>
          <w:sz w:val="26"/>
          <w:szCs w:val="26"/>
          <w:color w:val="auto"/>
          <w:vertAlign w:val="superscript"/>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179070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73" w:lineRule="exact"/>
        <w:rPr>
          <w:sz w:val="20"/>
          <w:szCs w:val="20"/>
          <w:color w:val="auto"/>
        </w:rPr>
      </w:pPr>
    </w:p>
    <w:p>
      <w:pPr>
        <w:ind w:left="284" w:hanging="284"/>
        <w:spacing w:after="0" w:line="191" w:lineRule="auto"/>
        <w:tabs>
          <w:tab w:leader="none" w:pos="284" w:val="left"/>
        </w:tabs>
        <w:numPr>
          <w:ilvl w:val="0"/>
          <w:numId w:val="213"/>
        </w:numPr>
        <w:rPr>
          <w:rFonts w:ascii="Arial" w:cs="Arial" w:eastAsia="Arial" w:hAnsi="Arial"/>
          <w:sz w:val="27"/>
          <w:szCs w:val="27"/>
          <w:color w:val="auto"/>
          <w:vertAlign w:val="superscript"/>
        </w:rPr>
      </w:pPr>
      <w:r>
        <w:rPr>
          <w:rFonts w:ascii="Arial" w:cs="Arial" w:eastAsia="Arial" w:hAnsi="Arial"/>
          <w:sz w:val="16"/>
          <w:szCs w:val="16"/>
          <w:color w:val="auto"/>
        </w:rPr>
        <w:t>The Restrictive Legend shall be deemed removed from the face of this Note without further action by the Company, Trustee or the Holders of this Note at such time and in the manner provided under Section 2.05 of the Indenture.</w:t>
      </w:r>
    </w:p>
    <w:p>
      <w:pPr>
        <w:spacing w:after="0" w:line="365"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92" w:name="page193"/>
    <w:bookmarkEnd w:id="192"/>
    <w:p>
      <w:pPr>
        <w:jc w:val="center"/>
        <w:ind w:right="-3"/>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9.0%/11.0% Convertible Senior PIK Toggle Notes due 2026</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No. [_] [Initially]</w:t>
      </w:r>
      <w:r>
        <w:rPr>
          <w:rFonts w:ascii="Arial" w:cs="Arial" w:eastAsia="Arial" w:hAnsi="Arial"/>
          <w:sz w:val="26"/>
          <w:szCs w:val="26"/>
          <w:color w:val="auto"/>
          <w:vertAlign w:val="superscript"/>
        </w:rPr>
        <w:t>22</w:t>
      </w:r>
      <w:r>
        <w:rPr>
          <w:rFonts w:ascii="Arial" w:cs="Arial" w:eastAsia="Arial" w:hAnsi="Arial"/>
          <w:sz w:val="16"/>
          <w:szCs w:val="16"/>
          <w:color w:val="auto"/>
        </w:rPr>
        <w:t xml:space="preserve"> $[_]</w:t>
      </w:r>
      <w:r>
        <w:rPr>
          <w:rFonts w:ascii="Arial" w:cs="Arial" w:eastAsia="Arial" w:hAnsi="Arial"/>
          <w:sz w:val="26"/>
          <w:szCs w:val="26"/>
          <w:color w:val="auto"/>
          <w:vertAlign w:val="superscript"/>
        </w:rPr>
        <w:t>23</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6"/>
          <w:szCs w:val="16"/>
          <w:color w:val="auto"/>
        </w:rPr>
        <w:t>CUSIP No. [_]</w:t>
      </w:r>
      <w:r>
        <w:rPr>
          <w:rFonts w:ascii="Arial" w:cs="Arial" w:eastAsia="Arial" w:hAnsi="Arial"/>
          <w:sz w:val="26"/>
          <w:szCs w:val="26"/>
          <w:color w:val="auto"/>
          <w:vertAlign w:val="superscript"/>
        </w:rPr>
        <w:t>24</w:t>
      </w:r>
    </w:p>
    <w:p>
      <w:pPr>
        <w:spacing w:after="0" w:line="112" w:lineRule="exact"/>
        <w:rPr>
          <w:sz w:val="20"/>
          <w:szCs w:val="20"/>
          <w:color w:val="auto"/>
        </w:rPr>
      </w:pPr>
    </w:p>
    <w:p>
      <w:pPr>
        <w:jc w:val="both"/>
        <w:ind w:left="4" w:right="20"/>
        <w:spacing w:after="0" w:line="245" w:lineRule="auto"/>
        <w:rPr>
          <w:sz w:val="20"/>
          <w:szCs w:val="20"/>
          <w:color w:val="auto"/>
        </w:rPr>
      </w:pPr>
      <w:r>
        <w:rPr>
          <w:rFonts w:ascii="Arial" w:cs="Arial" w:eastAsia="Arial" w:hAnsi="Arial"/>
          <w:sz w:val="14"/>
          <w:szCs w:val="14"/>
          <w:color w:val="auto"/>
        </w:rPr>
        <w:t>[●], a corporation duly organized and validly existing under the laws of the State of Delaware (the “</w:t>
      </w:r>
      <w:r>
        <w:rPr>
          <w:rFonts w:ascii="Arial" w:cs="Arial" w:eastAsia="Arial" w:hAnsi="Arial"/>
          <w:sz w:val="14"/>
          <w:szCs w:val="14"/>
          <w:b w:val="1"/>
          <w:bCs w:val="1"/>
          <w:color w:val="auto"/>
        </w:rPr>
        <w:t>Company</w:t>
      </w:r>
      <w:r>
        <w:rPr>
          <w:rFonts w:ascii="Arial" w:cs="Arial" w:eastAsia="Arial" w:hAnsi="Arial"/>
          <w:sz w:val="14"/>
          <w:szCs w:val="14"/>
          <w:color w:val="auto"/>
        </w:rPr>
        <w:t>,” which term includes any successor corporation or other entity under the Indenture referred to on the reverse hereof), for value received hereby promises to pay to [CEDE &amp; CO.]</w:t>
      </w:r>
      <w:r>
        <w:rPr>
          <w:rFonts w:ascii="Arial" w:cs="Arial" w:eastAsia="Arial" w:hAnsi="Arial"/>
          <w:sz w:val="23"/>
          <w:szCs w:val="23"/>
          <w:color w:val="auto"/>
          <w:vertAlign w:val="superscript"/>
        </w:rPr>
        <w:t>25</w:t>
      </w:r>
      <w:r>
        <w:rPr>
          <w:rFonts w:ascii="Arial" w:cs="Arial" w:eastAsia="Arial" w:hAnsi="Arial"/>
          <w:sz w:val="14"/>
          <w:szCs w:val="14"/>
          <w:color w:val="auto"/>
        </w:rPr>
        <w:t xml:space="preserve"> [_]</w:t>
      </w:r>
      <w:r>
        <w:rPr>
          <w:rFonts w:ascii="Arial" w:cs="Arial" w:eastAsia="Arial" w:hAnsi="Arial"/>
          <w:sz w:val="23"/>
          <w:szCs w:val="23"/>
          <w:color w:val="auto"/>
          <w:vertAlign w:val="superscript"/>
        </w:rPr>
        <w:t>26</w:t>
      </w:r>
      <w:r>
        <w:rPr>
          <w:rFonts w:ascii="Arial" w:cs="Arial" w:eastAsia="Arial" w:hAnsi="Arial"/>
          <w:sz w:val="14"/>
          <w:szCs w:val="14"/>
          <w:color w:val="auto"/>
        </w:rPr>
        <w:t>, or registered assigns, the principal sum [as set forth</w:t>
      </w:r>
    </w:p>
    <w:p>
      <w:pPr>
        <w:spacing w:after="0" w:line="2" w:lineRule="exact"/>
        <w:rPr>
          <w:sz w:val="20"/>
          <w:szCs w:val="20"/>
          <w:color w:val="auto"/>
        </w:rPr>
      </w:pPr>
    </w:p>
    <w:p>
      <w:pPr>
        <w:jc w:val="both"/>
        <w:ind w:left="4"/>
        <w:spacing w:after="0" w:line="218" w:lineRule="auto"/>
        <w:rPr>
          <w:sz w:val="20"/>
          <w:szCs w:val="20"/>
          <w:color w:val="auto"/>
        </w:rPr>
      </w:pPr>
      <w:r>
        <w:rPr>
          <w:rFonts w:ascii="Arial" w:cs="Arial" w:eastAsia="Arial" w:hAnsi="Arial"/>
          <w:sz w:val="16"/>
          <w:szCs w:val="16"/>
          <w:color w:val="auto"/>
        </w:rPr>
        <w:t>in the “Schedule of Exchanges of Notes” attached hereto]</w:t>
      </w:r>
      <w:r>
        <w:rPr>
          <w:rFonts w:ascii="Arial" w:cs="Arial" w:eastAsia="Arial" w:hAnsi="Arial"/>
          <w:sz w:val="26"/>
          <w:szCs w:val="26"/>
          <w:color w:val="auto"/>
          <w:vertAlign w:val="superscript"/>
        </w:rPr>
        <w:t>27</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_</w:t>
      </w:r>
      <w:r>
        <w:rPr>
          <w:rFonts w:ascii="Arial" w:cs="Arial" w:eastAsia="Arial" w:hAnsi="Arial"/>
          <w:sz w:val="16"/>
          <w:szCs w:val="16"/>
          <w:color w:val="auto"/>
        </w:rPr>
        <w:t>]]</w:t>
      </w:r>
      <w:r>
        <w:rPr>
          <w:rFonts w:ascii="Arial" w:cs="Arial" w:eastAsia="Arial" w:hAnsi="Arial"/>
          <w:sz w:val="26"/>
          <w:szCs w:val="26"/>
          <w:color w:val="auto"/>
          <w:vertAlign w:val="superscript"/>
        </w:rPr>
        <w:t>28</w:t>
      </w:r>
      <w:r>
        <w:rPr>
          <w:rFonts w:ascii="Arial" w:cs="Arial" w:eastAsia="Arial" w:hAnsi="Arial"/>
          <w:sz w:val="16"/>
          <w:szCs w:val="16"/>
          <w:color w:val="auto"/>
        </w:rPr>
        <w:t>, which amount, taken together with the principal amounts of all other outstanding Notes, shall not, unless permitted by the Indenture, exceed $[70],000,000 (excluding PIK Notes), in accordance with the rules and applicable procedures of the Depositary, on [●], 2026, and interest thereon as set forth below.</w:t>
      </w:r>
    </w:p>
    <w:p>
      <w:pPr>
        <w:spacing w:after="0" w:line="181" w:lineRule="exact"/>
        <w:rPr>
          <w:sz w:val="20"/>
          <w:szCs w:val="20"/>
          <w:color w:val="auto"/>
        </w:rPr>
      </w:pPr>
    </w:p>
    <w:p>
      <w:pPr>
        <w:jc w:val="both"/>
        <w:ind w:left="4"/>
        <w:spacing w:after="0" w:line="270" w:lineRule="auto"/>
        <w:rPr>
          <w:sz w:val="20"/>
          <w:szCs w:val="20"/>
          <w:color w:val="auto"/>
        </w:rPr>
      </w:pPr>
      <w:r>
        <w:rPr>
          <w:rFonts w:ascii="Arial" w:cs="Arial" w:eastAsia="Arial" w:hAnsi="Arial"/>
          <w:sz w:val="15"/>
          <w:szCs w:val="15"/>
          <w:color w:val="auto"/>
        </w:rPr>
        <w:t>The Company will pay interest on the principal amount of this Note as Cash Interest or PIK Interest, at the Company’s election pursuant to a PIK Election, from [●], 2022 until maturity. Cash Interest on this Note will accrue at the rate of 9.0% per annum and be payable in cash. PIK Interest on this Note will accrue at the rate of 11.0% per annum and shall be payable either (x) by increasing the principal amount of the outstanding Note by an amount equal to the amount of PIK Interest for the applicable interest period (rounded up to the nearest $1.00) or (y) if the Notes are no longer held as Global Notes, by issuing PIK Notes in certificated form in an aggregate principal amount equal to the amount of PIK Interest for the period (rounded up to the nearest $1.00), and the Trustee will, at the request of the Company, authenticate and deliver such PIK Notes in certificated form for original issuance to the Holders on the relevant Regular Record Date, as shown by the records of the register of Holders. Following an increase in the principal amount of the outstanding Global Notes as a result of a PIK Payment, the Global Notes will bear interest on such increased principal amount from and after the date of such PIK Payment. All Notes issued pursuant to a PIK Payment will mature on the Maturity Date and will be governed by, and subject to the terms, provisions and conditions of, the Indenture and shall have the same rights and benefits as Notes issued on the Last Original Issue Date. Any certificated PIK Notes will be issued with the description “PIK” on the face of such PIK Note. Unless the context requires otherwise, references to Notes or the “principal” or the “principal amount” of Notes including for any purpose includes any increase in the principal amount of the Notes as a result of a PIK Payment.</w:t>
      </w:r>
    </w:p>
    <w:p>
      <w:pPr>
        <w:spacing w:after="0" w:line="160"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Interest is payable quarterly in arrears on each March 15, June 15, September 15 and December 15, commencing on [June 15], 2022, to Holders of record at the close of business on the preceding March 1, June 1, September 1 and December 1 (whether or not such day is a Business Day), respectively. Additional Interest will be payable as set forth in Section 4.06(d) and Section 6.03 of the within-mentioned Indenture, and any reference to interest on, or in respect of, any Note therein shall be deemed to include Additional Interest if, in such context, Additional Interest is, was or would be payable pursuant to any of such Section 4.06(d) or Section 6.03, and any express mention of the payment of Additional Interest in any provision therein shall not be construed as excluding Additional Interest in those provisions thereof where such express mention is not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179070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79" w:lineRule="exact"/>
        <w:rPr>
          <w:sz w:val="20"/>
          <w:szCs w:val="20"/>
          <w:color w:val="auto"/>
        </w:rPr>
      </w:pPr>
    </w:p>
    <w:p>
      <w:pPr>
        <w:ind w:left="284" w:hanging="284"/>
        <w:spacing w:after="0"/>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Include if a global note.</w:t>
      </w:r>
    </w:p>
    <w:p>
      <w:pPr>
        <w:spacing w:after="0" w:line="145" w:lineRule="exact"/>
        <w:rPr>
          <w:rFonts w:ascii="Arial" w:cs="Arial" w:eastAsia="Arial" w:hAnsi="Arial"/>
          <w:sz w:val="27"/>
          <w:szCs w:val="27"/>
          <w:color w:val="auto"/>
          <w:vertAlign w:val="superscript"/>
        </w:rPr>
      </w:pPr>
    </w:p>
    <w:p>
      <w:pPr>
        <w:ind w:left="284" w:hanging="284"/>
        <w:spacing w:after="0" w:line="183" w:lineRule="auto"/>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To be broken into multiple global notes.</w:t>
      </w:r>
    </w:p>
    <w:p>
      <w:pPr>
        <w:spacing w:after="0" w:line="178" w:lineRule="exact"/>
        <w:rPr>
          <w:rFonts w:ascii="Arial" w:cs="Arial" w:eastAsia="Arial" w:hAnsi="Arial"/>
          <w:sz w:val="27"/>
          <w:szCs w:val="27"/>
          <w:color w:val="auto"/>
          <w:vertAlign w:val="superscript"/>
        </w:rPr>
      </w:pPr>
    </w:p>
    <w:p>
      <w:pPr>
        <w:jc w:val="both"/>
        <w:ind w:left="284" w:right="20" w:hanging="284"/>
        <w:spacing w:after="0" w:line="207" w:lineRule="auto"/>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This Note will be deemed to be identified by CUSIP No. [_] from and after such time when (i) the Company delivers, pursuant to Section 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w:t>
      </w:r>
    </w:p>
    <w:p>
      <w:pPr>
        <w:spacing w:after="0" w:line="73" w:lineRule="exact"/>
        <w:rPr>
          <w:rFonts w:ascii="Arial" w:cs="Arial" w:eastAsia="Arial" w:hAnsi="Arial"/>
          <w:sz w:val="27"/>
          <w:szCs w:val="27"/>
          <w:color w:val="auto"/>
          <w:vertAlign w:val="superscript"/>
        </w:rPr>
      </w:pPr>
    </w:p>
    <w:p>
      <w:pPr>
        <w:ind w:left="284" w:hanging="284"/>
        <w:spacing w:after="0"/>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Include if a global note.</w:t>
      </w:r>
    </w:p>
    <w:p>
      <w:pPr>
        <w:spacing w:after="0" w:line="145" w:lineRule="exact"/>
        <w:rPr>
          <w:rFonts w:ascii="Arial" w:cs="Arial" w:eastAsia="Arial" w:hAnsi="Arial"/>
          <w:sz w:val="27"/>
          <w:szCs w:val="27"/>
          <w:color w:val="auto"/>
          <w:vertAlign w:val="superscript"/>
        </w:rPr>
      </w:pPr>
    </w:p>
    <w:p>
      <w:pPr>
        <w:ind w:left="284" w:hanging="284"/>
        <w:spacing w:after="0" w:line="183" w:lineRule="auto"/>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Include if a physical note.</w:t>
      </w:r>
    </w:p>
    <w:p>
      <w:pPr>
        <w:spacing w:after="0" w:line="145" w:lineRule="exact"/>
        <w:rPr>
          <w:rFonts w:ascii="Arial" w:cs="Arial" w:eastAsia="Arial" w:hAnsi="Arial"/>
          <w:sz w:val="27"/>
          <w:szCs w:val="27"/>
          <w:color w:val="auto"/>
          <w:vertAlign w:val="superscript"/>
        </w:rPr>
      </w:pPr>
    </w:p>
    <w:p>
      <w:pPr>
        <w:ind w:left="284" w:hanging="284"/>
        <w:spacing w:after="0" w:line="183" w:lineRule="auto"/>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Include if a global note.</w:t>
      </w:r>
    </w:p>
    <w:p>
      <w:pPr>
        <w:spacing w:after="0" w:line="145" w:lineRule="exact"/>
        <w:rPr>
          <w:rFonts w:ascii="Arial" w:cs="Arial" w:eastAsia="Arial" w:hAnsi="Arial"/>
          <w:sz w:val="27"/>
          <w:szCs w:val="27"/>
          <w:color w:val="auto"/>
          <w:vertAlign w:val="superscript"/>
        </w:rPr>
      </w:pPr>
    </w:p>
    <w:p>
      <w:pPr>
        <w:ind w:left="284" w:hanging="284"/>
        <w:spacing w:after="0" w:line="183" w:lineRule="auto"/>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Include if a physical note.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93" w:name="page194"/>
    <w:bookmarkEnd w:id="193"/>
    <w:p>
      <w:pPr>
        <w:jc w:val="both"/>
        <w:ind w:right="20"/>
        <w:spacing w:after="0" w:line="262" w:lineRule="auto"/>
        <w:rPr>
          <w:sz w:val="20"/>
          <w:szCs w:val="20"/>
          <w:color w:val="auto"/>
        </w:rPr>
      </w:pPr>
      <w:r>
        <w:rPr>
          <w:rFonts w:ascii="Arial" w:cs="Arial" w:eastAsia="Arial" w:hAnsi="Arial"/>
          <w:sz w:val="16"/>
          <w:szCs w:val="16"/>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in cash by the Company, at its election, in accordance with Section 2.03(c) of the Indenture.</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The Company shall pay the principal of, premium (if any) and any Cash Interest and Applicable Premium on each Note, if and so long as such Note is a Global Note, in immediately available funds to the Depositary or its nominee, as the case may be, as the registered Holder of such Note. For any interest payment period, the Company may pay interest on each Note by paying Cash Interest or PIK Interest at the Company’s election pursuant to a PIK Election. The Company shall pay any PIK Interest as described above. As provided in and subject to the provisions of the Indenture, the Company shall pay the principal of and premium (if any) on any Notes (other than Notes that are Global Notes) at the office or agency designated by the Company for that purpose. The Company has initially designated the Trustee as its Paying Agent and Note Registrar in respect of the Notes and its agency in the United States, as a place where Notes may be presented for payment or for registration of transfer and exchange.</w:t>
      </w:r>
    </w:p>
    <w:p>
      <w:pPr>
        <w:spacing w:after="0" w:line="14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5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This Note, and any claim, controversy or dispute arising under or related to this Note, shall be construed in accordance with and governed by the laws of the State of New York.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the case of any conflict between this Note and the Indenture, the provisions of the Indenture shall control and govern.</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page intentionally left blank</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94" w:name="page195"/>
    <w:bookmarkEnd w:id="194"/>
    <w:p>
      <w:pPr>
        <w:ind w:left="560"/>
        <w:spacing w:after="0"/>
        <w:rPr>
          <w:sz w:val="20"/>
          <w:szCs w:val="20"/>
          <w:color w:val="auto"/>
        </w:rPr>
      </w:pPr>
      <w:r>
        <w:rPr>
          <w:rFonts w:ascii="Arial" w:cs="Arial" w:eastAsia="Arial" w:hAnsi="Arial"/>
          <w:sz w:val="16"/>
          <w:szCs w:val="16"/>
          <w:color w:val="auto"/>
        </w:rPr>
        <w:t>IN WITNESS WHEREOF, the Company has caused this Note to be duly executed.</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4"/>
          <w:szCs w:val="14"/>
          <w:color w:val="auto"/>
        </w:rPr>
        <w:t>Name:</w:t>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TRUSTEE’S CERTIFICATE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AUTHENTICATION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as Trustee, certifies that this is one of the Notes described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 the within-named Indenture.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Signatory</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318" w:right="1440" w:bottom="1440" w:gutter="0" w:footer="0" w:header="0"/>
        </w:sectPr>
      </w:pPr>
    </w:p>
    <w:bookmarkStart w:id="195" w:name="page196"/>
    <w:bookmarkEnd w:id="195"/>
    <w:p>
      <w:pPr>
        <w:jc w:val="center"/>
        <w:spacing w:after="0"/>
        <w:rPr>
          <w:sz w:val="20"/>
          <w:szCs w:val="20"/>
          <w:color w:val="auto"/>
        </w:rPr>
      </w:pPr>
      <w:r>
        <w:rPr>
          <w:rFonts w:ascii="Arial" w:cs="Arial" w:eastAsia="Arial" w:hAnsi="Arial"/>
          <w:sz w:val="16"/>
          <w:szCs w:val="16"/>
          <w:color w:val="auto"/>
        </w:rPr>
        <w:t>[FORM OF REVERSE OF NOTE]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9.0%/11.0% Convertible Senior PIK Toggle Notes due 2026</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Note is one of a duly authorized issue of Notes of the Company, designated as its 9.0%/11.0% Convertible Senior PIK Toggle Notes due 2026 (the “</w:t>
      </w:r>
      <w:r>
        <w:rPr>
          <w:rFonts w:ascii="Arial" w:cs="Arial" w:eastAsia="Arial" w:hAnsi="Arial"/>
          <w:sz w:val="16"/>
          <w:szCs w:val="16"/>
          <w:b w:val="1"/>
          <w:bCs w:val="1"/>
          <w:color w:val="auto"/>
        </w:rPr>
        <w:t>Notes</w:t>
      </w:r>
      <w:r>
        <w:rPr>
          <w:rFonts w:ascii="Arial" w:cs="Arial" w:eastAsia="Arial" w:hAnsi="Arial"/>
          <w:sz w:val="16"/>
          <w:szCs w:val="16"/>
          <w:color w:val="auto"/>
        </w:rPr>
        <w:t>”), limited to the aggregate principal amount of $[70],000,000 (excluding PIK Notes), all issued under and pursuant to an Indenture dated as of [ ● ], 2022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pay cash amounts in money of the United States that at the time of payment is legal tender for payment of public and private debts.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(including, without limitation, additional Notes and PIK Notes, if any),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(including, without limitation, additional Notes and PIK Notes, if any) may on behalf of the Holders of all of the Notes waive any past Default or Event of Default under the Indenture and its consequences.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Each Holder shall have the right to receive payment or delivery as described in the Indenture.</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Notes are issuable in registered form without coupons in denominations of $1,000 principal amount and integral multiples thereof, subject to the issuance of PIK Notes or the increase in the principal amount of a Global Note in order to evidence PIK Payments, which PIK Notes or increased principal amount of a Global Note will be in denominations of $1.00 and integral multiples of $1.00 in excess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Notes shall be redeemable at the Company’s option on or after [●], 20[●] in accordance with the terms and subject to the conditions specified in the Indenture. No sinking fund is provided for the Notes.</w:t>
      </w:r>
    </w:p>
    <w:p>
      <w:pPr>
        <w:spacing w:after="0" w:line="34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Company is, subject to certain conditions and exceptions, obligated to make a Net Proceeds Offer to all Holders to purchase that amount of Notes equal to Excess Proceeds at a price equal to 100% of their principal amount, plus accrued and unpaid interest thereon, if any, to but not including the date of purchase, with Excess Proceeds, in each case, of certain sales or other dispositions of assets in accordance with the Indenture.</w:t>
      </w:r>
    </w:p>
    <w:p>
      <w:pPr>
        <w:spacing w:after="0" w:line="1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6"/>
          <w:szCs w:val="16"/>
          <w:color w:val="auto"/>
        </w:rPr>
        <w:t>ABBREVIATIONS</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following abbreviations, when used in the inscription of the face of this Note, shall be construed as though they were written out in full according to applicable laws or regulations: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TEN COM = as tenants in common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UNIF GIFT MIN ACT = Uniform Gifts to Minors Act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CUST = Custodian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TEN ENT = as tenants by the entireties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JT TEN = joint tenants with right of survivorship and not as tenants in common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Additional abbreviations may also be used though not in the above list.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6"/>
          <w:szCs w:val="16"/>
          <w:b w:val="1"/>
          <w:bCs w:val="1"/>
          <w:color w:val="auto"/>
        </w:rPr>
        <w:t>SCHEDULE A</w:t>
      </w:r>
      <w:r>
        <w:rPr>
          <w:rFonts w:ascii="Arial" w:cs="Arial" w:eastAsia="Arial" w:hAnsi="Arial"/>
          <w:sz w:val="26"/>
          <w:szCs w:val="26"/>
          <w:b w:val="1"/>
          <w:bCs w:val="1"/>
          <w:color w:val="auto"/>
          <w:vertAlign w:val="superscript"/>
        </w:rPr>
        <w:t>29</w:t>
      </w:r>
    </w:p>
    <w:p>
      <w:pPr>
        <w:jc w:val="center"/>
        <w:ind w:right="-3"/>
        <w:spacing w:after="0"/>
        <w:rPr>
          <w:sz w:val="20"/>
          <w:szCs w:val="20"/>
          <w:color w:val="auto"/>
        </w:rPr>
      </w:pPr>
      <w:r>
        <w:rPr>
          <w:rFonts w:ascii="Arial" w:cs="Arial" w:eastAsia="Arial" w:hAnsi="Arial"/>
          <w:sz w:val="16"/>
          <w:szCs w:val="16"/>
          <w:color w:val="auto"/>
        </w:rPr>
        <w:t>SCHEDULE OF EXCHANGES OF NOTES</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9.0%/11.0% Convertible Senior PIK Toggle Notes due 2026</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5"/>
          <w:szCs w:val="15"/>
          <w:color w:val="auto"/>
        </w:rPr>
        <w:t>The initial principal amount of this Global Note is DOLLARS ($[__]). The following increases (including for PIK Interest) or decreases in this Global Note have been made:</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84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Date of</w:t>
            </w:r>
          </w:p>
        </w:tc>
        <w:tc>
          <w:tcPr>
            <w:tcW w:w="252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Amount of decrease in principal</w:t>
            </w:r>
          </w:p>
        </w:tc>
        <w:tc>
          <w:tcPr>
            <w:tcW w:w="250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Amount of increase in principal</w:t>
            </w:r>
          </w:p>
        </w:tc>
        <w:tc>
          <w:tcPr>
            <w:tcW w:w="304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Principal amount of this Global Note</w:t>
            </w:r>
          </w:p>
        </w:tc>
        <w:tc>
          <w:tcPr>
            <w:tcW w:w="2360" w:type="dxa"/>
            <w:vAlign w:val="bottom"/>
          </w:tcPr>
          <w:p>
            <w:pPr>
              <w:jc w:val="center"/>
              <w:spacing w:after="0"/>
              <w:rPr>
                <w:sz w:val="20"/>
                <w:szCs w:val="20"/>
                <w:color w:val="auto"/>
              </w:rPr>
            </w:pPr>
            <w:r>
              <w:rPr>
                <w:rFonts w:ascii="Arial" w:cs="Arial" w:eastAsia="Arial" w:hAnsi="Arial"/>
                <w:sz w:val="16"/>
                <w:szCs w:val="16"/>
                <w:color w:val="auto"/>
                <w:w w:val="90"/>
              </w:rPr>
              <w:t>Signature of authorized signatory</w:t>
            </w:r>
          </w:p>
        </w:tc>
      </w:tr>
      <w:tr>
        <w:trPr>
          <w:trHeight w:val="208"/>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exchange</w:t>
            </w:r>
          </w:p>
        </w:tc>
        <w:tc>
          <w:tcPr>
            <w:tcW w:w="60" w:type="dxa"/>
            <w:vAlign w:val="bottom"/>
          </w:tcPr>
          <w:p>
            <w:pPr>
              <w:spacing w:after="0"/>
              <w:rPr>
                <w:sz w:val="18"/>
                <w:szCs w:val="18"/>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amount of this Global Note</w:t>
            </w:r>
          </w:p>
        </w:tc>
        <w:tc>
          <w:tcPr>
            <w:tcW w:w="60" w:type="dxa"/>
            <w:vAlign w:val="bottom"/>
          </w:tcPr>
          <w:p>
            <w:pPr>
              <w:spacing w:after="0"/>
              <w:rPr>
                <w:sz w:val="18"/>
                <w:szCs w:val="18"/>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amount of this Global Note</w:t>
            </w:r>
          </w:p>
        </w:tc>
        <w:tc>
          <w:tcPr>
            <w:tcW w:w="40" w:type="dxa"/>
            <w:vAlign w:val="bottom"/>
          </w:tcPr>
          <w:p>
            <w:pPr>
              <w:spacing w:after="0"/>
              <w:rPr>
                <w:sz w:val="18"/>
                <w:szCs w:val="18"/>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following such decrease or increase</w:t>
            </w:r>
          </w:p>
        </w:tc>
        <w:tc>
          <w:tcPr>
            <w:tcW w:w="4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of Trustee or 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614680</wp:posOffset>
            </wp:positionV>
            <wp:extent cx="179070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84" w:hanging="284"/>
        <w:spacing w:after="0"/>
        <w:tabs>
          <w:tab w:leader="none" w:pos="284" w:val="left"/>
        </w:tabs>
        <w:numPr>
          <w:ilvl w:val="0"/>
          <w:numId w:val="215"/>
        </w:numPr>
        <w:rPr>
          <w:rFonts w:ascii="Arial" w:cs="Arial" w:eastAsia="Arial" w:hAnsi="Arial"/>
          <w:sz w:val="27"/>
          <w:szCs w:val="27"/>
          <w:color w:val="auto"/>
          <w:vertAlign w:val="superscript"/>
        </w:rPr>
      </w:pPr>
      <w:r>
        <w:rPr>
          <w:rFonts w:ascii="Arial" w:cs="Arial" w:eastAsia="Arial" w:hAnsi="Arial"/>
          <w:sz w:val="16"/>
          <w:szCs w:val="16"/>
          <w:color w:val="auto"/>
        </w:rPr>
        <w:t>Include if a global note.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260" w:right="319" w:bottom="1440" w:gutter="0" w:footer="0" w:header="0"/>
        </w:sectPr>
      </w:pPr>
    </w:p>
    <w:bookmarkStart w:id="198" w:name="page199"/>
    <w:bookmarkEnd w:id="198"/>
    <w:p>
      <w:pPr>
        <w:ind w:left="10004"/>
        <w:spacing w:after="0"/>
        <w:rPr>
          <w:sz w:val="20"/>
          <w:szCs w:val="20"/>
          <w:color w:val="auto"/>
        </w:rPr>
      </w:pPr>
      <w:r>
        <w:rPr>
          <w:rFonts w:ascii="Arial" w:cs="Arial" w:eastAsia="Arial" w:hAnsi="Arial"/>
          <w:sz w:val="16"/>
          <w:szCs w:val="16"/>
          <w:b w:val="1"/>
          <w:bCs w:val="1"/>
          <w:color w:val="auto"/>
        </w:rPr>
        <w:t>ATTACHMENT 1</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[FORM OF NOTICE OF CONVERSION]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U.S. Bank National Association, as Trustee</w:t>
      </w:r>
    </w:p>
    <w:p>
      <w:pPr>
        <w:ind w:left="4"/>
        <w:spacing w:after="0" w:line="199" w:lineRule="auto"/>
        <w:rPr>
          <w:sz w:val="20"/>
          <w:szCs w:val="20"/>
          <w:color w:val="auto"/>
        </w:rPr>
      </w:pPr>
      <w:r>
        <w:rPr>
          <w:rFonts w:ascii="Arial" w:cs="Arial" w:eastAsia="Arial" w:hAnsi="Arial"/>
          <w:sz w:val="16"/>
          <w:szCs w:val="16"/>
          <w:color w:val="auto"/>
        </w:rPr>
        <w:t>[●]</w:t>
      </w:r>
      <w:r>
        <w:rPr>
          <w:rFonts w:ascii="Arial" w:cs="Arial" w:eastAsia="Arial" w:hAnsi="Arial"/>
          <w:sz w:val="26"/>
          <w:szCs w:val="26"/>
          <w:color w:val="auto"/>
          <w:vertAlign w:val="superscript"/>
        </w:rPr>
        <w:t>30</w:t>
      </w:r>
    </w:p>
    <w:p>
      <w:pPr>
        <w:ind w:left="4"/>
        <w:spacing w:after="0"/>
        <w:rPr>
          <w:sz w:val="20"/>
          <w:szCs w:val="20"/>
          <w:color w:val="auto"/>
        </w:rPr>
      </w:pPr>
      <w:r>
        <w:rPr>
          <w:rFonts w:ascii="Arial" w:cs="Arial" w:eastAsia="Arial" w:hAnsi="Arial"/>
          <w:sz w:val="16"/>
          <w:szCs w:val="16"/>
          <w:color w:val="auto"/>
        </w:rPr>
        <w:t>Attention: [●]</w:t>
      </w:r>
    </w:p>
    <w:p>
      <w:pPr>
        <w:spacing w:after="0" w:line="184" w:lineRule="exact"/>
        <w:rPr>
          <w:sz w:val="20"/>
          <w:szCs w:val="20"/>
          <w:color w:val="auto"/>
        </w:rPr>
      </w:pPr>
    </w:p>
    <w:p>
      <w:pPr>
        <w:jc w:val="both"/>
        <w:ind w:left="4"/>
        <w:spacing w:after="0" w:line="253" w:lineRule="auto"/>
        <w:rPr>
          <w:sz w:val="20"/>
          <w:szCs w:val="20"/>
          <w:color w:val="auto"/>
        </w:rPr>
      </w:pPr>
      <w:r>
        <w:rPr>
          <w:rFonts w:ascii="Arial" w:cs="Arial" w:eastAsia="Arial" w:hAnsi="Arial"/>
          <w:sz w:val="16"/>
          <w:szCs w:val="16"/>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Dated: _____________ _________________________________</w:t>
      </w:r>
    </w:p>
    <w:p>
      <w:pPr>
        <w:spacing w:after="0" w:line="20"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_________________________________</w:t>
      </w:r>
    </w:p>
    <w:p>
      <w:pPr>
        <w:spacing w:after="0" w:line="7" w:lineRule="exact"/>
        <w:rPr>
          <w:sz w:val="20"/>
          <w:szCs w:val="20"/>
          <w:color w:val="auto"/>
        </w:rPr>
      </w:pPr>
    </w:p>
    <w:p>
      <w:pPr>
        <w:ind w:left="1704"/>
        <w:spacing w:after="0"/>
        <w:rPr>
          <w:sz w:val="20"/>
          <w:szCs w:val="20"/>
          <w:color w:val="auto"/>
        </w:rPr>
      </w:pPr>
      <w:r>
        <w:rPr>
          <w:rFonts w:ascii="Arial" w:cs="Arial" w:eastAsia="Arial" w:hAnsi="Arial"/>
          <w:sz w:val="16"/>
          <w:szCs w:val="16"/>
          <w:color w:val="auto"/>
        </w:rPr>
        <w:t>Signature(s)</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___________________</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Signature Guarantee</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Signature(s) must be guaranteed by an</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eligible guarantor institution (banks,</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 brokers, savings and loan associations</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credit unions) with membership in an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approved signature guarantee medallion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program pursuant to Securities and</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Exchange Commission Rule 17Ad-15</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shares of Common Stock are to be</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issued, or Notes are to be delivered,</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other 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79070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95" w:lineRule="exact"/>
        <w:rPr>
          <w:sz w:val="20"/>
          <w:szCs w:val="20"/>
          <w:color w:val="auto"/>
        </w:rPr>
      </w:pPr>
    </w:p>
    <w:p>
      <w:pPr>
        <w:ind w:left="284" w:hanging="284"/>
        <w:spacing w:after="0"/>
        <w:tabs>
          <w:tab w:leader="none" w:pos="284" w:val="left"/>
        </w:tabs>
        <w:numPr>
          <w:ilvl w:val="0"/>
          <w:numId w:val="216"/>
        </w:numPr>
        <w:rPr>
          <w:rFonts w:ascii="Arial" w:cs="Arial" w:eastAsia="Arial" w:hAnsi="Arial"/>
          <w:sz w:val="27"/>
          <w:szCs w:val="27"/>
          <w:color w:val="auto"/>
          <w:vertAlign w:val="superscript"/>
        </w:rPr>
      </w:pPr>
      <w:r>
        <w:rPr>
          <w:rFonts w:ascii="Arial" w:cs="Arial" w:eastAsia="Arial" w:hAnsi="Arial"/>
          <w:sz w:val="16"/>
          <w:szCs w:val="16"/>
          <w:color w:val="auto"/>
        </w:rPr>
        <w:t>Note to Draft: Trustee to provide.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99" w:name="page200"/>
    <w:bookmarkEnd w:id="199"/>
    <w:p>
      <w:pPr>
        <w:spacing w:after="0"/>
        <w:rPr>
          <w:sz w:val="20"/>
          <w:szCs w:val="20"/>
          <w:color w:val="auto"/>
        </w:rPr>
      </w:pPr>
      <w:r>
        <w:rPr>
          <w:rFonts w:ascii="Arial" w:cs="Arial" w:eastAsia="Arial" w:hAnsi="Arial"/>
          <w:sz w:val="16"/>
          <w:szCs w:val="16"/>
          <w:color w:val="auto"/>
        </w:rPr>
        <w:t>Fill in for registration of shares if to be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issued, and Notes if to be delivered,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other than to and in the name of the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registered holder: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(Street Address)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(City, State and Zip Code)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Please print name and address</w:t>
      </w:r>
    </w:p>
    <w:p>
      <w:pPr>
        <w:spacing w:after="0" w:line="7"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Principal amount to be converted (if less than all): $ ,000</w:t>
      </w:r>
    </w:p>
    <w:p>
      <w:pPr>
        <w:spacing w:after="0" w:line="186" w:lineRule="exact"/>
        <w:rPr>
          <w:sz w:val="20"/>
          <w:szCs w:val="20"/>
          <w:color w:val="auto"/>
        </w:rPr>
      </w:pPr>
    </w:p>
    <w:p>
      <w:pPr>
        <w:ind w:left="4020"/>
        <w:spacing w:after="0" w:line="309" w:lineRule="auto"/>
        <w:rPr>
          <w:sz w:val="20"/>
          <w:szCs w:val="20"/>
          <w:color w:val="auto"/>
        </w:rPr>
      </w:pPr>
      <w:r>
        <w:rPr>
          <w:rFonts w:ascii="Arial" w:cs="Arial" w:eastAsia="Arial" w:hAnsi="Arial"/>
          <w:sz w:val="15"/>
          <w:szCs w:val="15"/>
          <w:color w:val="auto"/>
        </w:rPr>
        <w:t>NOTICE: The above signature(s) of the Holder(s) hereof must correspond with the name as written upon the face of the Note in every particular without alteration or enlargement or any change whatever.</w:t>
      </w:r>
    </w:p>
    <w:p>
      <w:pPr>
        <w:spacing w:after="0" w:line="12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Social Security or Other Taxpayer</w:t>
      </w:r>
    </w:p>
    <w:p>
      <w:pPr>
        <w:spacing w:after="0" w:line="20"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Identification Number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200" w:name="page201"/>
    <w:bookmarkEnd w:id="200"/>
    <w:p>
      <w:pPr>
        <w:ind w:left="10004"/>
        <w:spacing w:after="0"/>
        <w:rPr>
          <w:sz w:val="20"/>
          <w:szCs w:val="20"/>
          <w:color w:val="auto"/>
        </w:rPr>
      </w:pPr>
      <w:r>
        <w:rPr>
          <w:rFonts w:ascii="Arial" w:cs="Arial" w:eastAsia="Arial" w:hAnsi="Arial"/>
          <w:sz w:val="15"/>
          <w:szCs w:val="15"/>
          <w:b w:val="1"/>
          <w:bCs w:val="1"/>
          <w:color w:val="auto"/>
        </w:rPr>
        <w:t>ATTACHMENT 2</w:t>
      </w:r>
    </w:p>
    <w:p>
      <w:pPr>
        <w:spacing w:after="0" w:line="21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[FORM OF FUNDAMENTAL CHANGE REPURCHASE NOTICE]</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U.S. Bank National Association, as Trustee</w:t>
      </w:r>
    </w:p>
    <w:p>
      <w:pPr>
        <w:ind w:left="4"/>
        <w:spacing w:after="0" w:line="199" w:lineRule="auto"/>
        <w:rPr>
          <w:sz w:val="20"/>
          <w:szCs w:val="20"/>
          <w:color w:val="auto"/>
        </w:rPr>
      </w:pPr>
      <w:r>
        <w:rPr>
          <w:rFonts w:ascii="Arial" w:cs="Arial" w:eastAsia="Arial" w:hAnsi="Arial"/>
          <w:sz w:val="16"/>
          <w:szCs w:val="16"/>
          <w:color w:val="auto"/>
        </w:rPr>
        <w:t>[●]</w:t>
      </w:r>
      <w:r>
        <w:rPr>
          <w:rFonts w:ascii="Arial" w:cs="Arial" w:eastAsia="Arial" w:hAnsi="Arial"/>
          <w:sz w:val="26"/>
          <w:szCs w:val="26"/>
          <w:color w:val="auto"/>
          <w:vertAlign w:val="superscript"/>
        </w:rPr>
        <w:t>31</w:t>
      </w:r>
    </w:p>
    <w:p>
      <w:pPr>
        <w:ind w:left="4"/>
        <w:spacing w:after="0"/>
        <w:rPr>
          <w:sz w:val="20"/>
          <w:szCs w:val="20"/>
          <w:color w:val="auto"/>
        </w:rPr>
      </w:pPr>
      <w:r>
        <w:rPr>
          <w:rFonts w:ascii="Arial" w:cs="Arial" w:eastAsia="Arial" w:hAnsi="Arial"/>
          <w:sz w:val="16"/>
          <w:szCs w:val="16"/>
          <w:color w:val="auto"/>
        </w:rPr>
        <w:t>Attention: [●]</w:t>
      </w:r>
    </w:p>
    <w:p>
      <w:pPr>
        <w:spacing w:after="0" w:line="180" w:lineRule="exact"/>
        <w:rPr>
          <w:sz w:val="20"/>
          <w:szCs w:val="20"/>
          <w:color w:val="auto"/>
        </w:rPr>
      </w:pPr>
    </w:p>
    <w:p>
      <w:pPr>
        <w:jc w:val="both"/>
        <w:ind w:left="4"/>
        <w:spacing w:after="0" w:line="275" w:lineRule="auto"/>
        <w:rPr>
          <w:sz w:val="20"/>
          <w:szCs w:val="20"/>
          <w:color w:val="auto"/>
        </w:rPr>
      </w:pPr>
      <w:r>
        <w:rPr>
          <w:rFonts w:ascii="Arial" w:cs="Arial" w:eastAsia="Arial" w:hAnsi="Arial"/>
          <w:sz w:val="15"/>
          <w:szCs w:val="15"/>
          <w:color w:val="auto"/>
        </w:rPr>
        <w:t>The undersigned registered owner of this Note hereby acknowledges receipt of a notice from [●] (the “</w:t>
      </w:r>
      <w:r>
        <w:rPr>
          <w:rFonts w:ascii="Arial" w:cs="Arial" w:eastAsia="Arial" w:hAnsi="Arial"/>
          <w:sz w:val="15"/>
          <w:szCs w:val="15"/>
          <w:b w:val="1"/>
          <w:bCs w:val="1"/>
          <w:color w:val="auto"/>
        </w:rPr>
        <w:t>Company</w:t>
      </w:r>
      <w:r>
        <w:rPr>
          <w:rFonts w:ascii="Arial" w:cs="Arial" w:eastAsia="Arial" w:hAnsi="Arial"/>
          <w:sz w:val="15"/>
          <w:szCs w:val="15"/>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the case of Physical Notes, the certificate numbers of the Notes to be repurchased are as set forth below:</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Dated: __________________</w:t>
      </w:r>
    </w:p>
    <w:p>
      <w:pPr>
        <w:spacing w:after="0" w:line="20" w:lineRule="exact"/>
        <w:rPr>
          <w:sz w:val="20"/>
          <w:szCs w:val="20"/>
          <w:color w:val="auto"/>
        </w:rPr>
      </w:pPr>
    </w:p>
    <w:p>
      <w:pPr>
        <w:ind w:left="4584"/>
        <w:spacing w:after="0"/>
        <w:rPr>
          <w:sz w:val="20"/>
          <w:szCs w:val="20"/>
          <w:color w:val="auto"/>
        </w:rPr>
      </w:pPr>
      <w:r>
        <w:rPr>
          <w:rFonts w:ascii="Arial" w:cs="Arial" w:eastAsia="Arial" w:hAnsi="Arial"/>
          <w:sz w:val="16"/>
          <w:szCs w:val="16"/>
          <w:color w:val="auto"/>
        </w:rPr>
        <w:t>Signature(s)</w:t>
      </w:r>
    </w:p>
    <w:p>
      <w:pPr>
        <w:spacing w:after="0" w:line="186" w:lineRule="exact"/>
        <w:rPr>
          <w:sz w:val="20"/>
          <w:szCs w:val="20"/>
          <w:color w:val="auto"/>
        </w:rPr>
      </w:pPr>
    </w:p>
    <w:p>
      <w:pPr>
        <w:ind w:left="4584"/>
        <w:spacing w:after="0"/>
        <w:rPr>
          <w:sz w:val="20"/>
          <w:szCs w:val="20"/>
          <w:color w:val="auto"/>
        </w:rPr>
      </w:pPr>
      <w:r>
        <w:rPr>
          <w:rFonts w:ascii="Arial" w:cs="Arial" w:eastAsia="Arial" w:hAnsi="Arial"/>
          <w:sz w:val="16"/>
          <w:szCs w:val="16"/>
          <w:color w:val="auto"/>
        </w:rPr>
        <w:t>Social Security or Other Taxpayer</w:t>
      </w:r>
    </w:p>
    <w:p>
      <w:pPr>
        <w:spacing w:after="0" w:line="20" w:lineRule="exact"/>
        <w:rPr>
          <w:sz w:val="20"/>
          <w:szCs w:val="20"/>
          <w:color w:val="auto"/>
        </w:rPr>
      </w:pPr>
    </w:p>
    <w:p>
      <w:pPr>
        <w:ind w:left="4584"/>
        <w:spacing w:after="0"/>
        <w:rPr>
          <w:sz w:val="20"/>
          <w:szCs w:val="20"/>
          <w:color w:val="auto"/>
        </w:rPr>
      </w:pPr>
      <w:r>
        <w:rPr>
          <w:rFonts w:ascii="Arial" w:cs="Arial" w:eastAsia="Arial" w:hAnsi="Arial"/>
          <w:sz w:val="16"/>
          <w:szCs w:val="16"/>
          <w:color w:val="auto"/>
        </w:rPr>
        <w:t>Identification Number</w:t>
      </w:r>
    </w:p>
    <w:p>
      <w:pPr>
        <w:spacing w:after="0" w:line="186" w:lineRule="exact"/>
        <w:rPr>
          <w:sz w:val="20"/>
          <w:szCs w:val="20"/>
          <w:color w:val="auto"/>
        </w:rPr>
      </w:pPr>
    </w:p>
    <w:p>
      <w:pPr>
        <w:ind w:left="4584"/>
        <w:spacing w:after="0"/>
        <w:rPr>
          <w:sz w:val="20"/>
          <w:szCs w:val="20"/>
          <w:color w:val="auto"/>
        </w:rPr>
      </w:pPr>
      <w:r>
        <w:rPr>
          <w:rFonts w:ascii="Arial" w:cs="Arial" w:eastAsia="Arial" w:hAnsi="Arial"/>
          <w:sz w:val="16"/>
          <w:szCs w:val="16"/>
          <w:color w:val="auto"/>
        </w:rPr>
        <w:t>Principal amount to be repaid (if less than all):</w:t>
      </w:r>
    </w:p>
    <w:p>
      <w:pPr>
        <w:spacing w:after="0" w:line="20" w:lineRule="exact"/>
        <w:rPr>
          <w:sz w:val="20"/>
          <w:szCs w:val="20"/>
          <w:color w:val="auto"/>
        </w:rPr>
      </w:pPr>
    </w:p>
    <w:p>
      <w:pPr>
        <w:ind w:left="4584"/>
        <w:spacing w:after="0"/>
        <w:rPr>
          <w:sz w:val="20"/>
          <w:szCs w:val="20"/>
          <w:color w:val="auto"/>
        </w:rPr>
      </w:pPr>
      <w:r>
        <w:rPr>
          <w:rFonts w:ascii="Arial" w:cs="Arial" w:eastAsia="Arial" w:hAnsi="Arial"/>
          <w:sz w:val="16"/>
          <w:szCs w:val="16"/>
          <w:color w:val="auto"/>
        </w:rPr>
        <w:t>$,000</w:t>
      </w:r>
    </w:p>
    <w:p>
      <w:pPr>
        <w:spacing w:after="0" w:line="186" w:lineRule="exact"/>
        <w:rPr>
          <w:sz w:val="20"/>
          <w:szCs w:val="20"/>
          <w:color w:val="auto"/>
        </w:rPr>
      </w:pPr>
    </w:p>
    <w:p>
      <w:pPr>
        <w:ind w:left="4584"/>
        <w:spacing w:after="0" w:line="308" w:lineRule="auto"/>
        <w:rPr>
          <w:sz w:val="20"/>
          <w:szCs w:val="20"/>
          <w:color w:val="auto"/>
        </w:rPr>
      </w:pPr>
      <w:r>
        <w:rPr>
          <w:rFonts w:ascii="Arial" w:cs="Arial" w:eastAsia="Arial" w:hAnsi="Arial"/>
          <w:sz w:val="14"/>
          <w:szCs w:val="14"/>
          <w:color w:val="auto"/>
        </w:rPr>
        <w:t>NOTICE: The above signature(s) of the Holder(s) hereof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790700"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ind w:left="284" w:hanging="284"/>
        <w:spacing w:after="0" w:line="181" w:lineRule="auto"/>
        <w:tabs>
          <w:tab w:leader="none" w:pos="284" w:val="left"/>
        </w:tabs>
        <w:numPr>
          <w:ilvl w:val="0"/>
          <w:numId w:val="217"/>
        </w:numPr>
        <w:rPr>
          <w:rFonts w:ascii="Arial" w:cs="Arial" w:eastAsia="Arial" w:hAnsi="Arial"/>
          <w:sz w:val="24"/>
          <w:szCs w:val="24"/>
          <w:color w:val="auto"/>
          <w:vertAlign w:val="superscript"/>
        </w:rPr>
      </w:pPr>
      <w:r>
        <w:rPr>
          <w:rFonts w:ascii="Arial" w:cs="Arial" w:eastAsia="Arial" w:hAnsi="Arial"/>
          <w:sz w:val="15"/>
          <w:szCs w:val="15"/>
          <w:b w:val="1"/>
          <w:bCs w:val="1"/>
          <w:color w:val="auto"/>
        </w:rPr>
        <w:t>Note to Draft</w:t>
      </w:r>
      <w:r>
        <w:rPr>
          <w:rFonts w:ascii="Arial" w:cs="Arial" w:eastAsia="Arial" w:hAnsi="Arial"/>
          <w:sz w:val="15"/>
          <w:szCs w:val="15"/>
          <w:color w:val="auto"/>
        </w:rPr>
        <w:t>: Trustee to provide.</w:t>
      </w:r>
    </w:p>
    <w:p>
      <w:pPr>
        <w:spacing w:after="0" w:line="36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314" w:right="339" w:bottom="1440" w:gutter="0" w:footer="0" w:header="0"/>
        </w:sectPr>
      </w:pPr>
    </w:p>
    <w:bookmarkStart w:id="201" w:name="page202"/>
    <w:bookmarkEnd w:id="201"/>
    <w:p>
      <w:pPr>
        <w:ind w:left="10004"/>
        <w:spacing w:after="0"/>
        <w:rPr>
          <w:sz w:val="20"/>
          <w:szCs w:val="20"/>
          <w:color w:val="auto"/>
        </w:rPr>
      </w:pPr>
      <w:r>
        <w:rPr>
          <w:rFonts w:ascii="Arial" w:cs="Arial" w:eastAsia="Arial" w:hAnsi="Arial"/>
          <w:sz w:val="16"/>
          <w:szCs w:val="16"/>
          <w:b w:val="1"/>
          <w:bCs w:val="1"/>
          <w:color w:val="auto"/>
        </w:rPr>
        <w:t>ATTACHMENT 3</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[FORM OF ASSIGNMENT AND TRANSFER]</w:t>
      </w:r>
    </w:p>
    <w:p>
      <w:pPr>
        <w:spacing w:after="0" w:line="198"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For value received hereby sell(s), assign(s) and transfer(s) unto (Please insert social security or Taxpayer Identification Number of assignee) the within Note, and hereby irrevocably constitutes and appoints attorney to transfer the said Note on the books of the Company, with full power of substitution in the premises.</w:t>
      </w:r>
    </w:p>
    <w:p>
      <w:pPr>
        <w:spacing w:after="0" w:line="152"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In connection with any transfer of the within Note occurring prior to the Resale Restriction Termination Date, as defined in the Indenture governing such Note, the undersigned confirms that such Note is being transferred:</w:t>
      </w:r>
    </w:p>
    <w:p>
      <w:pPr>
        <w:spacing w:after="0" w:line="152" w:lineRule="exact"/>
        <w:rPr>
          <w:sz w:val="20"/>
          <w:szCs w:val="20"/>
          <w:color w:val="auto"/>
        </w:rPr>
      </w:pPr>
    </w:p>
    <w:p>
      <w:pPr>
        <w:ind w:left="284" w:hanging="284"/>
        <w:spacing w:after="0"/>
        <w:tabs>
          <w:tab w:leader="none" w:pos="284" w:val="left"/>
        </w:tabs>
        <w:numPr>
          <w:ilvl w:val="0"/>
          <w:numId w:val="218"/>
        </w:numPr>
        <w:rPr>
          <w:rFonts w:ascii="MS PGothic" w:cs="MS PGothic" w:eastAsia="MS PGothic" w:hAnsi="MS PGothic"/>
          <w:sz w:val="16"/>
          <w:szCs w:val="16"/>
          <w:color w:val="auto"/>
        </w:rPr>
      </w:pPr>
      <w:r>
        <w:rPr>
          <w:rFonts w:ascii="Arial" w:cs="Arial" w:eastAsia="Arial" w:hAnsi="Arial"/>
          <w:sz w:val="16"/>
          <w:szCs w:val="16"/>
          <w:color w:val="auto"/>
        </w:rPr>
        <w:t>To [●] or a subsidiary thereof; or</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18"/>
        </w:numPr>
        <w:rPr>
          <w:rFonts w:ascii="MS PGothic" w:cs="MS PGothic" w:eastAsia="MS PGothic" w:hAnsi="MS PGothic"/>
          <w:sz w:val="16"/>
          <w:szCs w:val="16"/>
          <w:color w:val="auto"/>
        </w:rPr>
      </w:pPr>
      <w:r>
        <w:rPr>
          <w:rFonts w:ascii="Arial" w:cs="Arial" w:eastAsia="Arial" w:hAnsi="Arial"/>
          <w:sz w:val="16"/>
          <w:szCs w:val="16"/>
          <w:color w:val="auto"/>
        </w:rPr>
        <w:t>Pursuant to a registration statement that has become or been declared effective under the Securities Act of 1933, as amended; or</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18"/>
        </w:numPr>
        <w:rPr>
          <w:rFonts w:ascii="MS PGothic" w:cs="MS PGothic" w:eastAsia="MS PGothic" w:hAnsi="MS PGothic"/>
          <w:sz w:val="16"/>
          <w:szCs w:val="16"/>
          <w:color w:val="auto"/>
        </w:rPr>
      </w:pPr>
      <w:r>
        <w:rPr>
          <w:rFonts w:ascii="Arial" w:cs="Arial" w:eastAsia="Arial" w:hAnsi="Arial"/>
          <w:sz w:val="16"/>
          <w:szCs w:val="16"/>
          <w:color w:val="auto"/>
        </w:rPr>
        <w:t>Pursuant to and in compliance with Rule 144A under the Securities Act of 1933, as amended; or</w:t>
      </w:r>
    </w:p>
    <w:p>
      <w:pPr>
        <w:spacing w:after="0" w:line="198" w:lineRule="exact"/>
        <w:rPr>
          <w:rFonts w:ascii="MS PGothic" w:cs="MS PGothic" w:eastAsia="MS PGothic" w:hAnsi="MS PGothic"/>
          <w:sz w:val="16"/>
          <w:szCs w:val="16"/>
          <w:color w:val="auto"/>
        </w:rPr>
      </w:pPr>
    </w:p>
    <w:p>
      <w:pPr>
        <w:ind w:left="284" w:right="20" w:hanging="284"/>
        <w:spacing w:after="0" w:line="275" w:lineRule="auto"/>
        <w:tabs>
          <w:tab w:leader="none" w:pos="284" w:val="left"/>
        </w:tabs>
        <w:numPr>
          <w:ilvl w:val="0"/>
          <w:numId w:val="218"/>
        </w:numPr>
        <w:rPr>
          <w:rFonts w:ascii="MS PGothic" w:cs="MS PGothic" w:eastAsia="MS PGothic" w:hAnsi="MS PGothic"/>
          <w:sz w:val="16"/>
          <w:szCs w:val="16"/>
          <w:color w:val="auto"/>
        </w:rPr>
      </w:pPr>
      <w:r>
        <w:rPr>
          <w:rFonts w:ascii="Arial" w:cs="Arial" w:eastAsia="Arial" w:hAnsi="Arial"/>
          <w:sz w:val="16"/>
          <w:szCs w:val="16"/>
          <w:color w:val="auto"/>
        </w:rPr>
        <w:t>Pursuant to and in compliance with Rule 144 under the Securities Act of 1933, as amended, or any other available exemption from the registration requirements of the Securities Act of 1933, as amended.</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Dated: ____________________</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__________________________</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__________________________</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Signature(s)</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__________________________</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Signature Guarantee</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Signature(s) must be guaranteed</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an eligible guarantor institution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(banks, stock brokers, savings and loan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associations and credit unions) with</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membership in an approved signature</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guarantee medallion program pursuant</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Securities and Exchange Commission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Rule 17Ad-15 if Notes are to be delivered,</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other than to and in the name of the</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registered holder.</w:t>
      </w:r>
    </w:p>
    <w:p>
      <w:pPr>
        <w:spacing w:after="0" w:line="186" w:lineRule="exact"/>
        <w:rPr>
          <w:sz w:val="20"/>
          <w:szCs w:val="20"/>
          <w:color w:val="auto"/>
        </w:rPr>
      </w:pPr>
    </w:p>
    <w:p>
      <w:pPr>
        <w:ind w:left="4"/>
        <w:spacing w:after="0" w:line="275" w:lineRule="auto"/>
        <w:rPr>
          <w:sz w:val="20"/>
          <w:szCs w:val="20"/>
          <w:color w:val="auto"/>
        </w:rPr>
      </w:pPr>
      <w:r>
        <w:rPr>
          <w:rFonts w:ascii="Arial" w:cs="Arial" w:eastAsia="Arial" w:hAnsi="Arial"/>
          <w:sz w:val="16"/>
          <w:szCs w:val="16"/>
          <w:color w:val="auto"/>
        </w:rPr>
        <w:t>NOTICE: The signature on the assignment must correspond with the name as written upon the face of the Note in every particular without alteration or enlargement or any change whatever.</w:t>
      </w: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202" w:name="page203"/>
    <w:bookmarkEnd w:id="202"/>
    <w:p>
      <w:pPr>
        <w:ind w:left="10420"/>
        <w:spacing w:after="0"/>
        <w:rPr>
          <w:sz w:val="20"/>
          <w:szCs w:val="20"/>
          <w:color w:val="auto"/>
        </w:rPr>
      </w:pPr>
      <w:r>
        <w:rPr>
          <w:rFonts w:ascii="Arial" w:cs="Arial" w:eastAsia="Arial" w:hAnsi="Arial"/>
          <w:sz w:val="16"/>
          <w:szCs w:val="16"/>
          <w:b w:val="1"/>
          <w:bCs w:val="1"/>
          <w:color w:val="auto"/>
        </w:rPr>
        <w:t>EXHIBIT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PIK ELECTION NOTICE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ISSUER NOTIFICATION OF PIK INTEREST ELECTION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 20[  ]</w:t>
      </w:r>
    </w:p>
    <w:p>
      <w:pPr>
        <w:spacing w:after="0" w:line="198"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This notification is delivered to you, U.S. Bank National Association, Trustee (the “Trustee”) under the indenture dated [●], 202[●], among [●] (the “Company”), the guarantors party thereto, and the Trustee (as amended, supplemented, or otherwise modified from time to time, the “Indenture”), in connection with the Company’s option to elect to pay PIK Interest as set forth in the Indenture. Capitalized terms used and not otherwise defined herein shall have the meanings assigned thereto in the Indenture.</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undersigned Officer of the Company (the “Officer”) hereby certifies that the undersigned is authorized to execute this notification on behalf of the Company (and not in a personal capacity) and does hereby notify the Trustee and the Paying Agent, in the name and on behalf of the Issuer (and not in a personal capacity), that for the Interest Payment Date of [____________________], 20[ ], the Company shall pay [all] or [$ ] of the interest on the Notes that will be due and payable on such Interest Payment Date by way of a PIK Payment.</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have executed this Officer’s Certificate as of the date first written above.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 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Title: __________________________</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03" w:name="page204"/>
    <w:bookmarkEnd w:id="203"/>
    <w:p>
      <w:pPr>
        <w:ind w:left="10380"/>
        <w:spacing w:after="0"/>
        <w:rPr>
          <w:sz w:val="20"/>
          <w:szCs w:val="20"/>
          <w:color w:val="auto"/>
        </w:rPr>
      </w:pPr>
      <w:r>
        <w:rPr>
          <w:rFonts w:ascii="Arial" w:cs="Arial" w:eastAsia="Arial" w:hAnsi="Arial"/>
          <w:sz w:val="15"/>
          <w:szCs w:val="15"/>
          <w:b w:val="1"/>
          <w:bCs w:val="1"/>
          <w:color w:val="auto"/>
        </w:rPr>
        <w:t>Exhibit 10.1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SUBSCRIPTION AGREEMENT</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This SUBSCRIPTION AGREEMENT (this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xml:space="preserve"> is entered into on November 10, 2021, by and between Ventoux CCM Acquisition Corp.,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undersigned subscriber (“</w:t>
      </w:r>
      <w:r>
        <w:rPr>
          <w:rFonts w:ascii="Arial" w:cs="Arial" w:eastAsia="Arial" w:hAnsi="Arial"/>
          <w:sz w:val="16"/>
          <w:szCs w:val="16"/>
          <w:u w:val="single" w:color="auto"/>
          <w:color w:val="auto"/>
        </w:rPr>
        <w:t>Subscriber</w:t>
      </w:r>
      <w:r>
        <w:rPr>
          <w:rFonts w:ascii="Arial" w:cs="Arial" w:eastAsia="Arial" w:hAnsi="Arial"/>
          <w:sz w:val="16"/>
          <w:szCs w:val="16"/>
          <w:color w:val="auto"/>
        </w:rPr>
        <w:t>”).</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concurrently with the execution of this Subscription Agreement, the Company is entering into a definitive agreement with E la Carte, Inc., a Delaware corporation (“</w:t>
      </w:r>
      <w:r>
        <w:rPr>
          <w:rFonts w:ascii="Arial" w:cs="Arial" w:eastAsia="Arial" w:hAnsi="Arial"/>
          <w:sz w:val="16"/>
          <w:szCs w:val="16"/>
          <w:u w:val="single" w:color="auto"/>
          <w:color w:val="auto"/>
        </w:rPr>
        <w:t>Presto</w:t>
      </w:r>
      <w:r>
        <w:rPr>
          <w:rFonts w:ascii="Arial" w:cs="Arial" w:eastAsia="Arial" w:hAnsi="Arial"/>
          <w:sz w:val="16"/>
          <w:szCs w:val="16"/>
          <w:color w:val="auto"/>
        </w:rPr>
        <w:t>”), and the other parties thereto, providing for the combination of the Company and Presto (the “</w:t>
      </w:r>
      <w:r>
        <w:rPr>
          <w:rFonts w:ascii="Arial" w:cs="Arial" w:eastAsia="Arial" w:hAnsi="Arial"/>
          <w:sz w:val="16"/>
          <w:szCs w:val="16"/>
          <w:u w:val="single" w:color="auto"/>
          <w:color w:val="auto"/>
        </w:rPr>
        <w:t>Transaction Agreement</w:t>
      </w:r>
      <w:r>
        <w:rPr>
          <w:rFonts w:ascii="Arial" w:cs="Arial" w:eastAsia="Arial" w:hAnsi="Arial"/>
          <w:sz w:val="16"/>
          <w:szCs w:val="16"/>
          <w:color w:val="auto"/>
        </w:rPr>
        <w:t>” and the transactions contemplated by the Transaction Agreement, the “</w:t>
      </w:r>
      <w:r>
        <w:rPr>
          <w:rFonts w:ascii="Arial" w:cs="Arial" w:eastAsia="Arial" w:hAnsi="Arial"/>
          <w:sz w:val="16"/>
          <w:szCs w:val="16"/>
          <w:u w:val="single" w:color="auto"/>
          <w:color w:val="auto"/>
        </w:rPr>
        <w:t>Transaction</w:t>
      </w:r>
      <w:r>
        <w:rPr>
          <w:rFonts w:ascii="Arial" w:cs="Arial" w:eastAsia="Arial" w:hAnsi="Arial"/>
          <w:sz w:val="16"/>
          <w:szCs w:val="16"/>
          <w:color w:val="auto"/>
        </w:rPr>
        <w:t>”);</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WHEREAS, in connection with the Transaction, Subscriber desires to subscribe for and purchase from the Company, immediately prior to the consummation of the Transaction, that number of shares of the Company’s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set forth on the signature page hereto (the “</w:t>
      </w:r>
      <w:r>
        <w:rPr>
          <w:rFonts w:ascii="Arial" w:cs="Arial" w:eastAsia="Arial" w:hAnsi="Arial"/>
          <w:sz w:val="16"/>
          <w:szCs w:val="16"/>
          <w:u w:val="single" w:color="auto"/>
          <w:color w:val="auto"/>
        </w:rPr>
        <w:t>Subscribed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for a purchase price of $10.00 per share (the “</w:t>
      </w:r>
      <w:r>
        <w:rPr>
          <w:rFonts w:ascii="Arial" w:cs="Arial" w:eastAsia="Arial" w:hAnsi="Arial"/>
          <w:sz w:val="16"/>
          <w:szCs w:val="16"/>
          <w:u w:val="single" w:color="auto"/>
          <w:color w:val="auto"/>
        </w:rPr>
        <w:t>Per Share Price</w:t>
      </w:r>
      <w:r>
        <w:rPr>
          <w:rFonts w:ascii="Arial" w:cs="Arial" w:eastAsia="Arial" w:hAnsi="Arial"/>
          <w:sz w:val="16"/>
          <w:szCs w:val="16"/>
          <w:color w:val="auto"/>
        </w:rPr>
        <w:t>” and the aggregate of such Per Share Price for all Subscribed Shares being referred to herein as the “</w:t>
      </w:r>
      <w:r>
        <w:rPr>
          <w:rFonts w:ascii="Arial" w:cs="Arial" w:eastAsia="Arial" w:hAnsi="Arial"/>
          <w:sz w:val="16"/>
          <w:szCs w:val="16"/>
          <w:u w:val="single" w:color="auto"/>
          <w:color w:val="auto"/>
        </w:rPr>
        <w:t>Purchase Price</w:t>
      </w:r>
      <w:r>
        <w:rPr>
          <w:rFonts w:ascii="Arial" w:cs="Arial" w:eastAsia="Arial" w:hAnsi="Arial"/>
          <w:sz w:val="16"/>
          <w:szCs w:val="16"/>
          <w:color w:val="auto"/>
        </w:rPr>
        <w:t>”), and the Company desires to issue and sell to Subscriber the Subscribed Shares in consideration of the payment of the Purchase Price by or on behalf of Subscriber to the Company; and</w:t>
      </w:r>
    </w:p>
    <w:p>
      <w:pPr>
        <w:spacing w:after="0" w:line="170"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color w:val="auto"/>
        </w:rPr>
        <w:t>WHEREAS, concurrently with the execution of this Subscription Agreement or prior to the closing date of the Transaction (the “</w:t>
      </w:r>
      <w:r>
        <w:rPr>
          <w:rFonts w:ascii="Arial" w:cs="Arial" w:eastAsia="Arial" w:hAnsi="Arial"/>
          <w:sz w:val="14"/>
          <w:szCs w:val="14"/>
          <w:u w:val="single" w:color="auto"/>
          <w:color w:val="auto"/>
        </w:rPr>
        <w:t>Closing Date</w:t>
      </w:r>
      <w:r>
        <w:rPr>
          <w:rFonts w:ascii="Arial" w:cs="Arial" w:eastAsia="Arial" w:hAnsi="Arial"/>
          <w:sz w:val="14"/>
          <w:szCs w:val="14"/>
          <w:color w:val="auto"/>
        </w:rPr>
        <w:t>”), the Company is entering or will enter into subscription agreements (the “</w:t>
      </w:r>
      <w:r>
        <w:rPr>
          <w:rFonts w:ascii="Arial" w:cs="Arial" w:eastAsia="Arial" w:hAnsi="Arial"/>
          <w:sz w:val="14"/>
          <w:szCs w:val="14"/>
          <w:u w:val="single" w:color="auto"/>
          <w:color w:val="auto"/>
        </w:rPr>
        <w:t>Other Subscription Agreements</w:t>
      </w:r>
      <w:r>
        <w:rPr>
          <w:rFonts w:ascii="Arial" w:cs="Arial" w:eastAsia="Arial" w:hAnsi="Arial"/>
          <w:sz w:val="14"/>
          <w:szCs w:val="14"/>
          <w:color w:val="auto"/>
        </w:rPr>
        <w:t>” and together with this Subscription Agreement, the “</w:t>
      </w:r>
      <w:r>
        <w:rPr>
          <w:rFonts w:ascii="Arial" w:cs="Arial" w:eastAsia="Arial" w:hAnsi="Arial"/>
          <w:sz w:val="14"/>
          <w:szCs w:val="14"/>
          <w:u w:val="single" w:color="auto"/>
          <w:color w:val="auto"/>
        </w:rPr>
        <w:t>Subscription Agreements</w:t>
      </w:r>
      <w:r>
        <w:rPr>
          <w:rFonts w:ascii="Arial" w:cs="Arial" w:eastAsia="Arial" w:hAnsi="Arial"/>
          <w:sz w:val="14"/>
          <w:szCs w:val="14"/>
          <w:color w:val="auto"/>
        </w:rPr>
        <w:t>”) with certain other accredited investors (the “</w:t>
      </w:r>
      <w:r>
        <w:rPr>
          <w:rFonts w:ascii="Arial" w:cs="Arial" w:eastAsia="Arial" w:hAnsi="Arial"/>
          <w:sz w:val="14"/>
          <w:szCs w:val="14"/>
          <w:u w:val="single" w:color="auto"/>
          <w:color w:val="auto"/>
        </w:rPr>
        <w:t>Other Subscribers</w:t>
      </w:r>
      <w:r>
        <w:rPr>
          <w:rFonts w:ascii="Arial" w:cs="Arial" w:eastAsia="Arial" w:hAnsi="Arial"/>
          <w:sz w:val="14"/>
          <w:szCs w:val="14"/>
          <w:color w:val="auto"/>
        </w:rPr>
        <w:t>” and together with Subscriber, the “</w:t>
      </w:r>
      <w:r>
        <w:rPr>
          <w:rFonts w:ascii="Arial" w:cs="Arial" w:eastAsia="Arial" w:hAnsi="Arial"/>
          <w:sz w:val="14"/>
          <w:szCs w:val="14"/>
          <w:u w:val="single" w:color="auto"/>
          <w:color w:val="auto"/>
        </w:rPr>
        <w:t>Subscribers</w:t>
      </w:r>
      <w:r>
        <w:rPr>
          <w:rFonts w:ascii="Arial" w:cs="Arial" w:eastAsia="Arial" w:hAnsi="Arial"/>
          <w:sz w:val="14"/>
          <w:szCs w:val="14"/>
          <w:color w:val="auto"/>
        </w:rPr>
        <w:t>”), which are on substantially the same terms as the terms of this Subscription Agreement (other than with respect to (v) the amounts and types of the Company’s securities to be subscribed for and purchased by the Other Subscribers, (w) certain fees payable by Presto, certain board observer rights granted, and the purchase of Common Stock from the Sponsors (as defined herein) by [***] and [***] and their affiliates, (x) certain closing conditions in the Other Subscription Agreements relating to the Notes (as defined below),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 pursuant to which such investors shall agree or have agreed to purchase on the Closing Date, inclusive of the Subscribed Shares, as applicable (i) shares of Common Stock, at the Per Share Price and (ii) the Company’s 9.0%/11.0% convertible senior notes due 2026 (the “</w:t>
      </w:r>
      <w:r>
        <w:rPr>
          <w:rFonts w:ascii="Arial" w:cs="Arial" w:eastAsia="Arial" w:hAnsi="Arial"/>
          <w:sz w:val="14"/>
          <w:szCs w:val="14"/>
          <w:u w:val="single" w:color="auto"/>
          <w:color w:val="auto"/>
        </w:rPr>
        <w:t>Notes</w:t>
      </w:r>
      <w:r>
        <w:rPr>
          <w:rFonts w:ascii="Arial" w:cs="Arial" w:eastAsia="Arial" w:hAnsi="Arial"/>
          <w:sz w:val="14"/>
          <w:szCs w:val="14"/>
          <w:color w:val="auto"/>
        </w:rPr>
        <w:t>”) and related warrants (the “</w:t>
      </w:r>
      <w:r>
        <w:rPr>
          <w:rFonts w:ascii="Arial" w:cs="Arial" w:eastAsia="Arial" w:hAnsi="Arial"/>
          <w:sz w:val="14"/>
          <w:szCs w:val="14"/>
          <w:u w:val="single" w:color="auto"/>
          <w:color w:val="auto"/>
        </w:rPr>
        <w:t>Warrants</w:t>
      </w:r>
      <w:r>
        <w:rPr>
          <w:rFonts w:ascii="Arial" w:cs="Arial" w:eastAsia="Arial" w:hAnsi="Arial"/>
          <w:sz w:val="14"/>
          <w:szCs w:val="14"/>
          <w:color w:val="auto"/>
        </w:rPr>
        <w:t>”) to purchase shares of Common Stock, for, as of the date hereof, up to $70,000,000 in gross proceeds to the Company (together with the Subscribed Shares, the “</w:t>
      </w:r>
      <w:r>
        <w:rPr>
          <w:rFonts w:ascii="Arial" w:cs="Arial" w:eastAsia="Arial" w:hAnsi="Arial"/>
          <w:sz w:val="14"/>
          <w:szCs w:val="14"/>
          <w:u w:val="single" w:color="auto"/>
          <w:color w:val="auto"/>
        </w:rPr>
        <w:t>Aggregate Subscribed Securities</w:t>
      </w:r>
      <w:r>
        <w:rPr>
          <w:rFonts w:ascii="Arial" w:cs="Arial" w:eastAsia="Arial" w:hAnsi="Arial"/>
          <w:sz w:val="14"/>
          <w:szCs w:val="14"/>
          <w:color w:val="auto"/>
        </w:rPr>
        <w:t>”);</w:t>
      </w:r>
    </w:p>
    <w:p>
      <w:pPr>
        <w:spacing w:after="0" w:line="14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52" w:lineRule="exact"/>
        <w:rPr>
          <w:sz w:val="20"/>
          <w:szCs w:val="20"/>
          <w:color w:val="auto"/>
        </w:rPr>
      </w:pPr>
    </w:p>
    <w:p>
      <w:pPr>
        <w:ind w:right="20" w:firstLine="569"/>
        <w:spacing w:after="0" w:line="349" w:lineRule="auto"/>
        <w:tabs>
          <w:tab w:leader="none" w:pos="757"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Subscription</w:t>
      </w:r>
      <w:r>
        <w:rPr>
          <w:rFonts w:ascii="Arial" w:cs="Arial" w:eastAsia="Arial" w:hAnsi="Arial"/>
          <w:sz w:val="14"/>
          <w:szCs w:val="14"/>
          <w:color w:val="auto"/>
        </w:rPr>
        <w:t>. Subject to the terms and conditions hereof, at the Closing (as defined below), Subscriber hereby agrees to subscribe for and purchase, and the Company hereby agrees to issue and sell to Subscriber, upon the payment of the Purchase Price, the Subscribed Shares (such subscription and issuance, the “</w:t>
      </w:r>
      <w:r>
        <w:rPr>
          <w:rFonts w:ascii="Arial" w:cs="Arial" w:eastAsia="Arial" w:hAnsi="Arial"/>
          <w:sz w:val="14"/>
          <w:szCs w:val="14"/>
          <w:u w:val="single" w:color="auto"/>
          <w:color w:val="auto"/>
        </w:rPr>
        <w:t>Subscription</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4819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04" w:name="page205"/>
    <w:bookmarkEnd w:id="204"/>
    <w:p>
      <w:pPr>
        <w:ind w:left="724" w:hanging="151"/>
        <w:spacing w:after="0"/>
        <w:tabs>
          <w:tab w:leader="none" w:pos="724"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4" w:firstLine="1143"/>
        <w:spacing w:after="0" w:line="275" w:lineRule="auto"/>
        <w:tabs>
          <w:tab w:leader="none" w:pos="1304" w:val="left"/>
        </w:tabs>
        <w:numPr>
          <w:ilvl w:val="2"/>
          <w:numId w:val="220"/>
        </w:numPr>
        <w:rPr>
          <w:rFonts w:ascii="Arial" w:cs="Arial" w:eastAsia="Arial" w:hAnsi="Arial"/>
          <w:sz w:val="16"/>
          <w:szCs w:val="16"/>
          <w:color w:val="auto"/>
        </w:rPr>
      </w:pPr>
      <w:r>
        <w:rPr>
          <w:rFonts w:ascii="Arial" w:cs="Arial" w:eastAsia="Arial" w:hAnsi="Arial"/>
          <w:sz w:val="16"/>
          <w:szCs w:val="16"/>
          <w:color w:val="auto"/>
        </w:rPr>
        <w:t>Subject to the terms of this Subscription Agreement, the consummation of the Subscription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shall occur on the Closing Date immediately prior to or substantially concurrently with the consummation of the Transaction.</w:t>
      </w:r>
    </w:p>
    <w:p>
      <w:pPr>
        <w:spacing w:after="0" w:line="151" w:lineRule="exact"/>
        <w:rPr>
          <w:rFonts w:ascii="Arial" w:cs="Arial" w:eastAsia="Arial" w:hAnsi="Arial"/>
          <w:sz w:val="16"/>
          <w:szCs w:val="16"/>
          <w:color w:val="auto"/>
        </w:rPr>
      </w:pPr>
    </w:p>
    <w:p>
      <w:pPr>
        <w:jc w:val="both"/>
        <w:ind w:left="4" w:firstLine="1143"/>
        <w:spacing w:after="0" w:line="287" w:lineRule="auto"/>
        <w:tabs>
          <w:tab w:leader="none" w:pos="1339" w:val="left"/>
        </w:tabs>
        <w:numPr>
          <w:ilvl w:val="2"/>
          <w:numId w:val="220"/>
        </w:numPr>
        <w:rPr>
          <w:rFonts w:ascii="Arial" w:cs="Arial" w:eastAsia="Arial" w:hAnsi="Arial"/>
          <w:sz w:val="14"/>
          <w:szCs w:val="14"/>
          <w:color w:val="auto"/>
        </w:rPr>
      </w:pPr>
      <w:r>
        <w:rPr>
          <w:rFonts w:ascii="Arial" w:cs="Arial" w:eastAsia="Arial" w:hAnsi="Arial"/>
          <w:sz w:val="14"/>
          <w:szCs w:val="14"/>
          <w:color w:val="auto"/>
        </w:rPr>
        <w:t>At least five (5) Business Days before the anticipated Closing Date, the Company shall deliver written notice to Subscriber (the “</w:t>
      </w:r>
      <w:r>
        <w:rPr>
          <w:rFonts w:ascii="Arial" w:cs="Arial" w:eastAsia="Arial" w:hAnsi="Arial"/>
          <w:sz w:val="14"/>
          <w:szCs w:val="14"/>
          <w:u w:val="single" w:color="auto"/>
          <w:color w:val="auto"/>
        </w:rPr>
        <w:t>Closing Notice</w:t>
      </w:r>
      <w:r>
        <w:rPr>
          <w:rFonts w:ascii="Arial" w:cs="Arial" w:eastAsia="Arial" w:hAnsi="Arial"/>
          <w:sz w:val="14"/>
          <w:szCs w:val="14"/>
          <w:color w:val="auto"/>
        </w:rPr>
        <w:t xml:space="preserve">”) specifying (i) the anticipated Closing Date and (ii) the wire instructions for delivery of the Purchase Price to the Company. No later than two (2) Business Days after receiving the Closing Notice, Subscriber shall deliver to the Company such information as is reasonably requested in the Closing Notice in order for the Company to issue the Subscribed Shares to Subscriber. Subscriber shall deliver to the Company, no later than one (1) Business Day prior to the Closing Date as set forth in the Closing Notice, (a) the Purchase Price for the Subscribed Shares by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issue the Subscribed Shares to Subscriber at the Closing. Upon satisfaction (or, if applicable, waiver) of the conditions set forth in this </w:t>
      </w:r>
      <w:r>
        <w:rPr>
          <w:rFonts w:ascii="Arial" w:cs="Arial" w:eastAsia="Arial" w:hAnsi="Arial"/>
          <w:sz w:val="14"/>
          <w:szCs w:val="14"/>
          <w:u w:val="single" w:color="auto"/>
          <w:color w:val="auto"/>
        </w:rPr>
        <w:t>Section 2</w:t>
      </w:r>
      <w:r>
        <w:rPr>
          <w:rFonts w:ascii="Arial" w:cs="Arial" w:eastAsia="Arial" w:hAnsi="Arial"/>
          <w:sz w:val="14"/>
          <w:szCs w:val="14"/>
          <w:color w:val="auto"/>
        </w:rPr>
        <w:t>, the Company shall deliver to Subscriber</w:t>
      </w:r>
    </w:p>
    <w:p>
      <w:pPr>
        <w:spacing w:after="0" w:line="3" w:lineRule="exact"/>
        <w:rPr>
          <w:rFonts w:ascii="Arial" w:cs="Arial" w:eastAsia="Arial" w:hAnsi="Arial"/>
          <w:sz w:val="14"/>
          <w:szCs w:val="14"/>
          <w:color w:val="auto"/>
        </w:rPr>
      </w:pPr>
    </w:p>
    <w:p>
      <w:pPr>
        <w:jc w:val="both"/>
        <w:ind w:left="4" w:hanging="4"/>
        <w:spacing w:after="0" w:line="268" w:lineRule="auto"/>
        <w:tabs>
          <w:tab w:leader="none" w:pos="209" w:val="left"/>
        </w:tabs>
        <w:numPr>
          <w:ilvl w:val="0"/>
          <w:numId w:val="221"/>
        </w:numPr>
        <w:rPr>
          <w:rFonts w:ascii="Arial" w:cs="Arial" w:eastAsia="Arial" w:hAnsi="Arial"/>
          <w:sz w:val="15"/>
          <w:szCs w:val="15"/>
          <w:color w:val="auto"/>
        </w:rPr>
      </w:pPr>
      <w:r>
        <w:rPr>
          <w:rFonts w:ascii="Arial" w:cs="Arial" w:eastAsia="Arial" w:hAnsi="Arial"/>
          <w:sz w:val="15"/>
          <w:szCs w:val="15"/>
          <w:color w:val="auto"/>
        </w:rPr>
        <w:t xml:space="preserve">at the Closing, the Subscribed Shares in book entry form, free and clear of any liens or other restrictions (other than those arising under this Subscription Agreement or applicable state or federal securities laws), in the name of Subscriber (or its nominee in accordance with its delivery instructions) or to a custodian designated by Subscriber, as applicable, and (ii) written notice from the Company or its transfer agent evidencing the issuance to Subscriber of the Subscribed Shares on and as of the Closing Date. In the event that the consummation of the Transaction does not occur within two (2) Business Days after the anticipated Closing Date specified in the Closing Notice, unless otherwise agreed to in writing by the Company and Subscriber, the Company shall promptly (but in no event later than one (1) Business Day thereafter) return the funds so delivered by Subscriber to the Company by wire transfer in immediately available funds to the account specified by Subscriber and any book entries shall be deemed cancelled. Subscriber shall not be required to deliver to the Company on more than two (2) occasions, the Purchase Price pursuant to a Closing Notice. Notwithstanding such return or cancellation a failure to close on the anticipated Closing Date shall not, by itself, be deemed to be a failure of any of the conditions to Closing set forth in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to be satisfied or waived on or prior to the Closing Date. For the purposes of this Subscription Agreement, “Business Day” means any day other than a Saturday, Sunday or a day on which the Federal Reserve Bank of New York is closed.</w:t>
      </w:r>
    </w:p>
    <w:p>
      <w:pPr>
        <w:spacing w:after="0" w:line="164" w:lineRule="exact"/>
        <w:rPr>
          <w:rFonts w:ascii="Arial" w:cs="Arial" w:eastAsia="Arial" w:hAnsi="Arial"/>
          <w:sz w:val="15"/>
          <w:szCs w:val="15"/>
          <w:color w:val="auto"/>
        </w:rPr>
      </w:pPr>
    </w:p>
    <w:p>
      <w:pPr>
        <w:ind w:left="4" w:right="20" w:firstLine="1143"/>
        <w:spacing w:after="0" w:line="275" w:lineRule="auto"/>
        <w:tabs>
          <w:tab w:leader="none" w:pos="1316" w:val="left"/>
        </w:tabs>
        <w:numPr>
          <w:ilvl w:val="2"/>
          <w:numId w:val="221"/>
        </w:numPr>
        <w:rPr>
          <w:rFonts w:ascii="Arial" w:cs="Arial" w:eastAsia="Arial" w:hAnsi="Arial"/>
          <w:sz w:val="16"/>
          <w:szCs w:val="16"/>
          <w:color w:val="auto"/>
        </w:rPr>
      </w:pPr>
      <w:r>
        <w:rPr>
          <w:rFonts w:ascii="Arial" w:cs="Arial" w:eastAsia="Arial" w:hAnsi="Arial"/>
          <w:sz w:val="16"/>
          <w:szCs w:val="16"/>
          <w:color w:val="auto"/>
        </w:rPr>
        <w:t>The Closing shall be subject to the satisfaction or valid waiver in writing by each of the parties hereto (to the extent a valid waiver is capable of being issued) by the Company, on the one hand, or Subscriber, on the other, of the conditions that, on the Closing Date:</w:t>
      </w:r>
    </w:p>
    <w:p>
      <w:pPr>
        <w:spacing w:after="0" w:line="151" w:lineRule="exact"/>
        <w:rPr>
          <w:rFonts w:ascii="Arial" w:cs="Arial" w:eastAsia="Arial" w:hAnsi="Arial"/>
          <w:sz w:val="16"/>
          <w:szCs w:val="16"/>
          <w:color w:val="auto"/>
        </w:rPr>
      </w:pPr>
    </w:p>
    <w:p>
      <w:pPr>
        <w:jc w:val="both"/>
        <w:ind w:left="4" w:right="20" w:firstLine="1716"/>
        <w:spacing w:after="0" w:line="262" w:lineRule="auto"/>
        <w:tabs>
          <w:tab w:leader="none" w:pos="1934" w:val="left"/>
        </w:tabs>
        <w:numPr>
          <w:ilvl w:val="3"/>
          <w:numId w:val="221"/>
        </w:numPr>
        <w:rPr>
          <w:rFonts w:ascii="Arial" w:cs="Arial" w:eastAsia="Arial" w:hAnsi="Arial"/>
          <w:sz w:val="16"/>
          <w:szCs w:val="16"/>
          <w:color w:val="auto"/>
        </w:rPr>
      </w:pPr>
      <w:r>
        <w:rPr>
          <w:rFonts w:ascii="Arial" w:cs="Arial" w:eastAsia="Arial" w:hAnsi="Arial"/>
          <w:sz w:val="16"/>
          <w:szCs w:val="16"/>
          <w:color w:val="auto"/>
        </w:rPr>
        <w:t>no suspension of the qualification of the Common Stock for offering or sale or trading in any jurisdiction, or initiation or threatening of any proceedings for any of such purposes, shall have occurred and the Subscribed Shares shall have been approved for listing on The Nasdaq Stock Market LLC (“</w:t>
      </w:r>
      <w:r>
        <w:rPr>
          <w:rFonts w:ascii="Arial" w:cs="Arial" w:eastAsia="Arial" w:hAnsi="Arial"/>
          <w:sz w:val="16"/>
          <w:szCs w:val="16"/>
          <w:u w:val="single" w:color="auto"/>
          <w:color w:val="auto"/>
        </w:rPr>
        <w:t>NASDAQ</w:t>
      </w:r>
      <w:r>
        <w:rPr>
          <w:rFonts w:ascii="Arial" w:cs="Arial" w:eastAsia="Arial" w:hAnsi="Arial"/>
          <w:sz w:val="16"/>
          <w:szCs w:val="16"/>
          <w:color w:val="auto"/>
        </w:rPr>
        <w:t>”), subject to official notice of issuance;</w:t>
      </w:r>
    </w:p>
    <w:p>
      <w:pPr>
        <w:spacing w:after="0" w:line="162" w:lineRule="exact"/>
        <w:rPr>
          <w:rFonts w:ascii="Arial" w:cs="Arial" w:eastAsia="Arial" w:hAnsi="Arial"/>
          <w:sz w:val="16"/>
          <w:szCs w:val="16"/>
          <w:color w:val="auto"/>
        </w:rPr>
      </w:pPr>
    </w:p>
    <w:p>
      <w:pPr>
        <w:ind w:left="4" w:right="20" w:firstLine="1716"/>
        <w:spacing w:after="0" w:line="349" w:lineRule="auto"/>
        <w:tabs>
          <w:tab w:leader="none" w:pos="1983" w:val="left"/>
        </w:tabs>
        <w:numPr>
          <w:ilvl w:val="3"/>
          <w:numId w:val="221"/>
        </w:numPr>
        <w:rPr>
          <w:rFonts w:ascii="Arial" w:cs="Arial" w:eastAsia="Arial" w:hAnsi="Arial"/>
          <w:sz w:val="14"/>
          <w:szCs w:val="14"/>
          <w:color w:val="auto"/>
        </w:rPr>
      </w:pPr>
      <w:r>
        <w:rPr>
          <w:rFonts w:ascii="Arial" w:cs="Arial" w:eastAsia="Arial" w:hAnsi="Arial"/>
          <w:sz w:val="14"/>
          <w:szCs w:val="14"/>
          <w:color w:val="auto"/>
        </w:rPr>
        <w:t>all conditions precedent to the closing of the Transaction set forth in the Transaction Agreement, including the approval of the Company’s stockholders, shall have been satisfied or waived, and the closing of the Transaction shall be scheduled to occur concurrently with or immediately following the Closing; and</w:t>
      </w:r>
    </w:p>
    <w:p>
      <w:pPr>
        <w:spacing w:after="0" w:line="105" w:lineRule="exact"/>
        <w:rPr>
          <w:rFonts w:ascii="Arial" w:cs="Arial" w:eastAsia="Arial" w:hAnsi="Arial"/>
          <w:sz w:val="14"/>
          <w:szCs w:val="14"/>
          <w:color w:val="auto"/>
        </w:rPr>
      </w:pPr>
    </w:p>
    <w:p>
      <w:pPr>
        <w:jc w:val="both"/>
        <w:ind w:left="4" w:firstLine="1716"/>
        <w:spacing w:after="0" w:line="297" w:lineRule="auto"/>
        <w:tabs>
          <w:tab w:leader="none" w:pos="2018" w:val="left"/>
        </w:tabs>
        <w:numPr>
          <w:ilvl w:val="3"/>
          <w:numId w:val="221"/>
        </w:numPr>
        <w:rPr>
          <w:rFonts w:ascii="Arial" w:cs="Arial" w:eastAsia="Arial" w:hAnsi="Arial"/>
          <w:sz w:val="14"/>
          <w:szCs w:val="14"/>
          <w:color w:val="auto"/>
        </w:rPr>
      </w:pPr>
      <w:r>
        <w:rPr>
          <w:rFonts w:ascii="Arial" w:cs="Arial" w:eastAsia="Arial" w:hAnsi="Arial"/>
          <w:sz w:val="14"/>
          <w:szCs w:val="14"/>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(except in the case of a governmental authority located outside the United States where such judgment, order, law, rule or regulation would not be reasonably expected to have a Company Material Adverse Effect (as defined below));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have a Company Material Adverse Effect).</w:t>
      </w:r>
    </w:p>
    <w:p>
      <w:pPr>
        <w:spacing w:after="0" w:line="33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05" w:name="page206"/>
    <w:bookmarkEnd w:id="205"/>
    <w:p>
      <w:pPr>
        <w:ind w:left="4" w:firstLine="1147"/>
        <w:spacing w:after="0" w:line="275" w:lineRule="auto"/>
        <w:rPr>
          <w:sz w:val="20"/>
          <w:szCs w:val="20"/>
          <w:color w:val="auto"/>
        </w:rPr>
      </w:pPr>
      <w:r>
        <w:rPr>
          <w:rFonts w:ascii="Arial" w:cs="Arial" w:eastAsia="Arial" w:hAnsi="Arial"/>
          <w:sz w:val="16"/>
          <w:szCs w:val="16"/>
          <w:color w:val="auto"/>
        </w:rPr>
        <w:t>d. The obligation of the Company to consummate the Closing shall be subject to the satisfaction or valid waiver in writing by the Company of the additional conditions that, on the Closing Date:</w:t>
      </w:r>
    </w:p>
    <w:p>
      <w:pPr>
        <w:spacing w:after="0" w:line="152" w:lineRule="exact"/>
        <w:rPr>
          <w:sz w:val="20"/>
          <w:szCs w:val="20"/>
          <w:color w:val="auto"/>
        </w:rPr>
      </w:pPr>
    </w:p>
    <w:p>
      <w:pPr>
        <w:ind w:left="1924" w:hanging="204"/>
        <w:spacing w:after="0"/>
        <w:tabs>
          <w:tab w:leader="none" w:pos="1924" w:val="left"/>
        </w:tabs>
        <w:numPr>
          <w:ilvl w:val="2"/>
          <w:numId w:val="222"/>
        </w:numPr>
        <w:rPr>
          <w:rFonts w:ascii="Arial" w:cs="Arial" w:eastAsia="Arial" w:hAnsi="Arial"/>
          <w:sz w:val="14"/>
          <w:szCs w:val="14"/>
          <w:color w:val="auto"/>
        </w:rPr>
      </w:pPr>
      <w:r>
        <w:rPr>
          <w:rFonts w:ascii="Arial" w:cs="Arial" w:eastAsia="Arial" w:hAnsi="Arial"/>
          <w:sz w:val="14"/>
          <w:szCs w:val="14"/>
          <w:color w:val="auto"/>
        </w:rPr>
        <w:t>all representations and warranties of Subscriber contained in this Subscription Agreement are true and correct in all material respects (other than</w:t>
      </w:r>
    </w:p>
    <w:p>
      <w:pPr>
        <w:spacing w:after="0" w:line="42" w:lineRule="exact"/>
        <w:rPr>
          <w:rFonts w:ascii="Arial" w:cs="Arial" w:eastAsia="Arial" w:hAnsi="Arial"/>
          <w:sz w:val="14"/>
          <w:szCs w:val="14"/>
          <w:color w:val="auto"/>
        </w:rPr>
      </w:pPr>
    </w:p>
    <w:p>
      <w:pPr>
        <w:jc w:val="both"/>
        <w:ind w:left="4" w:right="20" w:hanging="4"/>
        <w:spacing w:after="0" w:line="254" w:lineRule="auto"/>
        <w:tabs>
          <w:tab w:leader="none" w:pos="233"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those representations and warranties expressly made as of an earlier date, which shall be true and correct in all material respects as of such date, and (y) representations and warranties that are qualified as to materiality or Subscriber Material Adverse Effect (as defined below), which representations and warranties shall be true in all respects) at and as of the Closing Date; and</w:t>
      </w:r>
    </w:p>
    <w:p>
      <w:pPr>
        <w:spacing w:after="0" w:line="167" w:lineRule="exact"/>
        <w:rPr>
          <w:rFonts w:ascii="Arial" w:cs="Arial" w:eastAsia="Arial" w:hAnsi="Arial"/>
          <w:sz w:val="16"/>
          <w:szCs w:val="16"/>
          <w:color w:val="auto"/>
        </w:rPr>
      </w:pPr>
    </w:p>
    <w:p>
      <w:pPr>
        <w:jc w:val="both"/>
        <w:ind w:left="4" w:right="20" w:firstLine="1716"/>
        <w:spacing w:after="0" w:line="287" w:lineRule="auto"/>
        <w:tabs>
          <w:tab w:leader="none" w:pos="1971" w:val="left"/>
        </w:tabs>
        <w:numPr>
          <w:ilvl w:val="2"/>
          <w:numId w:val="223"/>
        </w:numPr>
        <w:rPr>
          <w:rFonts w:ascii="Arial" w:cs="Arial" w:eastAsia="Arial" w:hAnsi="Arial"/>
          <w:sz w:val="15"/>
          <w:szCs w:val="15"/>
          <w:color w:val="auto"/>
        </w:rPr>
      </w:pPr>
      <w:r>
        <w:rPr>
          <w:rFonts w:ascii="Arial" w:cs="Arial" w:eastAsia="Arial" w:hAnsi="Arial"/>
          <w:sz w:val="15"/>
          <w:szCs w:val="15"/>
          <w:color w:val="auto"/>
        </w:rPr>
        <w:t>Subscriber shall have performed, satisfied and complied in all material respects with all covenants, agreements and conditions required by this Subscription Agreement to be performed, satisfied or complied with by it at or prior to the Closing, except where the failure of such performance or compliance would not reasonably be expected to prevent, materially delay or materially impair the ability of the Company to consummate the Closing.</w:t>
      </w:r>
    </w:p>
    <w:p>
      <w:pPr>
        <w:spacing w:after="0" w:line="146" w:lineRule="exact"/>
        <w:rPr>
          <w:rFonts w:ascii="Arial" w:cs="Arial" w:eastAsia="Arial" w:hAnsi="Arial"/>
          <w:sz w:val="15"/>
          <w:szCs w:val="15"/>
          <w:color w:val="auto"/>
        </w:rPr>
      </w:pPr>
    </w:p>
    <w:p>
      <w:pPr>
        <w:ind w:left="4" w:right="20" w:firstLine="1143"/>
        <w:spacing w:after="0" w:line="275" w:lineRule="auto"/>
        <w:tabs>
          <w:tab w:leader="none" w:pos="130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obligation of Subscriber to consummate the Closing shall be subject to the satisfaction or valid waiver by Subscriber of the additional conditions that, on the Closing Date:</w:t>
      </w:r>
    </w:p>
    <w:p>
      <w:pPr>
        <w:spacing w:after="0" w:line="151" w:lineRule="exact"/>
        <w:rPr>
          <w:rFonts w:ascii="Arial" w:cs="Arial" w:eastAsia="Arial" w:hAnsi="Arial"/>
          <w:sz w:val="16"/>
          <w:szCs w:val="16"/>
          <w:color w:val="auto"/>
        </w:rPr>
      </w:pPr>
    </w:p>
    <w:p>
      <w:pPr>
        <w:jc w:val="both"/>
        <w:ind w:left="4" w:firstLine="1716"/>
        <w:spacing w:after="0" w:line="258" w:lineRule="auto"/>
        <w:tabs>
          <w:tab w:leader="none" w:pos="1929" w:val="left"/>
        </w:tabs>
        <w:numPr>
          <w:ilvl w:val="2"/>
          <w:numId w:val="224"/>
        </w:numPr>
        <w:rPr>
          <w:rFonts w:ascii="Arial" w:cs="Arial" w:eastAsia="Arial" w:hAnsi="Arial"/>
          <w:sz w:val="16"/>
          <w:szCs w:val="16"/>
          <w:color w:val="auto"/>
        </w:rPr>
      </w:pPr>
      <w:r>
        <w:rPr>
          <w:rFonts w:ascii="Arial" w:cs="Arial" w:eastAsia="Arial" w:hAnsi="Arial"/>
          <w:sz w:val="16"/>
          <w:szCs w:val="16"/>
          <w:color w:val="auto"/>
        </w:rPr>
        <w:t>all representations and warranties of the Company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Company Material Adverse Effect (as defined below), which representations and warranties shall be true in all respects) at and as of the Closing Date;</w:t>
      </w:r>
    </w:p>
    <w:p>
      <w:pPr>
        <w:spacing w:after="0" w:line="164" w:lineRule="exact"/>
        <w:rPr>
          <w:rFonts w:ascii="Arial" w:cs="Arial" w:eastAsia="Arial" w:hAnsi="Arial"/>
          <w:sz w:val="16"/>
          <w:szCs w:val="16"/>
          <w:color w:val="auto"/>
        </w:rPr>
      </w:pPr>
    </w:p>
    <w:p>
      <w:pPr>
        <w:ind w:left="4" w:right="20" w:firstLine="1716"/>
        <w:spacing w:after="0" w:line="275" w:lineRule="auto"/>
        <w:tabs>
          <w:tab w:leader="none" w:pos="1962" w:val="left"/>
        </w:tabs>
        <w:numPr>
          <w:ilvl w:val="2"/>
          <w:numId w:val="224"/>
        </w:numPr>
        <w:rPr>
          <w:rFonts w:ascii="Arial" w:cs="Arial" w:eastAsia="Arial" w:hAnsi="Arial"/>
          <w:sz w:val="16"/>
          <w:szCs w:val="16"/>
          <w:color w:val="auto"/>
        </w:rPr>
      </w:pPr>
      <w:r>
        <w:rPr>
          <w:rFonts w:ascii="Arial" w:cs="Arial" w:eastAsia="Arial" w:hAnsi="Arial"/>
          <w:sz w:val="16"/>
          <w:szCs w:val="16"/>
          <w:color w:val="auto"/>
        </w:rPr>
        <w:t>the Company shall have performed, satisfied and complied in all material respects with all covenants, agreements and conditions required by this Subscription Agreement to be performed, satisfied or complied with by it at or prior to the Closing;</w:t>
      </w:r>
    </w:p>
    <w:p>
      <w:pPr>
        <w:spacing w:after="0" w:line="151" w:lineRule="exact"/>
        <w:rPr>
          <w:rFonts w:ascii="Arial" w:cs="Arial" w:eastAsia="Arial" w:hAnsi="Arial"/>
          <w:sz w:val="16"/>
          <w:szCs w:val="16"/>
          <w:color w:val="auto"/>
        </w:rPr>
      </w:pPr>
    </w:p>
    <w:p>
      <w:pPr>
        <w:ind w:left="4" w:right="20" w:firstLine="1716"/>
        <w:spacing w:after="0" w:line="349" w:lineRule="auto"/>
        <w:tabs>
          <w:tab w:leader="none" w:pos="2006" w:val="left"/>
        </w:tabs>
        <w:numPr>
          <w:ilvl w:val="2"/>
          <w:numId w:val="224"/>
        </w:numPr>
        <w:rPr>
          <w:rFonts w:ascii="Arial" w:cs="Arial" w:eastAsia="Arial" w:hAnsi="Arial"/>
          <w:sz w:val="14"/>
          <w:szCs w:val="14"/>
          <w:color w:val="auto"/>
        </w:rPr>
      </w:pPr>
      <w:r>
        <w:rPr>
          <w:rFonts w:ascii="Arial" w:cs="Arial" w:eastAsia="Arial" w:hAnsi="Arial"/>
          <w:sz w:val="14"/>
          <w:szCs w:val="14"/>
          <w:color w:val="auto"/>
        </w:rPr>
        <w:t>there shall have been no amendment, waiver or modification to the Transaction Agreement that materially and adversely affects the Company or the economic benefits that Subscriber would reasonably expect to receive under this Subscription Agreement without having received Subscriber’s prior written consent;</w:t>
      </w:r>
    </w:p>
    <w:p>
      <w:pPr>
        <w:spacing w:after="0" w:line="105" w:lineRule="exact"/>
        <w:rPr>
          <w:rFonts w:ascii="Arial" w:cs="Arial" w:eastAsia="Arial" w:hAnsi="Arial"/>
          <w:sz w:val="14"/>
          <w:szCs w:val="14"/>
          <w:color w:val="auto"/>
        </w:rPr>
      </w:pPr>
    </w:p>
    <w:p>
      <w:pPr>
        <w:jc w:val="both"/>
        <w:ind w:left="4" w:firstLine="1716"/>
        <w:spacing w:after="0" w:line="253" w:lineRule="auto"/>
        <w:tabs>
          <w:tab w:leader="none" w:pos="2008" w:val="left"/>
        </w:tabs>
        <w:numPr>
          <w:ilvl w:val="2"/>
          <w:numId w:val="224"/>
        </w:numPr>
        <w:rPr>
          <w:rFonts w:ascii="Arial" w:cs="Arial" w:eastAsia="Arial" w:hAnsi="Arial"/>
          <w:sz w:val="16"/>
          <w:szCs w:val="16"/>
          <w:color w:val="auto"/>
        </w:rPr>
      </w:pPr>
      <w:r>
        <w:rPr>
          <w:rFonts w:ascii="Arial" w:cs="Arial" w:eastAsia="Arial" w:hAnsi="Arial"/>
          <w:sz w:val="16"/>
          <w:szCs w:val="16"/>
          <w:color w:val="auto"/>
        </w:rPr>
        <w:t>the Company shall not have entered into any Other Subscription Agreement relating to Common Stock with a lower Per Share Price or other terms (economic or otherwise) more favorable to such Other Subscriber than as set forth in this Subscription Agreement, other than with respect to (a) the amounts and types of the Company’s securities to be subscribed for and purchased by the Other Subscribers, (b) certain fees payable by Presto, certain board observer rights granted, and the purchase of Common Stock from Ventoux Acquisition Holdings LLC, a Delaware limited liability company, and Chardan International Investments, LLC, a Delaware limited liability company (together, the “</w:t>
      </w:r>
      <w:r>
        <w:rPr>
          <w:rFonts w:ascii="Arial" w:cs="Arial" w:eastAsia="Arial" w:hAnsi="Arial"/>
          <w:sz w:val="16"/>
          <w:szCs w:val="16"/>
          <w:u w:val="single" w:color="auto"/>
          <w:color w:val="auto"/>
        </w:rPr>
        <w:t>Sponsors</w:t>
      </w:r>
      <w:r>
        <w:rPr>
          <w:rFonts w:ascii="Arial" w:cs="Arial" w:eastAsia="Arial" w:hAnsi="Arial"/>
          <w:sz w:val="16"/>
          <w:szCs w:val="16"/>
          <w:color w:val="auto"/>
        </w:rPr>
        <w:t>”) by [***] and [***] and their affiliates, (c) certain closing conditions in the Other Subscription Agreements relating to the Notes, (d)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(e) certain registration rights;</w:t>
      </w:r>
    </w:p>
    <w:p>
      <w:pPr>
        <w:spacing w:after="0" w:line="169" w:lineRule="exact"/>
        <w:rPr>
          <w:rFonts w:ascii="Arial" w:cs="Arial" w:eastAsia="Arial" w:hAnsi="Arial"/>
          <w:sz w:val="16"/>
          <w:szCs w:val="16"/>
          <w:color w:val="auto"/>
        </w:rPr>
      </w:pPr>
    </w:p>
    <w:p>
      <w:pPr>
        <w:ind w:left="1944" w:hanging="224"/>
        <w:spacing w:after="0"/>
        <w:tabs>
          <w:tab w:leader="none" w:pos="1944" w:val="left"/>
        </w:tabs>
        <w:numPr>
          <w:ilvl w:val="2"/>
          <w:numId w:val="224"/>
        </w:numPr>
        <w:rPr>
          <w:rFonts w:ascii="Arial" w:cs="Arial" w:eastAsia="Arial" w:hAnsi="Arial"/>
          <w:sz w:val="16"/>
          <w:szCs w:val="16"/>
          <w:color w:val="auto"/>
        </w:rPr>
      </w:pPr>
      <w:r>
        <w:rPr>
          <w:rFonts w:ascii="Arial" w:cs="Arial" w:eastAsia="Arial" w:hAnsi="Arial"/>
          <w:sz w:val="16"/>
          <w:szCs w:val="16"/>
          <w:color w:val="auto"/>
        </w:rPr>
        <w:t>there has not occurred a Company Material Adverse Effect;</w:t>
      </w:r>
    </w:p>
    <w:p>
      <w:pPr>
        <w:spacing w:after="0" w:line="198" w:lineRule="exact"/>
        <w:rPr>
          <w:rFonts w:ascii="Arial" w:cs="Arial" w:eastAsia="Arial" w:hAnsi="Arial"/>
          <w:sz w:val="16"/>
          <w:szCs w:val="16"/>
          <w:color w:val="auto"/>
        </w:rPr>
      </w:pPr>
    </w:p>
    <w:p>
      <w:pPr>
        <w:ind w:left="4" w:right="20" w:firstLine="1716"/>
        <w:spacing w:after="0" w:line="275" w:lineRule="auto"/>
        <w:tabs>
          <w:tab w:leader="none" w:pos="2016" w:val="left"/>
        </w:tabs>
        <w:numPr>
          <w:ilvl w:val="2"/>
          <w:numId w:val="224"/>
        </w:numPr>
        <w:rPr>
          <w:rFonts w:ascii="Arial" w:cs="Arial" w:eastAsia="Arial" w:hAnsi="Arial"/>
          <w:sz w:val="16"/>
          <w:szCs w:val="16"/>
          <w:color w:val="auto"/>
        </w:rPr>
      </w:pPr>
      <w:r>
        <w:rPr>
          <w:rFonts w:ascii="Arial" w:cs="Arial" w:eastAsia="Arial" w:hAnsi="Arial"/>
          <w:sz w:val="16"/>
          <w:szCs w:val="16"/>
          <w:color w:val="auto"/>
        </w:rPr>
        <w:t>the Company’s financial statements for the year ended June 30, 2021 shall have been audited and accompanied by a report and opinion of a registered public accounting firm prepared in accordance with audit standards of the Public Company Accounting Oversight Board; and</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06" w:name="page207"/>
    <w:bookmarkEnd w:id="206"/>
    <w:p>
      <w:pPr>
        <w:jc w:val="both"/>
        <w:ind w:right="20" w:firstLine="1716"/>
        <w:spacing w:after="0" w:line="255" w:lineRule="auto"/>
        <w:tabs>
          <w:tab w:leader="none" w:pos="2076" w:val="left"/>
        </w:tabs>
        <w:numPr>
          <w:ilvl w:val="2"/>
          <w:numId w:val="225"/>
        </w:numPr>
        <w:rPr>
          <w:rFonts w:ascii="Arial" w:cs="Arial" w:eastAsia="Arial" w:hAnsi="Arial"/>
          <w:sz w:val="16"/>
          <w:szCs w:val="16"/>
          <w:color w:val="auto"/>
        </w:rPr>
      </w:pPr>
      <w:r>
        <w:rPr>
          <w:rFonts w:ascii="Arial" w:cs="Arial" w:eastAsia="Arial" w:hAnsi="Arial"/>
          <w:sz w:val="16"/>
          <w:szCs w:val="16"/>
          <w:color w:val="auto"/>
        </w:rPr>
        <w:t xml:space="preserve">the Company shall not have received any consideration from any Other Subscriber that is not otherwise contemplated in such Other Subscription Agreement as in effect as of the date hereof in order to, directly or indirectly, induce the Company or any Subsidiary (i) to treat such Other Subscriber in a manner that is more favorable than the Subscriber, or (ii) to treat the Subscriber in a manner that is less favorable than any Other Subscriber;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determination of whether the Subscriber has been treated more or less favorably than any Other Subscriber shall disregard any other securities (other than the Subscribed Shares) of the Company purchased by the Subscriber or Other Subscriber, respectively.</w:t>
      </w:r>
    </w:p>
    <w:p>
      <w:pPr>
        <w:spacing w:after="0" w:line="169" w:lineRule="exact"/>
        <w:rPr>
          <w:rFonts w:ascii="Arial" w:cs="Arial" w:eastAsia="Arial" w:hAnsi="Arial"/>
          <w:sz w:val="16"/>
          <w:szCs w:val="16"/>
          <w:color w:val="auto"/>
        </w:rPr>
      </w:pPr>
    </w:p>
    <w:p>
      <w:pPr>
        <w:ind w:left="1280" w:hanging="137"/>
        <w:spacing w:after="0"/>
        <w:tabs>
          <w:tab w:leader="none" w:pos="1280" w:val="left"/>
        </w:tabs>
        <w:numPr>
          <w:ilvl w:val="1"/>
          <w:numId w:val="226"/>
        </w:numPr>
        <w:rPr>
          <w:rFonts w:ascii="Arial" w:cs="Arial" w:eastAsia="Arial" w:hAnsi="Arial"/>
          <w:sz w:val="14"/>
          <w:szCs w:val="14"/>
          <w:color w:val="auto"/>
        </w:rPr>
      </w:pPr>
      <w:r>
        <w:rPr>
          <w:rFonts w:ascii="Arial" w:cs="Arial" w:eastAsia="Arial" w:hAnsi="Arial"/>
          <w:sz w:val="14"/>
          <w:szCs w:val="14"/>
          <w:color w:val="auto"/>
        </w:rPr>
        <w:t>Prior to or at the Closing, Subscriber shall deliver to the Company a duly completed and executed Internal Revenue Service Form W-9 or appropriate Form</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W-8.</w:t>
      </w:r>
    </w:p>
    <w:p>
      <w:pPr>
        <w:spacing w:after="0" w:line="185" w:lineRule="exact"/>
        <w:rPr>
          <w:rFonts w:ascii="Arial" w:cs="Arial" w:eastAsia="Arial" w:hAnsi="Arial"/>
          <w:sz w:val="14"/>
          <w:szCs w:val="14"/>
          <w:color w:val="auto"/>
        </w:rPr>
      </w:pPr>
    </w:p>
    <w:p>
      <w:pPr>
        <w:ind w:left="1340" w:hanging="197"/>
        <w:spacing w:after="0"/>
        <w:tabs>
          <w:tab w:leader="none" w:pos="1340" w:val="left"/>
        </w:tabs>
        <w:numPr>
          <w:ilvl w:val="1"/>
          <w:numId w:val="226"/>
        </w:numPr>
        <w:rPr>
          <w:rFonts w:ascii="Arial" w:cs="Arial" w:eastAsia="Arial" w:hAnsi="Arial"/>
          <w:sz w:val="15"/>
          <w:szCs w:val="15"/>
          <w:color w:val="auto"/>
        </w:rPr>
      </w:pPr>
      <w:r>
        <w:rPr>
          <w:rFonts w:ascii="Arial" w:cs="Arial" w:eastAsia="Arial" w:hAnsi="Arial"/>
          <w:sz w:val="15"/>
          <w:szCs w:val="15"/>
          <w:color w:val="auto"/>
        </w:rPr>
        <w:t>For the avoidance of doubt, the Closing shall not be subject to Company’s consummation of the transactions pursuant to the Other Subscription</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Agreements.</w:t>
      </w:r>
    </w:p>
    <w:p>
      <w:pPr>
        <w:spacing w:after="0" w:line="185" w:lineRule="exact"/>
        <w:rPr>
          <w:rFonts w:ascii="Arial" w:cs="Arial" w:eastAsia="Arial" w:hAnsi="Arial"/>
          <w:sz w:val="15"/>
          <w:szCs w:val="15"/>
          <w:color w:val="auto"/>
        </w:rPr>
      </w:pPr>
    </w:p>
    <w:p>
      <w:pPr>
        <w:ind w:left="720" w:hanging="151"/>
        <w:spacing w:after="0"/>
        <w:tabs>
          <w:tab w:leader="none" w:pos="720"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Company Representations and Warranties</w:t>
      </w:r>
      <w:r>
        <w:rPr>
          <w:rFonts w:ascii="Arial" w:cs="Arial" w:eastAsia="Arial" w:hAnsi="Arial"/>
          <w:sz w:val="16"/>
          <w:szCs w:val="16"/>
          <w:color w:val="auto"/>
        </w:rPr>
        <w:t>. The Company represents and warrants to Subscriber and the Placement Agents (as defined below) that:</w:t>
      </w:r>
    </w:p>
    <w:p>
      <w:pPr>
        <w:spacing w:after="0" w:line="198" w:lineRule="exact"/>
        <w:rPr>
          <w:rFonts w:ascii="Arial" w:cs="Arial" w:eastAsia="Arial" w:hAnsi="Arial"/>
          <w:sz w:val="16"/>
          <w:szCs w:val="16"/>
          <w:color w:val="auto"/>
        </w:rPr>
      </w:pPr>
    </w:p>
    <w:p>
      <w:pPr>
        <w:jc w:val="both"/>
        <w:ind w:firstLine="1143"/>
        <w:spacing w:after="0" w:line="270" w:lineRule="auto"/>
        <w:tabs>
          <w:tab w:leader="none" w:pos="130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Subscription Agreement, a “</w:t>
      </w:r>
      <w:r>
        <w:rPr>
          <w:rFonts w:ascii="Arial" w:cs="Arial" w:eastAsia="Arial" w:hAnsi="Arial"/>
          <w:sz w:val="15"/>
          <w:szCs w:val="15"/>
          <w:u w:val="single" w:color="auto"/>
          <w:color w:val="auto"/>
        </w:rPr>
        <w:t>Company Material Adverse Effect</w:t>
      </w:r>
      <w:r>
        <w:rPr>
          <w:rFonts w:ascii="Arial" w:cs="Arial" w:eastAsia="Arial" w:hAnsi="Arial"/>
          <w:sz w:val="15"/>
          <w:szCs w:val="15"/>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Subscription Agreement, including the sale of the Subscribed Shares, the Transaction Agreement or the consummation of the Transaction.</w:t>
      </w:r>
    </w:p>
    <w:p>
      <w:pPr>
        <w:spacing w:after="0" w:line="162" w:lineRule="exact"/>
        <w:rPr>
          <w:rFonts w:ascii="Arial" w:cs="Arial" w:eastAsia="Arial" w:hAnsi="Arial"/>
          <w:sz w:val="15"/>
          <w:szCs w:val="15"/>
          <w:color w:val="auto"/>
        </w:rPr>
      </w:pPr>
    </w:p>
    <w:p>
      <w:pPr>
        <w:jc w:val="both"/>
        <w:ind w:firstLine="1143"/>
        <w:spacing w:after="0" w:line="276" w:lineRule="auto"/>
        <w:tabs>
          <w:tab w:leader="none" w:pos="1328" w:val="left"/>
        </w:tabs>
        <w:numPr>
          <w:ilvl w:val="1"/>
          <w:numId w:val="227"/>
        </w:numPr>
        <w:rPr>
          <w:rFonts w:ascii="Arial" w:cs="Arial" w:eastAsia="Arial" w:hAnsi="Arial"/>
          <w:sz w:val="15"/>
          <w:szCs w:val="15"/>
          <w:color w:val="auto"/>
        </w:rPr>
      </w:pPr>
      <w:r>
        <w:rPr>
          <w:rFonts w:ascii="Arial" w:cs="Arial" w:eastAsia="Arial" w:hAnsi="Arial"/>
          <w:sz w:val="15"/>
          <w:szCs w:val="15"/>
          <w:color w:val="auto"/>
        </w:rPr>
        <w:t>As of the Closing Date, the Subscribed Shares will be duly authorized and, when issued and delivered to Subscriber against full payment therefor in accordance with the terms of this Subscription Agreement, will be validly issued and will constitute legal, valid and binding obligations of the Company, enforceable against the Company in accordance with their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5"/>
          <w:szCs w:val="15"/>
          <w:u w:val="single" w:color="auto"/>
          <w:color w:val="auto"/>
        </w:rPr>
        <w:t>Enforceability Exceptions</w:t>
      </w:r>
      <w:r>
        <w:rPr>
          <w:rFonts w:ascii="Arial" w:cs="Arial" w:eastAsia="Arial" w:hAnsi="Arial"/>
          <w:sz w:val="15"/>
          <w:szCs w:val="15"/>
          <w:color w:val="auto"/>
        </w:rPr>
        <w:t>”), and will not have been issued in violation of any preemptive rights created under the Company’s organizational documents or the laws of the State of Delaware.</w:t>
      </w:r>
    </w:p>
    <w:p>
      <w:pPr>
        <w:spacing w:after="0" w:line="155" w:lineRule="exact"/>
        <w:rPr>
          <w:rFonts w:ascii="Arial" w:cs="Arial" w:eastAsia="Arial" w:hAnsi="Arial"/>
          <w:sz w:val="15"/>
          <w:szCs w:val="15"/>
          <w:color w:val="auto"/>
        </w:rPr>
      </w:pPr>
    </w:p>
    <w:p>
      <w:pPr>
        <w:jc w:val="both"/>
        <w:ind w:right="20" w:firstLine="1143"/>
        <w:spacing w:after="0" w:line="262" w:lineRule="auto"/>
        <w:tabs>
          <w:tab w:leader="none" w:pos="1323"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that the enforcement thereof may be subject to the Enforceability Exceptions.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7" w:name="page208"/>
    <w:bookmarkEnd w:id="207"/>
    <w:p>
      <w:pPr>
        <w:jc w:val="both"/>
        <w:ind w:left="4" w:firstLine="1147"/>
        <w:spacing w:after="0" w:line="272" w:lineRule="auto"/>
        <w:rPr>
          <w:sz w:val="20"/>
          <w:szCs w:val="20"/>
          <w:color w:val="auto"/>
        </w:rPr>
      </w:pPr>
      <w:r>
        <w:rPr>
          <w:rFonts w:ascii="Arial" w:cs="Arial" w:eastAsia="Arial" w:hAnsi="Arial"/>
          <w:sz w:val="15"/>
          <w:szCs w:val="15"/>
          <w:color w:val="auto"/>
        </w:rPr>
        <w:t>d. The execution and delivery of this Subscription Agreement,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 including the issuance and sale of the Subscribed Shares.</w:t>
      </w:r>
    </w:p>
    <w:p>
      <w:pPr>
        <w:spacing w:after="0" w:line="157" w:lineRule="exact"/>
        <w:rPr>
          <w:sz w:val="20"/>
          <w:szCs w:val="20"/>
          <w:color w:val="auto"/>
        </w:rPr>
      </w:pPr>
    </w:p>
    <w:p>
      <w:pPr>
        <w:jc w:val="both"/>
        <w:ind w:left="4" w:right="20" w:firstLine="1147"/>
        <w:spacing w:after="0" w:line="255" w:lineRule="auto"/>
        <w:rPr>
          <w:sz w:val="20"/>
          <w:szCs w:val="20"/>
          <w:color w:val="auto"/>
        </w:rPr>
      </w:pPr>
      <w:r>
        <w:rPr>
          <w:rFonts w:ascii="Arial" w:cs="Arial" w:eastAsia="Arial" w:hAnsi="Arial"/>
          <w:sz w:val="16"/>
          <w:szCs w:val="16"/>
          <w:color w:val="auto"/>
        </w:rPr>
        <w:t>e. The Subscribed Shares are not, and following the Closing, will not be, subject to any Transfer Restriction. The term “</w:t>
      </w:r>
      <w:r>
        <w:rPr>
          <w:rFonts w:ascii="Arial" w:cs="Arial" w:eastAsia="Arial" w:hAnsi="Arial"/>
          <w:sz w:val="16"/>
          <w:szCs w:val="16"/>
          <w:u w:val="single" w:color="auto"/>
          <w:color w:val="auto"/>
        </w:rPr>
        <w:t>Transfer Restriction</w:t>
      </w:r>
      <w:r>
        <w:rPr>
          <w:rFonts w:ascii="Arial" w:cs="Arial" w:eastAsia="Arial" w:hAnsi="Arial"/>
          <w:sz w:val="16"/>
          <w:szCs w:val="16"/>
          <w:color w:val="auto"/>
        </w:rPr>
        <w:t xml:space="preserve">” means any condition to or restriction on the ability of the undersigned to pledge, sell, assign or otherwise transfer the Subscribed Shares under any organizational document, policy or agreement of, by or with the Company, but excluding the restrictions on transfer described in </w:t>
      </w:r>
      <w:r>
        <w:rPr>
          <w:rFonts w:ascii="Arial" w:cs="Arial" w:eastAsia="Arial" w:hAnsi="Arial"/>
          <w:sz w:val="16"/>
          <w:szCs w:val="16"/>
          <w:u w:val="single" w:color="auto"/>
          <w:color w:val="auto"/>
        </w:rPr>
        <w:t>Section 4(e)</w:t>
      </w:r>
      <w:r>
        <w:rPr>
          <w:rFonts w:ascii="Arial" w:cs="Arial" w:eastAsia="Arial" w:hAnsi="Arial"/>
          <w:sz w:val="16"/>
          <w:szCs w:val="16"/>
          <w:color w:val="auto"/>
        </w:rPr>
        <w:t xml:space="preserve"> of this Subscription Agreement with respect to the status of the Subscribed Shares as “restricted securities” pending their registration for resale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in accordance with the terms of this Subscription Agreement.</w:t>
      </w:r>
    </w:p>
    <w:p>
      <w:pPr>
        <w:spacing w:after="0" w:line="170" w:lineRule="exact"/>
        <w:rPr>
          <w:sz w:val="20"/>
          <w:szCs w:val="20"/>
          <w:color w:val="auto"/>
        </w:rPr>
      </w:pPr>
    </w:p>
    <w:p>
      <w:pPr>
        <w:jc w:val="both"/>
        <w:ind w:left="4" w:firstLine="1147"/>
        <w:spacing w:after="0" w:line="289" w:lineRule="auto"/>
        <w:rPr>
          <w:sz w:val="20"/>
          <w:szCs w:val="20"/>
          <w:color w:val="auto"/>
        </w:rPr>
      </w:pPr>
      <w:r>
        <w:rPr>
          <w:rFonts w:ascii="Arial" w:cs="Arial" w:eastAsia="Arial" w:hAnsi="Arial"/>
          <w:sz w:val="14"/>
          <w:szCs w:val="14"/>
          <w:color w:val="auto"/>
        </w:rPr>
        <w:t xml:space="preserve">f. Assuming the accuracy of the representations and warranties of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Subscription Agreement (including, without limitation, the issuance of the Subscribed Shares), other than (i) filings required by applicable state securities laws; (ii) the filing of the Registration Statement pursuant to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below;</w:t>
      </w:r>
    </w:p>
    <w:p>
      <w:pPr>
        <w:spacing w:after="0" w:line="2" w:lineRule="exact"/>
        <w:rPr>
          <w:sz w:val="20"/>
          <w:szCs w:val="20"/>
          <w:color w:val="auto"/>
        </w:rPr>
      </w:pPr>
    </w:p>
    <w:p>
      <w:pPr>
        <w:jc w:val="both"/>
        <w:ind w:left="4" w:hanging="4"/>
        <w:spacing w:after="0" w:line="251" w:lineRule="auto"/>
        <w:tabs>
          <w:tab w:leader="none" w:pos="28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filing of a Notice of Exempt Offering of Securities on Form D with the United States Securities and Exchange Commission (“</w:t>
      </w:r>
      <w:r>
        <w:rPr>
          <w:rFonts w:ascii="Arial" w:cs="Arial" w:eastAsia="Arial" w:hAnsi="Arial"/>
          <w:sz w:val="16"/>
          <w:szCs w:val="16"/>
          <w:u w:val="single" w:color="auto"/>
          <w:color w:val="auto"/>
        </w:rPr>
        <w:t>Commission</w:t>
      </w:r>
      <w:r>
        <w:rPr>
          <w:rFonts w:ascii="Arial" w:cs="Arial" w:eastAsia="Arial" w:hAnsi="Arial"/>
          <w:sz w:val="16"/>
          <w:szCs w:val="16"/>
          <w:color w:val="auto"/>
        </w:rPr>
        <w:t>”) under Regulation D of the Securities Act, if applicable; (iv) those required by the Nasdaq Stock Market, including with respect to obtaining shareholder approval; (v) those required to consummate the Transaction as provided under the Transaction Agreement; (vi) the filing of notification under the Hart-Scott-Rodino Antitrust Improvements Act of 1976, if applicable; (vii) such as have been or will have been obtained, made or given on or prior to the Closing Date, and (viii) the failure of which to obtain would not be reasonably likely to have a Company Material Adverse Effect or have a material adverse effect on the Company’s ability to consummate the transactions contemplated hereby, including the issuance and sale of the Subscribed Shares.</w:t>
      </w:r>
    </w:p>
    <w:p>
      <w:pPr>
        <w:spacing w:after="0" w:line="171" w:lineRule="exact"/>
        <w:rPr>
          <w:rFonts w:ascii="Arial" w:cs="Arial" w:eastAsia="Arial" w:hAnsi="Arial"/>
          <w:sz w:val="16"/>
          <w:szCs w:val="16"/>
          <w:color w:val="auto"/>
        </w:rPr>
      </w:pPr>
    </w:p>
    <w:p>
      <w:pPr>
        <w:jc w:val="both"/>
        <w:ind w:left="4" w:firstLine="1143"/>
        <w:spacing w:after="0" w:line="290" w:lineRule="auto"/>
        <w:tabs>
          <w:tab w:leader="none" w:pos="1322" w:val="left"/>
        </w:tabs>
        <w:numPr>
          <w:ilvl w:val="1"/>
          <w:numId w:val="228"/>
        </w:numPr>
        <w:rPr>
          <w:rFonts w:ascii="Arial" w:cs="Arial" w:eastAsia="Arial" w:hAnsi="Arial"/>
          <w:sz w:val="14"/>
          <w:szCs w:val="14"/>
          <w:color w:val="auto"/>
        </w:rPr>
      </w:pPr>
      <w:r>
        <w:rPr>
          <w:rFonts w:ascii="Arial" w:cs="Arial" w:eastAsia="Arial" w:hAnsi="Arial"/>
          <w:sz w:val="14"/>
          <w:szCs w:val="14"/>
          <w:color w:val="auto"/>
        </w:rPr>
        <w:t>As of their respective dates, all reports required to be filed by the Company with the Commission (the “</w:t>
      </w:r>
      <w:r>
        <w:rPr>
          <w:rFonts w:ascii="Arial" w:cs="Arial" w:eastAsia="Arial" w:hAnsi="Arial"/>
          <w:sz w:val="14"/>
          <w:szCs w:val="14"/>
          <w:u w:val="single" w:color="auto"/>
          <w:color w:val="auto"/>
        </w:rPr>
        <w:t>SEC Reports</w:t>
      </w:r>
      <w:r>
        <w:rPr>
          <w:rFonts w:ascii="Arial" w:cs="Arial" w:eastAsia="Arial" w:hAnsi="Arial"/>
          <w:sz w:val="14"/>
          <w:szCs w:val="14"/>
          <w:color w:val="auto"/>
        </w:rPr>
        <w:t>”) complied in all material respects with the requirements of the Securities Act and the Securities Exchange Act of 1934,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description of the business and financial information of Presto set forth in the presentation dated November 2021 (the “</w:t>
      </w:r>
      <w:r>
        <w:rPr>
          <w:rFonts w:ascii="Arial" w:cs="Arial" w:eastAsia="Arial" w:hAnsi="Arial"/>
          <w:sz w:val="14"/>
          <w:szCs w:val="14"/>
          <w:u w:val="single" w:color="auto"/>
          <w:color w:val="auto"/>
        </w:rPr>
        <w:t>Investor Presentation</w:t>
      </w:r>
      <w:r>
        <w:rPr>
          <w:rFonts w:ascii="Arial" w:cs="Arial" w:eastAsia="Arial" w:hAnsi="Arial"/>
          <w:sz w:val="14"/>
          <w:szCs w:val="14"/>
          <w:color w:val="auto"/>
        </w:rPr>
        <w:t>”) made available to the undersigned prior to the execution of this Subscription Agreement, and as amended through the Closing Date, shall be consistent in all material respects with the description of the business and financial information of Presto described or included in the proxy statement of the Company filed in connection with the approval of the Transaction by the stockholders of the Company. Notwithstanding the foregoing, with respect to the proxy statement/prospectus to be filed by the Issuer with respect to the Transactions or any other information relating to the Transactions or to Target or any of its affiliates included in any SEC Report or filed as an exhibit thereto, the representation and warranty in this sentence is made to the Company’s knowledge.</w:t>
      </w:r>
    </w:p>
    <w:p>
      <w:pPr>
        <w:spacing w:after="0" w:line="34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08" w:name="page209"/>
    <w:bookmarkEnd w:id="208"/>
    <w:p>
      <w:pPr>
        <w:jc w:val="both"/>
        <w:ind w:firstLine="1147"/>
        <w:spacing w:after="0" w:line="286" w:lineRule="auto"/>
        <w:rPr>
          <w:sz w:val="20"/>
          <w:szCs w:val="20"/>
          <w:color w:val="auto"/>
        </w:rPr>
      </w:pPr>
      <w:r>
        <w:rPr>
          <w:rFonts w:ascii="Arial" w:cs="Arial" w:eastAsia="Arial" w:hAnsi="Arial"/>
          <w:sz w:val="14"/>
          <w:szCs w:val="14"/>
          <w:color w:val="auto"/>
        </w:rPr>
        <w:t>h. As of the date hereof and as of immediately prior to the Closing, the authorized share capital of the Company consists of 50,000,000 shares of Common stock and 1,000,000 preferred shares, par value $0.0001 per share (“Preferred Shares”). As of the Closing Date (and immediately after the consummation of the Transaction), the authorized share capital of the Company will consist of 180,000,000 shares of Common Stock and 1,500,000 Preferred Shares. As of the date hereof and as of immediately prior to the Closing: (i) 17,250,000 shares of Common Stock (excluding shares held by the Sponsors (the “</w:t>
      </w:r>
      <w:r>
        <w:rPr>
          <w:rFonts w:ascii="Arial" w:cs="Arial" w:eastAsia="Arial" w:hAnsi="Arial"/>
          <w:sz w:val="14"/>
          <w:szCs w:val="14"/>
          <w:u w:val="single" w:color="auto"/>
          <w:color w:val="auto"/>
        </w:rPr>
        <w:t>Founder Shares</w:t>
      </w:r>
      <w:r>
        <w:rPr>
          <w:rFonts w:ascii="Arial" w:cs="Arial" w:eastAsia="Arial" w:hAnsi="Arial"/>
          <w:sz w:val="14"/>
          <w:szCs w:val="14"/>
          <w:color w:val="auto"/>
        </w:rPr>
        <w:t>”)), 4,312,500 Founder Shares and no Preferred Shares were issued and outstanding; (ii) 17,250,000 public warrants, each exercisable to purchase one-half of one share of Common Stock at $11.50 per full share and 6,675,000 private placement warrants, (including 600,000 private placement warrants that will be cancelled at the Closing Date) each exercisable to purchase one share of Common Stock at $11.50 per full share (together “</w:t>
      </w:r>
      <w:r>
        <w:rPr>
          <w:rFonts w:ascii="Arial" w:cs="Arial" w:eastAsia="Arial" w:hAnsi="Arial"/>
          <w:sz w:val="14"/>
          <w:szCs w:val="14"/>
          <w:u w:val="single" w:color="auto"/>
          <w:color w:val="auto"/>
        </w:rPr>
        <w:t>Warrants</w:t>
      </w:r>
      <w:r>
        <w:rPr>
          <w:rFonts w:ascii="Arial" w:cs="Arial" w:eastAsia="Arial" w:hAnsi="Arial"/>
          <w:sz w:val="14"/>
          <w:szCs w:val="14"/>
          <w:color w:val="auto"/>
        </w:rPr>
        <w:t>”), were issued and outstanding; (iii) 17,250,000 rights, each right entitling the holder to receive one-twentieth of one share of common stock upon the consummation of the Transaction; and (iv) no Common Stock was subject to issuance upon exercise of outstanding options. As of the date hereof, the Company has no outstanding long-term indebtedness for borrowed money that is or would be required to be recognized as a long-term liability in accordance with generally accepted accounting principles (other than fees payable under the business combination marketing agreement entered into in connection with its initial public offering and/or warrant liability accounting treatment of the Company’s private placement warrants and/or public warrants) and will not have any long-term indebtedness for borrowed money that is or would be required to be recognized as a long-term liability in accordance with generally accepted accounting principles immediately prior to and as of the Closing (other than indebtedness owed to the Sponsors or their affiliates for the purpose of funding working capital or extending the term to complete the Business Combination from 15 months to 18 months, under the Horizon Credit Facility to the extent outstanding borrowings thereunder are not repaid with the proceeds of the Notes, certain financing arrangements in connection with the purchase of inventory, sale of receivables and purchase and leasing of equipment, a loan from the Small Business Administration pursuant to the Paycheck Protection Program and warrant liability accounting treatment of the Company’s private placement warrants and/or public warrants) and all outstanding convertible promissory notes heretofore issued by Presto will have been converted into Common Stock pursuant to the terms of the Transaction Agreement as of the Closing. Immediately following the Closing, 3,169,438 Founder Shares (which may increase to 4,312,500 Shares subject to the number of shares of Common Stock redeemed as further described in the Transaction Agreement) and 6,675,000 private placement warrants (including 600,000 private placement warrants that will be cancelled at the Closing Date) will be fully vested, and up to 559,313 Founder Shares (which may decrease to 0 Shares subject to the number of shares of Common Stock redeemed as further described in the Transaction Agreement) are subject to vesting and shall be vested in the event the post-trading price of the Company’s Common Stock closes at or above $12.50 for 40 of 60 trading days. No Warrants are exercisable on or prior to the Closing. All (i) issued and outstanding Common Stock has been duly authorized and validly issued, is fully paid and non-assessable and is not subject to preemptive rights and (ii) outstanding Warrants have been duly authorized and validly issued, are fully paid and are not subject to preemptive rights. As of the date hereof, except as set forth above and pursuant to (i) this Agreement, (ii) the Other Subscription Agreements, (iii) the Transaction Agreement, or (iv) any agreement(s) that the Company may enter into with third parties for the purpose of recapturing or reducing the shares of Common Stock redeemed by public shareholders, (such agreement(s), the “</w:t>
      </w:r>
      <w:r>
        <w:rPr>
          <w:rFonts w:ascii="Arial" w:cs="Arial" w:eastAsia="Arial" w:hAnsi="Arial"/>
          <w:sz w:val="14"/>
          <w:szCs w:val="14"/>
          <w:u w:val="single" w:color="auto"/>
          <w:color w:val="auto"/>
        </w:rPr>
        <w:t>Forward Purchase Agreement</w:t>
      </w:r>
      <w:r>
        <w:rPr>
          <w:rFonts w:ascii="Arial" w:cs="Arial" w:eastAsia="Arial" w:hAnsi="Arial"/>
          <w:sz w:val="14"/>
          <w:szCs w:val="14"/>
          <w:color w:val="auto"/>
        </w:rPr>
        <w:t>”), there are no outstanding options, warrants or other rights to subscribe for, purchase or acquire from the Company any Common Stock or other equity interests in the Company (collectively, “Equity Interests”)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December 30, 2020 pursuant to which the Company’s sponsor and the Company’s executive officers and independent directors agreed to vote in favor of any proposed Business Combination (as defined therein), which includes the Transaction, (B) as contemplated by the Transaction Agreement and (C) the Forward Purchase Agreement. There are no securities or instruments issued by or to which the Company is a party containing anti-dilution or similar provisions that will be triggered by the issuance of (i) the Subscribed Shares or (ii) the securities to be issued pursuant to any Other Subscription Agreement. Subscriber understands and acknowledges the Sponsors may from time to time enter into various agreements relating to the transfer of the Founder Shares and private placement warrants in furtherance of the Transaction, and that such agreements shall not be in violation of this Subscription Agreement so long as the aggregate number of outstanding Founder Shares or private placement warrants do not increase, the Sponsors shall promptly notify Subscriber if the aggregate number of Founder Shares or private placement warrants decrease as a result of such agreements.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9" w:name="page210"/>
    <w:bookmarkEnd w:id="209"/>
    <w:p>
      <w:pPr>
        <w:jc w:val="both"/>
        <w:ind w:firstLine="1147"/>
        <w:spacing w:after="0" w:line="255" w:lineRule="auto"/>
        <w:rPr>
          <w:sz w:val="20"/>
          <w:szCs w:val="20"/>
          <w:color w:val="auto"/>
        </w:rPr>
      </w:pPr>
      <w:r>
        <w:rPr>
          <w:rFonts w:ascii="Arial" w:cs="Arial" w:eastAsia="Arial" w:hAnsi="Arial"/>
          <w:sz w:val="16"/>
          <w:szCs w:val="16"/>
          <w:color w:val="auto"/>
        </w:rPr>
        <w:t xml:space="preserve">i. Except for such matters as have not had and would not be reasonably likely to have a Company Material Adverse Effect or have a material adverse effect on the Company’s ability to consummate the transactions contemplated hereby, including the issuance and sale of the Subscribed Shares, as of the date hereof,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w:t>
      </w:r>
      <w:r>
        <w:rPr>
          <w:rFonts w:ascii="Arial" w:cs="Arial" w:eastAsia="Arial" w:hAnsi="Arial"/>
          <w:sz w:val="16"/>
          <w:szCs w:val="16"/>
          <w:i w:val="1"/>
          <w:iCs w:val="1"/>
          <w:color w:val="auto"/>
        </w:rPr>
        <w:t xml:space="preserve">against </w:t>
      </w:r>
      <w:r>
        <w:rPr>
          <w:rFonts w:ascii="Arial" w:cs="Arial" w:eastAsia="Arial" w:hAnsi="Arial"/>
          <w:sz w:val="16"/>
          <w:szCs w:val="16"/>
          <w:color w:val="auto"/>
        </w:rPr>
        <w:t>the Company or any of its directors or officers in their capacities as such.</w:t>
      </w:r>
    </w:p>
    <w:p>
      <w:pPr>
        <w:spacing w:after="0" w:line="170" w:lineRule="exact"/>
        <w:rPr>
          <w:sz w:val="20"/>
          <w:szCs w:val="20"/>
          <w:color w:val="auto"/>
        </w:rPr>
      </w:pPr>
    </w:p>
    <w:p>
      <w:pPr>
        <w:jc w:val="both"/>
        <w:ind w:firstLine="1147"/>
        <w:spacing w:after="0" w:line="274" w:lineRule="auto"/>
        <w:rPr>
          <w:sz w:val="20"/>
          <w:szCs w:val="20"/>
          <w:color w:val="auto"/>
        </w:rPr>
      </w:pPr>
      <w:r>
        <w:rPr>
          <w:rFonts w:ascii="Arial" w:cs="Arial" w:eastAsia="Arial" w:hAnsi="Arial"/>
          <w:sz w:val="15"/>
          <w:szCs w:val="15"/>
          <w:color w:val="auto"/>
        </w:rPr>
        <w:t>j. The issued and outstanding shares of Common Stock are registered pursuant to Section 12(b) of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are listed for trading on the Nasdaq Stock Market under the symbol “VTAQ.” There is no suit, action, proceeding or investigation pending or, to the knowledge of the Company, threatened against the Company by the Nasdaq Stock Market or the Commission with respect to any intention by such entity to deregister the shares of Common Stock or prohibit or terminate the listing of the shares of Common Stock on the Nasdaq Stock Market. The Company has taken no action that is designed to terminate the registration of the shares of Common Stock under the Exchange Act. The Company will file a listing application with NASDAQ for the Underlying Shares and such application has been, or prior to Closing will be, approved by NASDAQ.</w:t>
      </w:r>
    </w:p>
    <w:p>
      <w:pPr>
        <w:spacing w:after="0" w:line="157"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k. Upon consummation of the Transaction, the issued and outstanding shares of Common Stock will be registered pursuant to Section 12(b) of the Exchange Act and will be listed for trading on the Nasdaq Stock Market.</w:t>
      </w:r>
    </w:p>
    <w:p>
      <w:pPr>
        <w:spacing w:after="0" w:line="15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l. Assuming the accuracy of Subscriber’s representations and warranties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Subscription Agreement, no registration under the Securities Act is required for the offer and sale of the Subscribed Shares by the Company to Subscriber.</w:t>
      </w:r>
    </w:p>
    <w:p>
      <w:pPr>
        <w:spacing w:after="0" w:line="15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m. Neither the Company nor any person acting on its behalf has engaged or will engage in any form of general solicitation or general advertising (within the meaning of Regulation D) in connection with any offer or sale of the Subscribed Shares.</w:t>
      </w:r>
    </w:p>
    <w:p>
      <w:pPr>
        <w:spacing w:after="0" w:line="15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n. Except for each of William Blair &amp; Company, L.L.C. (“</w:t>
      </w:r>
      <w:r>
        <w:rPr>
          <w:rFonts w:ascii="Arial" w:cs="Arial" w:eastAsia="Arial" w:hAnsi="Arial"/>
          <w:sz w:val="16"/>
          <w:szCs w:val="16"/>
          <w:u w:val="single" w:color="auto"/>
          <w:color w:val="auto"/>
        </w:rPr>
        <w:t>William Blair</w:t>
      </w:r>
      <w:r>
        <w:rPr>
          <w:rFonts w:ascii="Arial" w:cs="Arial" w:eastAsia="Arial" w:hAnsi="Arial"/>
          <w:sz w:val="16"/>
          <w:szCs w:val="16"/>
          <w:color w:val="auto"/>
        </w:rPr>
        <w:t>”), Truist Securities, Inc. (“</w:t>
      </w:r>
      <w:r>
        <w:rPr>
          <w:rFonts w:ascii="Arial" w:cs="Arial" w:eastAsia="Arial" w:hAnsi="Arial"/>
          <w:sz w:val="16"/>
          <w:szCs w:val="16"/>
          <w:u w:val="single" w:color="auto"/>
          <w:color w:val="auto"/>
        </w:rPr>
        <w:t>Truist</w:t>
      </w:r>
      <w:r>
        <w:rPr>
          <w:rFonts w:ascii="Arial" w:cs="Arial" w:eastAsia="Arial" w:hAnsi="Arial"/>
          <w:sz w:val="16"/>
          <w:szCs w:val="16"/>
          <w:color w:val="auto"/>
        </w:rPr>
        <w:t>”) and Chardan Capital Markets, LLC (“</w:t>
      </w:r>
      <w:r>
        <w:rPr>
          <w:rFonts w:ascii="Arial" w:cs="Arial" w:eastAsia="Arial" w:hAnsi="Arial"/>
          <w:sz w:val="16"/>
          <w:szCs w:val="16"/>
          <w:u w:val="single" w:color="auto"/>
          <w:color w:val="auto"/>
        </w:rPr>
        <w:t>Chardan</w:t>
      </w:r>
      <w:r>
        <w:rPr>
          <w:rFonts w:ascii="Arial" w:cs="Arial" w:eastAsia="Arial" w:hAnsi="Arial"/>
          <w:sz w:val="16"/>
          <w:szCs w:val="16"/>
          <w:color w:val="auto"/>
        </w:rPr>
        <w:t>” and together with William Blair and Truist, the “</w:t>
      </w:r>
      <w:r>
        <w:rPr>
          <w:rFonts w:ascii="Arial" w:cs="Arial" w:eastAsia="Arial" w:hAnsi="Arial"/>
          <w:sz w:val="16"/>
          <w:szCs w:val="16"/>
          <w:u w:val="single" w:color="auto"/>
          <w:color w:val="auto"/>
        </w:rPr>
        <w:t>Placement Agents</w:t>
      </w:r>
      <w:r>
        <w:rPr>
          <w:rFonts w:ascii="Arial" w:cs="Arial" w:eastAsia="Arial" w:hAnsi="Arial"/>
          <w:sz w:val="16"/>
          <w:szCs w:val="16"/>
          <w:color w:val="auto"/>
        </w:rPr>
        <w:t>” and each a “</w:t>
      </w:r>
      <w:r>
        <w:rPr>
          <w:rFonts w:ascii="Arial" w:cs="Arial" w:eastAsia="Arial" w:hAnsi="Arial"/>
          <w:sz w:val="16"/>
          <w:szCs w:val="16"/>
          <w:u w:val="single" w:color="auto"/>
          <w:color w:val="auto"/>
        </w:rPr>
        <w:t>Placement Agent</w:t>
      </w:r>
      <w:r>
        <w:rPr>
          <w:rFonts w:ascii="Arial" w:cs="Arial" w:eastAsia="Arial" w:hAnsi="Arial"/>
          <w:sz w:val="16"/>
          <w:szCs w:val="16"/>
          <w:color w:val="auto"/>
        </w:rPr>
        <w:t>”), no broker or finder is entitled to any brokerage or finder’s fee or commission solely in connection with the sale of the Subscribed Shares to Subscriber.</w:t>
      </w:r>
    </w:p>
    <w:p>
      <w:pPr>
        <w:spacing w:after="0" w:line="162" w:lineRule="exact"/>
        <w:rPr>
          <w:sz w:val="20"/>
          <w:szCs w:val="20"/>
          <w:color w:val="auto"/>
        </w:rPr>
      </w:pPr>
    </w:p>
    <w:p>
      <w:pPr>
        <w:jc w:val="both"/>
        <w:ind w:firstLine="1147"/>
        <w:spacing w:after="0" w:line="276" w:lineRule="auto"/>
        <w:rPr>
          <w:sz w:val="20"/>
          <w:szCs w:val="20"/>
          <w:color w:val="auto"/>
        </w:rPr>
      </w:pPr>
      <w:r>
        <w:rPr>
          <w:rFonts w:ascii="Arial" w:cs="Arial" w:eastAsia="Arial" w:hAnsi="Arial"/>
          <w:sz w:val="15"/>
          <w:szCs w:val="15"/>
          <w:color w:val="auto"/>
        </w:rPr>
        <w:t>o. Except for such matters as have not had and would not be reasonably likely to have a Company Material Adverse Effect or have a material adverse effect on the Company’s ability to consummate the transactions contemplated hereby, including the issuance and sale of the Subscribed Shares,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0" w:name="page211"/>
    <w:bookmarkEnd w:id="210"/>
    <w:p>
      <w:pPr>
        <w:jc w:val="both"/>
        <w:ind w:right="20" w:firstLine="1147"/>
        <w:spacing w:after="0" w:line="275" w:lineRule="auto"/>
        <w:rPr>
          <w:sz w:val="20"/>
          <w:szCs w:val="20"/>
          <w:color w:val="auto"/>
        </w:rPr>
      </w:pPr>
      <w:r>
        <w:rPr>
          <w:rFonts w:ascii="Arial" w:cs="Arial" w:eastAsia="Arial" w:hAnsi="Arial"/>
          <w:sz w:val="16"/>
          <w:szCs w:val="16"/>
          <w:color w:val="auto"/>
        </w:rPr>
        <w:t>p. The Company has not in the past nor will it hereafter take any action to sell, offer for sale or solicit offers to buy any securities of the Company that could result in the initial sale of the Subscribed Shares not being exempt from the registration requirements of Section 5 of the Securities Act.</w:t>
      </w:r>
    </w:p>
    <w:p>
      <w:pPr>
        <w:spacing w:after="0" w:line="15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q.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62"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r. There is no action, suit, proceeding or investigation pending or, to the Company’s knowledge, currently threatened in writing against the Company that questions the validity of this Agreement or the right of the Company to enter into this Agreement, or to consummate the transactions contemplated thereby, or that might result, if determined adversely to the Company, in a material adverse effect, or in any material change in the current equity ownership of the Company.</w:t>
      </w:r>
    </w:p>
    <w:p>
      <w:pPr>
        <w:spacing w:after="0" w:line="146" w:lineRule="exact"/>
        <w:rPr>
          <w:sz w:val="20"/>
          <w:szCs w:val="20"/>
          <w:color w:val="auto"/>
        </w:rPr>
      </w:pPr>
    </w:p>
    <w:p>
      <w:pPr>
        <w:jc w:val="both"/>
        <w:ind w:right="20" w:firstLine="1147"/>
        <w:spacing w:after="0" w:line="297" w:lineRule="auto"/>
        <w:rPr>
          <w:sz w:val="20"/>
          <w:szCs w:val="20"/>
          <w:color w:val="auto"/>
        </w:rPr>
      </w:pPr>
      <w:r>
        <w:rPr>
          <w:rFonts w:ascii="Arial" w:cs="Arial" w:eastAsia="Arial" w:hAnsi="Arial"/>
          <w:sz w:val="14"/>
          <w:szCs w:val="14"/>
          <w:color w:val="auto"/>
        </w:rPr>
        <w:t>s.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43"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t. The Company has not entered into any subscription agreement, side letter or similar agreement with any investor in connection with such investor’s direct or indirect investment in the Company other than (i) the Transaction Agreement, (ii) any agreement or arrangement contemplated by the Transaction Agreement, which for the avoidance of doubt, includes the Forward Purchase Agreement, (iii) as disclosed in the Company’s filings with the Commission and (iv) the Other Subscription Agreements. The Other Subscription Agreements reflect terms with respect to the purchase of the Notes that are no more favorable to such subscriber thereunder than the terms of this Subscription Agreement other than such Other Subscription Agreements containing any of the following: (v) the amounts and types of the Company’s securities to be subscribed for and purchased by the Other Subscribers, (w) certain fees payable by Presto, certain board observer rights and the purchase of Common Stock from the Sponsors (as defined herein) by [***] and [***] and their affiliates, (x) certain closing conditions in the Other Subscription Agreements relating to the Notes,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w:t>
      </w:r>
    </w:p>
    <w:p>
      <w:pPr>
        <w:spacing w:after="0" w:line="163" w:lineRule="exact"/>
        <w:rPr>
          <w:sz w:val="20"/>
          <w:szCs w:val="20"/>
          <w:color w:val="auto"/>
        </w:rPr>
      </w:pPr>
    </w:p>
    <w:p>
      <w:pPr>
        <w:ind w:left="720" w:hanging="151"/>
        <w:spacing w:after="0"/>
        <w:tabs>
          <w:tab w:leader="none" w:pos="720"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Subscriber Representations and Warranties</w:t>
      </w:r>
      <w:r>
        <w:rPr>
          <w:rFonts w:ascii="Arial" w:cs="Arial" w:eastAsia="Arial" w:hAnsi="Arial"/>
          <w:sz w:val="16"/>
          <w:szCs w:val="16"/>
          <w:color w:val="auto"/>
        </w:rPr>
        <w:t>. Subscriber represents and warrants to the Company that:</w:t>
      </w:r>
    </w:p>
    <w:p>
      <w:pPr>
        <w:spacing w:after="0" w:line="198" w:lineRule="exact"/>
        <w:rPr>
          <w:rFonts w:ascii="Arial" w:cs="Arial" w:eastAsia="Arial" w:hAnsi="Arial"/>
          <w:sz w:val="16"/>
          <w:szCs w:val="16"/>
          <w:color w:val="auto"/>
        </w:rPr>
      </w:pPr>
    </w:p>
    <w:p>
      <w:pPr>
        <w:ind w:right="20" w:firstLine="1147"/>
        <w:spacing w:after="0" w:line="275" w:lineRule="auto"/>
        <w:rPr>
          <w:rFonts w:ascii="Arial" w:cs="Arial" w:eastAsia="Arial" w:hAnsi="Arial"/>
          <w:sz w:val="16"/>
          <w:szCs w:val="16"/>
          <w:color w:val="auto"/>
        </w:rPr>
      </w:pPr>
      <w:r>
        <w:rPr>
          <w:rFonts w:ascii="Arial" w:cs="Arial" w:eastAsia="Arial" w:hAnsi="Arial"/>
          <w:sz w:val="16"/>
          <w:szCs w:val="16"/>
          <w:color w:val="auto"/>
        </w:rPr>
        <w:t>a. 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1" w:name="page212"/>
    <w:bookmarkEnd w:id="211"/>
    <w:p>
      <w:pPr>
        <w:jc w:val="both"/>
        <w:ind w:right="20" w:firstLine="1147"/>
        <w:spacing w:after="0" w:line="258" w:lineRule="auto"/>
        <w:rPr>
          <w:sz w:val="20"/>
          <w:szCs w:val="20"/>
          <w:color w:val="auto"/>
        </w:rPr>
      </w:pPr>
      <w:r>
        <w:rPr>
          <w:rFonts w:ascii="Arial" w:cs="Arial" w:eastAsia="Arial" w:hAnsi="Arial"/>
          <w:sz w:val="16"/>
          <w:szCs w:val="16"/>
          <w:color w:val="auto"/>
        </w:rPr>
        <w:t>b. 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165" w:lineRule="exact"/>
        <w:rPr>
          <w:sz w:val="20"/>
          <w:szCs w:val="20"/>
          <w:color w:val="auto"/>
        </w:rPr>
      </w:pPr>
    </w:p>
    <w:p>
      <w:pPr>
        <w:jc w:val="both"/>
        <w:ind w:firstLine="1147"/>
        <w:spacing w:after="0" w:line="271" w:lineRule="auto"/>
        <w:rPr>
          <w:sz w:val="20"/>
          <w:szCs w:val="20"/>
          <w:color w:val="auto"/>
        </w:rPr>
      </w:pPr>
      <w:r>
        <w:rPr>
          <w:rFonts w:ascii="Arial" w:cs="Arial" w:eastAsia="Arial" w:hAnsi="Arial"/>
          <w:sz w:val="15"/>
          <w:szCs w:val="15"/>
          <w:color w:val="auto"/>
        </w:rPr>
        <w:t>c. 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a Subscriber Material Adverse Effect. For purposes of this Subscription Agreement, a “</w:t>
      </w:r>
      <w:r>
        <w:rPr>
          <w:rFonts w:ascii="Arial" w:cs="Arial" w:eastAsia="Arial" w:hAnsi="Arial"/>
          <w:sz w:val="15"/>
          <w:szCs w:val="15"/>
          <w:u w:val="single" w:color="auto"/>
          <w:color w:val="auto"/>
        </w:rPr>
        <w:t>Subscriber Material Adverse Effect</w:t>
      </w:r>
      <w:r>
        <w:rPr>
          <w:rFonts w:ascii="Arial" w:cs="Arial" w:eastAsia="Arial" w:hAnsi="Arial"/>
          <w:sz w:val="15"/>
          <w:szCs w:val="15"/>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159" w:lineRule="exact"/>
        <w:rPr>
          <w:sz w:val="20"/>
          <w:szCs w:val="20"/>
          <w:color w:val="auto"/>
        </w:rPr>
      </w:pPr>
    </w:p>
    <w:p>
      <w:pPr>
        <w:jc w:val="both"/>
        <w:ind w:firstLine="1147"/>
        <w:spacing w:after="0" w:line="271" w:lineRule="auto"/>
        <w:rPr>
          <w:sz w:val="20"/>
          <w:szCs w:val="20"/>
          <w:color w:val="auto"/>
        </w:rPr>
      </w:pPr>
      <w:r>
        <w:rPr>
          <w:rFonts w:ascii="Arial" w:cs="Arial" w:eastAsia="Arial" w:hAnsi="Arial"/>
          <w:sz w:val="15"/>
          <w:szCs w:val="15"/>
          <w:color w:val="auto"/>
        </w:rPr>
        <w:t>d. Subscriber (i) is a “qualified institutional buyer” (as defined in Rule 144A under the Securities Act) or an institutional “accredited investor” (within the meaning of Rule 501(a)(1), (2), (3), (7), (8), (9), (12) or (13) under the Securities Act) satisfying the applicable requirements set forth on Annex A; (ii) is acquiring the Subscribed Shares only for its own account and not for the account of others, or if Subscriber is subscribing for the Subscribed Shares as a fiduciary or agent for one or more investor accounts, each owner of such account is a “qualified institutional buyer” (as defined in Rule 144A under the Securities Act) or an institutional “accredited investor” (within the meaning of Rule 501(a)(1), (2), (3), (7), (8), (9), (12) or (13)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Annex A following the signature page hereto). Subscriber is not an entity formed for the specific purpose of acquiring the Subscribed Shares and is an “institutional account” as defined by FINRA Rule 4512(e).</w:t>
      </w:r>
    </w:p>
    <w:p>
      <w:pPr>
        <w:spacing w:after="0" w:line="159" w:lineRule="exact"/>
        <w:rPr>
          <w:sz w:val="20"/>
          <w:szCs w:val="20"/>
          <w:color w:val="auto"/>
        </w:rPr>
      </w:pPr>
    </w:p>
    <w:p>
      <w:pPr>
        <w:jc w:val="both"/>
        <w:ind w:firstLine="1147"/>
        <w:spacing w:after="0" w:line="252" w:lineRule="auto"/>
        <w:rPr>
          <w:sz w:val="20"/>
          <w:szCs w:val="20"/>
          <w:color w:val="auto"/>
        </w:rPr>
      </w:pPr>
      <w:r>
        <w:rPr>
          <w:rFonts w:ascii="Arial" w:cs="Arial" w:eastAsia="Arial" w:hAnsi="Arial"/>
          <w:sz w:val="16"/>
          <w:szCs w:val="16"/>
          <w:color w:val="auto"/>
        </w:rPr>
        <w:t>e. Subscriber understands that the Subscribed Shares are being offered in a transaction not involving any public offering within the meaning of the Securities Act and that the Subscribed Shares have not been registered under the Securities Act. Subscriber understands that the Subscribed Shares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Shares and may be required to bear the financial risk of an investment in the Subscribed Shares for an indefinite period of time. Subscriber acknowledges and agrees that the Subscribed Shares will not be eligible for offer, resale, transfer, pledge or disposition pursuant to Rule 144 promulgated under the Securities Act (“</w:t>
      </w:r>
      <w:r>
        <w:rPr>
          <w:rFonts w:ascii="Arial" w:cs="Arial" w:eastAsia="Arial" w:hAnsi="Arial"/>
          <w:sz w:val="16"/>
          <w:szCs w:val="16"/>
          <w:u w:val="single" w:color="auto"/>
          <w:color w:val="auto"/>
        </w:rPr>
        <w:t>Rule 144</w:t>
      </w:r>
      <w:r>
        <w:rPr>
          <w:rFonts w:ascii="Arial" w:cs="Arial" w:eastAsia="Arial" w:hAnsi="Arial"/>
          <w:sz w:val="16"/>
          <w:szCs w:val="16"/>
          <w:color w:val="auto"/>
        </w:rPr>
        <w:t>”) until at least one year from the Closing Date. Subscriber understands that it has been advised to consult legal counsel prior to making any offer, resale, pledge or transfer of any of the Subscribed Shares.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2" w:name="page213"/>
    <w:bookmarkEnd w:id="212"/>
    <w:p>
      <w:pPr>
        <w:jc w:val="both"/>
        <w:ind w:left="4" w:right="20" w:firstLine="1147"/>
        <w:spacing w:after="0" w:line="275" w:lineRule="auto"/>
        <w:rPr>
          <w:sz w:val="20"/>
          <w:szCs w:val="20"/>
          <w:color w:val="auto"/>
        </w:rPr>
      </w:pPr>
      <w:r>
        <w:rPr>
          <w:rFonts w:ascii="Arial" w:cs="Arial" w:eastAsia="Arial" w:hAnsi="Arial"/>
          <w:sz w:val="16"/>
          <w:szCs w:val="16"/>
          <w:color w:val="auto"/>
        </w:rPr>
        <w:t>f. Each book entry for the Subscribed Shares shall contain a notation, and each certificate (if any) evidencing the Subscribed Shares shall be stamped or otherwise imprinted with a legend, in substantially the following form:</w:t>
      </w:r>
    </w:p>
    <w:p>
      <w:pPr>
        <w:spacing w:after="0" w:line="148" w:lineRule="exact"/>
        <w:rPr>
          <w:sz w:val="20"/>
          <w:szCs w:val="20"/>
          <w:color w:val="auto"/>
        </w:rPr>
      </w:pPr>
    </w:p>
    <w:p>
      <w:pPr>
        <w:jc w:val="both"/>
        <w:ind w:left="4"/>
        <w:spacing w:after="0" w:line="265" w:lineRule="auto"/>
        <w:rPr>
          <w:sz w:val="20"/>
          <w:szCs w:val="20"/>
          <w:color w:val="auto"/>
        </w:rPr>
      </w:pPr>
      <w:r>
        <w:rPr>
          <w:rFonts w:ascii="Arial" w:cs="Arial" w:eastAsia="Arial" w:hAnsi="Arial"/>
          <w:sz w:val="16"/>
          <w:szCs w:val="16"/>
          <w:color w:val="auto"/>
        </w:rPr>
        <w:t>THIS SECURITY HAS NOT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jc w:val="both"/>
        <w:ind w:left="4" w:hanging="4"/>
        <w:spacing w:after="0" w:line="273" w:lineRule="auto"/>
        <w:tabs>
          <w:tab w:leader="none" w:pos="23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REPRESENTS THAT EITHER (A) IT AND ANY ACCOUNT FOR WHICH IT IS ACTING IS A “</w:t>
      </w:r>
      <w:r>
        <w:rPr>
          <w:rFonts w:ascii="Arial" w:cs="Arial" w:eastAsia="Arial" w:hAnsi="Arial"/>
          <w:sz w:val="15"/>
          <w:szCs w:val="15"/>
          <w:b w:val="1"/>
          <w:bCs w:val="1"/>
          <w:color w:val="auto"/>
        </w:rPr>
        <w:t>QUALIFIED INSTITUTIONAL BUYER</w:t>
      </w:r>
      <w:r>
        <w:rPr>
          <w:rFonts w:ascii="Arial" w:cs="Arial" w:eastAsia="Arial" w:hAnsi="Arial"/>
          <w:sz w:val="15"/>
          <w:szCs w:val="15"/>
          <w:color w:val="auto"/>
        </w:rPr>
        <w:t>” (AS DEFINED IN RULE 144A UNDER THE SECURITIES ACT) AND THAT IT EXERCISES SOLE INVESTMENT DISCRETION WITH RESPECT TO EACH SUCH ACCOUNT OR (B) IT IS AN INSTITUTIONAL “ACCREDITED INVESTOR” (WITHIN THE MEANING OF RULE 501(A)(1), (2), (3), (7), (8), (9), (12) OR (13) UNDER THE SECURITIES ACT)</w:t>
      </w:r>
    </w:p>
    <w:p>
      <w:pPr>
        <w:spacing w:after="0" w:line="1" w:lineRule="exact"/>
        <w:rPr>
          <w:rFonts w:ascii="Arial" w:cs="Arial" w:eastAsia="Arial" w:hAnsi="Arial"/>
          <w:sz w:val="15"/>
          <w:szCs w:val="15"/>
          <w:color w:val="auto"/>
        </w:rPr>
      </w:pPr>
    </w:p>
    <w:p>
      <w:pPr>
        <w:jc w:val="both"/>
        <w:ind w:left="4" w:right="20"/>
        <w:spacing w:after="0" w:line="249" w:lineRule="auto"/>
        <w:rPr>
          <w:rFonts w:ascii="Arial" w:cs="Arial" w:eastAsia="Arial" w:hAnsi="Arial"/>
          <w:sz w:val="15"/>
          <w:szCs w:val="15"/>
          <w:color w:val="auto"/>
        </w:rPr>
      </w:pPr>
      <w:r>
        <w:rPr>
          <w:rFonts w:ascii="Arial" w:cs="Arial" w:eastAsia="Arial" w:hAnsi="Arial"/>
          <w:sz w:val="16"/>
          <w:szCs w:val="16"/>
          <w:color w:val="auto"/>
        </w:rPr>
        <w:t>AND (2) AGREES FOR THE BENEFIT OF (THE “</w:t>
      </w:r>
      <w:r>
        <w:rPr>
          <w:rFonts w:ascii="Arial" w:cs="Arial" w:eastAsia="Arial" w:hAnsi="Arial"/>
          <w:sz w:val="16"/>
          <w:szCs w:val="16"/>
          <w:b w:val="1"/>
          <w:bCs w:val="1"/>
          <w:color w:val="auto"/>
        </w:rPr>
        <w:t>COMPANY</w:t>
      </w:r>
      <w:r>
        <w:rPr>
          <w:rFonts w:ascii="Arial" w:cs="Arial" w:eastAsia="Arial" w:hAnsi="Arial"/>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w:t>
      </w:r>
    </w:p>
    <w:p>
      <w:pPr>
        <w:ind w:left="4"/>
        <w:spacing w:after="0"/>
        <w:rPr>
          <w:rFonts w:ascii="Arial" w:cs="Arial" w:eastAsia="Arial" w:hAnsi="Arial"/>
          <w:sz w:val="15"/>
          <w:szCs w:val="15"/>
          <w:color w:val="auto"/>
        </w:rPr>
      </w:pPr>
      <w:r>
        <w:rPr>
          <w:rFonts w:ascii="Arial" w:cs="Arial" w:eastAsia="Arial" w:hAnsi="Arial"/>
          <w:sz w:val="16"/>
          <w:szCs w:val="16"/>
          <w:color w:val="auto"/>
        </w:rPr>
        <w:t>THERETO AND (Y) SUCH LATER DATE, IF ANY, AS MAY BE REQUIRED BY APPLICABLE LAW, EXCEPT:</w:t>
      </w:r>
    </w:p>
    <w:p>
      <w:pPr>
        <w:spacing w:after="0" w:line="186" w:lineRule="exact"/>
        <w:rPr>
          <w:sz w:val="20"/>
          <w:szCs w:val="20"/>
          <w:color w:val="auto"/>
        </w:rPr>
      </w:pPr>
    </w:p>
    <w:p>
      <w:pPr>
        <w:ind w:left="264" w:hanging="264"/>
        <w:spacing w:after="0"/>
        <w:tabs>
          <w:tab w:leader="none" w:pos="26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THE COMPANY OR ANY SUBSIDIARY THEREOF, OR</w:t>
      </w:r>
    </w:p>
    <w:p>
      <w:pPr>
        <w:spacing w:after="0" w:line="198" w:lineRule="exact"/>
        <w:rPr>
          <w:rFonts w:ascii="Arial" w:cs="Arial" w:eastAsia="Arial" w:hAnsi="Arial"/>
          <w:sz w:val="16"/>
          <w:szCs w:val="16"/>
          <w:color w:val="auto"/>
        </w:rPr>
      </w:pPr>
    </w:p>
    <w:p>
      <w:pPr>
        <w:ind w:left="4" w:right="20" w:hanging="4"/>
        <w:spacing w:after="0" w:line="275" w:lineRule="auto"/>
        <w:tabs>
          <w:tab w:leader="none" w:pos="271"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PURSUANT TO A REGISTRATION STATEMENT THAT HAS BECOME EFFECTIVE UNDER THE SECURITIES ACT AND IS EFFECTIVE AT THE TIME OF SUCH TRANSFER, OR</w:t>
      </w:r>
    </w:p>
    <w:p>
      <w:pPr>
        <w:spacing w:after="0" w:line="151" w:lineRule="exact"/>
        <w:rPr>
          <w:rFonts w:ascii="Arial" w:cs="Arial" w:eastAsia="Arial" w:hAnsi="Arial"/>
          <w:sz w:val="16"/>
          <w:szCs w:val="16"/>
          <w:color w:val="auto"/>
        </w:rPr>
      </w:pPr>
    </w:p>
    <w:p>
      <w:pPr>
        <w:ind w:left="4" w:hanging="4"/>
        <w:spacing w:after="0" w:line="275" w:lineRule="auto"/>
        <w:tabs>
          <w:tab w:leader="none" w:pos="2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A PERSON THAT YOU REASONABLY BELIEVE TO BE A QUALIFIED INSTITUTIONAL BUYER IN COMPLIANCE WITH RULE 144A UNDER THE SECURITIES ACT, OR</w:t>
      </w:r>
    </w:p>
    <w:p>
      <w:pPr>
        <w:spacing w:after="0" w:line="151" w:lineRule="exact"/>
        <w:rPr>
          <w:rFonts w:ascii="Arial" w:cs="Arial" w:eastAsia="Arial" w:hAnsi="Arial"/>
          <w:sz w:val="16"/>
          <w:szCs w:val="16"/>
          <w:color w:val="auto"/>
        </w:rPr>
      </w:pPr>
    </w:p>
    <w:p>
      <w:pPr>
        <w:ind w:left="4" w:right="20" w:hanging="4"/>
        <w:spacing w:after="0" w:line="275" w:lineRule="auto"/>
        <w:tabs>
          <w:tab w:leader="none" w:pos="30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PURSUANT TO AN EXEMPTION FROM REGISTRATION PROVIDED BY RULE 144 UNDER THE SECURITIES ACT OR ANY OTHER AVAILABLE EXEMPTION FROM THE REGISTRATION REQUIREMENTS OF THE SECURITIES ACT.</w:t>
      </w:r>
    </w:p>
    <w:p>
      <w:pPr>
        <w:spacing w:after="0" w:line="152"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70" w:lineRule="exact"/>
        <w:rPr>
          <w:sz w:val="20"/>
          <w:szCs w:val="20"/>
          <w:color w:val="auto"/>
        </w:rPr>
      </w:pPr>
    </w:p>
    <w:p>
      <w:pPr>
        <w:jc w:val="both"/>
        <w:ind w:left="4" w:firstLine="1147"/>
        <w:spacing w:after="0" w:line="274" w:lineRule="auto"/>
        <w:rPr>
          <w:sz w:val="20"/>
          <w:szCs w:val="20"/>
          <w:color w:val="auto"/>
        </w:rPr>
      </w:pPr>
      <w:r>
        <w:rPr>
          <w:rFonts w:ascii="Arial" w:cs="Arial" w:eastAsia="Arial" w:hAnsi="Arial"/>
          <w:sz w:val="15"/>
          <w:szCs w:val="15"/>
          <w:color w:val="auto"/>
        </w:rPr>
        <w:t>g. 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any other party to the Transaction or any other person or entity, expressly or by implication, other than those representations, warranties, covenants and agreements of the Company set forth in this Subscription Agreement.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spacing w:after="0" w:line="157" w:lineRule="exact"/>
        <w:rPr>
          <w:sz w:val="20"/>
          <w:szCs w:val="20"/>
          <w:color w:val="auto"/>
        </w:rPr>
      </w:pPr>
    </w:p>
    <w:p>
      <w:pPr>
        <w:jc w:val="both"/>
        <w:ind w:left="4" w:firstLine="1147"/>
        <w:spacing w:after="0" w:line="255" w:lineRule="auto"/>
        <w:rPr>
          <w:sz w:val="20"/>
          <w:szCs w:val="20"/>
          <w:color w:val="auto"/>
        </w:rPr>
      </w:pPr>
      <w:r>
        <w:rPr>
          <w:rFonts w:ascii="Arial" w:cs="Arial" w:eastAsia="Arial" w:hAnsi="Arial"/>
          <w:sz w:val="16"/>
          <w:szCs w:val="16"/>
          <w:color w:val="auto"/>
        </w:rPr>
        <w:t>h. Subscriber agrees that none of the Placement Agents, nor any of their respective affiliates or any of their or their respective affiliates’ control persons, officers, directors or employees, shall be liable to Subscriber pursuant to this Subscription Agreement for any action heretofore or hereafter taken or omitted to be taken by any of them in connection with the purchase of the Subscribed Shares. On behalf of itself and its affiliates, Subscriber releases each of the Placement Agents in respect of any losses, claims, damages, obligations, penalties, judgments, awards, liabilities, costs, expenses or disbursements related to this Subscription Agreement or the transactions contemplated hereby.</w:t>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13" w:name="page214"/>
    <w:bookmarkEnd w:id="213"/>
    <w:p>
      <w:pPr>
        <w:jc w:val="both"/>
        <w:ind w:firstLine="1147"/>
        <w:spacing w:after="0" w:line="268" w:lineRule="auto"/>
        <w:rPr>
          <w:sz w:val="20"/>
          <w:szCs w:val="20"/>
          <w:color w:val="auto"/>
        </w:rPr>
      </w:pPr>
      <w:r>
        <w:rPr>
          <w:rFonts w:ascii="Arial" w:cs="Arial" w:eastAsia="Arial" w:hAnsi="Arial"/>
          <w:sz w:val="15"/>
          <w:szCs w:val="15"/>
          <w:color w:val="auto"/>
        </w:rPr>
        <w:t>i. In making its decision to purchase the Subscribed Shares, Subscriber has relied solely upon independent investigation made by Subscriber and upon the representations, warranties and covenants set forth herein. Subscriber acknowledges and agrees that Subscriber has received such information as Subscriber deems necessary in order to make an investment decision with respect to the Subscribed Shares, including with respect to the Company and the Transaction (including Presto and their respective subsidiaries (collectively, the “</w:t>
      </w:r>
      <w:r>
        <w:rPr>
          <w:rFonts w:ascii="Arial" w:cs="Arial" w:eastAsia="Arial" w:hAnsi="Arial"/>
          <w:sz w:val="15"/>
          <w:szCs w:val="15"/>
          <w:u w:val="single" w:color="auto"/>
          <w:color w:val="auto"/>
        </w:rPr>
        <w:t>Acquired Companies</w:t>
      </w:r>
      <w:r>
        <w:rPr>
          <w:rFonts w:ascii="Arial" w:cs="Arial" w:eastAsia="Arial" w:hAnsi="Arial"/>
          <w:sz w:val="15"/>
          <w:szCs w:val="15"/>
          <w:color w:val="auto"/>
        </w:rPr>
        <w:t>”)).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Subscriber acknowledges and agrees that none of the Placement Agents, nor any respective affiliates of the Placement Agents have provided Subscriber with any information or advice with respect to the Subscribed Shares nor is such information or advice necessary or desired. None of the Placement Agents nor any of their respective affiliates have made or make any representation as to the Company or the Acquired Companies or the quality or value of the Subscribed Shares and the Placement Agents and any of their respective affiliates may have acquired non-public information with respect to the Company or the Acquired Companies which Subscriber agrees need not be provided to it. In connection with the issuance of the Subscribed Shares to Subscriber, none of the Placement Agents nor any of their respective affiliates have acted as a financial advisor or fiduciary to Subscriber. Each of the Placement Agents is acting solely as placement agent to the Company and is not acting as an underwriter or in any other capacity or as a fiduciary for the Company or any other person or entity in connection with the Transaction and none of the Placement Agents or any of their respective affiliates has prepared any disclosure or offering document in connection with the offer and sale of the Subscribed Shares. Subscriber acknowledges that the Placement Agents and their respective directors, officers, employees, representatives and controlling persons have made no independent investigation with respect to the Company or the Subscribed Shares or the accuracy, completeness or adequacy of any information supplied to Subscriber by the Company.</w:t>
      </w:r>
    </w:p>
    <w:p>
      <w:pPr>
        <w:spacing w:after="0" w:line="169" w:lineRule="exact"/>
        <w:rPr>
          <w:sz w:val="20"/>
          <w:szCs w:val="20"/>
          <w:color w:val="auto"/>
        </w:rPr>
      </w:pPr>
    </w:p>
    <w:p>
      <w:pPr>
        <w:jc w:val="both"/>
        <w:ind w:right="20" w:firstLine="1147"/>
        <w:spacing w:after="0" w:line="276" w:lineRule="auto"/>
        <w:rPr>
          <w:sz w:val="20"/>
          <w:szCs w:val="20"/>
          <w:color w:val="auto"/>
        </w:rPr>
      </w:pPr>
      <w:r>
        <w:rPr>
          <w:rFonts w:ascii="Arial" w:cs="Arial" w:eastAsia="Arial" w:hAnsi="Arial"/>
          <w:sz w:val="15"/>
          <w:szCs w:val="15"/>
          <w:color w:val="auto"/>
        </w:rPr>
        <w:t>j. Subscriber acknowledges and agrees that (i) the Placement Agents have not made and will not make any representation or warranty, whether express or implied, of any kind or character and have not provided any advice or recommendation in connection with the Transactions, and (ii) the Placement Agents will have no responsibility with respect to (A) any representations, warranties or agreements made by any person or entity under or in connection with the Transactions or any of the documents furnished pursuant thereto or in connection therewith, or the execution, legality, validity or enforceability (with respect to any person) or any thereof, or (B) the business, affairs, financial condition, operations, properties or prospects of, or any other matter concerning the Company or the Transactions.</w:t>
      </w:r>
    </w:p>
    <w:p>
      <w:pPr>
        <w:spacing w:after="0" w:line="155" w:lineRule="exact"/>
        <w:rPr>
          <w:sz w:val="20"/>
          <w:szCs w:val="20"/>
          <w:color w:val="auto"/>
        </w:rPr>
      </w:pPr>
    </w:p>
    <w:p>
      <w:pPr>
        <w:jc w:val="both"/>
        <w:ind w:right="20" w:firstLine="1147"/>
        <w:spacing w:after="0" w:line="276" w:lineRule="auto"/>
        <w:rPr>
          <w:sz w:val="20"/>
          <w:szCs w:val="20"/>
          <w:color w:val="auto"/>
        </w:rPr>
      </w:pPr>
      <w:r>
        <w:rPr>
          <w:rFonts w:ascii="Arial" w:cs="Arial" w:eastAsia="Arial" w:hAnsi="Arial"/>
          <w:sz w:val="15"/>
          <w:szCs w:val="15"/>
          <w:color w:val="auto"/>
        </w:rPr>
        <w:t>k. Subscriber became aware of this offering of the Subscribed Shares solely by means of direct contact between Subscriber and the Company or by means of contact from the Placement Agent and the Subscribed Shares were offered to Subscriber solely by direct contact between Subscriber and the Company. Subscriber did not become aware of this offering of the Subscribed Shares, nor were the Subscribed Shares offered to Subscriber, by any other means. Subscriber acknowledges that the Company represents and warrants that the Subscribed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55"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l. Subscriber acknowledges that it is aware that there are substantial risks incident to the purchase and ownership of the Subscribed Shares.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w:t>
      </w:r>
    </w:p>
    <w:p>
      <w:pPr>
        <w:spacing w:after="0" w:line="165"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m. 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4" w:name="page215"/>
    <w:bookmarkEnd w:id="214"/>
    <w:p>
      <w:pPr>
        <w:jc w:val="both"/>
        <w:ind w:right="20" w:firstLine="1147"/>
        <w:spacing w:after="0" w:line="275" w:lineRule="auto"/>
        <w:rPr>
          <w:sz w:val="20"/>
          <w:szCs w:val="20"/>
          <w:color w:val="auto"/>
        </w:rPr>
      </w:pPr>
      <w:r>
        <w:rPr>
          <w:rFonts w:ascii="Arial" w:cs="Arial" w:eastAsia="Arial" w:hAnsi="Arial"/>
          <w:sz w:val="16"/>
          <w:szCs w:val="16"/>
          <w:color w:val="auto"/>
        </w:rPr>
        <w:t>n. Subscriber understands and agrees that no federal or state agency has passed upon or endorsed the merits of the offering of the Subscribed Shares or made any findings or determination as to the fairness of this investment.</w:t>
      </w:r>
    </w:p>
    <w:p>
      <w:pPr>
        <w:spacing w:after="0" w:line="152"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o. Subscriber is not (i) a person or entity named on the List of Specially Designated Nationals and Blocked Persons administered by the U.S. Treasury Department’s Office of Foreign Assets Control (“</w:t>
      </w:r>
      <w:r>
        <w:rPr>
          <w:rFonts w:ascii="Arial" w:cs="Arial" w:eastAsia="Arial" w:hAnsi="Arial"/>
          <w:sz w:val="15"/>
          <w:szCs w:val="15"/>
          <w:u w:val="single" w:color="auto"/>
          <w:color w:val="auto"/>
        </w:rPr>
        <w:t>OFAC</w:t>
      </w:r>
      <w:r>
        <w:rPr>
          <w:rFonts w:ascii="Arial" w:cs="Arial" w:eastAsia="Arial" w:hAnsi="Arial"/>
          <w:sz w:val="15"/>
          <w:szCs w:val="15"/>
          <w:color w:val="auto"/>
        </w:rPr>
        <w:t>”) or in any Executive Order issued by the President of the United States and administered by OFAC (“</w:t>
      </w:r>
      <w:r>
        <w:rPr>
          <w:rFonts w:ascii="Arial" w:cs="Arial" w:eastAsia="Arial" w:hAnsi="Arial"/>
          <w:sz w:val="15"/>
          <w:szCs w:val="15"/>
          <w:u w:val="single" w:color="auto"/>
          <w:color w:val="auto"/>
        </w:rPr>
        <w:t>OFAC List</w:t>
      </w:r>
      <w:r>
        <w:rPr>
          <w:rFonts w:ascii="Arial" w:cs="Arial" w:eastAsia="Arial" w:hAnsi="Arial"/>
          <w:sz w:val="15"/>
          <w:szCs w:val="15"/>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Arial" w:cs="Arial" w:eastAsia="Arial" w:hAnsi="Arial"/>
          <w:sz w:val="15"/>
          <w:szCs w:val="15"/>
          <w:u w:val="single" w:color="auto"/>
          <w:color w:val="auto"/>
        </w:rPr>
        <w:t>Prohibited Investor</w:t>
      </w:r>
      <w:r>
        <w:rPr>
          <w:rFonts w:ascii="Arial" w:cs="Arial" w:eastAsia="Arial" w:hAnsi="Arial"/>
          <w:sz w:val="15"/>
          <w:szCs w:val="15"/>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Arial" w:cs="Arial" w:eastAsia="Arial" w:hAnsi="Arial"/>
          <w:sz w:val="15"/>
          <w:szCs w:val="15"/>
          <w:u w:val="single" w:color="auto"/>
          <w:color w:val="auto"/>
        </w:rPr>
        <w:t>BSA/PATRIOT Act</w:t>
      </w:r>
      <w:r>
        <w:rPr>
          <w:rFonts w:ascii="Arial" w:cs="Arial" w:eastAsia="Arial" w:hAnsi="Arial"/>
          <w:sz w:val="15"/>
          <w:szCs w:val="15"/>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Subscribed Shares were legally derived.</w:t>
      </w:r>
    </w:p>
    <w:p>
      <w:pPr>
        <w:spacing w:after="0" w:line="163" w:lineRule="exact"/>
        <w:rPr>
          <w:sz w:val="20"/>
          <w:szCs w:val="20"/>
          <w:color w:val="auto"/>
        </w:rPr>
      </w:pPr>
    </w:p>
    <w:p>
      <w:pPr>
        <w:jc w:val="both"/>
        <w:ind w:firstLine="1147"/>
        <w:spacing w:after="0" w:line="254" w:lineRule="auto"/>
        <w:rPr>
          <w:sz w:val="20"/>
          <w:szCs w:val="20"/>
          <w:color w:val="auto"/>
        </w:rPr>
      </w:pPr>
      <w:r>
        <w:rPr>
          <w:rFonts w:ascii="Arial" w:cs="Arial" w:eastAsia="Arial" w:hAnsi="Arial"/>
          <w:sz w:val="16"/>
          <w:szCs w:val="16"/>
          <w:color w:val="auto"/>
        </w:rPr>
        <w:t>p. As of the date hereof, and during the 30-day period immediately prior to the date hereof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Shares covered by this Agreement.</w:t>
      </w:r>
    </w:p>
    <w:p>
      <w:pPr>
        <w:spacing w:after="0" w:line="170" w:lineRule="exact"/>
        <w:rPr>
          <w:sz w:val="20"/>
          <w:szCs w:val="20"/>
          <w:color w:val="auto"/>
        </w:rPr>
      </w:pPr>
    </w:p>
    <w:p>
      <w:pPr>
        <w:jc w:val="both"/>
        <w:ind w:firstLine="1147"/>
        <w:spacing w:after="0" w:line="293" w:lineRule="auto"/>
        <w:rPr>
          <w:sz w:val="20"/>
          <w:szCs w:val="20"/>
          <w:color w:val="auto"/>
        </w:rPr>
      </w:pPr>
      <w:r>
        <w:rPr>
          <w:rFonts w:ascii="Arial" w:cs="Arial" w:eastAsia="Arial" w:hAnsi="Arial"/>
          <w:sz w:val="14"/>
          <w:szCs w:val="14"/>
          <w:color w:val="auto"/>
        </w:rPr>
        <w:t>q. 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Internal Revenue Code of 1986, as amended, or an entity whose underlying assets are considered to include “plan assets” of any such plan, account or arrangement (each, a “Plan”) subject to the fiduciary or prohibited transaction provisions of ERISA or section 4975 of the Code, Subscriber represents and warrants that neither the Company, nor any of its respective affiliates (the “</w:t>
      </w:r>
      <w:r>
        <w:rPr>
          <w:rFonts w:ascii="Arial" w:cs="Arial" w:eastAsia="Arial" w:hAnsi="Arial"/>
          <w:sz w:val="14"/>
          <w:szCs w:val="14"/>
          <w:u w:val="single" w:color="auto"/>
          <w:color w:val="auto"/>
        </w:rPr>
        <w:t>Transaction Parties</w:t>
      </w:r>
      <w:r>
        <w:rPr>
          <w:rFonts w:ascii="Arial" w:cs="Arial" w:eastAsia="Arial" w:hAnsi="Arial"/>
          <w:sz w:val="14"/>
          <w:szCs w:val="14"/>
          <w:color w:val="auto"/>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none of the acquisition, holding and/or transfer or disposition of the Subscribed Shares will result in a non-exempt prohibited Transactions under ERISA or Section 4975 of the Code or any similar law or regulation.</w:t>
      </w:r>
    </w:p>
    <w:p>
      <w:pPr>
        <w:spacing w:after="0" w:line="14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r. Subscriber at the Closing will have sufficient funds to pay the Purchase Price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5" w:name="page216"/>
    <w:bookmarkEnd w:id="215"/>
    <w:p>
      <w:pPr>
        <w:ind w:left="4" w:right="20" w:firstLine="1147"/>
        <w:spacing w:after="0" w:line="275" w:lineRule="auto"/>
        <w:rPr>
          <w:sz w:val="20"/>
          <w:szCs w:val="20"/>
          <w:color w:val="auto"/>
        </w:rPr>
      </w:pPr>
      <w:r>
        <w:rPr>
          <w:rFonts w:ascii="Arial" w:cs="Arial" w:eastAsia="Arial" w:hAnsi="Arial"/>
          <w:sz w:val="16"/>
          <w:szCs w:val="16"/>
          <w:color w:val="auto"/>
        </w:rPr>
        <w:t xml:space="preserve">s. Subscriber agrees that, notwithstanding </w:t>
      </w:r>
      <w:r>
        <w:rPr>
          <w:rFonts w:ascii="Arial" w:cs="Arial" w:eastAsia="Arial" w:hAnsi="Arial"/>
          <w:sz w:val="16"/>
          <w:szCs w:val="16"/>
          <w:u w:val="single" w:color="auto"/>
          <w:color w:val="auto"/>
        </w:rPr>
        <w:t>Section 8(i)</w:t>
      </w:r>
      <w:r>
        <w:rPr>
          <w:rFonts w:ascii="Arial" w:cs="Arial" w:eastAsia="Arial" w:hAnsi="Arial"/>
          <w:sz w:val="16"/>
          <w:szCs w:val="16"/>
          <w:color w:val="auto"/>
        </w:rPr>
        <w:t>, the Placement Agent may rely upon the representations and warranties made by Subscriber to the Company in this Subscription Agreement.</w:t>
      </w:r>
    </w:p>
    <w:p>
      <w:pPr>
        <w:spacing w:after="0" w:line="152" w:lineRule="exact"/>
        <w:rPr>
          <w:sz w:val="20"/>
          <w:szCs w:val="20"/>
          <w:color w:val="auto"/>
        </w:rPr>
      </w:pPr>
    </w:p>
    <w:p>
      <w:pPr>
        <w:ind w:left="724" w:hanging="151"/>
        <w:spacing w:after="0"/>
        <w:tabs>
          <w:tab w:leader="none" w:pos="724" w:val="left"/>
        </w:tabs>
        <w:numPr>
          <w:ilvl w:val="1"/>
          <w:numId w:val="232"/>
        </w:numPr>
        <w:rPr>
          <w:rFonts w:ascii="Arial" w:cs="Arial" w:eastAsia="Arial" w:hAnsi="Arial"/>
          <w:sz w:val="16"/>
          <w:szCs w:val="16"/>
          <w:color w:val="auto"/>
        </w:rPr>
      </w:pPr>
      <w:r>
        <w:rPr>
          <w:rFonts w:ascii="Arial" w:cs="Arial" w:eastAsia="Arial" w:hAnsi="Arial"/>
          <w:sz w:val="16"/>
          <w:szCs w:val="16"/>
          <w:u w:val="single" w:color="auto"/>
          <w:color w:val="auto"/>
        </w:rPr>
        <w:t>Registration of Subscribed Shares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4" w:firstLine="1147"/>
        <w:spacing w:after="0" w:line="286" w:lineRule="auto"/>
        <w:rPr>
          <w:rFonts w:ascii="Arial" w:cs="Arial" w:eastAsia="Arial" w:hAnsi="Arial"/>
          <w:sz w:val="16"/>
          <w:szCs w:val="16"/>
          <w:color w:val="auto"/>
        </w:rPr>
      </w:pPr>
      <w:r>
        <w:rPr>
          <w:rFonts w:ascii="Arial" w:cs="Arial" w:eastAsia="Arial" w:hAnsi="Arial"/>
          <w:sz w:val="14"/>
          <w:szCs w:val="14"/>
          <w:color w:val="auto"/>
        </w:rPr>
        <w:t>a. The Company agrees that, within thirty (30) days after the Closing Date, the Company will file with the SEC (at the Company’s sole cost and expense) a registration statement registering the resale of the Subscribed Shares (the “</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and the Company shall use its commercially reasonable efforts to have the Registration Statement declared effective upon the Closing, but no later than sixty (60) calendar days following the Closing Date (the “</w:t>
      </w:r>
      <w:r>
        <w:rPr>
          <w:rFonts w:ascii="Arial" w:cs="Arial" w:eastAsia="Arial" w:hAnsi="Arial"/>
          <w:sz w:val="14"/>
          <w:szCs w:val="14"/>
          <w:u w:val="single" w:color="auto"/>
          <w:color w:val="auto"/>
        </w:rPr>
        <w:t>Effectiveness Deadline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Effectiveness Deadline shall be extended to ninety (90) calendar days after the Closing Date if the Registration Statement is reviewed by, and receives comments from, the SEC. The Company will provide a draft of the Registration Statement to the undersigned for review at least two (2) business days in advance of filing the Registration Statement. In no event shall the undersigned be identified as a statutory underwriter in the Registration Statement unless requested by the SEC. Notwithstanding the foregoing, if the SEC prevents the Company from including any or all of the shares proposed to be registered under the Registration Statement due to limitations on the use of Rule 415 of the Securities Act for the resale of the Subscribed Shares by the applicable stockholders or otherwise, such Registration Statement shall register for resale such number of Subscribed Shares which is equal to the maximum number of Subscribed Shares as is permitted by the SEC. In such event, the number of Subscribed Shares to be registered for each selling stockholder named in the Registration Statement shall be reduced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among all such selling stockholders. The Company agrees that the Company will cause such Registration Statement to remain effective until the earlier of (i) two years from the issuance of the Subscribed Shares, (ii) the date on which all of the Subscribed Shares shall have been sold, or (iii) on the first date on which the undersigned can sell all of its Subscribed Shares (or shares received in exchange therefor) under Rule 144 of the Securities Act without limitation as to the manner of sale or the amount of such securities that may be sold. For as long as the Registration Statement shall remain effective pursuant to the immediately preceding sentence, the Company will use its reasonable best efforts to file all reports, and will provide all customary and reasonable cooperation, necessary to enable the undersigned to resell the Subscribed Shares pursuant to the Registration Statement or Rule 144 of the Securities Act, as applicable, qualify the Subscribed Shares for listing on the applicable stock exchange, update or amend the Registration Statement as necessary to include the Subscribed Shares and provide customary notice to holders of Subscribed Shares. The undersigned agrees to disclose its beneficial ownership, as determined in accordance with Rule 13d-3 of the Securities Exchange Act of 1934 (as amended, the “</w:t>
      </w:r>
      <w:r>
        <w:rPr>
          <w:rFonts w:ascii="Arial" w:cs="Arial" w:eastAsia="Arial" w:hAnsi="Arial"/>
          <w:sz w:val="14"/>
          <w:szCs w:val="14"/>
          <w:u w:val="single" w:color="auto"/>
          <w:color w:val="auto"/>
        </w:rPr>
        <w:t>Exchange Act</w:t>
      </w:r>
      <w:r>
        <w:rPr>
          <w:rFonts w:ascii="Arial" w:cs="Arial" w:eastAsia="Arial" w:hAnsi="Arial"/>
          <w:sz w:val="14"/>
          <w:szCs w:val="14"/>
          <w:color w:val="auto"/>
        </w:rPr>
        <w:t>”), of Subscribed Shares to the Company (or its successor) upon request to assist the Company in making the determination described above. The Company’s obligations to include the Subscribed Shares in the Registration Statement are contingent upon the undersigned furnishing in writing to the Company such information regarding the undersigned, the securities of the Company held by the undersigned and the intended method of disposition of the Subscribed Shares as shall be reasonably requested by the Company to effect the registration of the Subscribed Shares, and shall execute such documents in connection with such registration as the Company may reasonably request that are customary of a selling stockholder in similar situations. Subscriber shall not be entitled to use the Registration Statement for an underwritten offering of Subscribed Shares. The Company may delay filing or suspend the use of any such registration statement if it determines that in order for the registration statement to not contain a material misstatement or omission, an amendment thereto would be needed, or if such filing or use could materially affect a bona fide business or financing transaction of the Company or would require premature disclosure of information that could materially adversely affect the Company (each such circumstance, a “</w:t>
      </w:r>
      <w:r>
        <w:rPr>
          <w:rFonts w:ascii="Arial" w:cs="Arial" w:eastAsia="Arial" w:hAnsi="Arial"/>
          <w:sz w:val="14"/>
          <w:szCs w:val="14"/>
          <w:u w:val="single" w:color="auto"/>
          <w:color w:val="auto"/>
        </w:rPr>
        <w:t>Suspension Event</w:t>
      </w:r>
      <w:r>
        <w:rPr>
          <w:rFonts w:ascii="Arial" w:cs="Arial" w:eastAsia="Arial" w:hAnsi="Arial"/>
          <w:sz w:val="14"/>
          <w:szCs w:val="14"/>
          <w:color w:val="auto"/>
        </w:rPr>
        <w:t>”); provided, that, (i) the Company shall not so delay filing or so suspend the use of the Registration Statement for a period of more than sixty (60) consecutive days or more than two (2) times in any three hundred sixty (360) day period and (ii) the Company shall use commercially reasonable efforts to make such registration statement available for the sale by the undersigned of such securities as soon as practicable thereafter. Upon receipt of any written notice from the Company (which notice shall not contain any material non-public information regarding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(i) it will immediately discontinue offers and sales of the Subscribed Shares under the Registration Statement (excluding, for the avoidance of doubt, sales conducted pursuant to Rule 144) until the undersigned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the undersigned will deliver to the Company or, in the undersigned’s sole discretion, destroy all copies of the prospectus covering the Subscribed Shares in the undersigned’s possession; provided, however, that this obligation to deliver or destroy all copies of the prospectus covering the Subscribed Shares shall not apply (i) to the extent the undersigned is required to retain a copy of such prospectus (a) in order to comply with applicable legal, regulatory, self-regulatory or professional requirements or (b) in accordance with a bona fide pre-existing document retention policy or</w:t>
      </w:r>
    </w:p>
    <w:p>
      <w:pPr>
        <w:spacing w:after="0" w:line="179" w:lineRule="exact"/>
        <w:rPr>
          <w:rFonts w:ascii="Arial" w:cs="Arial" w:eastAsia="Arial" w:hAnsi="Arial"/>
          <w:sz w:val="16"/>
          <w:szCs w:val="16"/>
          <w:color w:val="auto"/>
        </w:rPr>
      </w:pPr>
    </w:p>
    <w:p>
      <w:pPr>
        <w:ind w:left="244" w:hanging="244"/>
        <w:spacing w:after="0"/>
        <w:tabs>
          <w:tab w:leader="none" w:pos="24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to copies stored electronically on archival servers as a result of automatic data back-up.</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16" w:name="page217"/>
    <w:bookmarkEnd w:id="216"/>
    <w:p>
      <w:pPr>
        <w:jc w:val="both"/>
        <w:ind w:firstLine="1147"/>
        <w:spacing w:after="0" w:line="288" w:lineRule="auto"/>
        <w:rPr>
          <w:sz w:val="20"/>
          <w:szCs w:val="20"/>
          <w:color w:val="auto"/>
        </w:rPr>
      </w:pPr>
      <w:r>
        <w:rPr>
          <w:rFonts w:ascii="Arial" w:cs="Arial" w:eastAsia="Arial" w:hAnsi="Arial"/>
          <w:sz w:val="14"/>
          <w:szCs w:val="14"/>
          <w:color w:val="auto"/>
        </w:rPr>
        <w:t>b. The Company shall, notwithstanding any termination of this Subscription Agreement, indemnify, defend and hold harmless the undersigned (to the extent a seller under the Registration Statement), the officers, directors, agents, partners, members, managers, stockholders, affiliates, employees and investment advisers of the undersigned, each person who controls the undersigned (within the meaning of Section 15 of the Securities Act or Section 20 of the Exchange Act and the officers, directors, partners, members, managers, stockholders, agents, affiliates, employees and investment advisers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4"/>
          <w:szCs w:val="14"/>
          <w:u w:val="single" w:color="auto"/>
          <w:color w:val="auto"/>
        </w:rPr>
        <w:t>Losses</w:t>
      </w:r>
      <w:r>
        <w:rPr>
          <w:rFonts w:ascii="Arial" w:cs="Arial" w:eastAsia="Arial" w:hAnsi="Arial"/>
          <w:sz w:val="14"/>
          <w:szCs w:val="14"/>
          <w:color w:val="auto"/>
        </w:rPr>
        <w:t>”) that arise out of or are based upon (i) any untrue or alleged untrue statement of a material fact contained (or incorporated by reference)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the Exchange Act or any state securities law or any rule or regulation thereunder, in connection with the performance of its obligations under this Section 5, except to the extent, but only to the extent, that such untrue statements, alleged untrue statements, omissions or alleged omissions are based upon information regarding the undersigned furnished in writing to the Company by the undersigned expressly for use therein. The Company shall notify the undersigned promptly of the institution, threat or assertion of any proceeding arising from or in connection with the transactions contemplated by this Section 5 of which the Company is aware. Such indemnity shall remain in full force and effect regardless of any investigation made by or on behalf of an indemnified party and shall survive the transfer of the Subscribed Shares by the undersigned. Notwithstanding the forgoing, the Company’s indemnification obligations shall not apply to amounts paid in settlement of any Losses or action if such settlement is effected without the prior written consent of the Company (which consent shall not be unreasonably withheld or delayed), nor shall the Company be liable for any Losses to the extent they arise out of or are based upon a violation which occurs (A) in connection with any failure of such person to deliver or cause to be delivered a Prospectus made available by the Company in a timely manner or (B) in connection with any offers or sales effected by or on behalf of the undersigned in violation of this Agreement.</w:t>
      </w:r>
    </w:p>
    <w:p>
      <w:pPr>
        <w:spacing w:after="0" w:line="155"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c. The undersigned shall, severally and not jointly with any other subscriber in the Offering,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arising out of or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undersigned furnished in writing to the Company by the undersigned expressly for use therein. In no event shall the liability of the undersigned be greater in amount than the dollar amount of the net proceeds received by the undersigned upon the sale of the Subscribed Shares giving rise to such indemnification obligation. Notwithstanding the forgoing, the undersigned’s indemnification obligations shall not apply to amounts paid in settlement of any Losses or action if such settlement is effected without the prior written consent of the undersigned (which consent shall not be unreasonably withheld or delayed).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7" w:name="page218"/>
    <w:bookmarkEnd w:id="217"/>
    <w:p>
      <w:pPr>
        <w:jc w:val="both"/>
        <w:ind w:left="4" w:right="20" w:firstLine="569"/>
        <w:spacing w:after="0" w:line="271" w:lineRule="auto"/>
        <w:tabs>
          <w:tab w:leader="none" w:pos="737" w:val="left"/>
        </w:tabs>
        <w:numPr>
          <w:ilvl w:val="1"/>
          <w:numId w:val="234"/>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the Company and Subscriber to terminate this Subscription Agreement; (c) if, on the Closing Date of the Transaction, any of the conditions to Closing set forth in Section 2 of this Subscription Agreement have not been satisfied as of the time required hereunder to be so satisfied or waived (to the extent a valid waiver is capable of being issued) by the party entitled to grant such waiver and, as a result thereof, the transactions contemplated by this Subscription Agreement are not consummated; or (d) the “Termination Date” as defined in the Transaction Agreement (as such Termination Date may be amended or extended from time to time)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provided,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159" w:lineRule="exact"/>
        <w:rPr>
          <w:rFonts w:ascii="Arial" w:cs="Arial" w:eastAsia="Arial" w:hAnsi="Arial"/>
          <w:sz w:val="15"/>
          <w:szCs w:val="15"/>
          <w:color w:val="auto"/>
        </w:rPr>
      </w:pPr>
    </w:p>
    <w:p>
      <w:pPr>
        <w:jc w:val="both"/>
        <w:ind w:left="4" w:firstLine="569"/>
        <w:spacing w:after="0" w:line="286" w:lineRule="auto"/>
        <w:tabs>
          <w:tab w:leader="none" w:pos="737" w:val="left"/>
        </w:tabs>
        <w:numPr>
          <w:ilvl w:val="1"/>
          <w:numId w:val="234"/>
        </w:numPr>
        <w:rPr>
          <w:rFonts w:ascii="Arial" w:cs="Arial" w:eastAsia="Arial" w:hAnsi="Arial"/>
          <w:sz w:val="14"/>
          <w:szCs w:val="14"/>
          <w:color w:val="auto"/>
        </w:rPr>
      </w:pPr>
      <w:r>
        <w:rPr>
          <w:rFonts w:ascii="Arial" w:cs="Arial" w:eastAsia="Arial" w:hAnsi="Arial"/>
          <w:sz w:val="14"/>
          <w:szCs w:val="14"/>
          <w:u w:val="single" w:color="auto"/>
          <w:color w:val="auto"/>
        </w:rPr>
        <w:t>Trust Account Waiver</w:t>
      </w:r>
      <w:r>
        <w:rPr>
          <w:rFonts w:ascii="Arial" w:cs="Arial" w:eastAsia="Arial" w:hAnsi="Arial"/>
          <w:sz w:val="14"/>
          <w:szCs w:val="14"/>
          <w:color w:val="auto"/>
        </w:rPr>
        <w:t>. Subscriber hereby acknowledges that the Company has established a trust account (the “</w:t>
      </w:r>
      <w:r>
        <w:rPr>
          <w:rFonts w:ascii="Arial" w:cs="Arial" w:eastAsia="Arial" w:hAnsi="Arial"/>
          <w:sz w:val="14"/>
          <w:szCs w:val="14"/>
          <w:u w:val="single" w:color="auto"/>
          <w:color w:val="auto"/>
        </w:rPr>
        <w:t>Trust Account</w:t>
      </w:r>
      <w:r>
        <w:rPr>
          <w:rFonts w:ascii="Arial" w:cs="Arial" w:eastAsia="Arial" w:hAnsi="Arial"/>
          <w:sz w:val="14"/>
          <w:szCs w:val="14"/>
          <w:color w:val="auto"/>
        </w:rPr>
        <w:t>”) containing the proceeds of its initial public offering (the “</w:t>
      </w:r>
      <w:r>
        <w:rPr>
          <w:rFonts w:ascii="Arial" w:cs="Arial" w:eastAsia="Arial" w:hAnsi="Arial"/>
          <w:sz w:val="14"/>
          <w:szCs w:val="14"/>
          <w:u w:val="single" w:color="auto"/>
          <w:color w:val="auto"/>
        </w:rPr>
        <w:t>IPO</w:t>
      </w:r>
      <w:r>
        <w:rPr>
          <w:rFonts w:ascii="Arial" w:cs="Arial" w:eastAsia="Arial" w:hAnsi="Arial"/>
          <w:sz w:val="14"/>
          <w:szCs w:val="14"/>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4"/>
          <w:szCs w:val="14"/>
          <w:u w:val="single" w:color="auto"/>
          <w:color w:val="auto"/>
        </w:rPr>
        <w:t>Released</w:t>
      </w:r>
      <w:r>
        <w:rPr>
          <w:rFonts w:ascii="Arial" w:cs="Arial" w:eastAsia="Arial" w:hAnsi="Arial"/>
          <w:sz w:val="14"/>
          <w:szCs w:val="14"/>
          <w:color w:val="auto"/>
        </w:rPr>
        <w:t xml:space="preserve"> </w:t>
      </w:r>
      <w:r>
        <w:rPr>
          <w:rFonts w:ascii="Arial" w:cs="Arial" w:eastAsia="Arial" w:hAnsi="Arial"/>
          <w:sz w:val="14"/>
          <w:szCs w:val="14"/>
          <w:u w:val="single" w:color="auto"/>
          <w:color w:val="auto"/>
        </w:rPr>
        <w:t>Claims</w:t>
      </w:r>
      <w:r>
        <w:rPr>
          <w:rFonts w:ascii="Arial" w:cs="Arial" w:eastAsia="Arial" w:hAnsi="Arial"/>
          <w:sz w:val="14"/>
          <w:szCs w:val="14"/>
          <w:color w:val="auto"/>
        </w:rPr>
        <w:t>”);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provided however, that nothing in this Section 7 shall be deemed to limit (x) any Subscriber’s right to distributions from the Trust Account in accordance with the Company’s amended and restated certificate of incorporation in respect of any redemptions by Subscriber of its shares of public Common Stock of the Company acquired by any means other than pursuant to this Subscription Agreement or</w:t>
      </w:r>
    </w:p>
    <w:p>
      <w:pPr>
        <w:spacing w:after="0" w:line="5" w:lineRule="exact"/>
        <w:rPr>
          <w:rFonts w:ascii="Arial" w:cs="Arial" w:eastAsia="Arial" w:hAnsi="Arial"/>
          <w:sz w:val="14"/>
          <w:szCs w:val="14"/>
          <w:color w:val="auto"/>
        </w:rPr>
      </w:pPr>
    </w:p>
    <w:p>
      <w:pPr>
        <w:jc w:val="both"/>
        <w:ind w:left="4" w:hanging="4"/>
        <w:spacing w:after="0" w:line="254" w:lineRule="auto"/>
        <w:tabs>
          <w:tab w:leader="none" w:pos="233"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any Subscriber’s recourse against assets held outside of the Trust Account or held by the post-Closing combined entity. Subscriber acknowledges and agrees that it shall not have any redemption rights with respect to the Subscribed Shares pursuant to the Company’s organizational documents in connection with the Transaction or any other business combination, any subsequent liquidation of the Trust Account, the Company or otherwise.</w:t>
      </w: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18" w:name="page219"/>
    <w:bookmarkEnd w:id="218"/>
    <w:p>
      <w:pPr>
        <w:ind w:left="720" w:hanging="151"/>
        <w:spacing w:after="0"/>
        <w:tabs>
          <w:tab w:leader="none" w:pos="720"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right="20" w:firstLine="1143"/>
        <w:spacing w:after="0" w:line="274" w:lineRule="auto"/>
        <w:tabs>
          <w:tab w:leader="none" w:pos="1345" w:val="left"/>
        </w:tabs>
        <w:numPr>
          <w:ilvl w:val="1"/>
          <w:numId w:val="236"/>
        </w:numPr>
        <w:rPr>
          <w:rFonts w:ascii="Arial" w:cs="Arial" w:eastAsia="Arial" w:hAnsi="Arial"/>
          <w:sz w:val="15"/>
          <w:szCs w:val="15"/>
          <w:color w:val="auto"/>
        </w:rPr>
      </w:pPr>
      <w:r>
        <w:rPr>
          <w:rFonts w:ascii="Arial" w:cs="Arial" w:eastAsia="Arial" w:hAnsi="Arial"/>
          <w:sz w:val="15"/>
          <w:szCs w:val="15"/>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provided, that such notice, request, demand, claim or other communication is also sent to the recipient pursuant to clauses (i), (iii) or (iv) of this </w:t>
      </w:r>
      <w:r>
        <w:rPr>
          <w:rFonts w:ascii="Arial" w:cs="Arial" w:eastAsia="Arial" w:hAnsi="Arial"/>
          <w:sz w:val="15"/>
          <w:szCs w:val="15"/>
          <w:u w:val="single" w:color="auto"/>
          <w:color w:val="auto"/>
        </w:rPr>
        <w:t>Section 8(a)</w:t>
      </w:r>
      <w:r>
        <w:rPr>
          <w:rFonts w:ascii="Arial" w:cs="Arial" w:eastAsia="Arial" w:hAnsi="Arial"/>
          <w:sz w:val="15"/>
          <w:szCs w:val="15"/>
          <w:color w:val="auto"/>
        </w:rPr>
        <w:t xml:space="preserve">;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Arial" w:cs="Arial" w:eastAsia="Arial" w:hAnsi="Arial"/>
          <w:sz w:val="15"/>
          <w:szCs w:val="15"/>
          <w:u w:val="single" w:color="auto"/>
          <w:color w:val="auto"/>
        </w:rPr>
        <w:t>Section 8(a)</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jc w:val="both"/>
        <w:ind w:firstLine="1143"/>
        <w:spacing w:after="0" w:line="274" w:lineRule="auto"/>
        <w:tabs>
          <w:tab w:leader="none" w:pos="1329" w:val="left"/>
        </w:tabs>
        <w:numPr>
          <w:ilvl w:val="1"/>
          <w:numId w:val="236"/>
        </w:numPr>
        <w:rPr>
          <w:rFonts w:ascii="Arial" w:cs="Arial" w:eastAsia="Arial" w:hAnsi="Arial"/>
          <w:sz w:val="15"/>
          <w:szCs w:val="15"/>
          <w:color w:val="auto"/>
        </w:rPr>
      </w:pPr>
      <w:r>
        <w:rPr>
          <w:rFonts w:ascii="Arial" w:cs="Arial" w:eastAsia="Arial" w:hAnsi="Arial"/>
          <w:sz w:val="15"/>
          <w:szCs w:val="15"/>
          <w:color w:val="auto"/>
        </w:rPr>
        <w:t>Subscriber acknowledges that the Company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156" w:lineRule="exact"/>
        <w:rPr>
          <w:rFonts w:ascii="Arial" w:cs="Arial" w:eastAsia="Arial" w:hAnsi="Arial"/>
          <w:sz w:val="15"/>
          <w:szCs w:val="15"/>
          <w:color w:val="auto"/>
        </w:rPr>
      </w:pPr>
    </w:p>
    <w:p>
      <w:pPr>
        <w:ind w:right="20" w:firstLine="1143"/>
        <w:spacing w:after="0" w:line="275" w:lineRule="auto"/>
        <w:tabs>
          <w:tab w:leader="none" w:pos="1314" w:val="left"/>
        </w:tabs>
        <w:numPr>
          <w:ilvl w:val="1"/>
          <w:numId w:val="236"/>
        </w:numPr>
        <w:rPr>
          <w:rFonts w:ascii="Arial" w:cs="Arial" w:eastAsia="Arial" w:hAnsi="Arial"/>
          <w:sz w:val="16"/>
          <w:szCs w:val="16"/>
          <w:color w:val="auto"/>
        </w:rPr>
      </w:pPr>
      <w:r>
        <w:rPr>
          <w:rFonts w:ascii="Arial" w:cs="Arial" w:eastAsia="Arial" w:hAnsi="Arial"/>
          <w:sz w:val="16"/>
          <w:szCs w:val="16"/>
          <w:color w:val="auto"/>
        </w:rPr>
        <w:t>Each of the Company and Subscriber is irrevocably authorized to produce this Subscription Agreement or a copy hereof to any interested party in any administrative or legal proceeding or official inquiry with respect to the matters covered hereby.</w:t>
      </w:r>
    </w:p>
    <w:p>
      <w:pPr>
        <w:spacing w:after="0" w:line="151" w:lineRule="exact"/>
        <w:rPr>
          <w:rFonts w:ascii="Arial" w:cs="Arial" w:eastAsia="Arial" w:hAnsi="Arial"/>
          <w:sz w:val="16"/>
          <w:szCs w:val="16"/>
          <w:color w:val="auto"/>
        </w:rPr>
      </w:pPr>
    </w:p>
    <w:p>
      <w:pPr>
        <w:ind w:left="1300" w:hanging="157"/>
        <w:spacing w:after="0"/>
        <w:tabs>
          <w:tab w:leader="none" w:pos="130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Subscriber shall pay all of its own expenses in connection with this Subscription Agreement and the transactions contemplated herein.</w:t>
      </w:r>
    </w:p>
    <w:p>
      <w:pPr>
        <w:spacing w:after="0" w:line="198" w:lineRule="exact"/>
        <w:rPr>
          <w:rFonts w:ascii="Arial" w:cs="Arial" w:eastAsia="Arial" w:hAnsi="Arial"/>
          <w:sz w:val="16"/>
          <w:szCs w:val="16"/>
          <w:color w:val="auto"/>
        </w:rPr>
      </w:pPr>
    </w:p>
    <w:p>
      <w:pPr>
        <w:jc w:val="both"/>
        <w:ind w:right="20" w:firstLine="1143"/>
        <w:spacing w:after="0" w:line="295" w:lineRule="auto"/>
        <w:tabs>
          <w:tab w:leader="none" w:pos="1304" w:val="left"/>
        </w:tabs>
        <w:numPr>
          <w:ilvl w:val="1"/>
          <w:numId w:val="236"/>
        </w:numPr>
        <w:rPr>
          <w:rFonts w:ascii="Arial" w:cs="Arial" w:eastAsia="Arial" w:hAnsi="Arial"/>
          <w:sz w:val="14"/>
          <w:szCs w:val="14"/>
          <w:color w:val="auto"/>
        </w:rPr>
      </w:pPr>
      <w:r>
        <w:rPr>
          <w:rFonts w:ascii="Arial" w:cs="Arial" w:eastAsia="Arial" w:hAnsi="Arial"/>
          <w:sz w:val="14"/>
          <w:szCs w:val="14"/>
          <w:color w:val="auto"/>
        </w:rPr>
        <w:t>Neither this Subscription Agreement nor any rights that may accrue to Subscriber hereunder (other than the Subscribed Shares acquired hereunder, if any) may be transferred or assigned. Neither this Subscription Agreement nor any rights that may accrue to the Company hereunder may be transferred or assigned (provided, that, for the avoidance of doubt, the Company may transfer the Subscription Agreement and its rights hereunder solely in connection with the consummation of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provided that no such assignment shall relieve Subscriber of its obligations hereunder if any such assignee fails to perform such obligations, unless the Company has given its prior written consent to such relief.</w:t>
      </w:r>
    </w:p>
    <w:p>
      <w:pPr>
        <w:spacing w:after="0" w:line="144" w:lineRule="exact"/>
        <w:rPr>
          <w:rFonts w:ascii="Arial" w:cs="Arial" w:eastAsia="Arial" w:hAnsi="Arial"/>
          <w:sz w:val="14"/>
          <w:szCs w:val="14"/>
          <w:color w:val="auto"/>
        </w:rPr>
      </w:pPr>
    </w:p>
    <w:p>
      <w:pPr>
        <w:ind w:left="1280" w:hanging="137"/>
        <w:spacing w:after="0"/>
        <w:tabs>
          <w:tab w:leader="none" w:pos="128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All the agreements, representations and warranties made by each party hereto in this Subscription Agreement shall survive the Closing.</w:t>
      </w:r>
    </w:p>
    <w:p>
      <w:pPr>
        <w:spacing w:after="0" w:line="198" w:lineRule="exact"/>
        <w:rPr>
          <w:rFonts w:ascii="Arial" w:cs="Arial" w:eastAsia="Arial" w:hAnsi="Arial"/>
          <w:sz w:val="16"/>
          <w:szCs w:val="16"/>
          <w:color w:val="auto"/>
        </w:rPr>
      </w:pPr>
    </w:p>
    <w:p>
      <w:pPr>
        <w:jc w:val="both"/>
        <w:ind w:firstLine="1143"/>
        <w:spacing w:after="0" w:line="262" w:lineRule="auto"/>
        <w:tabs>
          <w:tab w:leader="none" w:pos="1317" w:val="left"/>
        </w:tabs>
        <w:numPr>
          <w:ilvl w:val="1"/>
          <w:numId w:val="236"/>
        </w:numPr>
        <w:rPr>
          <w:rFonts w:ascii="Arial" w:cs="Arial" w:eastAsia="Arial" w:hAnsi="Arial"/>
          <w:sz w:val="16"/>
          <w:szCs w:val="16"/>
          <w:color w:val="auto"/>
        </w:rPr>
      </w:pPr>
      <w:r>
        <w:rPr>
          <w:rFonts w:ascii="Arial" w:cs="Arial" w:eastAsia="Arial" w:hAnsi="Arial"/>
          <w:sz w:val="16"/>
          <w:szCs w:val="16"/>
          <w:color w:val="auto"/>
        </w:rPr>
        <w:t>The Company may request from Subscriber such additional information as the Company may deem necessary to evaluate the eligibility of Subscriber to acquire the Subscribed Shares, and Subscriber shall provide such information as may be reasonably requested, to the extent readily available and to the extent consistent with its internal policies and procedures.</w:t>
      </w:r>
    </w:p>
    <w:p>
      <w:pPr>
        <w:spacing w:after="0" w:line="162" w:lineRule="exact"/>
        <w:rPr>
          <w:rFonts w:ascii="Arial" w:cs="Arial" w:eastAsia="Arial" w:hAnsi="Arial"/>
          <w:sz w:val="16"/>
          <w:szCs w:val="16"/>
          <w:color w:val="auto"/>
        </w:rPr>
      </w:pPr>
    </w:p>
    <w:p>
      <w:pPr>
        <w:jc w:val="both"/>
        <w:ind w:firstLine="1143"/>
        <w:spacing w:after="0" w:line="290" w:lineRule="auto"/>
        <w:tabs>
          <w:tab w:leader="none" w:pos="1314" w:val="left"/>
        </w:tabs>
        <w:numPr>
          <w:ilvl w:val="1"/>
          <w:numId w:val="236"/>
        </w:numPr>
        <w:rPr>
          <w:rFonts w:ascii="Arial" w:cs="Arial" w:eastAsia="Arial" w:hAnsi="Arial"/>
          <w:sz w:val="14"/>
          <w:szCs w:val="14"/>
          <w:color w:val="auto"/>
        </w:rPr>
      </w:pPr>
      <w:r>
        <w:rPr>
          <w:rFonts w:ascii="Arial" w:cs="Arial" w:eastAsia="Arial" w:hAnsi="Arial"/>
          <w:sz w:val="14"/>
          <w:szCs w:val="14"/>
          <w:color w:val="auto"/>
        </w:rPr>
        <w:t>This Subscription Agreement may not be amended, modified, waived or terminated except by an instrument in writing, signed by the party against whom enforcement of such modification, waiver, or termination is sought; provided, that, this Subscription Agreement may be amended, modified, waived or terminated with the written consent of the Company and Subscribers then holding a majority of the Aggregate Subscribed Securities then committed to be purchased at the Closing by (or, if after the Closing, then held by) all Subscribers (the “</w:t>
      </w:r>
      <w:r>
        <w:rPr>
          <w:rFonts w:ascii="Arial" w:cs="Arial" w:eastAsia="Arial" w:hAnsi="Arial"/>
          <w:sz w:val="14"/>
          <w:szCs w:val="14"/>
          <w:u w:val="single" w:color="auto"/>
          <w:color w:val="auto"/>
        </w:rPr>
        <w:t>Required Subscribers</w:t>
      </w:r>
      <w:r>
        <w:rPr>
          <w:rFonts w:ascii="Arial" w:cs="Arial" w:eastAsia="Arial" w:hAnsi="Arial"/>
          <w:sz w:val="14"/>
          <w:szCs w:val="14"/>
          <w:color w:val="auto"/>
        </w:rPr>
        <w:t xml:space="preserve">”). Upon the effectuation of such waiver, modification, amendment or termination with the consent of the Required Subscribers in conformance with this Section 8(h), such amendment, modification, waiver or termination shall be binding on all Subscribers and effective as to all of the Subscription Agreements. The Company shall promptly give written notice thereof to Subscriber if Subscriber has not previously consented to such amendment, modification, waiver or termination in writing; provided that the failure to give such notice shall not affect the validity of such amendment, modification, waiver or termination. Notwithstanding anything to the contrary herein, (i) no amendment, modification or waiver shall be effective against any Subscriber unless such amendment, modification or waiver applies to all Subscribers equally; (ii) any amendment, modification or waiver that has a disproportionate effect on a Subscriber (considered apart from any disproportionate effect owing to the number of Subscribed Shares held by such Subscriber), shall require the consent of such Subscriber; (iii) any amendment to </w:t>
      </w:r>
      <w:r>
        <w:rPr>
          <w:rFonts w:ascii="Arial" w:cs="Arial" w:eastAsia="Arial" w:hAnsi="Arial"/>
          <w:sz w:val="14"/>
          <w:szCs w:val="14"/>
          <w:u w:val="single" w:color="auto"/>
          <w:color w:val="auto"/>
        </w:rPr>
        <w:t>Section 3(j)</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(to amend the definition of Termination Date) or this </w:t>
      </w:r>
      <w:r>
        <w:rPr>
          <w:rFonts w:ascii="Arial" w:cs="Arial" w:eastAsia="Arial" w:hAnsi="Arial"/>
          <w:sz w:val="14"/>
          <w:szCs w:val="14"/>
          <w:u w:val="single" w:color="auto"/>
          <w:color w:val="auto"/>
        </w:rPr>
        <w:t>Section 8(h)</w:t>
      </w:r>
      <w:r>
        <w:rPr>
          <w:rFonts w:ascii="Arial" w:cs="Arial" w:eastAsia="Arial" w:hAnsi="Arial"/>
          <w:sz w:val="14"/>
          <w:szCs w:val="14"/>
          <w:color w:val="auto"/>
        </w:rPr>
        <w:t xml:space="preserve"> of this Subscription Agreement; and (iv) any amendment, modification or other change that alters the Per Share Price, the Purchase Price, or the number of Subscribed Shares shall require the consent of the undersigned Subscriber.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9" w:name="page220"/>
    <w:bookmarkEnd w:id="219"/>
    <w:p>
      <w:pPr>
        <w:jc w:val="both"/>
        <w:ind w:firstLine="1147"/>
        <w:spacing w:after="0" w:line="275" w:lineRule="auto"/>
        <w:rPr>
          <w:sz w:val="20"/>
          <w:szCs w:val="20"/>
          <w:color w:val="auto"/>
        </w:rPr>
      </w:pPr>
      <w:r>
        <w:rPr>
          <w:rFonts w:ascii="Arial" w:cs="Arial" w:eastAsia="Arial" w:hAnsi="Arial"/>
          <w:sz w:val="16"/>
          <w:szCs w:val="16"/>
          <w:color w:val="auto"/>
        </w:rPr>
        <w:t>i. This Subscription Agreement constitutes the entire agreement, and supersedes all other prior agreements, understandings, representations and warranties, both written and oral, among the parties, with respect to the subject matter hereof.</w:t>
      </w:r>
    </w:p>
    <w:p>
      <w:pPr>
        <w:spacing w:after="0" w:line="152"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j.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46"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52"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l. 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2"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 xml:space="preserve">m. This Subscription Agreement is intended for the benefit of the parties hereto and their respective successors and permitted assigns and is not for the benefit of, nor may any provision hereof be enforced by,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Placement Agent shall be an intended third-party beneficiary of the representations and warranties of the Company in Section 3 hereof and of Subscribers in Section 4 hereof.</w:t>
      </w:r>
    </w:p>
    <w:p>
      <w:pPr>
        <w:spacing w:after="0" w:line="162" w:lineRule="exact"/>
        <w:rPr>
          <w:sz w:val="20"/>
          <w:szCs w:val="20"/>
          <w:color w:val="auto"/>
        </w:rPr>
      </w:pPr>
    </w:p>
    <w:p>
      <w:pPr>
        <w:jc w:val="both"/>
        <w:ind w:right="20" w:firstLine="1147"/>
        <w:spacing w:after="0" w:line="258" w:lineRule="auto"/>
        <w:rPr>
          <w:sz w:val="20"/>
          <w:szCs w:val="20"/>
          <w:color w:val="auto"/>
        </w:rPr>
      </w:pPr>
      <w:r>
        <w:rPr>
          <w:rFonts w:ascii="Arial" w:cs="Arial" w:eastAsia="Arial" w:hAnsi="Arial"/>
          <w:sz w:val="16"/>
          <w:szCs w:val="16"/>
          <w:color w:val="auto"/>
        </w:rPr>
        <w:t>n.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65"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o. This Subscription Agreement shall be governed by, and construed in accordance with, the laws of the State of Delaware, without regard to the principles of conflicts of laws that would otherwise require the application of the law of any other state.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0" w:name="page221"/>
    <w:bookmarkEnd w:id="220"/>
    <w:p>
      <w:pPr>
        <w:jc w:val="both"/>
        <w:ind w:right="20" w:firstLine="1147"/>
        <w:spacing w:after="0" w:line="253" w:lineRule="auto"/>
        <w:rPr>
          <w:sz w:val="20"/>
          <w:szCs w:val="20"/>
          <w:color w:val="auto"/>
        </w:rPr>
      </w:pPr>
      <w:r>
        <w:rPr>
          <w:rFonts w:ascii="Arial" w:cs="Arial" w:eastAsia="Arial" w:hAnsi="Arial"/>
          <w:sz w:val="16"/>
          <w:szCs w:val="16"/>
          <w:color w:val="auto"/>
        </w:rPr>
        <w:t xml:space="preserve">p. </w:t>
      </w:r>
      <w:r>
        <w:rPr>
          <w:rFonts w:ascii="Arial" w:cs="Arial" w:eastAsia="Arial" w:hAnsi="Arial"/>
          <w:sz w:val="16"/>
          <w:szCs w:val="16"/>
          <w:b w:val="1"/>
          <w:bCs w:val="1"/>
          <w:color w:val="auto"/>
        </w:rPr>
        <w:t>EACH PARTY HEREBY WAIVES ITS RESPECTIVE RIGHTS TO A TRIAL BY JURY OF ANY CLAIM OR CAUSE OF ACTION BASED</w:t>
      </w:r>
      <w:r>
        <w:rPr>
          <w:rFonts w:ascii="Arial" w:cs="Arial" w:eastAsia="Arial" w:hAnsi="Arial"/>
          <w:sz w:val="16"/>
          <w:szCs w:val="16"/>
          <w:color w:val="auto"/>
        </w:rPr>
        <w:t xml:space="preserve"> </w:t>
      </w:r>
      <w:r>
        <w:rPr>
          <w:rFonts w:ascii="Arial" w:cs="Arial" w:eastAsia="Arial" w:hAnsi="Arial"/>
          <w:sz w:val="16"/>
          <w:szCs w:val="16"/>
          <w:b w:val="1"/>
          <w:bCs w:val="1"/>
          <w:color w:val="auto"/>
        </w:rPr>
        <w:t>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70" w:lineRule="exact"/>
        <w:rPr>
          <w:sz w:val="20"/>
          <w:szCs w:val="20"/>
          <w:color w:val="auto"/>
        </w:rPr>
      </w:pPr>
    </w:p>
    <w:p>
      <w:pPr>
        <w:jc w:val="both"/>
        <w:ind w:right="20" w:firstLine="1147"/>
        <w:spacing w:after="0" w:line="270" w:lineRule="auto"/>
        <w:rPr>
          <w:sz w:val="20"/>
          <w:szCs w:val="20"/>
          <w:color w:val="auto"/>
        </w:rPr>
      </w:pPr>
      <w:r>
        <w:rPr>
          <w:rFonts w:ascii="Arial" w:cs="Arial" w:eastAsia="Arial" w:hAnsi="Arial"/>
          <w:sz w:val="15"/>
          <w:szCs w:val="15"/>
          <w:color w:val="auto"/>
        </w:rPr>
        <w:t>q. 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Arial" w:cs="Arial" w:eastAsia="Arial" w:hAnsi="Arial"/>
          <w:sz w:val="15"/>
          <w:szCs w:val="15"/>
          <w:u w:val="single" w:color="auto"/>
          <w:color w:val="auto"/>
        </w:rPr>
        <w:t>Designated Courts</w:t>
      </w:r>
      <w:r>
        <w:rPr>
          <w:rFonts w:ascii="Arial" w:cs="Arial" w:eastAsia="Arial" w:hAnsi="Arial"/>
          <w:sz w:val="15"/>
          <w:szCs w:val="15"/>
          <w:color w:val="auto"/>
        </w:rPr>
        <w:t>”).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Section 8(a) of this Subscription Agreement shall be effective service of process for any action, suit or proceeding in a Designated Court with respect to any matters to which the parties have submitted to jurisdiction as set forth above.</w:t>
      </w:r>
    </w:p>
    <w:p>
      <w:pPr>
        <w:spacing w:after="0" w:line="163" w:lineRule="exact"/>
        <w:rPr>
          <w:sz w:val="20"/>
          <w:szCs w:val="20"/>
          <w:color w:val="auto"/>
        </w:rPr>
      </w:pPr>
    </w:p>
    <w:p>
      <w:pPr>
        <w:jc w:val="both"/>
        <w:ind w:firstLine="1147"/>
        <w:spacing w:after="0" w:line="274" w:lineRule="auto"/>
        <w:rPr>
          <w:sz w:val="20"/>
          <w:szCs w:val="20"/>
          <w:color w:val="auto"/>
        </w:rPr>
      </w:pPr>
      <w:r>
        <w:rPr>
          <w:rFonts w:ascii="Arial" w:cs="Arial" w:eastAsia="Arial" w:hAnsi="Arial"/>
          <w:sz w:val="15"/>
          <w:szCs w:val="15"/>
          <w:color w:val="auto"/>
        </w:rPr>
        <w:t>r.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1" w:name="page222"/>
    <w:bookmarkEnd w:id="221"/>
    <w:p>
      <w:pPr>
        <w:jc w:val="both"/>
        <w:ind w:firstLine="1147"/>
        <w:spacing w:after="0" w:line="270" w:lineRule="auto"/>
        <w:rPr>
          <w:sz w:val="20"/>
          <w:szCs w:val="20"/>
          <w:color w:val="auto"/>
        </w:rPr>
      </w:pPr>
      <w:r>
        <w:rPr>
          <w:rFonts w:ascii="Arial" w:cs="Arial" w:eastAsia="Arial" w:hAnsi="Arial"/>
          <w:sz w:val="15"/>
          <w:szCs w:val="15"/>
          <w:color w:val="auto"/>
        </w:rPr>
        <w:t>s. The Company shall, by 9:00 a.m., New York City time, on the first (1st) business day immediately following the date of this Subscription Agreement, issue one or more press releases or file with the Commission a Current Report on Form 8-K (collectively, the “</w:t>
      </w:r>
      <w:r>
        <w:rPr>
          <w:rFonts w:ascii="Arial" w:cs="Arial" w:eastAsia="Arial" w:hAnsi="Arial"/>
          <w:sz w:val="15"/>
          <w:szCs w:val="15"/>
          <w:u w:val="single" w:color="auto"/>
          <w:color w:val="auto"/>
        </w:rPr>
        <w:t>Disclosure Document</w:t>
      </w:r>
      <w:r>
        <w:rPr>
          <w:rFonts w:ascii="Arial" w:cs="Arial" w:eastAsia="Arial" w:hAnsi="Arial"/>
          <w:sz w:val="15"/>
          <w:szCs w:val="15"/>
          <w:color w:val="auto"/>
        </w:rPr>
        <w:t>”) disclosing, to the extent not previously publicly disclosed, all material terms of the transactions contemplated hereby (and by the Other Subscription Agreements entered into as of the date hereof), the Transaction and any other material, nonpublic information that the Company has provided to Subscriber at any time prior to the filing of the Disclosure Document. From and after the issuance of the Disclosure Document, Subscriber shall not be in possession of any material, non-public information received from the Company or any of its officers, directors or employees or the Placement Agent. Notwithstanding the foregoing, the Company shall not publicly disclose the name of Subscriber or any affiliate or investment adviser of Subscriber, or include the name of Subscriber or any affiliate or investment adviser of Subscriber in any press release or in any filing with the Commission or any regulatory agency or trading market, without the prior written consent (including by e-mail) of Subscriber, except as required by the federal securities laws, rules or regulations and to the extent such disclosure is required by other laws, rules or regulations, at the request of the staff of the Commission or regulatory agency or under Nasdaq Stock Market regulations, in which case the Company shall provide Subscriber with prior written notice (including by e-mail) of such permitted disclosure, and shall reasonably consult with Subscriber regarding such disclosure.</w:t>
      </w:r>
    </w:p>
    <w:p>
      <w:pPr>
        <w:spacing w:after="0" w:line="160" w:lineRule="exact"/>
        <w:rPr>
          <w:sz w:val="20"/>
          <w:szCs w:val="20"/>
          <w:color w:val="auto"/>
        </w:rPr>
      </w:pPr>
    </w:p>
    <w:p>
      <w:pPr>
        <w:jc w:val="both"/>
        <w:ind w:firstLine="1147"/>
        <w:spacing w:after="0" w:line="289" w:lineRule="auto"/>
        <w:rPr>
          <w:sz w:val="20"/>
          <w:szCs w:val="20"/>
          <w:color w:val="auto"/>
        </w:rPr>
      </w:pPr>
      <w:r>
        <w:rPr>
          <w:rFonts w:ascii="Arial" w:cs="Arial" w:eastAsia="Arial" w:hAnsi="Arial"/>
          <w:sz w:val="14"/>
          <w:szCs w:val="14"/>
          <w:color w:val="auto"/>
        </w:rPr>
        <w:t>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u. Following the Closing Date, Company shall hold regular quarterly conference calls to discuss the company’s financial results during the previous quarter.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 follow.]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2" w:name="page223"/>
    <w:bookmarkEnd w:id="222"/>
    <w:p>
      <w:pPr>
        <w:ind w:firstLine="574"/>
        <w:spacing w:after="0" w:line="280"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Company and Subscriber has executed or caused this Subscription Agreement to be executed by its duly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as of the date first set forth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VENTOUX CCM ACQUISITION CORP.</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Chairman and Chief Executive Officer</w:t>
      </w:r>
    </w:p>
    <w:p>
      <w:pPr>
        <w:spacing w:after="0" w:line="21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Address for Notices:</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1 East Putnam Avenue, Floor 4</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Greenwich, CT</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SUBSCRIBER:</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Print Name: _____________________________</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Address for Notices:</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______________________________________</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______________________________________</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Name in which shares are to be registered:</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______________________________________</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Number of Subscribed Shares subscribed for: 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Price Per Subscribed Share: $10.00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Aggregate Purchase Price: $_________</w:t>
      </w:r>
    </w:p>
    <w:p>
      <w:pPr>
        <w:spacing w:after="0" w:line="198"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You must pay the Purchase Price by wire transfer of United States dollars in immediately available funds to the account of the Company specified by the Company in the Closing Notice.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Ventoux CCM Acquisition Corp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148195"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23" w:name="page224"/>
    <w:bookmarkEnd w:id="223"/>
    <w:p>
      <w:pPr>
        <w:jc w:val="center"/>
        <w:ind w:right="-3"/>
        <w:spacing w:after="0"/>
        <w:rPr>
          <w:sz w:val="20"/>
          <w:szCs w:val="20"/>
          <w:color w:val="auto"/>
        </w:rPr>
      </w:pPr>
      <w:r>
        <w:rPr>
          <w:rFonts w:ascii="Arial" w:cs="Arial" w:eastAsia="Arial" w:hAnsi="Arial"/>
          <w:sz w:val="16"/>
          <w:szCs w:val="16"/>
          <w:b w:val="1"/>
          <w:bCs w:val="1"/>
          <w:color w:val="auto"/>
        </w:rPr>
        <w:t>ANNEX A</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ELIGIBILITY REPRESENTATIONS OF SUBSCRIBER</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Annex A should be completed and signed by Subscriber</w:t>
      </w:r>
    </w:p>
    <w:p>
      <w:pPr>
        <w:spacing w:after="0" w:line="2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and constitutes a part of the Subscription Agreement.</w:t>
      </w:r>
    </w:p>
    <w:p>
      <w:pPr>
        <w:spacing w:after="0" w:line="186" w:lineRule="exact"/>
        <w:rPr>
          <w:sz w:val="20"/>
          <w:szCs w:val="20"/>
          <w:color w:val="auto"/>
        </w:rPr>
      </w:pPr>
    </w:p>
    <w:p>
      <w:pPr>
        <w:ind w:left="284" w:hanging="284"/>
        <w:spacing w:after="0"/>
        <w:tabs>
          <w:tab w:leader="none" w:pos="28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QUALIFIED INSTITUTIONAL BUYER STATUS (Please check the box, if applicable)</w:t>
      </w:r>
    </w:p>
    <w:p>
      <w:pPr>
        <w:spacing w:after="0" w:line="198" w:lineRule="exact"/>
        <w:rPr>
          <w:rFonts w:ascii="Arial" w:cs="Arial" w:eastAsia="Arial" w:hAnsi="Arial"/>
          <w:sz w:val="16"/>
          <w:szCs w:val="16"/>
          <w:color w:val="auto"/>
        </w:rPr>
      </w:pPr>
    </w:p>
    <w:p>
      <w:pPr>
        <w:ind w:left="1144" w:hanging="571"/>
        <w:spacing w:after="0"/>
        <w:tabs>
          <w:tab w:leader="none" w:pos="1144" w:val="left"/>
        </w:tabs>
        <w:numPr>
          <w:ilvl w:val="1"/>
          <w:numId w:val="237"/>
        </w:numPr>
        <w:rPr>
          <w:rFonts w:ascii="MS PGothic" w:cs="MS PGothic" w:eastAsia="MS PGothic" w:hAnsi="MS PGothic"/>
          <w:sz w:val="16"/>
          <w:szCs w:val="16"/>
          <w:color w:val="auto"/>
        </w:rPr>
      </w:pPr>
      <w:r>
        <w:rPr>
          <w:rFonts w:ascii="Arial" w:cs="Arial" w:eastAsia="Arial" w:hAnsi="Arial"/>
          <w:sz w:val="16"/>
          <w:szCs w:val="16"/>
          <w:color w:val="auto"/>
        </w:rPr>
        <w:t>Subscriber is a “qualified institutional buyer” (as defined in Rule 144A under the Securities Act).</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ACCREDITED INVESTOR STATUS (Please check the box)</w:t>
      </w:r>
    </w:p>
    <w:p>
      <w:pPr>
        <w:spacing w:after="0" w:line="198" w:lineRule="exact"/>
        <w:rPr>
          <w:rFonts w:ascii="Arial" w:cs="Arial" w:eastAsia="Arial" w:hAnsi="Arial"/>
          <w:sz w:val="16"/>
          <w:szCs w:val="16"/>
          <w:color w:val="auto"/>
        </w:rPr>
      </w:pPr>
    </w:p>
    <w:p>
      <w:pPr>
        <w:ind w:left="1144" w:right="20" w:hanging="571"/>
        <w:spacing w:after="0" w:line="275" w:lineRule="auto"/>
        <w:tabs>
          <w:tab w:leader="none" w:pos="1144" w:val="left"/>
        </w:tabs>
        <w:numPr>
          <w:ilvl w:val="1"/>
          <w:numId w:val="237"/>
        </w:numPr>
        <w:rPr>
          <w:rFonts w:ascii="MS PGothic" w:cs="MS PGothic" w:eastAsia="MS PGothic" w:hAnsi="MS PGothic"/>
          <w:sz w:val="16"/>
          <w:szCs w:val="16"/>
          <w:color w:val="auto"/>
        </w:rPr>
      </w:pPr>
      <w:r>
        <w:rPr>
          <w:rFonts w:ascii="Arial" w:cs="Arial" w:eastAsia="Arial" w:hAnsi="Arial"/>
          <w:sz w:val="16"/>
          <w:szCs w:val="16"/>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51" w:lineRule="exact"/>
        <w:rPr>
          <w:rFonts w:ascii="MS PGothic" w:cs="MS PGothic" w:eastAsia="MS PGothic" w:hAnsi="MS PGothic"/>
          <w:sz w:val="16"/>
          <w:szCs w:val="16"/>
          <w:color w:val="auto"/>
        </w:rPr>
      </w:pPr>
    </w:p>
    <w:p>
      <w:pPr>
        <w:ind w:left="284" w:hanging="284"/>
        <w:spacing w:after="0"/>
        <w:tabs>
          <w:tab w:leader="none" w:pos="28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AFFILIATE STATUS</w:t>
      </w:r>
    </w:p>
    <w:p>
      <w:pPr>
        <w:spacing w:after="0" w:line="19"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(Please check the applicable box)</w:t>
      </w:r>
    </w:p>
    <w:p>
      <w:pPr>
        <w:spacing w:after="0" w:line="186" w:lineRule="exact"/>
        <w:rPr>
          <w:sz w:val="20"/>
          <w:szCs w:val="20"/>
          <w:color w:val="auto"/>
        </w:rPr>
      </w:pPr>
    </w:p>
    <w:p>
      <w:pPr>
        <w:ind w:left="564"/>
        <w:spacing w:after="0"/>
        <w:rPr>
          <w:sz w:val="20"/>
          <w:szCs w:val="20"/>
          <w:color w:val="auto"/>
        </w:rPr>
      </w:pPr>
      <w:r>
        <w:rPr>
          <w:rFonts w:ascii="Arial" w:cs="Arial" w:eastAsia="Arial" w:hAnsi="Arial"/>
          <w:sz w:val="16"/>
          <w:szCs w:val="16"/>
          <w:color w:val="auto"/>
        </w:rPr>
        <w:t>SUBSCRIBER:</w:t>
      </w:r>
    </w:p>
    <w:p>
      <w:pPr>
        <w:spacing w:after="0" w:line="198" w:lineRule="exact"/>
        <w:rPr>
          <w:sz w:val="20"/>
          <w:szCs w:val="20"/>
          <w:color w:val="auto"/>
        </w:rPr>
      </w:pPr>
    </w:p>
    <w:p>
      <w:pPr>
        <w:ind w:left="1144" w:hanging="571"/>
        <w:spacing w:after="0"/>
        <w:tabs>
          <w:tab w:leader="none" w:pos="1144" w:val="left"/>
        </w:tabs>
        <w:numPr>
          <w:ilvl w:val="0"/>
          <w:numId w:val="238"/>
        </w:numPr>
        <w:rPr>
          <w:rFonts w:ascii="MS PGothic" w:cs="MS PGothic" w:eastAsia="MS PGothic" w:hAnsi="MS PGothic"/>
          <w:sz w:val="16"/>
          <w:szCs w:val="16"/>
          <w:color w:val="auto"/>
        </w:rPr>
      </w:pPr>
      <w:r>
        <w:rPr>
          <w:rFonts w:ascii="Arial" w:cs="Arial" w:eastAsia="Arial" w:hAnsi="Arial"/>
          <w:sz w:val="16"/>
          <w:szCs w:val="16"/>
          <w:color w:val="auto"/>
        </w:rPr>
        <w:t>is:</w:t>
      </w:r>
    </w:p>
    <w:p>
      <w:pPr>
        <w:spacing w:after="0" w:line="198" w:lineRule="exact"/>
        <w:rPr>
          <w:rFonts w:ascii="MS PGothic" w:cs="MS PGothic" w:eastAsia="MS PGothic" w:hAnsi="MS PGothic"/>
          <w:sz w:val="16"/>
          <w:szCs w:val="16"/>
          <w:color w:val="auto"/>
        </w:rPr>
      </w:pPr>
    </w:p>
    <w:p>
      <w:pPr>
        <w:ind w:left="1144" w:hanging="571"/>
        <w:spacing w:after="0"/>
        <w:tabs>
          <w:tab w:leader="none" w:pos="1144" w:val="left"/>
        </w:tabs>
        <w:numPr>
          <w:ilvl w:val="0"/>
          <w:numId w:val="238"/>
        </w:numPr>
        <w:rPr>
          <w:rFonts w:ascii="MS PGothic" w:cs="MS PGothic" w:eastAsia="MS PGothic" w:hAnsi="MS PGothic"/>
          <w:sz w:val="16"/>
          <w:szCs w:val="16"/>
          <w:color w:val="auto"/>
        </w:rPr>
      </w:pPr>
      <w:r>
        <w:rPr>
          <w:rFonts w:ascii="Arial" w:cs="Arial" w:eastAsia="Arial" w:hAnsi="Arial"/>
          <w:sz w:val="16"/>
          <w:szCs w:val="16"/>
          <w:color w:val="auto"/>
        </w:rPr>
        <w:t>is not:</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an “affiliate” (as defined in Rule 144 under the Securities Act) of the Company or acting on behalf of an affiliate of the Company.</w:t>
      </w:r>
    </w:p>
    <w:p>
      <w:pPr>
        <w:spacing w:after="0" w:line="198" w:lineRule="exact"/>
        <w:rPr>
          <w:sz w:val="20"/>
          <w:szCs w:val="20"/>
          <w:color w:val="auto"/>
        </w:rPr>
      </w:pPr>
    </w:p>
    <w:p>
      <w:pPr>
        <w:jc w:val="both"/>
        <w:ind w:left="4" w:firstLine="574"/>
        <w:spacing w:after="0" w:line="287" w:lineRule="auto"/>
        <w:rPr>
          <w:sz w:val="20"/>
          <w:szCs w:val="20"/>
          <w:color w:val="auto"/>
        </w:rPr>
      </w:pPr>
      <w:r>
        <w:rPr>
          <w:rFonts w:ascii="Arial" w:cs="Arial" w:eastAsia="Arial" w:hAnsi="Arial"/>
          <w:sz w:val="15"/>
          <w:szCs w:val="15"/>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146" w:lineRule="exact"/>
        <w:rPr>
          <w:sz w:val="20"/>
          <w:szCs w:val="20"/>
          <w:color w:val="auto"/>
        </w:rPr>
      </w:pPr>
    </w:p>
    <w:p>
      <w:pPr>
        <w:ind w:left="1144" w:right="20" w:hanging="571"/>
        <w:spacing w:after="0" w:line="275" w:lineRule="auto"/>
        <w:tabs>
          <w:tab w:leader="none" w:pos="1144" w:val="left"/>
        </w:tabs>
        <w:numPr>
          <w:ilvl w:val="0"/>
          <w:numId w:val="239"/>
        </w:numPr>
        <w:rPr>
          <w:rFonts w:ascii="MS PGothic" w:cs="MS PGothic" w:eastAsia="MS PGothic" w:hAnsi="MS PGothic"/>
          <w:sz w:val="16"/>
          <w:szCs w:val="16"/>
          <w:color w:val="auto"/>
        </w:rPr>
      </w:pPr>
      <w:r>
        <w:rPr>
          <w:rFonts w:ascii="Arial" w:cs="Arial" w:eastAsia="Arial" w:hAnsi="Arial"/>
          <w:sz w:val="16"/>
          <w:szCs w:val="16"/>
          <w:color w:val="auto"/>
        </w:rPr>
        <w:t>Any bank, registered broker or dealer, insurance company, registered investment company, business development company, or small business investment company;</w:t>
      </w:r>
    </w:p>
    <w:p>
      <w:pPr>
        <w:spacing w:after="0" w:line="151" w:lineRule="exact"/>
        <w:rPr>
          <w:rFonts w:ascii="MS PGothic" w:cs="MS PGothic" w:eastAsia="MS PGothic" w:hAnsi="MS PGothic"/>
          <w:sz w:val="16"/>
          <w:szCs w:val="16"/>
          <w:color w:val="auto"/>
        </w:rPr>
      </w:pPr>
    </w:p>
    <w:p>
      <w:pPr>
        <w:ind w:left="1144" w:right="20" w:hanging="571"/>
        <w:spacing w:after="0" w:line="275" w:lineRule="auto"/>
        <w:tabs>
          <w:tab w:leader="none" w:pos="1144" w:val="left"/>
        </w:tabs>
        <w:numPr>
          <w:ilvl w:val="0"/>
          <w:numId w:val="239"/>
        </w:numPr>
        <w:rPr>
          <w:rFonts w:ascii="MS PGothic" w:cs="MS PGothic" w:eastAsia="MS PGothic" w:hAnsi="MS PGothic"/>
          <w:sz w:val="16"/>
          <w:szCs w:val="16"/>
          <w:color w:val="auto"/>
        </w:rPr>
      </w:pPr>
      <w:r>
        <w:rPr>
          <w:rFonts w:ascii="Arial" w:cs="Arial" w:eastAsia="Arial" w:hAnsi="Arial"/>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51" w:lineRule="exact"/>
        <w:rPr>
          <w:rFonts w:ascii="MS PGothic" w:cs="MS PGothic" w:eastAsia="MS PGothic" w:hAnsi="MS PGothic"/>
          <w:sz w:val="16"/>
          <w:szCs w:val="16"/>
          <w:color w:val="auto"/>
        </w:rPr>
      </w:pPr>
    </w:p>
    <w:p>
      <w:pPr>
        <w:ind w:left="1144" w:right="20" w:hanging="571"/>
        <w:spacing w:after="0" w:line="275" w:lineRule="auto"/>
        <w:tabs>
          <w:tab w:leader="none" w:pos="1144" w:val="left"/>
        </w:tabs>
        <w:numPr>
          <w:ilvl w:val="0"/>
          <w:numId w:val="239"/>
        </w:numPr>
        <w:rPr>
          <w:rFonts w:ascii="MS PGothic" w:cs="MS PGothic" w:eastAsia="MS PGothic" w:hAnsi="MS PGothic"/>
          <w:sz w:val="16"/>
          <w:szCs w:val="16"/>
          <w:color w:val="auto"/>
        </w:rPr>
      </w:pPr>
      <w:r>
        <w:rPr>
          <w:rFonts w:ascii="Arial" w:cs="Arial" w:eastAsia="Arial" w:hAnsi="Arial"/>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51" w:lineRule="exact"/>
        <w:rPr>
          <w:rFonts w:ascii="MS PGothic" w:cs="MS PGothic" w:eastAsia="MS PGothic" w:hAnsi="MS PGothic"/>
          <w:sz w:val="16"/>
          <w:szCs w:val="16"/>
          <w:color w:val="auto"/>
        </w:rPr>
      </w:pPr>
    </w:p>
    <w:p>
      <w:pPr>
        <w:ind w:left="1144" w:right="20" w:hanging="571"/>
        <w:spacing w:after="0" w:line="275" w:lineRule="auto"/>
        <w:tabs>
          <w:tab w:leader="none" w:pos="1144" w:val="left"/>
        </w:tabs>
        <w:numPr>
          <w:ilvl w:val="0"/>
          <w:numId w:val="239"/>
        </w:numPr>
        <w:rPr>
          <w:rFonts w:ascii="MS PGothic" w:cs="MS PGothic" w:eastAsia="MS PGothic" w:hAnsi="MS PGothic"/>
          <w:sz w:val="16"/>
          <w:szCs w:val="16"/>
          <w:color w:val="auto"/>
        </w:rPr>
      </w:pPr>
      <w:r>
        <w:rPr>
          <w:rFonts w:ascii="Arial" w:cs="Arial" w:eastAsia="Arial" w:hAnsi="Arial"/>
          <w:sz w:val="16"/>
          <w:szCs w:val="16"/>
          <w:color w:val="auto"/>
        </w:rPr>
        <w:t>Any corporation, similar business trust, partnership or any organization described in Section 501(c)(3) of the Internal Revenue Code, not formed for the specific purpose of acquiring the securities offered, with total assets in excess of $5,000,000;</w:t>
      </w:r>
    </w:p>
    <w:p>
      <w:pPr>
        <w:spacing w:after="0" w:line="151" w:lineRule="exact"/>
        <w:rPr>
          <w:rFonts w:ascii="MS PGothic" w:cs="MS PGothic" w:eastAsia="MS PGothic" w:hAnsi="MS PGothic"/>
          <w:sz w:val="16"/>
          <w:szCs w:val="16"/>
          <w:color w:val="auto"/>
        </w:rPr>
      </w:pPr>
    </w:p>
    <w:p>
      <w:pPr>
        <w:ind w:left="1144" w:hanging="571"/>
        <w:spacing w:after="0"/>
        <w:tabs>
          <w:tab w:leader="none" w:pos="1144" w:val="left"/>
        </w:tabs>
        <w:numPr>
          <w:ilvl w:val="0"/>
          <w:numId w:val="239"/>
        </w:numPr>
        <w:rPr>
          <w:rFonts w:ascii="MS PGothic" w:cs="MS PGothic" w:eastAsia="MS PGothic" w:hAnsi="MS PGothic"/>
          <w:sz w:val="15"/>
          <w:szCs w:val="15"/>
          <w:color w:val="auto"/>
        </w:rPr>
      </w:pPr>
      <w:r>
        <w:rPr>
          <w:rFonts w:ascii="Arial" w:cs="Arial" w:eastAsia="Arial" w:hAnsi="Arial"/>
          <w:sz w:val="15"/>
          <w:szCs w:val="15"/>
          <w:color w:val="auto"/>
        </w:rPr>
        <w:t>Any trust with assets in excess of $5,000,000, not formed to acquire the securities offered, whose purchase is directed by a sophisticated person; or</w:t>
      </w:r>
    </w:p>
    <w:p>
      <w:pPr>
        <w:spacing w:after="0" w:line="209" w:lineRule="exact"/>
        <w:rPr>
          <w:rFonts w:ascii="MS PGothic" w:cs="MS PGothic" w:eastAsia="MS PGothic" w:hAnsi="MS PGothic"/>
          <w:sz w:val="15"/>
          <w:szCs w:val="15"/>
          <w:color w:val="auto"/>
        </w:rPr>
      </w:pPr>
    </w:p>
    <w:p>
      <w:pPr>
        <w:ind w:left="1144" w:hanging="571"/>
        <w:spacing w:after="0"/>
        <w:tabs>
          <w:tab w:leader="none" w:pos="1144" w:val="left"/>
        </w:tabs>
        <w:numPr>
          <w:ilvl w:val="0"/>
          <w:numId w:val="239"/>
        </w:numPr>
        <w:rPr>
          <w:rFonts w:ascii="MS PGothic" w:cs="MS PGothic" w:eastAsia="MS PGothic" w:hAnsi="MS PGothic"/>
          <w:sz w:val="16"/>
          <w:szCs w:val="16"/>
          <w:color w:val="auto"/>
        </w:rPr>
      </w:pPr>
      <w:r>
        <w:rPr>
          <w:rFonts w:ascii="Arial" w:cs="Arial" w:eastAsia="Arial" w:hAnsi="Arial"/>
          <w:sz w:val="16"/>
          <w:szCs w:val="16"/>
          <w:color w:val="auto"/>
        </w:rPr>
        <w:t>Any entity in which all of the equity owners are accredited investors meeting one or more of the above tests or one of the following tests.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[Specify which tests:]</w:t>
      </w:r>
    </w:p>
    <w:p>
      <w:pPr>
        <w:spacing w:after="0" w:line="198" w:lineRule="exact"/>
        <w:rPr>
          <w:sz w:val="20"/>
          <w:szCs w:val="20"/>
          <w:color w:val="auto"/>
        </w:rPr>
      </w:pPr>
    </w:p>
    <w:p>
      <w:pPr>
        <w:ind w:left="6764"/>
        <w:spacing w:after="0"/>
        <w:rPr>
          <w:sz w:val="20"/>
          <w:szCs w:val="20"/>
          <w:color w:val="auto"/>
        </w:rPr>
      </w:pPr>
      <w:r>
        <w:rPr>
          <w:rFonts w:ascii="Arial" w:cs="Arial" w:eastAsia="Arial" w:hAnsi="Arial"/>
          <w:sz w:val="16"/>
          <w:szCs w:val="16"/>
          <w:color w:val="auto"/>
        </w:rPr>
        <w:t>SUBSCRIBER:</w:t>
      </w:r>
    </w:p>
    <w:p>
      <w:pPr>
        <w:spacing w:after="0" w:line="198" w:lineRule="exact"/>
        <w:rPr>
          <w:sz w:val="20"/>
          <w:szCs w:val="20"/>
          <w:color w:val="auto"/>
        </w:rPr>
      </w:pPr>
    </w:p>
    <w:p>
      <w:pPr>
        <w:ind w:left="6764"/>
        <w:spacing w:after="0"/>
        <w:rPr>
          <w:sz w:val="20"/>
          <w:szCs w:val="20"/>
          <w:color w:val="auto"/>
        </w:rPr>
      </w:pPr>
      <w:r>
        <w:rPr>
          <w:rFonts w:ascii="Arial" w:cs="Arial" w:eastAsia="Arial" w:hAnsi="Arial"/>
          <w:sz w:val="16"/>
          <w:szCs w:val="16"/>
          <w:color w:val="auto"/>
        </w:rPr>
        <w:t>Print Name:</w:t>
      </w:r>
    </w:p>
    <w:p>
      <w:pPr>
        <w:spacing w:after="0" w:line="198" w:lineRule="exact"/>
        <w:rPr>
          <w:sz w:val="20"/>
          <w:szCs w:val="20"/>
          <w:color w:val="auto"/>
        </w:rPr>
      </w:pPr>
    </w:p>
    <w:p>
      <w:pPr>
        <w:ind w:left="676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12700</wp:posOffset>
            </wp:positionV>
            <wp:extent cx="2572385"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4"/>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7204"/>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368935</wp:posOffset>
            </wp:positionV>
            <wp:extent cx="7148195"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6"/>
          <w:szCs w:val="16"/>
          <w:b w:val="1"/>
          <w:bCs w:val="1"/>
          <w:color w:val="auto"/>
        </w:rPr>
        <w:t>Exhibit 10.2</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SUBSCRIPTION AGREEMENT</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This SUBSCRIPTION AGREEMENT (this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xml:space="preserve"> is entered into on November 10, 2021, by and between Ventoux CCM Acquisition Corp.,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 and [***] (collectively, “</w:t>
      </w:r>
      <w:r>
        <w:rPr>
          <w:rFonts w:ascii="Arial" w:cs="Arial" w:eastAsia="Arial" w:hAnsi="Arial"/>
          <w:sz w:val="16"/>
          <w:szCs w:val="16"/>
          <w:u w:val="single" w:color="auto"/>
          <w:color w:val="auto"/>
        </w:rPr>
        <w:t>Subscriber</w:t>
      </w:r>
      <w:r>
        <w:rPr>
          <w:rFonts w:ascii="Arial" w:cs="Arial" w:eastAsia="Arial" w:hAnsi="Arial"/>
          <w:sz w:val="16"/>
          <w:szCs w:val="16"/>
          <w:color w:val="auto"/>
        </w:rPr>
        <w:t>”).</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concurrently with the execution of this Subscription Agreement, the Company is entering into a definitive agreement with E la Carte, Inc., a Delaware corporation (“</w:t>
      </w:r>
      <w:r>
        <w:rPr>
          <w:rFonts w:ascii="Arial" w:cs="Arial" w:eastAsia="Arial" w:hAnsi="Arial"/>
          <w:sz w:val="16"/>
          <w:szCs w:val="16"/>
          <w:u w:val="single" w:color="auto"/>
          <w:color w:val="auto"/>
        </w:rPr>
        <w:t>Presto</w:t>
      </w:r>
      <w:r>
        <w:rPr>
          <w:rFonts w:ascii="Arial" w:cs="Arial" w:eastAsia="Arial" w:hAnsi="Arial"/>
          <w:sz w:val="16"/>
          <w:szCs w:val="16"/>
          <w:color w:val="auto"/>
        </w:rPr>
        <w:t>”), and the other parties thereto, providing for the combination of the Company and Presto (the “</w:t>
      </w:r>
      <w:r>
        <w:rPr>
          <w:rFonts w:ascii="Arial" w:cs="Arial" w:eastAsia="Arial" w:hAnsi="Arial"/>
          <w:sz w:val="16"/>
          <w:szCs w:val="16"/>
          <w:u w:val="single" w:color="auto"/>
          <w:color w:val="auto"/>
        </w:rPr>
        <w:t>Transaction Agreement</w:t>
      </w:r>
      <w:r>
        <w:rPr>
          <w:rFonts w:ascii="Arial" w:cs="Arial" w:eastAsia="Arial" w:hAnsi="Arial"/>
          <w:sz w:val="16"/>
          <w:szCs w:val="16"/>
          <w:color w:val="auto"/>
        </w:rPr>
        <w:t>” and the transactions contemplated by the Transaction Agreement, the “</w:t>
      </w:r>
      <w:r>
        <w:rPr>
          <w:rFonts w:ascii="Arial" w:cs="Arial" w:eastAsia="Arial" w:hAnsi="Arial"/>
          <w:sz w:val="16"/>
          <w:szCs w:val="16"/>
          <w:u w:val="single" w:color="auto"/>
          <w:color w:val="auto"/>
        </w:rPr>
        <w:t>Transaction</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WHEREAS, in connection with the Transaction, Subscriber desires to subscribe for and purchase from the Company, immediately prior to the consummation of the Transaction, that principal amount of the Company’s 9.0%/11.0% convertible senior notes due 2026 (the “</w:t>
      </w:r>
      <w:r>
        <w:rPr>
          <w:rFonts w:ascii="Arial" w:cs="Arial" w:eastAsia="Arial" w:hAnsi="Arial"/>
          <w:sz w:val="15"/>
          <w:szCs w:val="15"/>
          <w:u w:val="single" w:color="auto"/>
          <w:color w:val="auto"/>
        </w:rPr>
        <w:t>Notes</w:t>
      </w:r>
      <w:r>
        <w:rPr>
          <w:rFonts w:ascii="Arial" w:cs="Arial" w:eastAsia="Arial" w:hAnsi="Arial"/>
          <w:sz w:val="15"/>
          <w:szCs w:val="15"/>
          <w:color w:val="auto"/>
        </w:rPr>
        <w:t>”) set forth on the signature page hereto (the “</w:t>
      </w:r>
      <w:r>
        <w:rPr>
          <w:rFonts w:ascii="Arial" w:cs="Arial" w:eastAsia="Arial" w:hAnsi="Arial"/>
          <w:sz w:val="15"/>
          <w:szCs w:val="15"/>
          <w:u w:val="single" w:color="auto"/>
          <w:color w:val="auto"/>
        </w:rPr>
        <w:t>Subscribed</w:t>
      </w:r>
      <w:r>
        <w:rPr>
          <w:rFonts w:ascii="Arial" w:cs="Arial" w:eastAsia="Arial" w:hAnsi="Arial"/>
          <w:sz w:val="15"/>
          <w:szCs w:val="15"/>
          <w:color w:val="auto"/>
        </w:rPr>
        <w:t xml:space="preserve"> </w:t>
      </w:r>
      <w:r>
        <w:rPr>
          <w:rFonts w:ascii="Arial" w:cs="Arial" w:eastAsia="Arial" w:hAnsi="Arial"/>
          <w:sz w:val="15"/>
          <w:szCs w:val="15"/>
          <w:u w:val="single" w:color="auto"/>
          <w:color w:val="auto"/>
        </w:rPr>
        <w:t>Notes</w:t>
      </w:r>
      <w:r>
        <w:rPr>
          <w:rFonts w:ascii="Arial" w:cs="Arial" w:eastAsia="Arial" w:hAnsi="Arial"/>
          <w:sz w:val="15"/>
          <w:szCs w:val="15"/>
          <w:color w:val="auto"/>
        </w:rPr>
        <w:t>”) and that number of warrants (the “</w:t>
      </w:r>
      <w:r>
        <w:rPr>
          <w:rFonts w:ascii="Arial" w:cs="Arial" w:eastAsia="Arial" w:hAnsi="Arial"/>
          <w:sz w:val="15"/>
          <w:szCs w:val="15"/>
          <w:u w:val="single" w:color="auto"/>
          <w:color w:val="auto"/>
        </w:rPr>
        <w:t>Warrants</w:t>
      </w:r>
      <w:r>
        <w:rPr>
          <w:rFonts w:ascii="Arial" w:cs="Arial" w:eastAsia="Arial" w:hAnsi="Arial"/>
          <w:sz w:val="15"/>
          <w:szCs w:val="15"/>
          <w:color w:val="auto"/>
        </w:rPr>
        <w:t>”) to purchase shares of the Company’s common stock, par value $0.0001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set forth on the signature page hereto (the “</w:t>
      </w:r>
      <w:r>
        <w:rPr>
          <w:rFonts w:ascii="Arial" w:cs="Arial" w:eastAsia="Arial" w:hAnsi="Arial"/>
          <w:sz w:val="15"/>
          <w:szCs w:val="15"/>
          <w:u w:val="single" w:color="auto"/>
          <w:color w:val="auto"/>
        </w:rPr>
        <w:t>Subscribed Warrants</w:t>
      </w:r>
      <w:r>
        <w:rPr>
          <w:rFonts w:ascii="Arial" w:cs="Arial" w:eastAsia="Arial" w:hAnsi="Arial"/>
          <w:sz w:val="15"/>
          <w:szCs w:val="15"/>
          <w:color w:val="auto"/>
        </w:rPr>
        <w:t>” and, together with the Subscribed Notes, the “</w:t>
      </w:r>
      <w:r>
        <w:rPr>
          <w:rFonts w:ascii="Arial" w:cs="Arial" w:eastAsia="Arial" w:hAnsi="Arial"/>
          <w:sz w:val="15"/>
          <w:szCs w:val="15"/>
          <w:u w:val="single" w:color="auto"/>
          <w:color w:val="auto"/>
        </w:rPr>
        <w:t>Subscribed Securities</w:t>
      </w:r>
      <w:r>
        <w:rPr>
          <w:rFonts w:ascii="Arial" w:cs="Arial" w:eastAsia="Arial" w:hAnsi="Arial"/>
          <w:sz w:val="15"/>
          <w:szCs w:val="15"/>
          <w:color w:val="auto"/>
        </w:rPr>
        <w:t>”) for an aggregate purchase price equal to 100.0% of the principal amount of the Subscribed Notes (the “</w:t>
      </w:r>
      <w:r>
        <w:rPr>
          <w:rFonts w:ascii="Arial" w:cs="Arial" w:eastAsia="Arial" w:hAnsi="Arial"/>
          <w:sz w:val="15"/>
          <w:szCs w:val="15"/>
          <w:u w:val="single" w:color="auto"/>
          <w:color w:val="auto"/>
        </w:rPr>
        <w:t>Purchase Price</w:t>
      </w:r>
      <w:r>
        <w:rPr>
          <w:rFonts w:ascii="Arial" w:cs="Arial" w:eastAsia="Arial" w:hAnsi="Arial"/>
          <w:sz w:val="15"/>
          <w:szCs w:val="15"/>
          <w:color w:val="auto"/>
        </w:rPr>
        <w:t>”), and the Company desires to issue and sell to Subscriber the Subscribed Securities in consideration of the payment of the Purchase Price by or on behalf of Subscriber to the Company;</w:t>
      </w:r>
    </w:p>
    <w:p>
      <w:pPr>
        <w:spacing w:after="0" w:line="157"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WHEREAS, concurrently with the execution of this Subscription Agreement or prior to the closing date of the Transaction (the “</w:t>
      </w:r>
      <w:r>
        <w:rPr>
          <w:rFonts w:ascii="Arial" w:cs="Arial" w:eastAsia="Arial" w:hAnsi="Arial"/>
          <w:sz w:val="15"/>
          <w:szCs w:val="15"/>
          <w:u w:val="single" w:color="auto"/>
          <w:color w:val="auto"/>
        </w:rPr>
        <w:t>Closing Date</w:t>
      </w:r>
      <w:r>
        <w:rPr>
          <w:rFonts w:ascii="Arial" w:cs="Arial" w:eastAsia="Arial" w:hAnsi="Arial"/>
          <w:sz w:val="15"/>
          <w:szCs w:val="15"/>
          <w:color w:val="auto"/>
        </w:rPr>
        <w:t>”), the Company is entering or will enter into subscription agreements (the “</w:t>
      </w:r>
      <w:r>
        <w:rPr>
          <w:rFonts w:ascii="Arial" w:cs="Arial" w:eastAsia="Arial" w:hAnsi="Arial"/>
          <w:sz w:val="15"/>
          <w:szCs w:val="15"/>
          <w:u w:val="single" w:color="auto"/>
          <w:color w:val="auto"/>
        </w:rPr>
        <w:t>Other Subscription Agreements</w:t>
      </w:r>
      <w:r>
        <w:rPr>
          <w:rFonts w:ascii="Arial" w:cs="Arial" w:eastAsia="Arial" w:hAnsi="Arial"/>
          <w:sz w:val="15"/>
          <w:szCs w:val="15"/>
          <w:color w:val="auto"/>
        </w:rPr>
        <w:t>” and together with this Subscription Agreement, the “</w:t>
      </w:r>
      <w:r>
        <w:rPr>
          <w:rFonts w:ascii="Arial" w:cs="Arial" w:eastAsia="Arial" w:hAnsi="Arial"/>
          <w:sz w:val="15"/>
          <w:szCs w:val="15"/>
          <w:u w:val="single" w:color="auto"/>
          <w:color w:val="auto"/>
        </w:rPr>
        <w:t>Subscription Agreements</w:t>
      </w:r>
      <w:r>
        <w:rPr>
          <w:rFonts w:ascii="Arial" w:cs="Arial" w:eastAsia="Arial" w:hAnsi="Arial"/>
          <w:sz w:val="15"/>
          <w:szCs w:val="15"/>
          <w:color w:val="auto"/>
        </w:rPr>
        <w:t>”), with certain other accredited investors (the “</w:t>
      </w:r>
      <w:r>
        <w:rPr>
          <w:rFonts w:ascii="Arial" w:cs="Arial" w:eastAsia="Arial" w:hAnsi="Arial"/>
          <w:sz w:val="15"/>
          <w:szCs w:val="15"/>
          <w:u w:val="single" w:color="auto"/>
          <w:color w:val="auto"/>
        </w:rPr>
        <w:t>Other Subscribers</w:t>
      </w:r>
      <w:r>
        <w:rPr>
          <w:rFonts w:ascii="Arial" w:cs="Arial" w:eastAsia="Arial" w:hAnsi="Arial"/>
          <w:sz w:val="15"/>
          <w:szCs w:val="15"/>
          <w:color w:val="auto"/>
        </w:rPr>
        <w:t>” and together with Subscriber, the “</w:t>
      </w:r>
      <w:r>
        <w:rPr>
          <w:rFonts w:ascii="Arial" w:cs="Arial" w:eastAsia="Arial" w:hAnsi="Arial"/>
          <w:sz w:val="15"/>
          <w:szCs w:val="15"/>
          <w:u w:val="single" w:color="auto"/>
          <w:color w:val="auto"/>
        </w:rPr>
        <w:t>Subscribers</w:t>
      </w:r>
      <w:r>
        <w:rPr>
          <w:rFonts w:ascii="Arial" w:cs="Arial" w:eastAsia="Arial" w:hAnsi="Arial"/>
          <w:sz w:val="15"/>
          <w:szCs w:val="15"/>
          <w:color w:val="auto"/>
        </w:rPr>
        <w:t xml:space="preserve">”), which are on substantially the same terms as the terms of this Subscription Agreement (other than with respect to (v) the amounts and types of the Company’s securities to be subscribed for and purchased by the Other Subscribers and any terms relating to such other types of the Company’s securities, (w) certain fees payable by Presto, board observer rights and the purchase of Common Stock from the Sponsors (as defined herein) contemplated by </w:t>
      </w:r>
      <w:r>
        <w:rPr>
          <w:rFonts w:ascii="Arial" w:cs="Arial" w:eastAsia="Arial" w:hAnsi="Arial"/>
          <w:sz w:val="15"/>
          <w:szCs w:val="15"/>
          <w:u w:val="single" w:color="auto"/>
          <w:color w:val="auto"/>
        </w:rPr>
        <w:t>Section 1(b)</w:t>
      </w:r>
      <w:r>
        <w:rPr>
          <w:rFonts w:ascii="Arial" w:cs="Arial" w:eastAsia="Arial" w:hAnsi="Arial"/>
          <w:sz w:val="15"/>
          <w:szCs w:val="15"/>
          <w:color w:val="auto"/>
        </w:rPr>
        <w:t xml:space="preserve"> by [***] and [***] and their affiliates, (x) certain closing conditions in the Other Subscription Agreements relating to the Subscribed Notes,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 pursuant to which such investors shall agree or have agreed to purchase on the Closing Date, inclusive of the Subscribed Securities, as applicable (i) shares of Common Stock and (ii) Notes and Warrants, for, as of the date hereof, up to $70,000,000 in gross proceeds to the Company (together with the Subscribed Securities, the “</w:t>
      </w:r>
      <w:r>
        <w:rPr>
          <w:rFonts w:ascii="Arial" w:cs="Arial" w:eastAsia="Arial" w:hAnsi="Arial"/>
          <w:sz w:val="15"/>
          <w:szCs w:val="15"/>
          <w:u w:val="single" w:color="auto"/>
          <w:color w:val="auto"/>
        </w:rPr>
        <w:t>Aggregate Subscribed Securities</w:t>
      </w:r>
      <w:r>
        <w:rPr>
          <w:rFonts w:ascii="Arial" w:cs="Arial" w:eastAsia="Arial" w:hAnsi="Arial"/>
          <w:sz w:val="15"/>
          <w:szCs w:val="15"/>
          <w:color w:val="auto"/>
        </w:rPr>
        <w:t>”);</w:t>
      </w:r>
    </w:p>
    <w:p>
      <w:pPr>
        <w:spacing w:after="0" w:line="16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in connection with the issuance of the Notes on the Closing Date, the Company and U.S.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will enter into an indenture in respect of the Notes in substantially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Indenture</w:t>
      </w:r>
      <w:r>
        <w:rPr>
          <w:rFonts w:ascii="Arial" w:cs="Arial" w:eastAsia="Arial" w:hAnsi="Arial"/>
          <w:sz w:val="16"/>
          <w:szCs w:val="16"/>
          <w:color w:val="auto"/>
        </w:rPr>
        <w:t>”); and</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WHEREAS, in connection with the issuance of the Subscribed Warrants on the Closing Date, the Company, Continental Stock Transfer &amp; Trust Company, as Warrant Agent, and Subscriber will enter into an amended and restated warrant agreement in respect of the Subscribed Warrants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25" w:name="page226"/>
    <w:bookmarkEnd w:id="225"/>
    <w:p>
      <w:pPr>
        <w:ind w:right="20" w:firstLine="574"/>
        <w:spacing w:after="0" w:line="275" w:lineRule="auto"/>
        <w:rPr>
          <w:sz w:val="20"/>
          <w:szCs w:val="20"/>
          <w:color w:val="auto"/>
        </w:rPr>
      </w:pPr>
      <w:r>
        <w:rPr>
          <w:rFonts w:ascii="Arial" w:cs="Arial" w:eastAsia="Arial" w:hAnsi="Arial"/>
          <w:sz w:val="16"/>
          <w:szCs w:val="16"/>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52" w:lineRule="exact"/>
        <w:rPr>
          <w:sz w:val="20"/>
          <w:szCs w:val="20"/>
          <w:color w:val="auto"/>
        </w:rPr>
      </w:pPr>
    </w:p>
    <w:p>
      <w:pPr>
        <w:ind w:left="720" w:hanging="151"/>
        <w:spacing w:after="0"/>
        <w:tabs>
          <w:tab w:leader="none" w:pos="72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Subscription; Fee and Share Transfer</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right="20" w:firstLine="1143"/>
        <w:spacing w:after="0" w:line="349" w:lineRule="auto"/>
        <w:tabs>
          <w:tab w:leader="none" w:pos="1309" w:val="left"/>
        </w:tabs>
        <w:numPr>
          <w:ilvl w:val="1"/>
          <w:numId w:val="240"/>
        </w:numPr>
        <w:rPr>
          <w:rFonts w:ascii="Arial" w:cs="Arial" w:eastAsia="Arial" w:hAnsi="Arial"/>
          <w:sz w:val="14"/>
          <w:szCs w:val="14"/>
          <w:color w:val="auto"/>
        </w:rPr>
      </w:pPr>
      <w:r>
        <w:rPr>
          <w:rFonts w:ascii="Arial" w:cs="Arial" w:eastAsia="Arial" w:hAnsi="Arial"/>
          <w:sz w:val="14"/>
          <w:szCs w:val="14"/>
          <w:color w:val="auto"/>
        </w:rPr>
        <w:t>Subject to the terms and conditions hereof, at the Closing (as defined below), Subscriber hereby agrees to subscribe for and purchase, and the Company hereby agrees to issue and sell to Subscriber, upon the payment of the Purchase Price, the Subscribed Securities (such subscription and issuance, the “Subscription”).</w:t>
      </w:r>
    </w:p>
    <w:p>
      <w:pPr>
        <w:spacing w:after="0" w:line="105" w:lineRule="exact"/>
        <w:rPr>
          <w:rFonts w:ascii="Arial" w:cs="Arial" w:eastAsia="Arial" w:hAnsi="Arial"/>
          <w:sz w:val="14"/>
          <w:szCs w:val="14"/>
          <w:color w:val="auto"/>
        </w:rPr>
      </w:pPr>
    </w:p>
    <w:p>
      <w:pPr>
        <w:jc w:val="both"/>
        <w:ind w:firstLine="1143"/>
        <w:spacing w:after="0" w:line="254" w:lineRule="auto"/>
        <w:tabs>
          <w:tab w:leader="none" w:pos="1303" w:val="left"/>
        </w:tabs>
        <w:numPr>
          <w:ilvl w:val="1"/>
          <w:numId w:val="240"/>
        </w:numPr>
        <w:rPr>
          <w:rFonts w:ascii="Arial" w:cs="Arial" w:eastAsia="Arial" w:hAnsi="Arial"/>
          <w:sz w:val="16"/>
          <w:szCs w:val="16"/>
          <w:color w:val="auto"/>
        </w:rPr>
      </w:pPr>
      <w:r>
        <w:rPr>
          <w:rFonts w:ascii="Arial" w:cs="Arial" w:eastAsia="Arial" w:hAnsi="Arial"/>
          <w:sz w:val="16"/>
          <w:szCs w:val="16"/>
          <w:color w:val="auto"/>
        </w:rPr>
        <w:t>At the Closing, the Company shall pay [***] and [***] or their designee(s) collectively a one-time fee equal to 2.0% of aggregate principal amount of the Subscribed Notes, and Ventoux Acquisition Holdings LLC, a Delaware limited liability company, and Chardan International Investments, LLC, a Delaware limited liability company (together, the “</w:t>
      </w:r>
      <w:r>
        <w:rPr>
          <w:rFonts w:ascii="Arial" w:cs="Arial" w:eastAsia="Arial" w:hAnsi="Arial"/>
          <w:sz w:val="16"/>
          <w:szCs w:val="16"/>
          <w:u w:val="single" w:color="auto"/>
          <w:color w:val="auto"/>
        </w:rPr>
        <w:t>Sponsors</w:t>
      </w:r>
      <w:r>
        <w:rPr>
          <w:rFonts w:ascii="Arial" w:cs="Arial" w:eastAsia="Arial" w:hAnsi="Arial"/>
          <w:sz w:val="16"/>
          <w:szCs w:val="16"/>
          <w:color w:val="auto"/>
        </w:rPr>
        <w:t>”) shall transfer an aggregate of 300,000 of the shares of Common Stock that are owned by the Sponsors to [***] and [***] and in consideration for such shares, [***] and [***] shall pay the Sponsors the purchase price of $0.00595 per share. Each of [***] and [***] acknowledges that such shares are subject to the terms and conditions set forth in that certain Stock Escrow Agreement, dated as of December 23, 2020, by and among the Company, the Sponsors, certain other initial shareholders listed thereto, and Continental Stock Transfer &amp; Trust Company.</w:t>
      </w:r>
    </w:p>
    <w:p>
      <w:pPr>
        <w:spacing w:after="0" w:line="170" w:lineRule="exact"/>
        <w:rPr>
          <w:rFonts w:ascii="Arial" w:cs="Arial" w:eastAsia="Arial" w:hAnsi="Arial"/>
          <w:sz w:val="16"/>
          <w:szCs w:val="16"/>
          <w:color w:val="auto"/>
        </w:rPr>
      </w:pPr>
    </w:p>
    <w:p>
      <w:pPr>
        <w:ind w:left="720" w:hanging="151"/>
        <w:spacing w:after="0"/>
        <w:tabs>
          <w:tab w:leader="none" w:pos="72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firstLine="1143"/>
        <w:spacing w:after="0" w:line="275" w:lineRule="auto"/>
        <w:tabs>
          <w:tab w:leader="none" w:pos="130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Subject to the terms of this Subscription Agreement, the consummation of the Subscription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shall occur on the Closing Date immediately prior to or substantially concurrently with the consummation of the Transaction.</w:t>
      </w:r>
    </w:p>
    <w:p>
      <w:pPr>
        <w:spacing w:after="0" w:line="151" w:lineRule="exact"/>
        <w:rPr>
          <w:rFonts w:ascii="Arial" w:cs="Arial" w:eastAsia="Arial" w:hAnsi="Arial"/>
          <w:sz w:val="16"/>
          <w:szCs w:val="16"/>
          <w:color w:val="auto"/>
        </w:rPr>
      </w:pPr>
    </w:p>
    <w:p>
      <w:pPr>
        <w:jc w:val="both"/>
        <w:ind w:firstLine="1143"/>
        <w:spacing w:after="0" w:line="288" w:lineRule="auto"/>
        <w:tabs>
          <w:tab w:leader="none" w:pos="1326" w:val="left"/>
        </w:tabs>
        <w:numPr>
          <w:ilvl w:val="1"/>
          <w:numId w:val="240"/>
        </w:numPr>
        <w:rPr>
          <w:rFonts w:ascii="Arial" w:cs="Arial" w:eastAsia="Arial" w:hAnsi="Arial"/>
          <w:sz w:val="14"/>
          <w:szCs w:val="14"/>
          <w:color w:val="auto"/>
        </w:rPr>
      </w:pPr>
      <w:r>
        <w:rPr>
          <w:rFonts w:ascii="Arial" w:cs="Arial" w:eastAsia="Arial" w:hAnsi="Arial"/>
          <w:sz w:val="14"/>
          <w:szCs w:val="14"/>
          <w:color w:val="auto"/>
        </w:rPr>
        <w:t>At least five (5) Business Days before the anticipated Closing Date, the Company shall deliver written notice to Subscriber (the “</w:t>
      </w:r>
      <w:r>
        <w:rPr>
          <w:rFonts w:ascii="Arial" w:cs="Arial" w:eastAsia="Arial" w:hAnsi="Arial"/>
          <w:sz w:val="14"/>
          <w:szCs w:val="14"/>
          <w:u w:val="single" w:color="auto"/>
          <w:color w:val="auto"/>
        </w:rPr>
        <w:t>Closing Notice</w:t>
      </w:r>
      <w:r>
        <w:rPr>
          <w:rFonts w:ascii="Arial" w:cs="Arial" w:eastAsia="Arial" w:hAnsi="Arial"/>
          <w:sz w:val="14"/>
          <w:szCs w:val="14"/>
          <w:color w:val="auto"/>
        </w:rPr>
        <w:t xml:space="preserve">”) specifying (i) the anticipated Closing Date and (ii) the wire instructions for delivery of the Purchase Price to the Company. No later than two (2) Business Days after receiving the Closing Notice, Subscriber shall deliver to the Company such information as is reasonably requested in the Closing Notice in order for the Company to issue the Subscribed Securities to Subscriber. Subscriber shall deliver to the Company, no later than one (1) Business Day prior to the Closing Date as set forth in the Closing Notice, (a) the Purchase Price for the Subscribed Securities by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issue the Subscribed Securities to Subscriber at the Closing. Upon satisfaction (or, if applicable, waiver) of the conditions set forth in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the Company shall deliver to Subscriber (i) at the Closing, the Subscribed Notes in book entry form, free and clear of any liens or other restrictions (other than those arising under the Indenture, this Subscription Agreement or applicable state or federal securities laws), and (ii) the Warrant Agreement executed by the Company, evidencing the issuance to Subscriber of the Subscribed Warrants on and as of the Closing Date, subject to Subscriber’s execution of such Warrant Agreement. In the event that the consummation of the Transaction does not occur within two (2) Business Days after the anticipated Closing Date specified in the Closing Notice, unless otherwise agreed to in writing by the Company and Subscriber, the Company shall promptly (but in no event later than one (1) Business Day thereafter) return the funds so delivered by Subscriber to the Company by wire transfer in immediately available funds to the account specified by Subscriber and any book entries shall be deemed cancelled. Subscriber shall not be required to deliver to the Company on more than two (2) occasions, the Purchase Price pursuant to a Closing Notice; provided, however, that if a second Closing Notice is delivered following the return of the delivery of the Purchase Price pursuant to the first Closing Notice, then the Company shall reimburse the Subscriber the lesser of (x) [***] and (y) [***]. Notwithstanding such return or cancellation a failure to close on the anticipated Closing Date shall not, by itself, be deemed to be a failure of any of the conditions to Closing set forth in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to be satisfied or waived on or prior to the Closing Date. For the purposes of this Subscription Agreement, “</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other than a Saturday, Sunday or a day on which the Federal Reserve Bank of New York is closed.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6" w:name="page227"/>
    <w:bookmarkEnd w:id="226"/>
    <w:p>
      <w:pPr>
        <w:ind w:left="4" w:right="440" w:firstLine="1147"/>
        <w:spacing w:after="0" w:line="275" w:lineRule="auto"/>
        <w:rPr>
          <w:sz w:val="20"/>
          <w:szCs w:val="20"/>
          <w:color w:val="auto"/>
        </w:rPr>
      </w:pPr>
      <w:r>
        <w:rPr>
          <w:rFonts w:ascii="Arial" w:cs="Arial" w:eastAsia="Arial" w:hAnsi="Arial"/>
          <w:sz w:val="16"/>
          <w:szCs w:val="16"/>
          <w:color w:val="auto"/>
        </w:rPr>
        <w:t>c. The Closing shall be subject to the satisfaction or valid waiver in writing by each of the parties hereto (to the extent a valid waiver is capable of being issued) by the Company, on the one hand, or Subscriber, on the other, of the conditions that, on the Closing Date:</w:t>
      </w:r>
    </w:p>
    <w:p>
      <w:pPr>
        <w:spacing w:after="0" w:line="152" w:lineRule="exact"/>
        <w:rPr>
          <w:sz w:val="20"/>
          <w:szCs w:val="20"/>
          <w:color w:val="auto"/>
        </w:rPr>
      </w:pPr>
    </w:p>
    <w:p>
      <w:pPr>
        <w:jc w:val="both"/>
        <w:ind w:left="4" w:firstLine="1716"/>
        <w:spacing w:after="0" w:line="287" w:lineRule="auto"/>
        <w:tabs>
          <w:tab w:leader="none" w:pos="1922" w:val="left"/>
        </w:tabs>
        <w:numPr>
          <w:ilvl w:val="2"/>
          <w:numId w:val="241"/>
        </w:numPr>
        <w:rPr>
          <w:rFonts w:ascii="Arial" w:cs="Arial" w:eastAsia="Arial" w:hAnsi="Arial"/>
          <w:sz w:val="15"/>
          <w:szCs w:val="15"/>
          <w:color w:val="auto"/>
        </w:rPr>
      </w:pPr>
      <w:r>
        <w:rPr>
          <w:rFonts w:ascii="Arial" w:cs="Arial" w:eastAsia="Arial" w:hAnsi="Arial"/>
          <w:sz w:val="15"/>
          <w:szCs w:val="15"/>
          <w:color w:val="auto"/>
        </w:rPr>
        <w:t>no suspension of the qualification of any of the Subscribed Securities or the Common Stock for offering or sale or trading in any jurisdiction, or initiation or threatening of any proceedings for any of such purposes, shall have occurred and the shares of Common Stock underlying the Subscribed Notes and Subscribed Warrants (the “</w:t>
      </w:r>
      <w:r>
        <w:rPr>
          <w:rFonts w:ascii="Arial" w:cs="Arial" w:eastAsia="Arial" w:hAnsi="Arial"/>
          <w:sz w:val="15"/>
          <w:szCs w:val="15"/>
          <w:u w:val="single" w:color="auto"/>
          <w:color w:val="auto"/>
        </w:rPr>
        <w:t>Underlying Shares</w:t>
      </w:r>
      <w:r>
        <w:rPr>
          <w:rFonts w:ascii="Arial" w:cs="Arial" w:eastAsia="Arial" w:hAnsi="Arial"/>
          <w:sz w:val="15"/>
          <w:szCs w:val="15"/>
          <w:color w:val="auto"/>
        </w:rPr>
        <w:t>”) shall have been approved for listing on The Nasdaq Stock Market LLC (“</w:t>
      </w:r>
      <w:r>
        <w:rPr>
          <w:rFonts w:ascii="Arial" w:cs="Arial" w:eastAsia="Arial" w:hAnsi="Arial"/>
          <w:sz w:val="15"/>
          <w:szCs w:val="15"/>
          <w:u w:val="single" w:color="auto"/>
          <w:color w:val="auto"/>
        </w:rPr>
        <w:t>NASDAQ</w:t>
      </w:r>
      <w:r>
        <w:rPr>
          <w:rFonts w:ascii="Arial" w:cs="Arial" w:eastAsia="Arial" w:hAnsi="Arial"/>
          <w:sz w:val="15"/>
          <w:szCs w:val="15"/>
          <w:color w:val="auto"/>
        </w:rPr>
        <w:t>”), subject to official notice of issuance;</w:t>
      </w:r>
    </w:p>
    <w:p>
      <w:pPr>
        <w:spacing w:after="0" w:line="146" w:lineRule="exact"/>
        <w:rPr>
          <w:rFonts w:ascii="Arial" w:cs="Arial" w:eastAsia="Arial" w:hAnsi="Arial"/>
          <w:sz w:val="15"/>
          <w:szCs w:val="15"/>
          <w:color w:val="auto"/>
        </w:rPr>
      </w:pPr>
    </w:p>
    <w:p>
      <w:pPr>
        <w:ind w:left="4" w:right="20" w:firstLine="1716"/>
        <w:spacing w:after="0" w:line="349" w:lineRule="auto"/>
        <w:tabs>
          <w:tab w:leader="none" w:pos="1983" w:val="left"/>
        </w:tabs>
        <w:numPr>
          <w:ilvl w:val="2"/>
          <w:numId w:val="241"/>
        </w:numPr>
        <w:rPr>
          <w:rFonts w:ascii="Arial" w:cs="Arial" w:eastAsia="Arial" w:hAnsi="Arial"/>
          <w:sz w:val="14"/>
          <w:szCs w:val="14"/>
          <w:color w:val="auto"/>
        </w:rPr>
      </w:pPr>
      <w:r>
        <w:rPr>
          <w:rFonts w:ascii="Arial" w:cs="Arial" w:eastAsia="Arial" w:hAnsi="Arial"/>
          <w:sz w:val="14"/>
          <w:szCs w:val="14"/>
          <w:color w:val="auto"/>
        </w:rPr>
        <w:t>all conditions precedent to the closing of the Transaction set forth in the Transaction Agreement, including the approval of the Company’s stockholders, shall have been satisfied or waived, and the closing of the Transaction shall be scheduled to occur concurrently with or immediately following the Closing; and</w:t>
      </w:r>
    </w:p>
    <w:p>
      <w:pPr>
        <w:spacing w:after="0" w:line="105" w:lineRule="exact"/>
        <w:rPr>
          <w:rFonts w:ascii="Arial" w:cs="Arial" w:eastAsia="Arial" w:hAnsi="Arial"/>
          <w:sz w:val="14"/>
          <w:szCs w:val="14"/>
          <w:color w:val="auto"/>
        </w:rPr>
      </w:pPr>
    </w:p>
    <w:p>
      <w:pPr>
        <w:jc w:val="both"/>
        <w:ind w:left="4" w:firstLine="1716"/>
        <w:spacing w:after="0" w:line="297" w:lineRule="auto"/>
        <w:tabs>
          <w:tab w:leader="none" w:pos="2018" w:val="left"/>
        </w:tabs>
        <w:numPr>
          <w:ilvl w:val="2"/>
          <w:numId w:val="241"/>
        </w:numPr>
        <w:rPr>
          <w:rFonts w:ascii="Arial" w:cs="Arial" w:eastAsia="Arial" w:hAnsi="Arial"/>
          <w:sz w:val="14"/>
          <w:szCs w:val="14"/>
          <w:color w:val="auto"/>
        </w:rPr>
      </w:pPr>
      <w:r>
        <w:rPr>
          <w:rFonts w:ascii="Arial" w:cs="Arial" w:eastAsia="Arial" w:hAnsi="Arial"/>
          <w:sz w:val="14"/>
          <w:szCs w:val="14"/>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(except in the case of a governmental authority located outside the United States where such judgment, order, law, rule or regulation would not be reasonably expected to have a Company Material Adverse Effect (as defined below));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have a Company Material Adverse Effect).</w:t>
      </w:r>
    </w:p>
    <w:p>
      <w:pPr>
        <w:spacing w:after="0" w:line="143" w:lineRule="exact"/>
        <w:rPr>
          <w:rFonts w:ascii="Arial" w:cs="Arial" w:eastAsia="Arial" w:hAnsi="Arial"/>
          <w:sz w:val="14"/>
          <w:szCs w:val="14"/>
          <w:color w:val="auto"/>
        </w:rPr>
      </w:pPr>
    </w:p>
    <w:p>
      <w:pPr>
        <w:ind w:left="4" w:right="20" w:firstLine="1143"/>
        <w:spacing w:after="0" w:line="275" w:lineRule="auto"/>
        <w:tabs>
          <w:tab w:leader="none" w:pos="1313"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obligation of the Company to consummate the Closing shall be subject to the satisfaction or valid waiver in writing by the Company of the additional conditions that, on the Closing Date:</w:t>
      </w:r>
    </w:p>
    <w:p>
      <w:pPr>
        <w:spacing w:after="0" w:line="151" w:lineRule="exact"/>
        <w:rPr>
          <w:rFonts w:ascii="Arial" w:cs="Arial" w:eastAsia="Arial" w:hAnsi="Arial"/>
          <w:sz w:val="16"/>
          <w:szCs w:val="16"/>
          <w:color w:val="auto"/>
        </w:rPr>
      </w:pPr>
    </w:p>
    <w:p>
      <w:pPr>
        <w:ind w:left="1924" w:hanging="204"/>
        <w:spacing w:after="0"/>
        <w:tabs>
          <w:tab w:leader="none" w:pos="1924" w:val="left"/>
        </w:tabs>
        <w:numPr>
          <w:ilvl w:val="2"/>
          <w:numId w:val="242"/>
        </w:numPr>
        <w:rPr>
          <w:rFonts w:ascii="Arial" w:cs="Arial" w:eastAsia="Arial" w:hAnsi="Arial"/>
          <w:sz w:val="14"/>
          <w:szCs w:val="14"/>
          <w:color w:val="auto"/>
        </w:rPr>
      </w:pPr>
      <w:r>
        <w:rPr>
          <w:rFonts w:ascii="Arial" w:cs="Arial" w:eastAsia="Arial" w:hAnsi="Arial"/>
          <w:sz w:val="14"/>
          <w:szCs w:val="14"/>
          <w:color w:val="auto"/>
        </w:rPr>
        <w:t>all representations and warranties of Subscriber contained in this Subscription Agreement are true and correct in all material respects (other than</w:t>
      </w:r>
    </w:p>
    <w:p>
      <w:pPr>
        <w:spacing w:after="0" w:line="42" w:lineRule="exact"/>
        <w:rPr>
          <w:rFonts w:ascii="Arial" w:cs="Arial" w:eastAsia="Arial" w:hAnsi="Arial"/>
          <w:sz w:val="14"/>
          <w:szCs w:val="14"/>
          <w:color w:val="auto"/>
        </w:rPr>
      </w:pPr>
    </w:p>
    <w:p>
      <w:pPr>
        <w:jc w:val="both"/>
        <w:ind w:left="4" w:right="20" w:hanging="4"/>
        <w:spacing w:after="0" w:line="254" w:lineRule="auto"/>
        <w:tabs>
          <w:tab w:leader="none" w:pos="23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those representations and warranties expressly made as of an earlier date, which shall be true and correct in all material respects as of such date, and (y) representations and warranties that are qualified as to materiality or Subscriber Material Adverse Effect (as defined below), which representations and warranties shall be true in all respects) at and as of the Closing Date; and</w:t>
      </w:r>
    </w:p>
    <w:p>
      <w:pPr>
        <w:spacing w:after="0" w:line="167" w:lineRule="exact"/>
        <w:rPr>
          <w:rFonts w:ascii="Arial" w:cs="Arial" w:eastAsia="Arial" w:hAnsi="Arial"/>
          <w:sz w:val="16"/>
          <w:szCs w:val="16"/>
          <w:color w:val="auto"/>
        </w:rPr>
      </w:pPr>
    </w:p>
    <w:p>
      <w:pPr>
        <w:jc w:val="both"/>
        <w:ind w:left="4" w:right="20" w:firstLine="1716"/>
        <w:spacing w:after="0" w:line="287" w:lineRule="auto"/>
        <w:tabs>
          <w:tab w:leader="none" w:pos="1971" w:val="left"/>
        </w:tabs>
        <w:numPr>
          <w:ilvl w:val="2"/>
          <w:numId w:val="243"/>
        </w:numPr>
        <w:rPr>
          <w:rFonts w:ascii="Arial" w:cs="Arial" w:eastAsia="Arial" w:hAnsi="Arial"/>
          <w:sz w:val="15"/>
          <w:szCs w:val="15"/>
          <w:color w:val="auto"/>
        </w:rPr>
      </w:pPr>
      <w:r>
        <w:rPr>
          <w:rFonts w:ascii="Arial" w:cs="Arial" w:eastAsia="Arial" w:hAnsi="Arial"/>
          <w:sz w:val="15"/>
          <w:szCs w:val="15"/>
          <w:color w:val="auto"/>
        </w:rPr>
        <w:t>Subscriber shall have performed, satisfied and complied in all material respects with all covenants, agreements and conditions required by this Subscription Agreement to be performed, satisfied or complied with by it at or prior to the Closing, except where the failure of such performance or compliance would not reasonably be expected to prevent, materially delay or materially impair the ability of the Company to consummate the Closing.</w:t>
      </w:r>
    </w:p>
    <w:p>
      <w:pPr>
        <w:spacing w:after="0" w:line="146" w:lineRule="exact"/>
        <w:rPr>
          <w:rFonts w:ascii="Arial" w:cs="Arial" w:eastAsia="Arial" w:hAnsi="Arial"/>
          <w:sz w:val="15"/>
          <w:szCs w:val="15"/>
          <w:color w:val="auto"/>
        </w:rPr>
      </w:pPr>
    </w:p>
    <w:p>
      <w:pPr>
        <w:ind w:left="4" w:right="20" w:firstLine="1143"/>
        <w:spacing w:after="0" w:line="275" w:lineRule="auto"/>
        <w:tabs>
          <w:tab w:leader="none" w:pos="1305"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The obligation of Subscriber to consummate the Closing shall be subject to the satisfaction or valid waiver by Subscriber of the additional conditions that, on the Closing Date:</w:t>
      </w:r>
    </w:p>
    <w:p>
      <w:pPr>
        <w:spacing w:after="0" w:line="151" w:lineRule="exact"/>
        <w:rPr>
          <w:rFonts w:ascii="Arial" w:cs="Arial" w:eastAsia="Arial" w:hAnsi="Arial"/>
          <w:sz w:val="16"/>
          <w:szCs w:val="16"/>
          <w:color w:val="auto"/>
        </w:rPr>
      </w:pPr>
    </w:p>
    <w:p>
      <w:pPr>
        <w:jc w:val="both"/>
        <w:ind w:left="4" w:firstLine="1716"/>
        <w:spacing w:after="0" w:line="258" w:lineRule="auto"/>
        <w:tabs>
          <w:tab w:leader="none" w:pos="1929" w:val="left"/>
        </w:tabs>
        <w:numPr>
          <w:ilvl w:val="2"/>
          <w:numId w:val="244"/>
        </w:numPr>
        <w:rPr>
          <w:rFonts w:ascii="Arial" w:cs="Arial" w:eastAsia="Arial" w:hAnsi="Arial"/>
          <w:sz w:val="16"/>
          <w:szCs w:val="16"/>
          <w:color w:val="auto"/>
        </w:rPr>
      </w:pPr>
      <w:r>
        <w:rPr>
          <w:rFonts w:ascii="Arial" w:cs="Arial" w:eastAsia="Arial" w:hAnsi="Arial"/>
          <w:sz w:val="16"/>
          <w:szCs w:val="16"/>
          <w:color w:val="auto"/>
        </w:rPr>
        <w:t>all representations and warranties of the Company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Company Material Adverse Effect (as defined below), which representations and warranties shall be true in all respects) at and as of the Closing Date;</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27" w:name="page228"/>
    <w:bookmarkEnd w:id="227"/>
    <w:p>
      <w:pPr>
        <w:ind w:right="20" w:firstLine="1716"/>
        <w:spacing w:after="0" w:line="275" w:lineRule="auto"/>
        <w:tabs>
          <w:tab w:leader="none" w:pos="195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Company shall have performed, satisfied and complied in all material respects with all covenants, agreements and conditions required by this Subscription Agreement to be performed, satisfied or complied with by it at or prior to the Closing;</w:t>
      </w:r>
    </w:p>
    <w:p>
      <w:pPr>
        <w:spacing w:after="0" w:line="151" w:lineRule="exact"/>
        <w:rPr>
          <w:rFonts w:ascii="Arial" w:cs="Arial" w:eastAsia="Arial" w:hAnsi="Arial"/>
          <w:sz w:val="16"/>
          <w:szCs w:val="16"/>
          <w:color w:val="auto"/>
        </w:rPr>
      </w:pPr>
    </w:p>
    <w:p>
      <w:pPr>
        <w:ind w:right="20" w:firstLine="1716"/>
        <w:spacing w:after="0" w:line="349" w:lineRule="auto"/>
        <w:tabs>
          <w:tab w:leader="none" w:pos="200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there shall have been no amendment, waiver or modification to the Transaction Agreement that materially and adversely affects the Company or the economic benefits that Subscriber would reasonably expect to receive under this Subscription Agreement without having received Subscriber’s prior written consent;</w:t>
      </w:r>
    </w:p>
    <w:p>
      <w:pPr>
        <w:spacing w:after="0" w:line="105" w:lineRule="exact"/>
        <w:rPr>
          <w:rFonts w:ascii="Arial" w:cs="Arial" w:eastAsia="Arial" w:hAnsi="Arial"/>
          <w:sz w:val="14"/>
          <w:szCs w:val="14"/>
          <w:color w:val="auto"/>
        </w:rPr>
      </w:pPr>
    </w:p>
    <w:p>
      <w:pPr>
        <w:jc w:val="both"/>
        <w:ind w:right="20" w:firstLine="1716"/>
        <w:spacing w:after="0" w:line="273" w:lineRule="auto"/>
        <w:tabs>
          <w:tab w:leader="none" w:pos="1999" w:val="left"/>
        </w:tabs>
        <w:numPr>
          <w:ilvl w:val="0"/>
          <w:numId w:val="245"/>
        </w:numPr>
        <w:rPr>
          <w:rFonts w:ascii="Arial" w:cs="Arial" w:eastAsia="Arial" w:hAnsi="Arial"/>
          <w:sz w:val="15"/>
          <w:szCs w:val="15"/>
          <w:color w:val="auto"/>
        </w:rPr>
      </w:pPr>
      <w:r>
        <w:rPr>
          <w:rFonts w:ascii="Arial" w:cs="Arial" w:eastAsia="Arial" w:hAnsi="Arial"/>
          <w:sz w:val="15"/>
          <w:szCs w:val="15"/>
          <w:color w:val="auto"/>
        </w:rPr>
        <w:t xml:space="preserve">the Company shall not have entered into any Other Subscription Agreement relating to Notes with a lower purchase price per $1,000 principal amount of the Subscribed Notes or other terms (economic or otherwise) more favorable to such Other Subscriber than as set forth in this Subscription Agreement, other than with respect to (a) the amounts and types of the Company’s securities to be subscribed for and purchased by the Other Subscribers, (b) certain fees payable by Presto and the purchase of Common Stock from the Sponsors (as defined herein) contemplated by </w:t>
      </w:r>
      <w:r>
        <w:rPr>
          <w:rFonts w:ascii="Arial" w:cs="Arial" w:eastAsia="Arial" w:hAnsi="Arial"/>
          <w:sz w:val="15"/>
          <w:szCs w:val="15"/>
          <w:u w:val="single" w:color="auto"/>
          <w:color w:val="auto"/>
        </w:rPr>
        <w:t>Section 1(b)</w:t>
      </w:r>
      <w:r>
        <w:rPr>
          <w:rFonts w:ascii="Arial" w:cs="Arial" w:eastAsia="Arial" w:hAnsi="Arial"/>
          <w:sz w:val="15"/>
          <w:szCs w:val="15"/>
          <w:color w:val="auto"/>
        </w:rPr>
        <w:t xml:space="preserve"> by [***] and [***] and their affiliates, (c) certain closing conditions in the Other Subscription Agreements relating to the Subscribed Notes, (d)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(e) certain registration rights;</w:t>
      </w:r>
    </w:p>
    <w:p>
      <w:pPr>
        <w:spacing w:after="0" w:line="156" w:lineRule="exact"/>
        <w:rPr>
          <w:rFonts w:ascii="Arial" w:cs="Arial" w:eastAsia="Arial" w:hAnsi="Arial"/>
          <w:sz w:val="15"/>
          <w:szCs w:val="15"/>
          <w:color w:val="auto"/>
        </w:rPr>
      </w:pPr>
    </w:p>
    <w:p>
      <w:pPr>
        <w:ind w:left="1940" w:hanging="224"/>
        <w:spacing w:after="0"/>
        <w:tabs>
          <w:tab w:leader="none" w:pos="194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there has not occurred a Company Material Adverse Effect;</w:t>
      </w:r>
    </w:p>
    <w:p>
      <w:pPr>
        <w:spacing w:after="0" w:line="198" w:lineRule="exact"/>
        <w:rPr>
          <w:rFonts w:ascii="Arial" w:cs="Arial" w:eastAsia="Arial" w:hAnsi="Arial"/>
          <w:sz w:val="16"/>
          <w:szCs w:val="16"/>
          <w:color w:val="auto"/>
        </w:rPr>
      </w:pPr>
    </w:p>
    <w:p>
      <w:pPr>
        <w:ind w:right="20" w:firstLine="1716"/>
        <w:spacing w:after="0" w:line="275" w:lineRule="auto"/>
        <w:tabs>
          <w:tab w:leader="none" w:pos="201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Company’s financial statements for the year ended June 30, 2021 shall have been audited and accompanied by a report and opinion of a registered public accounting firm prepared in accordance with audit standards of the Public Company Accounting Oversight Board;</w:t>
      </w:r>
    </w:p>
    <w:p>
      <w:pPr>
        <w:spacing w:after="0" w:line="151" w:lineRule="exact"/>
        <w:rPr>
          <w:rFonts w:ascii="Arial" w:cs="Arial" w:eastAsia="Arial" w:hAnsi="Arial"/>
          <w:sz w:val="16"/>
          <w:szCs w:val="16"/>
          <w:color w:val="auto"/>
        </w:rPr>
      </w:pPr>
    </w:p>
    <w:p>
      <w:pPr>
        <w:jc w:val="both"/>
        <w:ind w:firstLine="1716"/>
        <w:spacing w:after="0" w:line="258" w:lineRule="auto"/>
        <w:tabs>
          <w:tab w:leader="none" w:pos="2053" w:val="left"/>
        </w:tabs>
        <w:numPr>
          <w:ilvl w:val="0"/>
          <w:numId w:val="245"/>
        </w:numPr>
        <w:rPr>
          <w:rFonts w:ascii="Arial" w:cs="Arial" w:eastAsia="Arial" w:hAnsi="Arial"/>
          <w:sz w:val="16"/>
          <w:szCs w:val="16"/>
          <w:color w:val="auto"/>
        </w:rPr>
      </w:pPr>
      <w:r>
        <w:rPr>
          <w:rFonts w:ascii="Arial" w:cs="Arial" w:eastAsia="Arial" w:hAnsi="Arial"/>
          <w:sz w:val="16"/>
          <w:szCs w:val="16"/>
          <w:color w:val="auto"/>
        </w:rPr>
        <w:t>provided the Transaction is consummated, the Company shall have paid all reasonable and documented out-of-pocket legal, accounting and diligence fees and expenses of Subscriber incurred in connection with this Subscription Agreement, the Indenture and the other documents relating thereto, including the reasonable and documented fees and expenses of Milbank LLP, as counsel to Subscriber, such fees and expenses not to exceed [***] in the aggregate, to the extent invoiced at least one (1) Business Day prior to the Closing Date;</w:t>
      </w:r>
    </w:p>
    <w:p>
      <w:pPr>
        <w:spacing w:after="0" w:line="164" w:lineRule="exact"/>
        <w:rPr>
          <w:rFonts w:ascii="Arial" w:cs="Arial" w:eastAsia="Arial" w:hAnsi="Arial"/>
          <w:sz w:val="16"/>
          <w:szCs w:val="16"/>
          <w:color w:val="auto"/>
        </w:rPr>
      </w:pPr>
    </w:p>
    <w:p>
      <w:pPr>
        <w:jc w:val="both"/>
        <w:ind w:right="20" w:firstLine="1716"/>
        <w:spacing w:after="0" w:line="349" w:lineRule="auto"/>
        <w:tabs>
          <w:tab w:leader="none" w:pos="2086" w:val="left"/>
        </w:tabs>
        <w:numPr>
          <w:ilvl w:val="0"/>
          <w:numId w:val="245"/>
        </w:numPr>
        <w:rPr>
          <w:rFonts w:ascii="Arial" w:cs="Arial" w:eastAsia="Arial" w:hAnsi="Arial"/>
          <w:sz w:val="14"/>
          <w:szCs w:val="14"/>
          <w:color w:val="auto"/>
        </w:rPr>
      </w:pPr>
      <w:r>
        <w:rPr>
          <w:rFonts w:ascii="Arial" w:cs="Arial" w:eastAsia="Arial" w:hAnsi="Arial"/>
          <w:sz w:val="14"/>
          <w:szCs w:val="14"/>
          <w:color w:val="auto"/>
        </w:rPr>
        <w:t>provided the Transaction is consummated, the Company shall have paid a one-time fee to Subscriber equal to 2.0% of the aggregate principal amount of the Subscribed Notes, and the Sponsors shall have transferred an aggregate of 300,000 of the shares of Common Stock that are owned by the Sponsors to Subscriber;</w:t>
      </w:r>
    </w:p>
    <w:p>
      <w:pPr>
        <w:spacing w:after="0" w:line="105" w:lineRule="exact"/>
        <w:rPr>
          <w:rFonts w:ascii="Arial" w:cs="Arial" w:eastAsia="Arial" w:hAnsi="Arial"/>
          <w:sz w:val="14"/>
          <w:szCs w:val="14"/>
          <w:color w:val="auto"/>
        </w:rPr>
      </w:pPr>
    </w:p>
    <w:p>
      <w:pPr>
        <w:ind w:firstLine="1716"/>
        <w:spacing w:after="0" w:line="275" w:lineRule="auto"/>
        <w:tabs>
          <w:tab w:leader="none" w:pos="199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there shall be no Default or Event of Default (each as defined in the Indenture) under the Indenture as of the Closing Date on a pro forma basis after giving effect to the Transaction;</w:t>
      </w:r>
    </w:p>
    <w:p>
      <w:pPr>
        <w:spacing w:after="0" w:line="151" w:lineRule="exact"/>
        <w:rPr>
          <w:rFonts w:ascii="Arial" w:cs="Arial" w:eastAsia="Arial" w:hAnsi="Arial"/>
          <w:sz w:val="16"/>
          <w:szCs w:val="16"/>
          <w:color w:val="auto"/>
        </w:rPr>
      </w:pPr>
    </w:p>
    <w:p>
      <w:pPr>
        <w:jc w:val="both"/>
        <w:ind w:right="20" w:firstLine="1716"/>
        <w:spacing w:after="0" w:line="255" w:lineRule="auto"/>
        <w:tabs>
          <w:tab w:leader="none" w:pos="195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Company shall not have received any consideration from any Other Subscriber that is not otherwise contemplated in such Other Subscription Agreement as in effect as of the date hereof in order to, directly or indirectly, induce the Company or any Subsidiary (i) to treat such Other Subscriber in a manner that is more favorable than the Subscriber, or (ii) to treat the Subscriber in a manner that is less favorable than any Other Subscriber; provided, however, that the determination of whether the Subscriber has been treated more or less favorably than any Other Subscriber shall disregard any other securities (other than the Subscribed Notes) of the Company purchased by the Subscriber or Other Subscriber, respectively;</w:t>
      </w:r>
    </w:p>
    <w:p>
      <w:pPr>
        <w:spacing w:after="0" w:line="169" w:lineRule="exact"/>
        <w:rPr>
          <w:rFonts w:ascii="Arial" w:cs="Arial" w:eastAsia="Arial" w:hAnsi="Arial"/>
          <w:sz w:val="16"/>
          <w:szCs w:val="16"/>
          <w:color w:val="auto"/>
        </w:rPr>
      </w:pPr>
    </w:p>
    <w:p>
      <w:pPr>
        <w:jc w:val="both"/>
        <w:ind w:right="20" w:firstLine="1716"/>
        <w:spacing w:after="0" w:line="317" w:lineRule="auto"/>
        <w:tabs>
          <w:tab w:leader="none" w:pos="199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if the gross proceeds of the Notes are equal to or greater than $70.0 million on the Closing Date, the Company shall have applied $15,000,000 of the Purchase Price substantially concurrently with the Closing to repay the existing senior secured debt of Company under the Venture Loan and Security Agreement, dated as of March 5, 2021, by and between Horizon Technology Finance Corporation, as lender and collateral agent, and Presto, as borrower (“</w:t>
      </w:r>
      <w:r>
        <w:rPr>
          <w:rFonts w:ascii="Arial" w:cs="Arial" w:eastAsia="Arial" w:hAnsi="Arial"/>
          <w:sz w:val="14"/>
          <w:szCs w:val="14"/>
          <w:u w:val="single" w:color="auto"/>
          <w:color w:val="auto"/>
        </w:rPr>
        <w:t>Horizon Credit Facility</w:t>
      </w:r>
      <w:r>
        <w:rPr>
          <w:rFonts w:ascii="Arial" w:cs="Arial" w:eastAsia="Arial" w:hAnsi="Arial"/>
          <w:sz w:val="14"/>
          <w:szCs w:val="14"/>
          <w:color w:val="auto"/>
        </w:rPr>
        <w: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8" w:name="page229"/>
    <w:bookmarkEnd w:id="228"/>
    <w:p>
      <w:pPr>
        <w:ind w:right="20" w:firstLine="1716"/>
        <w:spacing w:after="0" w:line="275" w:lineRule="auto"/>
        <w:tabs>
          <w:tab w:leader="none" w:pos="2042" w:val="left"/>
        </w:tabs>
        <w:numPr>
          <w:ilvl w:val="2"/>
          <w:numId w:val="246"/>
        </w:numPr>
        <w:rPr>
          <w:rFonts w:ascii="Arial" w:cs="Arial" w:eastAsia="Arial" w:hAnsi="Arial"/>
          <w:sz w:val="16"/>
          <w:szCs w:val="16"/>
          <w:color w:val="auto"/>
        </w:rPr>
      </w:pPr>
      <w:r>
        <w:rPr>
          <w:rFonts w:ascii="Arial" w:cs="Arial" w:eastAsia="Arial" w:hAnsi="Arial"/>
          <w:sz w:val="16"/>
          <w:szCs w:val="16"/>
          <w:color w:val="auto"/>
        </w:rPr>
        <w:t>if the gross proceeds of the issuance of Common Stock pursuant to the Other Subscription Agreements is less than $35 million on the Closing Date, the Indenture shall have reflected an increase of 1.5% in both the cash and PIK interest rates; and</w:t>
      </w:r>
    </w:p>
    <w:p>
      <w:pPr>
        <w:spacing w:after="0" w:line="151" w:lineRule="exact"/>
        <w:rPr>
          <w:rFonts w:ascii="Arial" w:cs="Arial" w:eastAsia="Arial" w:hAnsi="Arial"/>
          <w:sz w:val="16"/>
          <w:szCs w:val="16"/>
          <w:color w:val="auto"/>
        </w:rPr>
      </w:pPr>
    </w:p>
    <w:p>
      <w:pPr>
        <w:ind w:left="2080" w:hanging="364"/>
        <w:spacing w:after="0"/>
        <w:tabs>
          <w:tab w:leader="none" w:pos="2080" w:val="left"/>
        </w:tabs>
        <w:numPr>
          <w:ilvl w:val="2"/>
          <w:numId w:val="246"/>
        </w:numPr>
        <w:rPr>
          <w:rFonts w:ascii="Arial" w:cs="Arial" w:eastAsia="Arial" w:hAnsi="Arial"/>
          <w:sz w:val="16"/>
          <w:szCs w:val="16"/>
          <w:color w:val="auto"/>
        </w:rPr>
      </w:pPr>
      <w:r>
        <w:rPr>
          <w:rFonts w:ascii="Arial" w:cs="Arial" w:eastAsia="Arial" w:hAnsi="Arial"/>
          <w:sz w:val="16"/>
          <w:szCs w:val="16"/>
          <w:color w:val="auto"/>
        </w:rPr>
        <w:t>the Company and Subscriber shall have entered into the Confidentiality Agreement.</w:t>
      </w:r>
    </w:p>
    <w:p>
      <w:pPr>
        <w:spacing w:after="0" w:line="198" w:lineRule="exact"/>
        <w:rPr>
          <w:rFonts w:ascii="Arial" w:cs="Arial" w:eastAsia="Arial" w:hAnsi="Arial"/>
          <w:sz w:val="16"/>
          <w:szCs w:val="16"/>
          <w:color w:val="auto"/>
        </w:rPr>
      </w:pPr>
    </w:p>
    <w:p>
      <w:pPr>
        <w:ind w:left="1280" w:hanging="137"/>
        <w:spacing w:after="0"/>
        <w:tabs>
          <w:tab w:leader="none" w:pos="1280" w:val="left"/>
        </w:tabs>
        <w:numPr>
          <w:ilvl w:val="1"/>
          <w:numId w:val="247"/>
        </w:numPr>
        <w:rPr>
          <w:rFonts w:ascii="Arial" w:cs="Arial" w:eastAsia="Arial" w:hAnsi="Arial"/>
          <w:sz w:val="14"/>
          <w:szCs w:val="14"/>
          <w:color w:val="auto"/>
        </w:rPr>
      </w:pPr>
      <w:r>
        <w:rPr>
          <w:rFonts w:ascii="Arial" w:cs="Arial" w:eastAsia="Arial" w:hAnsi="Arial"/>
          <w:sz w:val="14"/>
          <w:szCs w:val="14"/>
          <w:color w:val="auto"/>
        </w:rPr>
        <w:t>Prior to or at the Closing, Subscriber shall deliver to the Company a duly completed and executed Internal Revenue Service Form W-9 or appropriate Form</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W-8.</w:t>
      </w:r>
    </w:p>
    <w:p>
      <w:pPr>
        <w:spacing w:after="0" w:line="185" w:lineRule="exact"/>
        <w:rPr>
          <w:rFonts w:ascii="Arial" w:cs="Arial" w:eastAsia="Arial" w:hAnsi="Arial"/>
          <w:sz w:val="14"/>
          <w:szCs w:val="14"/>
          <w:color w:val="auto"/>
        </w:rPr>
      </w:pPr>
    </w:p>
    <w:p>
      <w:pPr>
        <w:ind w:left="1340" w:hanging="197"/>
        <w:spacing w:after="0"/>
        <w:tabs>
          <w:tab w:leader="none" w:pos="1340" w:val="left"/>
        </w:tabs>
        <w:numPr>
          <w:ilvl w:val="1"/>
          <w:numId w:val="247"/>
        </w:numPr>
        <w:rPr>
          <w:rFonts w:ascii="Arial" w:cs="Arial" w:eastAsia="Arial" w:hAnsi="Arial"/>
          <w:sz w:val="15"/>
          <w:szCs w:val="15"/>
          <w:color w:val="auto"/>
        </w:rPr>
      </w:pPr>
      <w:r>
        <w:rPr>
          <w:rFonts w:ascii="Arial" w:cs="Arial" w:eastAsia="Arial" w:hAnsi="Arial"/>
          <w:sz w:val="15"/>
          <w:szCs w:val="15"/>
          <w:color w:val="auto"/>
        </w:rPr>
        <w:t>For the avoidance of doubt, the Closing shall not be subject to Company’s consummation of the transactions pursuant to the Other Subscription</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Agreements.</w:t>
      </w:r>
    </w:p>
    <w:p>
      <w:pPr>
        <w:spacing w:after="0" w:line="185" w:lineRule="exact"/>
        <w:rPr>
          <w:rFonts w:ascii="Arial" w:cs="Arial" w:eastAsia="Arial" w:hAnsi="Arial"/>
          <w:sz w:val="15"/>
          <w:szCs w:val="15"/>
          <w:color w:val="auto"/>
        </w:rPr>
      </w:pPr>
    </w:p>
    <w:p>
      <w:pPr>
        <w:ind w:left="720" w:hanging="151"/>
        <w:spacing w:after="0"/>
        <w:tabs>
          <w:tab w:leader="none" w:pos="720"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Company Representations and Warranties</w:t>
      </w:r>
      <w:r>
        <w:rPr>
          <w:rFonts w:ascii="Arial" w:cs="Arial" w:eastAsia="Arial" w:hAnsi="Arial"/>
          <w:sz w:val="16"/>
          <w:szCs w:val="16"/>
          <w:color w:val="auto"/>
        </w:rPr>
        <w:t>. The Company represents and warrants to Subscriber and the Placement Agents (as defined below) that:</w:t>
      </w:r>
    </w:p>
    <w:p>
      <w:pPr>
        <w:spacing w:after="0" w:line="198" w:lineRule="exact"/>
        <w:rPr>
          <w:rFonts w:ascii="Arial" w:cs="Arial" w:eastAsia="Arial" w:hAnsi="Arial"/>
          <w:sz w:val="16"/>
          <w:szCs w:val="16"/>
          <w:color w:val="auto"/>
        </w:rPr>
      </w:pPr>
    </w:p>
    <w:p>
      <w:pPr>
        <w:jc w:val="both"/>
        <w:ind w:firstLine="1143"/>
        <w:spacing w:after="0" w:line="270" w:lineRule="auto"/>
        <w:tabs>
          <w:tab w:leader="none" w:pos="1297" w:val="left"/>
        </w:tabs>
        <w:numPr>
          <w:ilvl w:val="1"/>
          <w:numId w:val="248"/>
        </w:numPr>
        <w:rPr>
          <w:rFonts w:ascii="Arial" w:cs="Arial" w:eastAsia="Arial" w:hAnsi="Arial"/>
          <w:sz w:val="15"/>
          <w:szCs w:val="15"/>
          <w:color w:val="auto"/>
        </w:rPr>
      </w:pPr>
      <w:r>
        <w:rPr>
          <w:rFonts w:ascii="Arial" w:cs="Arial" w:eastAsia="Arial" w:hAnsi="Arial"/>
          <w:sz w:val="15"/>
          <w:szCs w:val="15"/>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Subscription Agreement, a “</w:t>
      </w:r>
      <w:r>
        <w:rPr>
          <w:rFonts w:ascii="Arial" w:cs="Arial" w:eastAsia="Arial" w:hAnsi="Arial"/>
          <w:sz w:val="15"/>
          <w:szCs w:val="15"/>
          <w:u w:val="single" w:color="auto"/>
          <w:color w:val="auto"/>
        </w:rPr>
        <w:t>Company Material Adverse Effect</w:t>
      </w:r>
      <w:r>
        <w:rPr>
          <w:rFonts w:ascii="Arial" w:cs="Arial" w:eastAsia="Arial" w:hAnsi="Arial"/>
          <w:sz w:val="15"/>
          <w:szCs w:val="15"/>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Subscription Agreement, including the sale of the Subscribed Securities, the Transaction Agreement or the consummation of the Transaction.</w:t>
      </w:r>
    </w:p>
    <w:p>
      <w:pPr>
        <w:spacing w:after="0" w:line="162" w:lineRule="exact"/>
        <w:rPr>
          <w:rFonts w:ascii="Arial" w:cs="Arial" w:eastAsia="Arial" w:hAnsi="Arial"/>
          <w:sz w:val="15"/>
          <w:szCs w:val="15"/>
          <w:color w:val="auto"/>
        </w:rPr>
      </w:pPr>
    </w:p>
    <w:p>
      <w:pPr>
        <w:jc w:val="both"/>
        <w:ind w:right="20" w:firstLine="1143"/>
        <w:spacing w:after="0" w:line="276" w:lineRule="auto"/>
        <w:tabs>
          <w:tab w:leader="none" w:pos="1308" w:val="left"/>
        </w:tabs>
        <w:numPr>
          <w:ilvl w:val="1"/>
          <w:numId w:val="248"/>
        </w:numPr>
        <w:rPr>
          <w:rFonts w:ascii="Arial" w:cs="Arial" w:eastAsia="Arial" w:hAnsi="Arial"/>
          <w:sz w:val="15"/>
          <w:szCs w:val="15"/>
          <w:color w:val="auto"/>
        </w:rPr>
      </w:pPr>
      <w:r>
        <w:rPr>
          <w:rFonts w:ascii="Arial" w:cs="Arial" w:eastAsia="Arial" w:hAnsi="Arial"/>
          <w:sz w:val="15"/>
          <w:szCs w:val="15"/>
          <w:color w:val="auto"/>
        </w:rPr>
        <w:t>As of the Closing Date, the Subscribed Notes and Subscribed Warrants will be duly authorized and, when issued and delivered to Subscriber against full payment therefor in accordance with the terms of this Subscription Agreement, will be validly issued and will constitute legal, valid and binding obligations of the Company, enforceable against the Company in accordance with their terms, except that the enforcement thereof may be subject to applicable bankruptcy, insolvency or similar laws affecting creditors’ rights generally or by equitable principles relating to enforceability (collectively, the “Enforceability Exceptions”), and will not have been issued in violation of any preemptive rights created under the Company’s organizational documents or the laws of the State of Delaware.</w:t>
      </w:r>
    </w:p>
    <w:p>
      <w:pPr>
        <w:spacing w:after="0" w:line="155" w:lineRule="exact"/>
        <w:rPr>
          <w:rFonts w:ascii="Arial" w:cs="Arial" w:eastAsia="Arial" w:hAnsi="Arial"/>
          <w:sz w:val="15"/>
          <w:szCs w:val="15"/>
          <w:color w:val="auto"/>
        </w:rPr>
      </w:pPr>
    </w:p>
    <w:p>
      <w:pPr>
        <w:jc w:val="both"/>
        <w:ind w:right="20" w:firstLine="1143"/>
        <w:spacing w:after="0" w:line="262" w:lineRule="auto"/>
        <w:tabs>
          <w:tab w:leader="none" w:pos="130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Underlying Shares have been duly authorized and, when issued and delivered to Subscriber upon conversion of the Subscribed Notes or Subscribed Warrants, will be validly issued, fully paid and nonassessable and will not have been issued in violation of any preemptive rights created under the Company’s organizational documents or the laws of the State of Delaware.</w:t>
      </w:r>
    </w:p>
    <w:p>
      <w:pPr>
        <w:spacing w:after="0" w:line="162" w:lineRule="exact"/>
        <w:rPr>
          <w:rFonts w:ascii="Arial" w:cs="Arial" w:eastAsia="Arial" w:hAnsi="Arial"/>
          <w:sz w:val="16"/>
          <w:szCs w:val="16"/>
          <w:color w:val="auto"/>
        </w:rPr>
      </w:pPr>
    </w:p>
    <w:p>
      <w:pPr>
        <w:jc w:val="both"/>
        <w:ind w:firstLine="1143"/>
        <w:spacing w:after="0" w:line="262" w:lineRule="auto"/>
        <w:tabs>
          <w:tab w:leader="none" w:pos="1329"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that the enforcement thereof may be subject to the Enforceability Exceptions.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9" w:name="page230"/>
    <w:bookmarkEnd w:id="229"/>
    <w:p>
      <w:pPr>
        <w:jc w:val="both"/>
        <w:ind w:right="20" w:firstLine="1147"/>
        <w:spacing w:after="0" w:line="262" w:lineRule="auto"/>
        <w:rPr>
          <w:sz w:val="20"/>
          <w:szCs w:val="20"/>
          <w:color w:val="auto"/>
        </w:rPr>
      </w:pPr>
      <w:r>
        <w:rPr>
          <w:rFonts w:ascii="Arial" w:cs="Arial" w:eastAsia="Arial" w:hAnsi="Arial"/>
          <w:sz w:val="16"/>
          <w:szCs w:val="16"/>
          <w:color w:val="auto"/>
        </w:rPr>
        <w:t>e. The Indenture has been duly authorized by the Company and, when duly authorized, executed and delivered by the Trustee, shall constitute the valid and legally binding obligation of the Company, enforceable against the Company in accordance with its terms, except that the enforcement thereof may be subject to the Enforceability Exceptions.</w:t>
      </w:r>
    </w:p>
    <w:p>
      <w:pPr>
        <w:spacing w:after="0" w:line="162" w:lineRule="exact"/>
        <w:rPr>
          <w:sz w:val="20"/>
          <w:szCs w:val="20"/>
          <w:color w:val="auto"/>
        </w:rPr>
      </w:pPr>
    </w:p>
    <w:p>
      <w:pPr>
        <w:jc w:val="both"/>
        <w:ind w:firstLine="1143"/>
        <w:spacing w:after="0" w:line="271" w:lineRule="auto"/>
        <w:tabs>
          <w:tab w:leader="none" w:pos="1361"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execution and delivery of this Subscription Agreement, the issuance and sale of the Subscribed Securities, the issuance and delivery of the Underlying Shares in accordance with the terms of the Indenture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 including the issuance and sale of the Subscribed Securities.</w:t>
      </w:r>
    </w:p>
    <w:p>
      <w:pPr>
        <w:spacing w:after="0" w:line="159" w:lineRule="exact"/>
        <w:rPr>
          <w:rFonts w:ascii="Arial" w:cs="Arial" w:eastAsia="Arial" w:hAnsi="Arial"/>
          <w:sz w:val="15"/>
          <w:szCs w:val="15"/>
          <w:color w:val="auto"/>
        </w:rPr>
      </w:pPr>
    </w:p>
    <w:p>
      <w:pPr>
        <w:jc w:val="both"/>
        <w:ind w:firstLine="1143"/>
        <w:spacing w:after="0" w:line="276" w:lineRule="auto"/>
        <w:tabs>
          <w:tab w:leader="none" w:pos="1312" w:val="left"/>
        </w:tabs>
        <w:numPr>
          <w:ilvl w:val="0"/>
          <w:numId w:val="249"/>
        </w:numPr>
        <w:rPr>
          <w:rFonts w:ascii="Arial" w:cs="Arial" w:eastAsia="Arial" w:hAnsi="Arial"/>
          <w:sz w:val="15"/>
          <w:szCs w:val="15"/>
          <w:color w:val="auto"/>
        </w:rPr>
      </w:pPr>
      <w:r>
        <w:rPr>
          <w:rFonts w:ascii="Arial" w:cs="Arial" w:eastAsia="Arial" w:hAnsi="Arial"/>
          <w:sz w:val="15"/>
          <w:szCs w:val="15"/>
          <w:color w:val="auto"/>
        </w:rPr>
        <w:t xml:space="preserve">The Subscribed Securities are not, and following the Closing, will not be, subject to any Transfer Restriction. The term “Transfer Restriction” means any condition to or restriction on the ability of the undersigned to pledge, sell, assign or otherwise transfer the Subscribed Securities under any organizational document, policy or agreement of, by or with the Company, but excluding the restrictions on transfer described in the Indenture, the Warrant Agreement, the Registration Rights Agreement and </w:t>
      </w:r>
      <w:r>
        <w:rPr>
          <w:rFonts w:ascii="Arial" w:cs="Arial" w:eastAsia="Arial" w:hAnsi="Arial"/>
          <w:sz w:val="15"/>
          <w:szCs w:val="15"/>
          <w:u w:val="single" w:color="auto"/>
          <w:color w:val="auto"/>
        </w:rPr>
        <w:t>Section 4(e)</w:t>
      </w:r>
      <w:r>
        <w:rPr>
          <w:rFonts w:ascii="Arial" w:cs="Arial" w:eastAsia="Arial" w:hAnsi="Arial"/>
          <w:sz w:val="15"/>
          <w:szCs w:val="15"/>
          <w:color w:val="auto"/>
        </w:rPr>
        <w:t xml:space="preserve"> of this Subscription Agreement with respect to the status of the Subscribed Securities as “restricted securities” pending their registration for resale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in accordance with the terms of this Subscription Agreement.</w:t>
      </w:r>
    </w:p>
    <w:p>
      <w:pPr>
        <w:spacing w:after="0" w:line="155" w:lineRule="exact"/>
        <w:rPr>
          <w:rFonts w:ascii="Arial" w:cs="Arial" w:eastAsia="Arial" w:hAnsi="Arial"/>
          <w:sz w:val="15"/>
          <w:szCs w:val="15"/>
          <w:color w:val="auto"/>
        </w:rPr>
      </w:pPr>
    </w:p>
    <w:p>
      <w:pPr>
        <w:jc w:val="both"/>
        <w:ind w:firstLine="1143"/>
        <w:spacing w:after="0" w:line="270" w:lineRule="auto"/>
        <w:tabs>
          <w:tab w:leader="none" w:pos="1312" w:val="left"/>
        </w:tabs>
        <w:numPr>
          <w:ilvl w:val="0"/>
          <w:numId w:val="249"/>
        </w:numPr>
        <w:rPr>
          <w:rFonts w:ascii="Arial" w:cs="Arial" w:eastAsia="Arial" w:hAnsi="Arial"/>
          <w:sz w:val="15"/>
          <w:szCs w:val="15"/>
          <w:color w:val="auto"/>
        </w:rPr>
      </w:pPr>
      <w:r>
        <w:rPr>
          <w:rFonts w:ascii="Arial" w:cs="Arial" w:eastAsia="Arial" w:hAnsi="Arial"/>
          <w:sz w:val="15"/>
          <w:szCs w:val="15"/>
          <w:color w:val="auto"/>
        </w:rPr>
        <w:t xml:space="preserve">Assuming the accuracy of the representations and warranties of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Subscription Agreement (including, without limitation, the issuance of the Subscribed Securities), other than (i) filings required by applicable state securities laws, (ii) the filing of the registration statement pursuant to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below, (iii) the filing of a Notice of Exempt Offering of Securities on Form D with the United States Securities and Exchange Commission (“</w:t>
      </w:r>
      <w:r>
        <w:rPr>
          <w:rFonts w:ascii="Arial" w:cs="Arial" w:eastAsia="Arial" w:hAnsi="Arial"/>
          <w:sz w:val="15"/>
          <w:szCs w:val="15"/>
          <w:u w:val="single" w:color="auto"/>
          <w:color w:val="auto"/>
        </w:rPr>
        <w:t>Commission</w:t>
      </w:r>
      <w:r>
        <w:rPr>
          <w:rFonts w:ascii="Arial" w:cs="Arial" w:eastAsia="Arial" w:hAnsi="Arial"/>
          <w:sz w:val="15"/>
          <w:szCs w:val="15"/>
          <w:color w:val="auto"/>
        </w:rPr>
        <w:t>”) under Regulation D of the Securities Act, if applicable; (iv) those required by the Nasdaq Stock Market, including with respect to obtaining shareholder approval, (v) those required to consummate the Transaction as provided under the Transaction Agreement, (vi) the filing of notification under the Hart-Scott-Rodino Antitrust Improvements Act of 1976, if applicable, (vii) such as have been or will have been obtained, made or given on or prior to the Closing Date, and (viii) those the failure of which to obtain would not be reasonably likely to have a Company Material Adverse Effect or have a material adverse effect on the Company’s ability to consummate the transactions contemplated hereby, including the issuance and sale of the Subscribed Securities.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0" w:name="page231"/>
    <w:bookmarkEnd w:id="230"/>
    <w:p>
      <w:pPr>
        <w:jc w:val="both"/>
        <w:ind w:firstLine="1147"/>
        <w:spacing w:after="0" w:line="290" w:lineRule="auto"/>
        <w:rPr>
          <w:sz w:val="20"/>
          <w:szCs w:val="20"/>
          <w:color w:val="auto"/>
        </w:rPr>
      </w:pPr>
      <w:r>
        <w:rPr>
          <w:rFonts w:ascii="Arial" w:cs="Arial" w:eastAsia="Arial" w:hAnsi="Arial"/>
          <w:sz w:val="14"/>
          <w:szCs w:val="14"/>
          <w:color w:val="auto"/>
        </w:rPr>
        <w:t>i. As of their respective dates, all reports required to be filed by the Company with the Commission (the “</w:t>
      </w:r>
      <w:r>
        <w:rPr>
          <w:rFonts w:ascii="Arial" w:cs="Arial" w:eastAsia="Arial" w:hAnsi="Arial"/>
          <w:sz w:val="14"/>
          <w:szCs w:val="14"/>
          <w:u w:val="single" w:color="auto"/>
          <w:color w:val="auto"/>
        </w:rPr>
        <w:t>SEC Reports</w:t>
      </w:r>
      <w:r>
        <w:rPr>
          <w:rFonts w:ascii="Arial" w:cs="Arial" w:eastAsia="Arial" w:hAnsi="Arial"/>
          <w:sz w:val="14"/>
          <w:szCs w:val="14"/>
          <w:color w:val="auto"/>
        </w:rPr>
        <w:t>”) complied in all material respects with the requirements of the Securities Act and the Securities Exchange Act of 1934,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description of the business and financial information of Presto set forth in the presentation dated November 2021 (the “</w:t>
      </w:r>
      <w:r>
        <w:rPr>
          <w:rFonts w:ascii="Arial" w:cs="Arial" w:eastAsia="Arial" w:hAnsi="Arial"/>
          <w:sz w:val="14"/>
          <w:szCs w:val="14"/>
          <w:u w:val="single" w:color="auto"/>
          <w:color w:val="auto"/>
        </w:rPr>
        <w:t>Investor Presentation</w:t>
      </w:r>
      <w:r>
        <w:rPr>
          <w:rFonts w:ascii="Arial" w:cs="Arial" w:eastAsia="Arial" w:hAnsi="Arial"/>
          <w:sz w:val="14"/>
          <w:szCs w:val="14"/>
          <w:color w:val="auto"/>
        </w:rPr>
        <w:t>”) made available to the undersigned prior to the execution of this Subscription Agreement, and as amended through the Closing Date, shall be consistent in all material respects with the description of the business and financial information of Presto described or included in the proxy statement of the Company filed in connection with the approval of the Transaction by the stockholders of the Company. Notwithstanding the foregoing, with respect to the proxy statement/prospectus to be filed by the Issuer with respect to the Transactions or any other information relating to the Transactions or to Target or any of its affiliates included in any SEC Report or filed as an exhibit thereto, the representation and warranty in this sentence is made to the Company’s knowledge.</w:t>
      </w:r>
    </w:p>
    <w:p>
      <w:pPr>
        <w:spacing w:after="0" w:line="151" w:lineRule="exact"/>
        <w:rPr>
          <w:sz w:val="20"/>
          <w:szCs w:val="20"/>
          <w:color w:val="auto"/>
        </w:rPr>
      </w:pPr>
    </w:p>
    <w:p>
      <w:pPr>
        <w:jc w:val="both"/>
        <w:ind w:firstLine="1147"/>
        <w:spacing w:after="0" w:line="286" w:lineRule="auto"/>
        <w:rPr>
          <w:sz w:val="20"/>
          <w:szCs w:val="20"/>
          <w:color w:val="auto"/>
        </w:rPr>
      </w:pPr>
      <w:r>
        <w:rPr>
          <w:rFonts w:ascii="Arial" w:cs="Arial" w:eastAsia="Arial" w:hAnsi="Arial"/>
          <w:sz w:val="14"/>
          <w:szCs w:val="14"/>
          <w:color w:val="auto"/>
        </w:rPr>
        <w:t>j. As of the date hereof and as of immediately prior to the Closing, the authorized share capital of the Company consists of 50,000,000 shares of Common stock and 1,000,000 preferred shares, par value $0.0001 per share (“Preferred Shares”). As of the Closing Date (and immediately after the consummation of the Transaction), the authorized share capital of the Company will consist of 180,000,000 shares of Common Stock and 1,500,000 Preferred Shares. As of the date hereof and as of immediately prior to the Closing: (i) 17,250,000 shares of Common Stock (excluding shares held by the Sponsors (the “</w:t>
      </w:r>
      <w:r>
        <w:rPr>
          <w:rFonts w:ascii="Arial" w:cs="Arial" w:eastAsia="Arial" w:hAnsi="Arial"/>
          <w:sz w:val="14"/>
          <w:szCs w:val="14"/>
          <w:u w:val="single" w:color="auto"/>
          <w:color w:val="auto"/>
        </w:rPr>
        <w:t>Founder Shares</w:t>
      </w:r>
      <w:r>
        <w:rPr>
          <w:rFonts w:ascii="Arial" w:cs="Arial" w:eastAsia="Arial" w:hAnsi="Arial"/>
          <w:sz w:val="14"/>
          <w:szCs w:val="14"/>
          <w:color w:val="auto"/>
        </w:rPr>
        <w:t>”)), 4,312,500 Founder Shares and no Preferred Shares were issued and outstanding; (ii) 17,250,000 public warrants, each exercisable to purchase one-half of one share of Common Stock at $11.50 per full share and 6,675,000 private placement warrants, (including 600,000 private placement warrants that will be cancelled at the Closing Date) each exercisable to purchase one share of Common Stock at $11.50 per full share (together “</w:t>
      </w:r>
      <w:r>
        <w:rPr>
          <w:rFonts w:ascii="Arial" w:cs="Arial" w:eastAsia="Arial" w:hAnsi="Arial"/>
          <w:sz w:val="14"/>
          <w:szCs w:val="14"/>
          <w:u w:val="single" w:color="auto"/>
          <w:color w:val="auto"/>
        </w:rPr>
        <w:t>Warrants</w:t>
      </w:r>
      <w:r>
        <w:rPr>
          <w:rFonts w:ascii="Arial" w:cs="Arial" w:eastAsia="Arial" w:hAnsi="Arial"/>
          <w:sz w:val="14"/>
          <w:szCs w:val="14"/>
          <w:color w:val="auto"/>
        </w:rPr>
        <w:t>”), were issued and outstanding; (iii) 17,250,000 rights, each right entitling the holder to receive one-twentieth of one share of common stock upon the consummation of the Transaction; and (iv) no Common Stock was subject to issuance upon exercise of outstanding options. As of the date hereof, the Company has no outstanding long-term indebtedness for borrowed money that is or would be required to be recognized as a long-term liability in accordance with generally accepted accounting principles (other than fees payable under the business combination marketing agreement entered into in connection with its initial public offering and/or warrant liability accounting treatment of the Company’s private placement warrants and/or public warrants) and will not have any long-term indebtedness for borrowed money that is or would be required to be recognized as a long-term liability in accordance with generally accepted accounting principles immediately prior to and as of the Closing (other than indebtedness owed to the Sponsors or their affiliates for the purpose of funding working capital or extending the term to complete the Business Combination from 15 months to 18 months, indebtedness under the Horizon Credit Facility to the extent outstanding borrowings thereunder are not repaid with the proceeds of the Notes, certain financing arrangements in connection with the purchase of inventory, sale of receivables and purchase and leasing of equipment, a loan from the Small Business Administration pursuant to the Paycheck Protection Program and warrant liability accounting treatment of the Company’s private placement warrants and/or public warrants) and all outstanding convertible promissory notes heretofore issued by Presto will have been converted into Common Stock pursuant to the terms of the Transaction Agreement as of the Closing. Immediately following the Closing, 3,169,438 Founder Shares (which may increase to 4,312,500 Shares subject to the number of shares of Common Stock redeemed as further described in the Transaction Agreement) and 6,675,000 private placement warrants (including 600,000 private placement warrants that will be cancelled at the Closing Date) will be fully vested, and up to 559,313 Founder Shares (which may decrease to 0 Shares subject to the number of shares of Common Stock redeemed as further described in the Transaction Agreement) are subject to vesting and shall be vested in the event the post-trading price of the Company’s Common Stock closes at or above $12.50 for 40 of 60 trading days. No Warrants are exercisable on or prior to the Closing. All (i) issued and outstanding Common Stock has been duly authorized and validly issued, is fully paid and non-assessable and is not subject to preemptive rights and (ii) outstanding Warrants have been duly authorized and validly issued, are fully paid and are not subject to preemptive rights. As of the date hereof, except as set forth above and pursuant to (i) this Agreement, (ii) the Other Subscription Agreements, (iii) the Transaction Agreement, (iv) any agreement(s) that the Company may enter into with third parties for the purpose of recapturing or reducing the shares of Common Stock redeemed by public shareholders, (such agreement(s), the “</w:t>
      </w:r>
      <w:r>
        <w:rPr>
          <w:rFonts w:ascii="Arial" w:cs="Arial" w:eastAsia="Arial" w:hAnsi="Arial"/>
          <w:sz w:val="14"/>
          <w:szCs w:val="14"/>
          <w:u w:val="single" w:color="auto"/>
          <w:color w:val="auto"/>
        </w:rPr>
        <w:t>Forward Purchase Agreement</w:t>
      </w:r>
      <w:r>
        <w:rPr>
          <w:rFonts w:ascii="Arial" w:cs="Arial" w:eastAsia="Arial" w:hAnsi="Arial"/>
          <w:sz w:val="14"/>
          <w:szCs w:val="14"/>
          <w:color w:val="auto"/>
        </w:rPr>
        <w:t>”), there are no outstanding options, warrants or other rights to subscribe for, purchase or acquire from the Company any Common Stock or other equity interests in the Company (collectively, “Equity Interests”)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December 30, 2020 pursuant to which the Company’s sponsor and the Company’s executive officers and independent directors agreed to vote in favor of any proposed Business Combination (as defined therein), which includes the Transaction, (B) as contemplated by the Transaction Agreement and (C) the Forward Purchase Agreement. There are no securities or instruments issued by or to which the Company is a party containing anti-dilution or similar provisions that will be triggered by the issuance of (i) the Subscribed Securities or (ii) the securities to be issued pursuant to any Other Subscription Agreement. Subscriber understands and acknowledges the Sponsors may from time to time enter into various agreements relating to the transfer of the Founder Shares and private placement warrants in furtherance of the Transaction, and that such agreements shall not be in violation of this Subscription Agreement so long as the aggregate number of outstanding Founder Shares or private placement warrants do not increase, the Sponsors shall promptly notify Subscriber if the aggregate number of Founder Shares or private placement warrants decrease as a result of such agreements.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1" w:name="page232"/>
    <w:bookmarkEnd w:id="231"/>
    <w:p>
      <w:pPr>
        <w:jc w:val="both"/>
        <w:ind w:right="20" w:firstLine="1147"/>
        <w:spacing w:after="0" w:line="276" w:lineRule="auto"/>
        <w:rPr>
          <w:sz w:val="20"/>
          <w:szCs w:val="20"/>
          <w:color w:val="auto"/>
        </w:rPr>
      </w:pPr>
      <w:r>
        <w:rPr>
          <w:rFonts w:ascii="Arial" w:cs="Arial" w:eastAsia="Arial" w:hAnsi="Arial"/>
          <w:sz w:val="15"/>
          <w:szCs w:val="15"/>
          <w:color w:val="auto"/>
        </w:rPr>
        <w:t>k. Except for such matters as have not had and would not be reasonably likely to have a Company Material Adverse Effect or have a material adverse effect on the Company’s ability to consummate the transactions contemplated hereby, including the issuance and sale of the Subscribed Securities, as of the date hereof,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55" w:lineRule="exact"/>
        <w:rPr>
          <w:sz w:val="20"/>
          <w:szCs w:val="20"/>
          <w:color w:val="auto"/>
        </w:rPr>
      </w:pPr>
    </w:p>
    <w:p>
      <w:pPr>
        <w:jc w:val="both"/>
        <w:ind w:firstLine="1147"/>
        <w:spacing w:after="0" w:line="274" w:lineRule="auto"/>
        <w:rPr>
          <w:sz w:val="20"/>
          <w:szCs w:val="20"/>
          <w:color w:val="auto"/>
        </w:rPr>
      </w:pPr>
      <w:r>
        <w:rPr>
          <w:rFonts w:ascii="Arial" w:cs="Arial" w:eastAsia="Arial" w:hAnsi="Arial"/>
          <w:sz w:val="15"/>
          <w:szCs w:val="15"/>
          <w:color w:val="auto"/>
        </w:rPr>
        <w:t>l. The issued and outstanding shares of Common Stock are registered pursuant to Section 12(b) of the Securities Exchange Act of 1934, as amended (the “Exchange Act”), and are listed for trading on the Nasdaq Stock Market under the symbol “VTAQ.” There is no suit, action, proceeding or investigation pending or, to the knowledge of the Company, threatened against the Company by the Nasdaq Stock Market or the Commission with respect to any intention by such entity to deregister the shares of Common Stock or prohibit or terminate the listing of the shares of Common Stock on the Nasdaq Stock Market. The Company has taken no action that is designed to terminate the registration of the shares of Common Stock under the Exchange Act. The Company will file a listing application with NASDAQ for the Underlying Shares and such application has been, or prior to Closing will be, approved by NASDAQ.</w:t>
      </w:r>
    </w:p>
    <w:p>
      <w:pPr>
        <w:spacing w:after="0" w:line="157"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m. Upon consummation of the Transaction, the issued and outstanding shares of Common Stock will be registered pursuant to Section 12(b) of the Exchange Act and will be listed for trading on the Nasdaq Stock Market.</w:t>
      </w:r>
    </w:p>
    <w:p>
      <w:pPr>
        <w:spacing w:after="0" w:line="15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n. Assuming the accuracy of Subscriber’s representations and warranties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Subscription Agreement, no registration under the Securities Act is required for the offer and sale of the Subscribed Securities by the Company to Subscriber.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2" w:name="page233"/>
    <w:bookmarkEnd w:id="232"/>
    <w:p>
      <w:pPr>
        <w:jc w:val="both"/>
        <w:ind w:right="20" w:firstLine="1147"/>
        <w:spacing w:after="0" w:line="275" w:lineRule="auto"/>
        <w:rPr>
          <w:sz w:val="20"/>
          <w:szCs w:val="20"/>
          <w:color w:val="auto"/>
        </w:rPr>
      </w:pPr>
      <w:r>
        <w:rPr>
          <w:rFonts w:ascii="Arial" w:cs="Arial" w:eastAsia="Arial" w:hAnsi="Arial"/>
          <w:sz w:val="16"/>
          <w:szCs w:val="16"/>
          <w:color w:val="auto"/>
        </w:rPr>
        <w:t>o. Neither the Company nor any person acting on its behalf has engaged or will engage in any form of general solicitation or general advertising (within the meaning of Regulation D) in connection with any offer or sale of the Subscribed Securities.</w:t>
      </w:r>
    </w:p>
    <w:p>
      <w:pPr>
        <w:spacing w:after="0" w:line="15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p. Except for each of William Blair &amp; Company, L.L.C. (“</w:t>
      </w:r>
      <w:r>
        <w:rPr>
          <w:rFonts w:ascii="Arial" w:cs="Arial" w:eastAsia="Arial" w:hAnsi="Arial"/>
          <w:sz w:val="16"/>
          <w:szCs w:val="16"/>
          <w:u w:val="single" w:color="auto"/>
          <w:color w:val="auto"/>
        </w:rPr>
        <w:t>William Blair</w:t>
      </w:r>
      <w:r>
        <w:rPr>
          <w:rFonts w:ascii="Arial" w:cs="Arial" w:eastAsia="Arial" w:hAnsi="Arial"/>
          <w:sz w:val="16"/>
          <w:szCs w:val="16"/>
          <w:color w:val="auto"/>
        </w:rPr>
        <w:t>”), Truist Securities, Inc. (“</w:t>
      </w:r>
      <w:r>
        <w:rPr>
          <w:rFonts w:ascii="Arial" w:cs="Arial" w:eastAsia="Arial" w:hAnsi="Arial"/>
          <w:sz w:val="16"/>
          <w:szCs w:val="16"/>
          <w:u w:val="single" w:color="auto"/>
          <w:color w:val="auto"/>
        </w:rPr>
        <w:t>Truist</w:t>
      </w:r>
      <w:r>
        <w:rPr>
          <w:rFonts w:ascii="Arial" w:cs="Arial" w:eastAsia="Arial" w:hAnsi="Arial"/>
          <w:sz w:val="16"/>
          <w:szCs w:val="16"/>
          <w:color w:val="auto"/>
        </w:rPr>
        <w:t>”) and Chardan Capital Markets, LLC (“</w:t>
      </w:r>
      <w:r>
        <w:rPr>
          <w:rFonts w:ascii="Arial" w:cs="Arial" w:eastAsia="Arial" w:hAnsi="Arial"/>
          <w:sz w:val="16"/>
          <w:szCs w:val="16"/>
          <w:u w:val="single" w:color="auto"/>
          <w:color w:val="auto"/>
        </w:rPr>
        <w:t>Chardan</w:t>
      </w:r>
      <w:r>
        <w:rPr>
          <w:rFonts w:ascii="Arial" w:cs="Arial" w:eastAsia="Arial" w:hAnsi="Arial"/>
          <w:sz w:val="16"/>
          <w:szCs w:val="16"/>
          <w:color w:val="auto"/>
        </w:rPr>
        <w:t>” and together with William Blair and Truist, the “</w:t>
      </w:r>
      <w:r>
        <w:rPr>
          <w:rFonts w:ascii="Arial" w:cs="Arial" w:eastAsia="Arial" w:hAnsi="Arial"/>
          <w:sz w:val="16"/>
          <w:szCs w:val="16"/>
          <w:u w:val="single" w:color="auto"/>
          <w:color w:val="auto"/>
        </w:rPr>
        <w:t>Placement Agents</w:t>
      </w:r>
      <w:r>
        <w:rPr>
          <w:rFonts w:ascii="Arial" w:cs="Arial" w:eastAsia="Arial" w:hAnsi="Arial"/>
          <w:sz w:val="16"/>
          <w:szCs w:val="16"/>
          <w:color w:val="auto"/>
        </w:rPr>
        <w:t>” and each a “</w:t>
      </w:r>
      <w:r>
        <w:rPr>
          <w:rFonts w:ascii="Arial" w:cs="Arial" w:eastAsia="Arial" w:hAnsi="Arial"/>
          <w:sz w:val="16"/>
          <w:szCs w:val="16"/>
          <w:u w:val="single" w:color="auto"/>
          <w:color w:val="auto"/>
        </w:rPr>
        <w:t>Placement Agent</w:t>
      </w:r>
      <w:r>
        <w:rPr>
          <w:rFonts w:ascii="Arial" w:cs="Arial" w:eastAsia="Arial" w:hAnsi="Arial"/>
          <w:sz w:val="16"/>
          <w:szCs w:val="16"/>
          <w:color w:val="auto"/>
        </w:rPr>
        <w:t>”), no broker or finder is entitled to any brokerage or finder’s fee or commission solely in connection with the sale of the Subscribed Securities to Subscriber.</w:t>
      </w:r>
    </w:p>
    <w:p>
      <w:pPr>
        <w:spacing w:after="0" w:line="162" w:lineRule="exact"/>
        <w:rPr>
          <w:sz w:val="20"/>
          <w:szCs w:val="20"/>
          <w:color w:val="auto"/>
        </w:rPr>
      </w:pPr>
    </w:p>
    <w:p>
      <w:pPr>
        <w:jc w:val="both"/>
        <w:ind w:firstLine="1147"/>
        <w:spacing w:after="0" w:line="276" w:lineRule="auto"/>
        <w:rPr>
          <w:sz w:val="20"/>
          <w:szCs w:val="20"/>
          <w:color w:val="auto"/>
        </w:rPr>
      </w:pPr>
      <w:r>
        <w:rPr>
          <w:rFonts w:ascii="Arial" w:cs="Arial" w:eastAsia="Arial" w:hAnsi="Arial"/>
          <w:sz w:val="15"/>
          <w:szCs w:val="15"/>
          <w:color w:val="auto"/>
        </w:rPr>
        <w:t>q. Except for such matters as have not had and would not be reasonably likely to have a Company Material Adverse Effect or have a material adverse effect on the Company’s ability to consummate the transactions contemplated hereby, including the issuance and sale of the Subscribed Securities,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55" w:lineRule="exact"/>
        <w:rPr>
          <w:sz w:val="20"/>
          <w:szCs w:val="20"/>
          <w:color w:val="auto"/>
        </w:rPr>
      </w:pPr>
    </w:p>
    <w:p>
      <w:pPr>
        <w:ind w:firstLine="1143"/>
        <w:spacing w:after="0" w:line="275" w:lineRule="auto"/>
        <w:tabs>
          <w:tab w:leader="none" w:pos="135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Company has not in the past nor will it hereafter take any action to sell, offer for sale or solicit offers to buy any securities of the Company that could result in the initial sale of the Subscribed Securities not being exempt from the registration requirements of Section 5 of the Securities Act.</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28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62" w:lineRule="exact"/>
        <w:rPr>
          <w:rFonts w:ascii="Arial" w:cs="Arial" w:eastAsia="Arial" w:hAnsi="Arial"/>
          <w:sz w:val="16"/>
          <w:szCs w:val="16"/>
          <w:color w:val="auto"/>
        </w:rPr>
      </w:pPr>
    </w:p>
    <w:p>
      <w:pPr>
        <w:jc w:val="both"/>
        <w:ind w:right="20" w:firstLine="1143"/>
        <w:spacing w:after="0" w:line="287" w:lineRule="auto"/>
        <w:tabs>
          <w:tab w:leader="none" w:pos="1382" w:val="left"/>
        </w:tabs>
        <w:numPr>
          <w:ilvl w:val="0"/>
          <w:numId w:val="250"/>
        </w:numPr>
        <w:rPr>
          <w:rFonts w:ascii="Arial" w:cs="Arial" w:eastAsia="Arial" w:hAnsi="Arial"/>
          <w:sz w:val="15"/>
          <w:szCs w:val="15"/>
          <w:color w:val="auto"/>
        </w:rPr>
      </w:pPr>
      <w:r>
        <w:rPr>
          <w:rFonts w:ascii="Arial" w:cs="Arial" w:eastAsia="Arial" w:hAnsi="Arial"/>
          <w:sz w:val="15"/>
          <w:szCs w:val="15"/>
          <w:color w:val="auto"/>
        </w:rPr>
        <w:t>There is no action, suit, proceeding or investigation pending or, to the Company’s knowledge, currently threatened in writing against the Company that questions the validity of this Agreement or the right of the Company to enter into this Agreement, or to consummate the transactions contemplated thereby, or that might result, if determined adversely to the Company, in a material adverse effect, or in any material change in the current equity ownership of the Company.</w:t>
      </w:r>
    </w:p>
    <w:p>
      <w:pPr>
        <w:spacing w:after="0" w:line="146" w:lineRule="exact"/>
        <w:rPr>
          <w:rFonts w:ascii="Arial" w:cs="Arial" w:eastAsia="Arial" w:hAnsi="Arial"/>
          <w:sz w:val="15"/>
          <w:szCs w:val="15"/>
          <w:color w:val="auto"/>
        </w:rPr>
      </w:pPr>
    </w:p>
    <w:p>
      <w:pPr>
        <w:jc w:val="both"/>
        <w:ind w:right="20" w:firstLine="1143"/>
        <w:spacing w:after="0" w:line="297" w:lineRule="auto"/>
        <w:tabs>
          <w:tab w:leader="none" w:pos="1310" w:val="left"/>
        </w:tabs>
        <w:numPr>
          <w:ilvl w:val="0"/>
          <w:numId w:val="250"/>
        </w:numPr>
        <w:rPr>
          <w:rFonts w:ascii="Arial" w:cs="Arial" w:eastAsia="Arial" w:hAnsi="Arial"/>
          <w:sz w:val="14"/>
          <w:szCs w:val="14"/>
          <w:color w:val="auto"/>
        </w:rPr>
      </w:pPr>
      <w:r>
        <w:rPr>
          <w:rFonts w:ascii="Arial" w:cs="Arial" w:eastAsia="Arial" w:hAnsi="Arial"/>
          <w:sz w:val="14"/>
          <w:szCs w:val="14"/>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43" w:lineRule="exact"/>
        <w:rPr>
          <w:rFonts w:ascii="Arial" w:cs="Arial" w:eastAsia="Arial" w:hAnsi="Arial"/>
          <w:sz w:val="14"/>
          <w:szCs w:val="14"/>
          <w:color w:val="auto"/>
        </w:rPr>
      </w:pPr>
    </w:p>
    <w:p>
      <w:pPr>
        <w:jc w:val="both"/>
        <w:ind w:firstLine="1143"/>
        <w:spacing w:after="0" w:line="270" w:lineRule="auto"/>
        <w:tabs>
          <w:tab w:leader="none" w:pos="1299" w:val="left"/>
        </w:tabs>
        <w:numPr>
          <w:ilvl w:val="0"/>
          <w:numId w:val="250"/>
        </w:numPr>
        <w:rPr>
          <w:rFonts w:ascii="Arial" w:cs="Arial" w:eastAsia="Arial" w:hAnsi="Arial"/>
          <w:sz w:val="15"/>
          <w:szCs w:val="15"/>
          <w:color w:val="auto"/>
        </w:rPr>
      </w:pPr>
      <w:r>
        <w:rPr>
          <w:rFonts w:ascii="Arial" w:cs="Arial" w:eastAsia="Arial" w:hAnsi="Arial"/>
          <w:sz w:val="15"/>
          <w:szCs w:val="15"/>
          <w:color w:val="auto"/>
        </w:rPr>
        <w:t xml:space="preserve">The Company has not entered into any subscription agreement, side letter or similar agreement with any investor in connection with such investor’s direct or indirect investment in the Company other than (i) the Transaction Agreement, (ii) any agreement or arrangement contemplated by the Transaction Agreement, which for the avoidance of doubt, includes the Forward Purchase Agreement, (iii) as disclosed in the Company’s filings with the Commission and (iv) the Other Subscription Agreements. The Other Subscription Agreements reflect terms with respect to the purchase of the Notes that are no more favorable to such subscriber thereunder than the terms of this Subscription Agreement other than such Other Subscription Agreements containing any of the following: (v) the amounts and types of the Company’s securities to be subscribed for and purchased by the Other Subscribers, (w) certain fees payable by Presto, certain board observer rights and the purchase of Common Stock from the Sponsors (as defined herein) contemplated by </w:t>
      </w:r>
      <w:r>
        <w:rPr>
          <w:rFonts w:ascii="Arial" w:cs="Arial" w:eastAsia="Arial" w:hAnsi="Arial"/>
          <w:sz w:val="15"/>
          <w:szCs w:val="15"/>
          <w:u w:val="single" w:color="auto"/>
          <w:color w:val="auto"/>
        </w:rPr>
        <w:t>Section 1(b)</w:t>
      </w:r>
      <w:r>
        <w:rPr>
          <w:rFonts w:ascii="Arial" w:cs="Arial" w:eastAsia="Arial" w:hAnsi="Arial"/>
          <w:sz w:val="15"/>
          <w:szCs w:val="15"/>
          <w:color w:val="auto"/>
        </w:rPr>
        <w:t xml:space="preserve"> by [***] and [***] and their affiliates, (x) certain closing conditions in the Other Subscription Agreements relating to the Subscribed Notes,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3" w:name="page234"/>
    <w:bookmarkEnd w:id="233"/>
    <w:p>
      <w:pPr>
        <w:jc w:val="both"/>
        <w:ind w:firstLine="1147"/>
        <w:spacing w:after="0" w:line="258" w:lineRule="auto"/>
        <w:rPr>
          <w:sz w:val="20"/>
          <w:szCs w:val="20"/>
          <w:color w:val="auto"/>
        </w:rPr>
      </w:pPr>
      <w:r>
        <w:rPr>
          <w:rFonts w:ascii="Arial" w:cs="Arial" w:eastAsia="Arial" w:hAnsi="Arial"/>
          <w:sz w:val="16"/>
          <w:szCs w:val="16"/>
          <w:color w:val="auto"/>
        </w:rPr>
        <w:t>w. The Company will use commercially reasonable efforts to make the Subscribed Notes DTC-eligible and delivered in book-entry form pursuant to the DWAC procedures of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which will act as the securities depository for the Notes, free and clear of any liens or other restrictions (other than those arising under the Indenture, this Subscription Agreement or applicable state or federal securities laws), in the name of a custodian designated by Subscriber (which custodian shall have properly posted such DWAC for release by the Trustee through the facilities of DTC).</w:t>
      </w:r>
    </w:p>
    <w:p>
      <w:pPr>
        <w:spacing w:after="0" w:line="165" w:lineRule="exact"/>
        <w:rPr>
          <w:sz w:val="20"/>
          <w:szCs w:val="20"/>
          <w:color w:val="auto"/>
        </w:rPr>
      </w:pPr>
    </w:p>
    <w:p>
      <w:pPr>
        <w:ind w:left="720" w:hanging="151"/>
        <w:spacing w:after="0"/>
        <w:tabs>
          <w:tab w:leader="none" w:pos="720"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Subscriber Representations and Warranties</w:t>
      </w:r>
      <w:r>
        <w:rPr>
          <w:rFonts w:ascii="Arial" w:cs="Arial" w:eastAsia="Arial" w:hAnsi="Arial"/>
          <w:sz w:val="16"/>
          <w:szCs w:val="16"/>
          <w:color w:val="auto"/>
        </w:rPr>
        <w:t>. Subscriber represents and warrants to the Company that:</w:t>
      </w:r>
    </w:p>
    <w:p>
      <w:pPr>
        <w:spacing w:after="0" w:line="198" w:lineRule="exact"/>
        <w:rPr>
          <w:rFonts w:ascii="Arial" w:cs="Arial" w:eastAsia="Arial" w:hAnsi="Arial"/>
          <w:sz w:val="16"/>
          <w:szCs w:val="16"/>
          <w:color w:val="auto"/>
        </w:rPr>
      </w:pPr>
    </w:p>
    <w:p>
      <w:pPr>
        <w:ind w:right="20" w:firstLine="1143"/>
        <w:spacing w:after="0" w:line="275" w:lineRule="auto"/>
        <w:tabs>
          <w:tab w:leader="none" w:pos="1298" w:val="left"/>
        </w:tabs>
        <w:numPr>
          <w:ilvl w:val="1"/>
          <w:numId w:val="251"/>
        </w:numPr>
        <w:rPr>
          <w:rFonts w:ascii="Arial" w:cs="Arial" w:eastAsia="Arial" w:hAnsi="Arial"/>
          <w:sz w:val="16"/>
          <w:szCs w:val="16"/>
          <w:color w:val="auto"/>
        </w:rPr>
      </w:pPr>
      <w:r>
        <w:rPr>
          <w:rFonts w:ascii="Arial" w:cs="Arial" w:eastAsia="Arial" w:hAnsi="Arial"/>
          <w:sz w:val="16"/>
          <w:szCs w:val="16"/>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151" w:lineRule="exact"/>
        <w:rPr>
          <w:rFonts w:ascii="Arial" w:cs="Arial" w:eastAsia="Arial" w:hAnsi="Arial"/>
          <w:sz w:val="16"/>
          <w:szCs w:val="16"/>
          <w:color w:val="auto"/>
        </w:rPr>
      </w:pPr>
    </w:p>
    <w:p>
      <w:pPr>
        <w:jc w:val="both"/>
        <w:ind w:right="20" w:firstLine="1143"/>
        <w:spacing w:after="0" w:line="258" w:lineRule="auto"/>
        <w:tabs>
          <w:tab w:leader="none" w:pos="1308"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164" w:lineRule="exact"/>
        <w:rPr>
          <w:rFonts w:ascii="Arial" w:cs="Arial" w:eastAsia="Arial" w:hAnsi="Arial"/>
          <w:sz w:val="16"/>
          <w:szCs w:val="16"/>
          <w:color w:val="auto"/>
        </w:rPr>
      </w:pPr>
    </w:p>
    <w:p>
      <w:pPr>
        <w:jc w:val="both"/>
        <w:ind w:firstLine="1143"/>
        <w:spacing w:after="0" w:line="271" w:lineRule="auto"/>
        <w:tabs>
          <w:tab w:leader="none" w:pos="1310" w:val="left"/>
        </w:tabs>
        <w:numPr>
          <w:ilvl w:val="1"/>
          <w:numId w:val="251"/>
        </w:numPr>
        <w:rPr>
          <w:rFonts w:ascii="Arial" w:cs="Arial" w:eastAsia="Arial" w:hAnsi="Arial"/>
          <w:sz w:val="15"/>
          <w:szCs w:val="15"/>
          <w:color w:val="auto"/>
        </w:rPr>
      </w:pPr>
      <w:r>
        <w:rPr>
          <w:rFonts w:ascii="Arial" w:cs="Arial" w:eastAsia="Arial" w:hAnsi="Arial"/>
          <w:sz w:val="15"/>
          <w:szCs w:val="15"/>
          <w:color w:val="auto"/>
        </w:rPr>
        <w:t>The execution and delivery of this Subscription Agreement, the purchase of the Subscribed Securities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a Subscriber Material Adverse Effect. For purposes of this Subscription Agreement, a “</w:t>
      </w:r>
      <w:r>
        <w:rPr>
          <w:rFonts w:ascii="Arial" w:cs="Arial" w:eastAsia="Arial" w:hAnsi="Arial"/>
          <w:sz w:val="15"/>
          <w:szCs w:val="15"/>
          <w:u w:val="single" w:color="auto"/>
          <w:color w:val="auto"/>
        </w:rPr>
        <w:t>Subscriber Material Adverse Effect</w:t>
      </w:r>
      <w:r>
        <w:rPr>
          <w:rFonts w:ascii="Arial" w:cs="Arial" w:eastAsia="Arial" w:hAnsi="Arial"/>
          <w:sz w:val="15"/>
          <w:szCs w:val="15"/>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Securities.</w:t>
      </w:r>
    </w:p>
    <w:p>
      <w:pPr>
        <w:spacing w:after="0" w:line="159" w:lineRule="exact"/>
        <w:rPr>
          <w:rFonts w:ascii="Arial" w:cs="Arial" w:eastAsia="Arial" w:hAnsi="Arial"/>
          <w:sz w:val="15"/>
          <w:szCs w:val="15"/>
          <w:color w:val="auto"/>
        </w:rPr>
      </w:pPr>
    </w:p>
    <w:p>
      <w:pPr>
        <w:jc w:val="both"/>
        <w:ind w:firstLine="1143"/>
        <w:spacing w:after="0" w:line="271" w:lineRule="auto"/>
        <w:tabs>
          <w:tab w:leader="none" w:pos="1320" w:val="left"/>
        </w:tabs>
        <w:numPr>
          <w:ilvl w:val="1"/>
          <w:numId w:val="251"/>
        </w:numPr>
        <w:rPr>
          <w:rFonts w:ascii="Arial" w:cs="Arial" w:eastAsia="Arial" w:hAnsi="Arial"/>
          <w:sz w:val="15"/>
          <w:szCs w:val="15"/>
          <w:color w:val="auto"/>
        </w:rPr>
      </w:pPr>
      <w:r>
        <w:rPr>
          <w:rFonts w:ascii="Arial" w:cs="Arial" w:eastAsia="Arial" w:hAnsi="Arial"/>
          <w:sz w:val="15"/>
          <w:szCs w:val="15"/>
          <w:color w:val="auto"/>
        </w:rPr>
        <w:t>Subscriber (i) is a “qualified institutional buyer” (as defined in Rule 144A under the Securities Act) or an institutional “accredited investor” (within the meaning of Rule 501(a)(1), (2), (3), (7), (8), (9), (12) or (13) under the Securities Act) satisfying the applicable requirements set forth on Annex A; (ii) is acquiring the Subscribed Securities only for its own account and not for the account of others, or if Subscriber is subscribing for the Subscribed Securities as a fiduciary or agent for one or more investor accounts, each owner of such account is a “qualified institutional buyer” (as defined in Rule 144A under the Securities Act) or an institutional “accredited investor” (within the meaning of Rule 501(a)(1), (2), (3), (7), (8), (9), (12) or (13)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Securities with a view to, or for offer or sale in connection with, any distribution thereof in violation of the Securities Act (and has provided the Company with the requested information on Annex A following the signature page hereto). Subscriber is not an entity formed for the specific purpose of acquiring the Subscribed Securities and is an “institutional account” as defined by FINRA Rule 4512(e).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4" w:name="page235"/>
    <w:bookmarkEnd w:id="234"/>
    <w:p>
      <w:pPr>
        <w:jc w:val="both"/>
        <w:ind w:left="4" w:firstLine="1147"/>
        <w:spacing w:after="0" w:line="271" w:lineRule="auto"/>
        <w:rPr>
          <w:sz w:val="20"/>
          <w:szCs w:val="20"/>
          <w:color w:val="auto"/>
        </w:rPr>
      </w:pPr>
      <w:r>
        <w:rPr>
          <w:rFonts w:ascii="Arial" w:cs="Arial" w:eastAsia="Arial" w:hAnsi="Arial"/>
          <w:sz w:val="15"/>
          <w:szCs w:val="15"/>
          <w:color w:val="auto"/>
        </w:rPr>
        <w:t>e. Subscriber understands that the Subscribed Securities are being offered in a transaction not involving any public offering within the meaning of the Securities Act and that the Subscribed Securities have not been registered under the Securities Act. Subscriber understands that the Subscribed Securities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Securities and the Underlying Shares and may be required to bear the financial risk of an investment in the Subscribed Securities for an indefinite period of time. Subscriber acknowledges and agrees that the Subscribed Securities will not be eligible for offer, resale, transfer, pledge or disposition pursuant to Rule 144 promulgated under the Securities Act (“Rule 144”) until at least one year from the Closing Date. Subscriber understands that it has been advised to consult legal counsel prior to making any offer, resale, pledge or transfer of any of the Subscribed Securities and the Underlying Shares.</w:t>
      </w:r>
    </w:p>
    <w:p>
      <w:pPr>
        <w:spacing w:after="0" w:line="159" w:lineRule="exact"/>
        <w:rPr>
          <w:sz w:val="20"/>
          <w:szCs w:val="20"/>
          <w:color w:val="auto"/>
        </w:rPr>
      </w:pPr>
    </w:p>
    <w:p>
      <w:pPr>
        <w:ind w:left="4" w:right="20" w:firstLine="1143"/>
        <w:spacing w:after="0" w:line="275" w:lineRule="auto"/>
        <w:tabs>
          <w:tab w:leader="none" w:pos="138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Each book entry for the Subscribed Securities shall contain a notation, and each certificate (if any) evidencing the Subscribed Securities shall be stamped or otherwise imprinted with a legend, in substantially the following form:</w:t>
      </w:r>
    </w:p>
    <w:p>
      <w:pPr>
        <w:spacing w:after="0" w:line="152" w:lineRule="exact"/>
        <w:rPr>
          <w:sz w:val="20"/>
          <w:szCs w:val="20"/>
          <w:color w:val="auto"/>
        </w:rPr>
      </w:pPr>
    </w:p>
    <w:p>
      <w:pPr>
        <w:jc w:val="both"/>
        <w:ind w:left="4" w:right="20"/>
        <w:spacing w:after="0" w:line="258" w:lineRule="auto"/>
        <w:rPr>
          <w:sz w:val="20"/>
          <w:szCs w:val="20"/>
          <w:color w:val="auto"/>
        </w:rPr>
      </w:pPr>
      <w:r>
        <w:rPr>
          <w:rFonts w:ascii="Arial" w:cs="Arial" w:eastAsia="Arial" w:hAnsi="Arial"/>
          <w:sz w:val="16"/>
          <w:szCs w:val="16"/>
          <w:color w:val="auto"/>
        </w:rPr>
        <w:t>THIS SECURITY AND THE COMMON STOCK, IF ANY, ISSUABLE UPON CONVERSION OR EXERCISE OF THIS SECURITY HAVE NOT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MAY NOT BE OFFERED, SOLD, PLEDGED OR OTHERWISE TRANSFERRED EXCEPT IN ACCORDANCE WITH THE FOLLOWING SENTENCE. BY ITS ACQUISITION HEREOF OR OF A BENEFICIAL INTEREST HEREIN, THE ACQUIRER:</w:t>
      </w:r>
    </w:p>
    <w:p>
      <w:pPr>
        <w:spacing w:after="0" w:line="161" w:lineRule="exact"/>
        <w:rPr>
          <w:sz w:val="20"/>
          <w:szCs w:val="20"/>
          <w:color w:val="auto"/>
        </w:rPr>
      </w:pPr>
    </w:p>
    <w:p>
      <w:pPr>
        <w:jc w:val="both"/>
        <w:ind w:left="4" w:hanging="4"/>
        <w:spacing w:after="0" w:line="273" w:lineRule="auto"/>
        <w:tabs>
          <w:tab w:leader="none" w:pos="230" w:val="left"/>
        </w:tabs>
        <w:numPr>
          <w:ilvl w:val="0"/>
          <w:numId w:val="253"/>
        </w:numPr>
        <w:rPr>
          <w:rFonts w:ascii="Arial" w:cs="Arial" w:eastAsia="Arial" w:hAnsi="Arial"/>
          <w:sz w:val="15"/>
          <w:szCs w:val="15"/>
          <w:color w:val="auto"/>
        </w:rPr>
      </w:pPr>
      <w:r>
        <w:rPr>
          <w:rFonts w:ascii="Arial" w:cs="Arial" w:eastAsia="Arial" w:hAnsi="Arial"/>
          <w:sz w:val="15"/>
          <w:szCs w:val="15"/>
          <w:color w:val="auto"/>
        </w:rPr>
        <w:t>REPRESENTS THAT EITHER (A) IT AND ANY ACCOUNT FOR WHICH IT IS ACTING IS A “</w:t>
      </w:r>
      <w:r>
        <w:rPr>
          <w:rFonts w:ascii="Arial" w:cs="Arial" w:eastAsia="Arial" w:hAnsi="Arial"/>
          <w:sz w:val="15"/>
          <w:szCs w:val="15"/>
          <w:b w:val="1"/>
          <w:bCs w:val="1"/>
          <w:color w:val="auto"/>
        </w:rPr>
        <w:t>QUALIFIED INSTITUTIONAL BUYER</w:t>
      </w:r>
      <w:r>
        <w:rPr>
          <w:rFonts w:ascii="Arial" w:cs="Arial" w:eastAsia="Arial" w:hAnsi="Arial"/>
          <w:sz w:val="15"/>
          <w:szCs w:val="15"/>
          <w:color w:val="auto"/>
        </w:rPr>
        <w:t>” (AS DEFINED IN RULE 144A UNDER THE SECURITIES ACT) AND THAT IT EXERCISES SOLE INVESTMENT DISCRETION WITH RESPECT TO EACH SUCH ACCOUNT OR (B) IT IS AN INSTITUTIONAL “ACCREDITED INVESTOR” (WITHIN THE MEANING OF RULE 501(A)(1), (2), (3), (7), (8), (9), (12) OR (13) UNDER THE SECURITIES ACT)</w:t>
      </w:r>
    </w:p>
    <w:p>
      <w:pPr>
        <w:spacing w:after="0" w:line="1" w:lineRule="exact"/>
        <w:rPr>
          <w:rFonts w:ascii="Arial" w:cs="Arial" w:eastAsia="Arial" w:hAnsi="Arial"/>
          <w:sz w:val="15"/>
          <w:szCs w:val="15"/>
          <w:color w:val="auto"/>
        </w:rPr>
      </w:pPr>
    </w:p>
    <w:p>
      <w:pPr>
        <w:jc w:val="both"/>
        <w:ind w:left="4" w:right="20"/>
        <w:spacing w:after="0" w:line="252" w:lineRule="auto"/>
        <w:rPr>
          <w:rFonts w:ascii="Arial" w:cs="Arial" w:eastAsia="Arial" w:hAnsi="Arial"/>
          <w:sz w:val="15"/>
          <w:szCs w:val="15"/>
          <w:color w:val="auto"/>
        </w:rPr>
      </w:pPr>
      <w:r>
        <w:rPr>
          <w:rFonts w:ascii="Arial" w:cs="Arial" w:eastAsia="Arial" w:hAnsi="Arial"/>
          <w:sz w:val="16"/>
          <w:szCs w:val="16"/>
          <w:color w:val="auto"/>
        </w:rPr>
        <w:t>AND (2) AGREES FOR THE BENEFIT OF (THE “</w:t>
      </w:r>
      <w:r>
        <w:rPr>
          <w:rFonts w:ascii="Arial" w:cs="Arial" w:eastAsia="Arial" w:hAnsi="Arial"/>
          <w:sz w:val="16"/>
          <w:szCs w:val="16"/>
          <w:b w:val="1"/>
          <w:bCs w:val="1"/>
          <w:color w:val="auto"/>
        </w:rPr>
        <w:t>COMPANY</w:t>
      </w:r>
      <w:r>
        <w:rPr>
          <w:rFonts w:ascii="Arial" w:cs="Arial" w:eastAsia="Arial" w:hAnsi="Arial"/>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71" w:lineRule="exact"/>
        <w:rPr>
          <w:sz w:val="20"/>
          <w:szCs w:val="20"/>
          <w:color w:val="auto"/>
        </w:rPr>
      </w:pPr>
    </w:p>
    <w:p>
      <w:pPr>
        <w:ind w:left="264" w:hanging="264"/>
        <w:spacing w:after="0"/>
        <w:tabs>
          <w:tab w:leader="none" w:pos="26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TO THE COMPANY OR ANY SUBSIDIARY THEREOF, OR</w:t>
      </w:r>
    </w:p>
    <w:p>
      <w:pPr>
        <w:spacing w:after="0" w:line="198" w:lineRule="exact"/>
        <w:rPr>
          <w:rFonts w:ascii="Arial" w:cs="Arial" w:eastAsia="Arial" w:hAnsi="Arial"/>
          <w:sz w:val="16"/>
          <w:szCs w:val="16"/>
          <w:color w:val="auto"/>
        </w:rPr>
      </w:pPr>
    </w:p>
    <w:p>
      <w:pPr>
        <w:ind w:left="4" w:right="20" w:hanging="4"/>
        <w:spacing w:after="0" w:line="275" w:lineRule="auto"/>
        <w:tabs>
          <w:tab w:leader="none" w:pos="271"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PURSUANT TO A REGISTRATION STATEMENT THAT HAS BECOME EFFECTIVE UNDER THE SECURITIES ACT AND IS EFFECTIVE AT THE TIME OF SUCH TRANSFER, OR</w:t>
      </w:r>
    </w:p>
    <w:p>
      <w:pPr>
        <w:spacing w:after="0" w:line="151" w:lineRule="exact"/>
        <w:rPr>
          <w:rFonts w:ascii="Arial" w:cs="Arial" w:eastAsia="Arial" w:hAnsi="Arial"/>
          <w:sz w:val="16"/>
          <w:szCs w:val="16"/>
          <w:color w:val="auto"/>
        </w:rPr>
      </w:pPr>
    </w:p>
    <w:p>
      <w:pPr>
        <w:ind w:left="4" w:right="20" w:hanging="4"/>
        <w:spacing w:after="0" w:line="275" w:lineRule="auto"/>
        <w:tabs>
          <w:tab w:leader="none" w:pos="27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TO A PERSON THAT YOU REASONABLY BELIEVE TO BE A QUALIFIED INSTITUTIONAL BUYER IN COMPLIANCE WITH RULE 144A UNDER THE SECURITIES ACT, OR</w:t>
      </w:r>
    </w:p>
    <w:p>
      <w:pPr>
        <w:spacing w:after="0" w:line="151" w:lineRule="exact"/>
        <w:rPr>
          <w:rFonts w:ascii="Arial" w:cs="Arial" w:eastAsia="Arial" w:hAnsi="Arial"/>
          <w:sz w:val="16"/>
          <w:szCs w:val="16"/>
          <w:color w:val="auto"/>
        </w:rPr>
      </w:pPr>
    </w:p>
    <w:p>
      <w:pPr>
        <w:ind w:left="4" w:right="20" w:hanging="4"/>
        <w:spacing w:after="0" w:line="275" w:lineRule="auto"/>
        <w:tabs>
          <w:tab w:leader="none" w:pos="309"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PURSUANT TO AN EXEMPTION FROM REGISTRATION PROVIDED BY RULE 144 UNDER THE SECURITIES ACT OR ANY OTHER AVAILABLE EXEMPTION FROM THE REGISTRATION REQUIREMENTS OF THE SECURITIES ACT.</w:t>
      </w:r>
    </w:p>
    <w:p>
      <w:pPr>
        <w:spacing w:after="0" w:line="152"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35" w:name="page236"/>
    <w:bookmarkEnd w:id="235"/>
    <w:p>
      <w:pPr>
        <w:jc w:val="both"/>
        <w:ind w:firstLine="1147"/>
        <w:spacing w:after="0" w:line="274" w:lineRule="auto"/>
        <w:rPr>
          <w:sz w:val="20"/>
          <w:szCs w:val="20"/>
          <w:color w:val="auto"/>
        </w:rPr>
      </w:pPr>
      <w:r>
        <w:rPr>
          <w:rFonts w:ascii="Arial" w:cs="Arial" w:eastAsia="Arial" w:hAnsi="Arial"/>
          <w:sz w:val="15"/>
          <w:szCs w:val="15"/>
          <w:color w:val="auto"/>
        </w:rPr>
        <w:t>g. Subscriber understands and agrees that Subscriber is purchasing the Subscribed Securities directly from the Company. Subscriber further acknowledges that there have not been, and Subscriber hereby agrees that it is not relying on, any representations, warranties, covenants or agreements made to Subscriber by the Company, any other party to the Transaction or any other person or entity, expressly or by implication, other than those representations, warranties, covenants and agreements of the Company set forth in this Subscription Agreement.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spacing w:after="0" w:line="157" w:lineRule="exact"/>
        <w:rPr>
          <w:sz w:val="20"/>
          <w:szCs w:val="20"/>
          <w:color w:val="auto"/>
        </w:rPr>
      </w:pPr>
    </w:p>
    <w:p>
      <w:pPr>
        <w:jc w:val="both"/>
        <w:ind w:firstLine="1147"/>
        <w:spacing w:after="0" w:line="255" w:lineRule="auto"/>
        <w:rPr>
          <w:sz w:val="20"/>
          <w:szCs w:val="20"/>
          <w:color w:val="auto"/>
        </w:rPr>
      </w:pPr>
      <w:r>
        <w:rPr>
          <w:rFonts w:ascii="Arial" w:cs="Arial" w:eastAsia="Arial" w:hAnsi="Arial"/>
          <w:sz w:val="16"/>
          <w:szCs w:val="16"/>
          <w:color w:val="auto"/>
        </w:rPr>
        <w:t>h. Subscriber agrees that none of the Placement Agents, nor any of their respective affiliates or any of their or their respective affiliates’ control persons, officers, directors or employees, shall be liable to Subscriber pursuant to this Subscription Agreement for any action heretofore or hereafter taken or omitted to be taken by any of them in connection with the purchase of the Subscribed Securities. On behalf of itself and its affiliates, Subscriber releases each of the Placement Agents in respect of any losses, claims, damages, obligations, penalties, judgments, awards, liabilities, costs, expenses or disbursements related to this Subscription Agreement or the transactions contemplated hereby.</w:t>
      </w:r>
    </w:p>
    <w:p>
      <w:pPr>
        <w:spacing w:after="0" w:line="170" w:lineRule="exact"/>
        <w:rPr>
          <w:sz w:val="20"/>
          <w:szCs w:val="20"/>
          <w:color w:val="auto"/>
        </w:rPr>
      </w:pPr>
    </w:p>
    <w:p>
      <w:pPr>
        <w:jc w:val="both"/>
        <w:ind w:firstLine="1147"/>
        <w:spacing w:after="0" w:line="289" w:lineRule="auto"/>
        <w:rPr>
          <w:sz w:val="20"/>
          <w:szCs w:val="20"/>
          <w:color w:val="auto"/>
        </w:rPr>
      </w:pPr>
      <w:r>
        <w:rPr>
          <w:rFonts w:ascii="Arial" w:cs="Arial" w:eastAsia="Arial" w:hAnsi="Arial"/>
          <w:sz w:val="14"/>
          <w:szCs w:val="14"/>
          <w:color w:val="auto"/>
        </w:rPr>
        <w:t>i. In making its decision to purchase the Subscribed Securities, Subscriber has relied solely upon independent investigation made by Subscriber and upon the representations, warranties and covenants set forth herein. Subscriber acknowledges and agrees that Subscriber has received such information as Subscriber deems necessary in order to make an investment decision with respect to the Subscribed Securities, including with respect to the Company and the Transaction (including Presto and their respective subsidiaries (collectively, the “Acquired Companies”)).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Securities. Subscriber acknowledges and agrees that none of the Placement Agents, nor any respective affiliates of the Placement Agents have provided Subscriber with any information or advice with respect to the Subscribed Securities nor is such information or advice necessary or desired. None of the Placement Agents nor any of their respective affiliates have made or make any representation as to the Company or the Acquired Companies or the quality or value of the Subscribed Securities and the Placement Agents and any of their respective affiliates may have acquired non-public information with respect to the Company or the Acquired Companies which Subscriber agrees need not be provided to it. In connection with the issuance of the Subscribed Securities to Subscriber, none of the Placement Agents nor any of their respective affiliates have acted as a financial advisor or fiduciary to Subscriber. Each of the Placement Agents is acting solely as placement agent to the Company and is not acting as an underwriter or in any other capacity or as a fiduciary for the Company or any other person or entity in connection with the Transaction and none of the Placement Agents or any of their respective affiliates has prepared any disclosure or offering document in connection with the offer and sale of the Subscribed Securities. Subscriber acknowledges that the Placement Agents and their respective directors, officers, employees, representatives and controlling persons have made no independent investigation with respect to the Company or the Subscribed Securities or the accuracy, completeness or adequacy of any information supplied to Subscriber by the Company.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6" w:name="page237"/>
    <w:bookmarkEnd w:id="236"/>
    <w:p>
      <w:pPr>
        <w:jc w:val="both"/>
        <w:ind w:right="20" w:firstLine="1147"/>
        <w:spacing w:after="0" w:line="276" w:lineRule="auto"/>
        <w:rPr>
          <w:sz w:val="20"/>
          <w:szCs w:val="20"/>
          <w:color w:val="auto"/>
        </w:rPr>
      </w:pPr>
      <w:r>
        <w:rPr>
          <w:rFonts w:ascii="Arial" w:cs="Arial" w:eastAsia="Arial" w:hAnsi="Arial"/>
          <w:sz w:val="15"/>
          <w:szCs w:val="15"/>
          <w:color w:val="auto"/>
        </w:rPr>
        <w:t>j. Subscriber acknowledges and agrees that (i) the Placement Agents have not made and will not make any representation or warranty, whether express or implied, of any kind or character and have not provided any advice or recommendation in connection with the Transactions, and (ii) the Placement Agents will have no responsibility with respect to (A) any representations, warranties or agreements made by any person or entity under or in connection with the Transactions or any of the documents furnished pursuant thereto or in connection therewith, or the execution, legality, validity or enforceability (with respect to any person) or any thereof, or (B) the business, affairs, financial condition, operations, properties or prospects of, or any other matter concerning the Company or the Transactions.</w:t>
      </w:r>
    </w:p>
    <w:p>
      <w:pPr>
        <w:spacing w:after="0" w:line="155" w:lineRule="exact"/>
        <w:rPr>
          <w:sz w:val="20"/>
          <w:szCs w:val="20"/>
          <w:color w:val="auto"/>
        </w:rPr>
      </w:pPr>
    </w:p>
    <w:p>
      <w:pPr>
        <w:jc w:val="both"/>
        <w:ind w:firstLine="1147"/>
        <w:spacing w:after="0" w:line="276" w:lineRule="auto"/>
        <w:rPr>
          <w:sz w:val="20"/>
          <w:szCs w:val="20"/>
          <w:color w:val="auto"/>
        </w:rPr>
      </w:pPr>
      <w:r>
        <w:rPr>
          <w:rFonts w:ascii="Arial" w:cs="Arial" w:eastAsia="Arial" w:hAnsi="Arial"/>
          <w:sz w:val="15"/>
          <w:szCs w:val="15"/>
          <w:color w:val="auto"/>
        </w:rPr>
        <w:t>k. Subscriber became aware of this offering of the Subscribed Securities solely by means of direct contact between Subscriber and the Company or by means of contact from the Placement Agent and the Subscribed Securities were offered to Subscriber solely by direct contact between Subscriber and the Company. Subscriber did not become aware of this offering of the Subscribed Securities, nor were the Subscribed Securities offered to Subscriber, by any other means. Subscriber acknowledges that the Company represents and warrants that the Subscribed Securities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55"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l. Subscriber acknowledges that it is aware that there are substantial risks incident to the purchase and ownership of the Subscribed Securities and the Underlying Shares. Subscriber has such knowledge and experience in financial and business matters as to be capable of evaluating the merits and risks of an investment in the Subscribed Securities and the Underlying Shares, and Subscriber has had an opportunity to seek, and has sought, such accounting, legal, business and tax advice as Subscriber has considered necessary to make an informed investment decision.</w:t>
      </w:r>
    </w:p>
    <w:p>
      <w:pPr>
        <w:spacing w:after="0" w:line="165" w:lineRule="exact"/>
        <w:rPr>
          <w:sz w:val="20"/>
          <w:szCs w:val="20"/>
          <w:color w:val="auto"/>
        </w:rPr>
      </w:pPr>
    </w:p>
    <w:p>
      <w:pPr>
        <w:jc w:val="both"/>
        <w:ind w:firstLine="1147"/>
        <w:spacing w:after="0" w:line="317" w:lineRule="auto"/>
        <w:rPr>
          <w:sz w:val="20"/>
          <w:szCs w:val="20"/>
          <w:color w:val="auto"/>
        </w:rPr>
      </w:pPr>
      <w:r>
        <w:rPr>
          <w:rFonts w:ascii="Arial" w:cs="Arial" w:eastAsia="Arial" w:hAnsi="Arial"/>
          <w:sz w:val="14"/>
          <w:szCs w:val="14"/>
          <w:color w:val="auto"/>
        </w:rPr>
        <w:t>m. Subscriber has adequately analyzed and fully considered the risks of an investment in the Subscribed Securities and the Underlying Shares and determined that the Subscribed Securities and the Underlying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27"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n. Subscriber understands and agrees that no federal or state agency has passed upon or endorsed the merits of the offering of the Subscribed Securities or the Underlying Shares or made any findings or determination as to the fairness of this investment.</w:t>
      </w:r>
    </w:p>
    <w:p>
      <w:pPr>
        <w:spacing w:after="0" w:line="152"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o. Subscriber is not (i) a person or entity named on the List of Specially Designated Nationals and Blocked Persons administered by the U.S. Treasury Department’s Office of Foreign Assets Control (“</w:t>
      </w:r>
      <w:r>
        <w:rPr>
          <w:rFonts w:ascii="Arial" w:cs="Arial" w:eastAsia="Arial" w:hAnsi="Arial"/>
          <w:sz w:val="15"/>
          <w:szCs w:val="15"/>
          <w:u w:val="single" w:color="auto"/>
          <w:color w:val="auto"/>
        </w:rPr>
        <w:t>OFAC</w:t>
      </w:r>
      <w:r>
        <w:rPr>
          <w:rFonts w:ascii="Arial" w:cs="Arial" w:eastAsia="Arial" w:hAnsi="Arial"/>
          <w:sz w:val="15"/>
          <w:szCs w:val="15"/>
          <w:color w:val="auto"/>
        </w:rPr>
        <w:t>”) or in any Executive Order issued by the President of the United States and administered by OFAC (“</w:t>
      </w:r>
      <w:r>
        <w:rPr>
          <w:rFonts w:ascii="Arial" w:cs="Arial" w:eastAsia="Arial" w:hAnsi="Arial"/>
          <w:sz w:val="15"/>
          <w:szCs w:val="15"/>
          <w:u w:val="single" w:color="auto"/>
          <w:color w:val="auto"/>
        </w:rPr>
        <w:t>OFAC List</w:t>
      </w:r>
      <w:r>
        <w:rPr>
          <w:rFonts w:ascii="Arial" w:cs="Arial" w:eastAsia="Arial" w:hAnsi="Arial"/>
          <w:sz w:val="15"/>
          <w:szCs w:val="15"/>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Arial" w:cs="Arial" w:eastAsia="Arial" w:hAnsi="Arial"/>
          <w:sz w:val="15"/>
          <w:szCs w:val="15"/>
          <w:u w:val="single" w:color="auto"/>
          <w:color w:val="auto"/>
        </w:rPr>
        <w:t>Prohibited Investor</w:t>
      </w:r>
      <w:r>
        <w:rPr>
          <w:rFonts w:ascii="Arial" w:cs="Arial" w:eastAsia="Arial" w:hAnsi="Arial"/>
          <w:sz w:val="15"/>
          <w:szCs w:val="15"/>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Arial" w:cs="Arial" w:eastAsia="Arial" w:hAnsi="Arial"/>
          <w:sz w:val="15"/>
          <w:szCs w:val="15"/>
          <w:u w:val="single" w:color="auto"/>
          <w:color w:val="auto"/>
        </w:rPr>
        <w:t>BSA/PATRIOT Act</w:t>
      </w:r>
      <w:r>
        <w:rPr>
          <w:rFonts w:ascii="Arial" w:cs="Arial" w:eastAsia="Arial" w:hAnsi="Arial"/>
          <w:sz w:val="15"/>
          <w:szCs w:val="15"/>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Subscribed Securities were legally derived.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7" w:name="page238"/>
    <w:bookmarkEnd w:id="237"/>
    <w:p>
      <w:pPr>
        <w:jc w:val="both"/>
        <w:ind w:right="20" w:firstLine="1147"/>
        <w:spacing w:after="0" w:line="254" w:lineRule="auto"/>
        <w:rPr>
          <w:sz w:val="20"/>
          <w:szCs w:val="20"/>
          <w:color w:val="auto"/>
        </w:rPr>
      </w:pPr>
      <w:r>
        <w:rPr>
          <w:rFonts w:ascii="Arial" w:cs="Arial" w:eastAsia="Arial" w:hAnsi="Arial"/>
          <w:sz w:val="16"/>
          <w:szCs w:val="16"/>
          <w:color w:val="auto"/>
        </w:rPr>
        <w:t>p. As of the date hereof, and during the 30-day period immediately prior to the date hereof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Securities covered by this Agreement.</w:t>
      </w:r>
    </w:p>
    <w:p>
      <w:pPr>
        <w:spacing w:after="0" w:line="170"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q. 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Internal Revenue Code of 1986, as amended, or an entity whose underlying assets are considered to include “plan assets” of any such plan, account or arrangement (each, a “Plan”) subject to the fiduciary or prohibited transaction provisions of ERISA or section 4975 of the Code, Subscriber represents and warrants that neither the Company, nor any of its respective affiliates (the “</w:t>
      </w:r>
      <w:r>
        <w:rPr>
          <w:rFonts w:ascii="Arial" w:cs="Arial" w:eastAsia="Arial" w:hAnsi="Arial"/>
          <w:sz w:val="15"/>
          <w:szCs w:val="15"/>
          <w:u w:val="single" w:color="auto"/>
          <w:color w:val="auto"/>
        </w:rPr>
        <w:t>Transaction Parties</w:t>
      </w:r>
      <w:r>
        <w:rPr>
          <w:rFonts w:ascii="Arial" w:cs="Arial" w:eastAsia="Arial" w:hAnsi="Arial"/>
          <w:sz w:val="15"/>
          <w:szCs w:val="15"/>
          <w:color w:val="auto"/>
        </w:rPr>
        <w:t>”) has acted as the Plan’s fiduciary, or has been relied on for advice, with respect to its decision to acquire and hold the Subscribed Securities, and none of the Transaction Parties shall at any time be relied upon as the Plan’s fiduciary with respect to any decision to acquire, continue to hold or transfer the Subscribed Securities and the Underlying Shares and none of the acquisition, holding and/or transfer or disposition of the Subscribed Securities and the Underlying Shares will result in a non-exempt prohibited Transactions under ERISA or Section 4975 of the Code or any similar law or regulation.</w:t>
      </w:r>
    </w:p>
    <w:p>
      <w:pPr>
        <w:spacing w:after="0" w:line="16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r. Subscriber at the Closing will have sufficient funds to pay the Purchase Price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s. Subscriber agrees that, notwithstanding </w:t>
      </w:r>
      <w:r>
        <w:rPr>
          <w:rFonts w:ascii="Arial" w:cs="Arial" w:eastAsia="Arial" w:hAnsi="Arial"/>
          <w:sz w:val="16"/>
          <w:szCs w:val="16"/>
          <w:u w:val="single" w:color="auto"/>
          <w:color w:val="auto"/>
        </w:rPr>
        <w:t>Section 8(i)</w:t>
      </w:r>
      <w:r>
        <w:rPr>
          <w:rFonts w:ascii="Arial" w:cs="Arial" w:eastAsia="Arial" w:hAnsi="Arial"/>
          <w:sz w:val="16"/>
          <w:szCs w:val="16"/>
          <w:color w:val="auto"/>
        </w:rPr>
        <w:t>, the Placement Agent may rely upon the representations and warranties made by Subscriber to the Company in this Subscription Agreement.</w:t>
      </w:r>
    </w:p>
    <w:p>
      <w:pPr>
        <w:spacing w:after="0" w:line="152" w:lineRule="exact"/>
        <w:rPr>
          <w:sz w:val="20"/>
          <w:szCs w:val="20"/>
          <w:color w:val="auto"/>
        </w:rPr>
      </w:pPr>
    </w:p>
    <w:p>
      <w:pPr>
        <w:jc w:val="both"/>
        <w:ind w:firstLine="569"/>
        <w:spacing w:after="0" w:line="297" w:lineRule="auto"/>
        <w:tabs>
          <w:tab w:leader="none" w:pos="733" w:val="left"/>
        </w:tabs>
        <w:numPr>
          <w:ilvl w:val="0"/>
          <w:numId w:val="255"/>
        </w:numPr>
        <w:rPr>
          <w:rFonts w:ascii="Arial" w:cs="Arial" w:eastAsia="Arial" w:hAnsi="Arial"/>
          <w:sz w:val="14"/>
          <w:szCs w:val="14"/>
          <w:color w:val="auto"/>
        </w:rPr>
      </w:pPr>
      <w:r>
        <w:rPr>
          <w:rFonts w:ascii="Arial" w:cs="Arial" w:eastAsia="Arial" w:hAnsi="Arial"/>
          <w:sz w:val="14"/>
          <w:szCs w:val="14"/>
          <w:u w:val="single" w:color="auto"/>
          <w:color w:val="auto"/>
        </w:rPr>
        <w:t>Registration of Subscribed Securities</w:t>
      </w:r>
      <w:r>
        <w:rPr>
          <w:rFonts w:ascii="Arial" w:cs="Arial" w:eastAsia="Arial" w:hAnsi="Arial"/>
          <w:sz w:val="14"/>
          <w:szCs w:val="14"/>
          <w:color w:val="auto"/>
        </w:rPr>
        <w:t>. On the Closing Date, the Company and Subscriber shall execute the registration rights agreement, in substantially the form attached as Exhibit C to the Transaction Agreement (the “</w:t>
      </w:r>
      <w:r>
        <w:rPr>
          <w:rFonts w:ascii="Arial" w:cs="Arial" w:eastAsia="Arial" w:hAnsi="Arial"/>
          <w:sz w:val="14"/>
          <w:szCs w:val="14"/>
          <w:u w:val="single" w:color="auto"/>
          <w:color w:val="auto"/>
        </w:rPr>
        <w:t>Registration Rights Agreement</w:t>
      </w:r>
      <w:r>
        <w:rPr>
          <w:rFonts w:ascii="Arial" w:cs="Arial" w:eastAsia="Arial" w:hAnsi="Arial"/>
          <w:sz w:val="14"/>
          <w:szCs w:val="14"/>
          <w:color w:val="auto"/>
        </w:rPr>
        <w:t>”), pursuant to which the Company shall agree to register the resale of the (i) the Subscribed Notes, (ii) shares of Common Stock issuable upon (x) conversion of the Subscribed Notes and (y) exercise of the Subscribed Warrants and (iii) the Warrants in accordance with the terms provided therein. Upon execution and delivery of the Registration Rights Agreement by the Subscriber, Subscriber and each permitted transferee of a Subscribed Security that receives Subscribed Securities in compliance with the restrictions on transfer contained in and pursuant to the Registration Right Agreement shall have the rights of a “Holder” therein, and all of the Subscribed Securities shall constitute “Registrable Securities” under the Registration Rights Agreement.</w:t>
      </w:r>
    </w:p>
    <w:p>
      <w:pPr>
        <w:spacing w:after="0" w:line="143" w:lineRule="exact"/>
        <w:rPr>
          <w:rFonts w:ascii="Arial" w:cs="Arial" w:eastAsia="Arial" w:hAnsi="Arial"/>
          <w:sz w:val="14"/>
          <w:szCs w:val="14"/>
          <w:color w:val="auto"/>
        </w:rPr>
      </w:pPr>
    </w:p>
    <w:p>
      <w:pPr>
        <w:jc w:val="both"/>
        <w:ind w:firstLine="569"/>
        <w:spacing w:after="0" w:line="271" w:lineRule="auto"/>
        <w:tabs>
          <w:tab w:leader="none" w:pos="733" w:val="left"/>
        </w:tabs>
        <w:numPr>
          <w:ilvl w:val="0"/>
          <w:numId w:val="255"/>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the Company and Subscriber to terminate this Subscription Agreement; (c) if, on the Closing Date of the Transaction, any of the conditions to Closing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this Subscription Agreement have not been satisfied as of the time required hereunder to be so satisfied or waived (to the extent a valid waiver is capable of being issued) by the party entitled to grant such waiver and, as a result thereof, the transactions contemplated by this Subscription Agreement are not consummated; or (d) the “Termination Date” as defined in the Transaction Agreement (as such Termination Date may be amended or extended from time to time) (the “Termination Date”); provided,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8" w:name="page239"/>
    <w:bookmarkEnd w:id="238"/>
    <w:p>
      <w:pPr>
        <w:jc w:val="both"/>
        <w:ind w:left="4" w:firstLine="569"/>
        <w:spacing w:after="0" w:line="286" w:lineRule="auto"/>
        <w:tabs>
          <w:tab w:leader="none" w:pos="737" w:val="left"/>
        </w:tabs>
        <w:numPr>
          <w:ilvl w:val="1"/>
          <w:numId w:val="256"/>
        </w:numPr>
        <w:rPr>
          <w:rFonts w:ascii="Arial" w:cs="Arial" w:eastAsia="Arial" w:hAnsi="Arial"/>
          <w:sz w:val="14"/>
          <w:szCs w:val="14"/>
          <w:color w:val="auto"/>
        </w:rPr>
      </w:pPr>
      <w:r>
        <w:rPr>
          <w:rFonts w:ascii="Arial" w:cs="Arial" w:eastAsia="Arial" w:hAnsi="Arial"/>
          <w:sz w:val="14"/>
          <w:szCs w:val="14"/>
          <w:u w:val="single" w:color="auto"/>
          <w:color w:val="auto"/>
        </w:rPr>
        <w:t>Trust Account Waiver</w:t>
      </w:r>
      <w:r>
        <w:rPr>
          <w:rFonts w:ascii="Arial" w:cs="Arial" w:eastAsia="Arial" w:hAnsi="Arial"/>
          <w:sz w:val="14"/>
          <w:szCs w:val="14"/>
          <w:color w:val="auto"/>
        </w:rPr>
        <w:t>. Subscriber hereby acknowledges that the Company has established a trust account (the “</w:t>
      </w:r>
      <w:r>
        <w:rPr>
          <w:rFonts w:ascii="Arial" w:cs="Arial" w:eastAsia="Arial" w:hAnsi="Arial"/>
          <w:sz w:val="14"/>
          <w:szCs w:val="14"/>
          <w:u w:val="single" w:color="auto"/>
          <w:color w:val="auto"/>
        </w:rPr>
        <w:t>Trust Account</w:t>
      </w:r>
      <w:r>
        <w:rPr>
          <w:rFonts w:ascii="Arial" w:cs="Arial" w:eastAsia="Arial" w:hAnsi="Arial"/>
          <w:sz w:val="14"/>
          <w:szCs w:val="14"/>
          <w:color w:val="auto"/>
        </w:rPr>
        <w:t>”) containing the proceeds of its initial public offering (the “</w:t>
      </w:r>
      <w:r>
        <w:rPr>
          <w:rFonts w:ascii="Arial" w:cs="Arial" w:eastAsia="Arial" w:hAnsi="Arial"/>
          <w:sz w:val="14"/>
          <w:szCs w:val="14"/>
          <w:u w:val="single" w:color="auto"/>
          <w:color w:val="auto"/>
        </w:rPr>
        <w:t>IPO</w:t>
      </w:r>
      <w:r>
        <w:rPr>
          <w:rFonts w:ascii="Arial" w:cs="Arial" w:eastAsia="Arial" w:hAnsi="Arial"/>
          <w:sz w:val="14"/>
          <w:szCs w:val="14"/>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4"/>
          <w:szCs w:val="14"/>
          <w:u w:val="single" w:color="auto"/>
          <w:color w:val="auto"/>
        </w:rPr>
        <w:t>Released</w:t>
      </w:r>
      <w:r>
        <w:rPr>
          <w:rFonts w:ascii="Arial" w:cs="Arial" w:eastAsia="Arial" w:hAnsi="Arial"/>
          <w:sz w:val="14"/>
          <w:szCs w:val="14"/>
          <w:color w:val="auto"/>
        </w:rPr>
        <w:t xml:space="preserve"> </w:t>
      </w:r>
      <w:r>
        <w:rPr>
          <w:rFonts w:ascii="Arial" w:cs="Arial" w:eastAsia="Arial" w:hAnsi="Arial"/>
          <w:sz w:val="14"/>
          <w:szCs w:val="14"/>
          <w:u w:val="single" w:color="auto"/>
          <w:color w:val="auto"/>
        </w:rPr>
        <w:t>Claims</w:t>
      </w:r>
      <w:r>
        <w:rPr>
          <w:rFonts w:ascii="Arial" w:cs="Arial" w:eastAsia="Arial" w:hAnsi="Arial"/>
          <w:sz w:val="14"/>
          <w:szCs w:val="14"/>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provided however, that nothing in this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shall be deemed to limit (x) any Subscriber’s right to distributions from the Trust Account in accordance with the Company’s amended and restated certificate of incorporation in respect of any redemptions by Subscriber of its shares of public Common Stock of the Company acquired by any means other than pursuant to this Subscription Agreement or</w:t>
      </w:r>
    </w:p>
    <w:p>
      <w:pPr>
        <w:spacing w:after="0" w:line="5" w:lineRule="exact"/>
        <w:rPr>
          <w:rFonts w:ascii="Arial" w:cs="Arial" w:eastAsia="Arial" w:hAnsi="Arial"/>
          <w:sz w:val="14"/>
          <w:szCs w:val="14"/>
          <w:color w:val="auto"/>
        </w:rPr>
      </w:pPr>
    </w:p>
    <w:p>
      <w:pPr>
        <w:jc w:val="both"/>
        <w:ind w:left="4" w:right="20" w:hanging="4"/>
        <w:spacing w:after="0" w:line="279" w:lineRule="auto"/>
        <w:tabs>
          <w:tab w:leader="none" w:pos="241" w:val="left"/>
        </w:tabs>
        <w:numPr>
          <w:ilvl w:val="0"/>
          <w:numId w:val="257"/>
        </w:numPr>
        <w:rPr>
          <w:rFonts w:ascii="Arial" w:cs="Arial" w:eastAsia="Arial" w:hAnsi="Arial"/>
          <w:sz w:val="15"/>
          <w:szCs w:val="15"/>
          <w:color w:val="auto"/>
        </w:rPr>
      </w:pPr>
      <w:r>
        <w:rPr>
          <w:rFonts w:ascii="Arial" w:cs="Arial" w:eastAsia="Arial" w:hAnsi="Arial"/>
          <w:sz w:val="15"/>
          <w:szCs w:val="15"/>
          <w:color w:val="auto"/>
        </w:rPr>
        <w:t>any Subscriber’s recourse against assets held outside of the Trust Account or held by the post-Closing combined entity. Each Subscriber acknowledges and agrees that it shall not have any redemption rights with respect to the Subscribed Securities pursuant to the Company’s organizational documents in connection with the Transaction or any other business combination, any subsequent liquidation of the Trust Account, the Company or otherwise, except as set forth in the Indenture.</w:t>
      </w:r>
    </w:p>
    <w:p>
      <w:pPr>
        <w:spacing w:after="0" w:line="150" w:lineRule="exact"/>
        <w:rPr>
          <w:rFonts w:ascii="Arial" w:cs="Arial" w:eastAsia="Arial" w:hAnsi="Arial"/>
          <w:sz w:val="15"/>
          <w:szCs w:val="15"/>
          <w:color w:val="auto"/>
        </w:rPr>
      </w:pPr>
    </w:p>
    <w:p>
      <w:pPr>
        <w:ind w:left="724" w:hanging="151"/>
        <w:spacing w:after="0"/>
        <w:tabs>
          <w:tab w:leader="none" w:pos="724"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4" w:right="20" w:firstLine="1143"/>
        <w:spacing w:after="0" w:line="274" w:lineRule="auto"/>
        <w:tabs>
          <w:tab w:leader="none" w:pos="1342" w:val="left"/>
        </w:tabs>
        <w:numPr>
          <w:ilvl w:val="2"/>
          <w:numId w:val="257"/>
        </w:numPr>
        <w:rPr>
          <w:rFonts w:ascii="Arial" w:cs="Arial" w:eastAsia="Arial" w:hAnsi="Arial"/>
          <w:sz w:val="15"/>
          <w:szCs w:val="15"/>
          <w:color w:val="auto"/>
        </w:rPr>
      </w:pPr>
      <w:r>
        <w:rPr>
          <w:rFonts w:ascii="Arial" w:cs="Arial" w:eastAsia="Arial" w:hAnsi="Arial"/>
          <w:sz w:val="15"/>
          <w:szCs w:val="15"/>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provided, that such notice, request, demand, claim or other communication is also sent to the recipient pursuant to clauses (i), (iii) or (iv) of this </w:t>
      </w:r>
      <w:r>
        <w:rPr>
          <w:rFonts w:ascii="Arial" w:cs="Arial" w:eastAsia="Arial" w:hAnsi="Arial"/>
          <w:sz w:val="15"/>
          <w:szCs w:val="15"/>
          <w:u w:val="single" w:color="auto"/>
          <w:color w:val="auto"/>
        </w:rPr>
        <w:t>Section 8(a)</w:t>
      </w:r>
      <w:r>
        <w:rPr>
          <w:rFonts w:ascii="Arial" w:cs="Arial" w:eastAsia="Arial" w:hAnsi="Arial"/>
          <w:sz w:val="15"/>
          <w:szCs w:val="15"/>
          <w:color w:val="auto"/>
        </w:rPr>
        <w:t xml:space="preserve">;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Arial" w:cs="Arial" w:eastAsia="Arial" w:hAnsi="Arial"/>
          <w:sz w:val="15"/>
          <w:szCs w:val="15"/>
          <w:u w:val="single" w:color="auto"/>
          <w:color w:val="auto"/>
        </w:rPr>
        <w:t>Section 8(a)</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jc w:val="both"/>
        <w:ind w:left="4" w:firstLine="1143"/>
        <w:spacing w:after="0" w:line="274" w:lineRule="auto"/>
        <w:tabs>
          <w:tab w:leader="none" w:pos="1333" w:val="left"/>
        </w:tabs>
        <w:numPr>
          <w:ilvl w:val="2"/>
          <w:numId w:val="257"/>
        </w:numPr>
        <w:rPr>
          <w:rFonts w:ascii="Arial" w:cs="Arial" w:eastAsia="Arial" w:hAnsi="Arial"/>
          <w:sz w:val="15"/>
          <w:szCs w:val="15"/>
          <w:color w:val="auto"/>
        </w:rPr>
      </w:pPr>
      <w:r>
        <w:rPr>
          <w:rFonts w:ascii="Arial" w:cs="Arial" w:eastAsia="Arial" w:hAnsi="Arial"/>
          <w:sz w:val="15"/>
          <w:szCs w:val="15"/>
          <w:color w:val="auto"/>
        </w:rPr>
        <w:t>Subscriber acknowledges that the Company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39" w:name="page240"/>
    <w:bookmarkEnd w:id="239"/>
    <w:p>
      <w:pPr>
        <w:jc w:val="both"/>
        <w:ind w:left="4" w:right="20" w:firstLine="1147"/>
        <w:spacing w:after="0" w:line="275" w:lineRule="auto"/>
        <w:rPr>
          <w:sz w:val="20"/>
          <w:szCs w:val="20"/>
          <w:color w:val="auto"/>
        </w:rPr>
      </w:pPr>
      <w:r>
        <w:rPr>
          <w:rFonts w:ascii="Arial" w:cs="Arial" w:eastAsia="Arial" w:hAnsi="Arial"/>
          <w:sz w:val="16"/>
          <w:szCs w:val="16"/>
          <w:color w:val="auto"/>
        </w:rPr>
        <w:t>c. Each of the Company and Subscriber is irrevocably authorized to produce this Subscription Agreement or a copy hereof to any interested party in any administrative or legal proceeding or official inquiry with respect to the matters covered hereby.</w:t>
      </w:r>
    </w:p>
    <w:p>
      <w:pPr>
        <w:spacing w:after="0" w:line="152" w:lineRule="exact"/>
        <w:rPr>
          <w:sz w:val="20"/>
          <w:szCs w:val="20"/>
          <w:color w:val="auto"/>
        </w:rPr>
      </w:pPr>
    </w:p>
    <w:p>
      <w:pPr>
        <w:jc w:val="both"/>
        <w:ind w:left="4" w:firstLine="1147"/>
        <w:spacing w:after="0" w:line="253" w:lineRule="auto"/>
        <w:rPr>
          <w:sz w:val="20"/>
          <w:szCs w:val="20"/>
          <w:color w:val="auto"/>
        </w:rPr>
      </w:pPr>
      <w:r>
        <w:rPr>
          <w:rFonts w:ascii="Arial" w:cs="Arial" w:eastAsia="Arial" w:hAnsi="Arial"/>
          <w:sz w:val="16"/>
          <w:szCs w:val="16"/>
          <w:color w:val="auto"/>
        </w:rPr>
        <w:t xml:space="preserve">d. The Company shall be solely responsible for and shall bear all of costs and expenses incurred by or on behalf of the Company in connection with this Subscription Agreement. If the Transaction is consummated, the Company shall reimburse Subscriber on the Closing Date for all reasonable and documented out-of-pocket legal, accounting and diligence fees and expenses of Subscriber incurred in connection with this Subscription Agreement, the Indenture and the other documents relating thereto, including the reasonable and documented fees and expenses of Milbank LLP, as counsel to Subscriber, such fees and expenses not to exceed [***] in the aggregate, to the extent invoiced at least one (1) Business Day prior to the Closing Date. This </w:t>
      </w:r>
      <w:r>
        <w:rPr>
          <w:rFonts w:ascii="Arial" w:cs="Arial" w:eastAsia="Arial" w:hAnsi="Arial"/>
          <w:sz w:val="16"/>
          <w:szCs w:val="16"/>
          <w:u w:val="single" w:color="auto"/>
          <w:color w:val="auto"/>
        </w:rPr>
        <w:t>Section 8(e)</w:t>
      </w:r>
      <w:r>
        <w:rPr>
          <w:rFonts w:ascii="Arial" w:cs="Arial" w:eastAsia="Arial" w:hAnsi="Arial"/>
          <w:sz w:val="16"/>
          <w:szCs w:val="16"/>
          <w:color w:val="auto"/>
        </w:rPr>
        <w:t xml:space="preserve"> shall survive the termination of this Subscription Agreement. Neither this Subscription Agreement nor any rights that may accrue to Subscriber hereunder (other than the Subscribed Securities acquired hereunder, if any) may be transferred or assigned.</w:t>
      </w:r>
    </w:p>
    <w:p>
      <w:pPr>
        <w:spacing w:after="0" w:line="172" w:lineRule="exact"/>
        <w:rPr>
          <w:sz w:val="20"/>
          <w:szCs w:val="20"/>
          <w:color w:val="auto"/>
        </w:rPr>
      </w:pPr>
    </w:p>
    <w:p>
      <w:pPr>
        <w:jc w:val="both"/>
        <w:ind w:left="4" w:right="20" w:firstLine="1147"/>
        <w:spacing w:after="0" w:line="274" w:lineRule="auto"/>
        <w:rPr>
          <w:sz w:val="20"/>
          <w:szCs w:val="20"/>
          <w:color w:val="auto"/>
        </w:rPr>
      </w:pPr>
      <w:r>
        <w:rPr>
          <w:rFonts w:ascii="Arial" w:cs="Arial" w:eastAsia="Arial" w:hAnsi="Arial"/>
          <w:sz w:val="15"/>
          <w:szCs w:val="15"/>
          <w:color w:val="auto"/>
        </w:rPr>
        <w:t>e. Neither this Subscription Agreement nor any rights that may accrue to the Company hereunder may be transferred or assigned (provided, that, for the avoidance of doubt, the Company may transfer the Subscription Agreement and its rights hereunder solely in connection with the consummation of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provided that no such assignment shall relieve Subscriber of its obligations hereunder if any such assignee fails to perform such obligations, unless the Company has given its prior written consent to such relief.</w:t>
      </w:r>
    </w:p>
    <w:p>
      <w:pPr>
        <w:spacing w:after="0" w:line="15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f. All the agreements, representations and warranties made by each party hereto in this Subscription Agreement shall survive the Closing.</w:t>
      </w:r>
    </w:p>
    <w:p>
      <w:pPr>
        <w:spacing w:after="0" w:line="198" w:lineRule="exact"/>
        <w:rPr>
          <w:sz w:val="20"/>
          <w:szCs w:val="20"/>
          <w:color w:val="auto"/>
        </w:rPr>
      </w:pPr>
    </w:p>
    <w:p>
      <w:pPr>
        <w:jc w:val="both"/>
        <w:ind w:left="4" w:firstLine="1147"/>
        <w:spacing w:after="0" w:line="262" w:lineRule="auto"/>
        <w:rPr>
          <w:sz w:val="20"/>
          <w:szCs w:val="20"/>
          <w:color w:val="auto"/>
        </w:rPr>
      </w:pPr>
      <w:r>
        <w:rPr>
          <w:rFonts w:ascii="Arial" w:cs="Arial" w:eastAsia="Arial" w:hAnsi="Arial"/>
          <w:sz w:val="16"/>
          <w:szCs w:val="16"/>
          <w:color w:val="auto"/>
        </w:rPr>
        <w:t>g. The Company may request from Subscriber such additional information as the Company may deem necessary to evaluate the eligibility of Subscriber to acquire the Subscribed Securities, and Subscriber shall provide such information as may be reasonably requested, to the extent readily available and to the extent consistent with its internal policies and procedures.</w:t>
      </w:r>
    </w:p>
    <w:p>
      <w:pPr>
        <w:spacing w:after="0" w:line="162" w:lineRule="exact"/>
        <w:rPr>
          <w:sz w:val="20"/>
          <w:szCs w:val="20"/>
          <w:color w:val="auto"/>
        </w:rPr>
      </w:pPr>
    </w:p>
    <w:p>
      <w:pPr>
        <w:jc w:val="both"/>
        <w:ind w:left="4" w:firstLine="1147"/>
        <w:spacing w:after="0" w:line="286" w:lineRule="auto"/>
        <w:rPr>
          <w:sz w:val="20"/>
          <w:szCs w:val="20"/>
          <w:color w:val="auto"/>
        </w:rPr>
      </w:pPr>
      <w:r>
        <w:rPr>
          <w:rFonts w:ascii="Arial" w:cs="Arial" w:eastAsia="Arial" w:hAnsi="Arial"/>
          <w:sz w:val="14"/>
          <w:szCs w:val="14"/>
          <w:color w:val="auto"/>
        </w:rPr>
        <w:t xml:space="preserve">h. This Subscription Agreement may not be amended, modified, waived or terminated except by an instrument in writing, signed by the party against whom enforcement of such modification, waiver, or termination is sought; provided, that, this Subscription Agreement may be amended, modified, waived or terminated with the written consent of the Company and Subscribers then holding a majority of the Aggregate Subscribed Securities then committed to be purchased at the Closing by (or, if after the Closing, then held by) all Subscribers (the “Required Subscribers”). Upon the effectuation of such waiver, modification, amendment or termination with the consent of the Required Subscribers in conformance with this </w:t>
      </w:r>
      <w:r>
        <w:rPr>
          <w:rFonts w:ascii="Arial" w:cs="Arial" w:eastAsia="Arial" w:hAnsi="Arial"/>
          <w:sz w:val="14"/>
          <w:szCs w:val="14"/>
          <w:u w:val="single" w:color="auto"/>
          <w:color w:val="auto"/>
        </w:rPr>
        <w:t>Section 8(h)</w:t>
      </w:r>
      <w:r>
        <w:rPr>
          <w:rFonts w:ascii="Arial" w:cs="Arial" w:eastAsia="Arial" w:hAnsi="Arial"/>
          <w:sz w:val="14"/>
          <w:szCs w:val="14"/>
          <w:color w:val="auto"/>
        </w:rPr>
        <w:t xml:space="preserve">, such amendment, modification, waiver or termination shall be binding on all Subscribers and effective as to all of the Subscription Agreements. The Company shall promptly give written notice thereof to Subscriber if Subscriber has not previously consented to such amendment, modification, waiver or termination in writing; provided that the failure to give such notice shall not affect the validity of such amendment, modification, waiver or termination. Notwithstanding anything to the contrary herein, (i) no amendment, modification or waiver shall be effective against any Subscriber unless such amendment, modification or waiver applies to all Subscribers equally; (ii) any amendment, modification or waiver that has a disproportionate effect on a Subscriber (considered apart from any disproportionate effect owing to the number of Subscribed Securities held by such Subscriber), shall require the consent of such Subscriber; (iii) any amendment to </w:t>
      </w:r>
      <w:r>
        <w:rPr>
          <w:rFonts w:ascii="Arial" w:cs="Arial" w:eastAsia="Arial" w:hAnsi="Arial"/>
          <w:sz w:val="14"/>
          <w:szCs w:val="14"/>
          <w:u w:val="single" w:color="auto"/>
          <w:color w:val="auto"/>
        </w:rPr>
        <w:t>Section 2(e)</w:t>
      </w:r>
    </w:p>
    <w:p>
      <w:pPr>
        <w:spacing w:after="0" w:line="6" w:lineRule="exact"/>
        <w:rPr>
          <w:sz w:val="20"/>
          <w:szCs w:val="20"/>
          <w:color w:val="auto"/>
        </w:rPr>
      </w:pPr>
    </w:p>
    <w:p>
      <w:pPr>
        <w:ind w:left="4" w:right="20" w:hanging="4"/>
        <w:spacing w:after="0" w:line="292" w:lineRule="auto"/>
        <w:tabs>
          <w:tab w:leader="none" w:pos="318" w:val="left"/>
        </w:tabs>
        <w:numPr>
          <w:ilvl w:val="0"/>
          <w:numId w:val="258"/>
        </w:numPr>
        <w:rPr>
          <w:rFonts w:ascii="Arial" w:cs="Arial" w:eastAsia="Arial" w:hAnsi="Arial"/>
          <w:sz w:val="15"/>
          <w:szCs w:val="15"/>
          <w:u w:val="single" w:color="auto"/>
          <w:color w:val="auto"/>
        </w:rPr>
      </w:pPr>
      <w:r>
        <w:rPr>
          <w:rFonts w:ascii="Arial" w:cs="Arial" w:eastAsia="Arial" w:hAnsi="Arial"/>
          <w:sz w:val="15"/>
          <w:szCs w:val="15"/>
          <w:color w:val="auto"/>
        </w:rPr>
        <w:t xml:space="preserve">and </w:t>
      </w:r>
      <w:r>
        <w:rPr>
          <w:rFonts w:ascii="Arial" w:cs="Arial" w:eastAsia="Arial" w:hAnsi="Arial"/>
          <w:sz w:val="15"/>
          <w:szCs w:val="15"/>
          <w:u w:val="single" w:color="auto"/>
          <w:color w:val="auto"/>
        </w:rPr>
        <w:t>(viii)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3(h)</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(to amend the definition of Termination Date) or this </w:t>
      </w:r>
      <w:r>
        <w:rPr>
          <w:rFonts w:ascii="Arial" w:cs="Arial" w:eastAsia="Arial" w:hAnsi="Arial"/>
          <w:sz w:val="15"/>
          <w:szCs w:val="15"/>
          <w:u w:val="single" w:color="auto"/>
          <w:color w:val="auto"/>
        </w:rPr>
        <w:t>Section 8(h)</w:t>
      </w:r>
      <w:r>
        <w:rPr>
          <w:rFonts w:ascii="Arial" w:cs="Arial" w:eastAsia="Arial" w:hAnsi="Arial"/>
          <w:sz w:val="15"/>
          <w:szCs w:val="15"/>
          <w:color w:val="auto"/>
        </w:rPr>
        <w:t xml:space="preserve"> of this Subscription Agreement; and (iv) any amendment, modification or other change that alters the Purchase Price, or the number of Subscribed Securities shall require the consent of the undersigned Subscriber.</w:t>
      </w:r>
    </w:p>
    <w:p>
      <w:pPr>
        <w:spacing w:after="0" w:line="33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40" w:name="page241"/>
    <w:bookmarkEnd w:id="240"/>
    <w:p>
      <w:pPr>
        <w:jc w:val="both"/>
        <w:ind w:right="20" w:firstLine="1147"/>
        <w:spacing w:after="0" w:line="275" w:lineRule="auto"/>
        <w:rPr>
          <w:sz w:val="20"/>
          <w:szCs w:val="20"/>
          <w:color w:val="auto"/>
        </w:rPr>
      </w:pPr>
      <w:r>
        <w:rPr>
          <w:rFonts w:ascii="Arial" w:cs="Arial" w:eastAsia="Arial" w:hAnsi="Arial"/>
          <w:sz w:val="16"/>
          <w:szCs w:val="16"/>
          <w:color w:val="auto"/>
        </w:rPr>
        <w:t>i. This Subscription Agreement constitutes the entire agreement, and supersedes all other prior agreements, understandings, representations and warranties, both written and oral, among the parties, with respect to the subject matter hereof.</w:t>
      </w:r>
    </w:p>
    <w:p>
      <w:pPr>
        <w:spacing w:after="0" w:line="152"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j.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46"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52"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l. 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2"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 xml:space="preserve">m. This Subscription Agreement is intended for the benefit of the parties hereto and their respective successors and permitted assigns and is not for the benefit of, nor may any provision hereof be enforced by,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Placement Agent shall be an intended third-party beneficiary of the representations and warranties of the Company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and of Subscriber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w:t>
      </w:r>
    </w:p>
    <w:p>
      <w:pPr>
        <w:spacing w:after="0" w:line="162"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n.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65"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o. This Subscription Agreement shall be governed by, and construed in accordance with, the laws of the State of Delaware, without regard to the principles of conflicts of laws that would otherwise require the application of the law of any other state.</w:t>
      </w:r>
    </w:p>
    <w:p>
      <w:pPr>
        <w:spacing w:after="0" w:line="148" w:lineRule="exact"/>
        <w:rPr>
          <w:sz w:val="20"/>
          <w:szCs w:val="20"/>
          <w:color w:val="auto"/>
        </w:rPr>
      </w:pPr>
    </w:p>
    <w:p>
      <w:pPr>
        <w:jc w:val="both"/>
        <w:ind w:firstLine="1147"/>
        <w:spacing w:after="0" w:line="253" w:lineRule="auto"/>
        <w:rPr>
          <w:sz w:val="20"/>
          <w:szCs w:val="20"/>
          <w:color w:val="auto"/>
        </w:rPr>
      </w:pPr>
      <w:r>
        <w:rPr>
          <w:rFonts w:ascii="Arial" w:cs="Arial" w:eastAsia="Arial" w:hAnsi="Arial"/>
          <w:sz w:val="16"/>
          <w:szCs w:val="16"/>
          <w:color w:val="auto"/>
        </w:rPr>
        <w:t xml:space="preserve">p. </w:t>
      </w:r>
      <w:r>
        <w:rPr>
          <w:rFonts w:ascii="Arial" w:cs="Arial" w:eastAsia="Arial" w:hAnsi="Arial"/>
          <w:sz w:val="16"/>
          <w:szCs w:val="16"/>
          <w:b w:val="1"/>
          <w:bCs w:val="1"/>
          <w:color w:val="auto"/>
        </w:rPr>
        <w:t>EACH PARTY HEREBY WAIVES ITS RESPECTIVE RIGHTS TO A TRIAL BY JURY OF ANY CLAIM OR CAUSE OF ACTION BASED</w:t>
      </w:r>
      <w:r>
        <w:rPr>
          <w:rFonts w:ascii="Arial" w:cs="Arial" w:eastAsia="Arial" w:hAnsi="Arial"/>
          <w:sz w:val="16"/>
          <w:szCs w:val="16"/>
          <w:color w:val="auto"/>
        </w:rPr>
        <w:t xml:space="preserve"> </w:t>
      </w:r>
      <w:r>
        <w:rPr>
          <w:rFonts w:ascii="Arial" w:cs="Arial" w:eastAsia="Arial" w:hAnsi="Arial"/>
          <w:sz w:val="16"/>
          <w:szCs w:val="16"/>
          <w:b w:val="1"/>
          <w:bCs w:val="1"/>
          <w:color w:val="auto"/>
        </w:rPr>
        <w:t>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70" w:lineRule="exact"/>
        <w:rPr>
          <w:sz w:val="20"/>
          <w:szCs w:val="20"/>
          <w:color w:val="auto"/>
        </w:rPr>
      </w:pPr>
    </w:p>
    <w:p>
      <w:pPr>
        <w:jc w:val="both"/>
        <w:ind w:right="20" w:firstLine="1147"/>
        <w:spacing w:after="0" w:line="270" w:lineRule="auto"/>
        <w:rPr>
          <w:sz w:val="20"/>
          <w:szCs w:val="20"/>
          <w:color w:val="auto"/>
        </w:rPr>
      </w:pPr>
      <w:r>
        <w:rPr>
          <w:rFonts w:ascii="Arial" w:cs="Arial" w:eastAsia="Arial" w:hAnsi="Arial"/>
          <w:sz w:val="15"/>
          <w:szCs w:val="15"/>
          <w:color w:val="auto"/>
        </w:rPr>
        <w:t>q. 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Arial" w:cs="Arial" w:eastAsia="Arial" w:hAnsi="Arial"/>
          <w:sz w:val="15"/>
          <w:szCs w:val="15"/>
          <w:u w:val="single" w:color="auto"/>
          <w:color w:val="auto"/>
        </w:rPr>
        <w:t>Designated Courts</w:t>
      </w:r>
      <w:r>
        <w:rPr>
          <w:rFonts w:ascii="Arial" w:cs="Arial" w:eastAsia="Arial" w:hAnsi="Arial"/>
          <w:sz w:val="15"/>
          <w:szCs w:val="15"/>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Arial" w:cs="Arial" w:eastAsia="Arial" w:hAnsi="Arial"/>
          <w:sz w:val="15"/>
          <w:szCs w:val="15"/>
          <w:u w:val="single" w:color="auto"/>
          <w:color w:val="auto"/>
        </w:rPr>
        <w:t>Section 8(a)</w:t>
      </w:r>
      <w:r>
        <w:rPr>
          <w:rFonts w:ascii="Arial" w:cs="Arial" w:eastAsia="Arial" w:hAnsi="Arial"/>
          <w:sz w:val="15"/>
          <w:szCs w:val="15"/>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1" w:name="page242"/>
    <w:bookmarkEnd w:id="241"/>
    <w:p>
      <w:pPr>
        <w:jc w:val="both"/>
        <w:ind w:firstLine="1147"/>
        <w:spacing w:after="0" w:line="274" w:lineRule="auto"/>
        <w:rPr>
          <w:sz w:val="20"/>
          <w:szCs w:val="20"/>
          <w:color w:val="auto"/>
        </w:rPr>
      </w:pPr>
      <w:r>
        <w:rPr>
          <w:rFonts w:ascii="Arial" w:cs="Arial" w:eastAsia="Arial" w:hAnsi="Arial"/>
          <w:sz w:val="15"/>
          <w:szCs w:val="15"/>
          <w:color w:val="auto"/>
        </w:rPr>
        <w:t>r.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157"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s. The Company shall, by 9:00 a.m., New York City time, on the first (1st) business day immediately following the date of this Subscription Agreement, issue one or more press releases or file with the Commission a Current Report on Form 8-K (collectively, the “</w:t>
      </w:r>
      <w:r>
        <w:rPr>
          <w:rFonts w:ascii="Arial" w:cs="Arial" w:eastAsia="Arial" w:hAnsi="Arial"/>
          <w:sz w:val="15"/>
          <w:szCs w:val="15"/>
          <w:u w:val="single" w:color="auto"/>
          <w:color w:val="auto"/>
        </w:rPr>
        <w:t>Disclosure Document</w:t>
      </w:r>
      <w:r>
        <w:rPr>
          <w:rFonts w:ascii="Arial" w:cs="Arial" w:eastAsia="Arial" w:hAnsi="Arial"/>
          <w:sz w:val="15"/>
          <w:szCs w:val="15"/>
          <w:color w:val="auto"/>
        </w:rPr>
        <w:t>”) disclosing, to the extent not previously publicly disclosed, all material terms of the transactions contemplated hereby (and by the Other Subscription Agreements entered into as of the date hereof), the Transaction and any other material, nonpublic information that the Company has provided to Subscriber at any time prior to the filing of the Disclosure Document. From and after the issuance of the Disclosure Document, Subscriber shall not be in possession of any material, non-public information received from the Company or any of its officers, directors or employees or the Placement Agent. Notwithstanding the foregoing, the Company shall not publicly disclose the name of Subscriber or any affiliate or investment adviser of Subscriber, or include the name of Subscriber or any affiliate or investment adviser of Subscriber in any press release or in any filing with the Commission or any regulatory agency or trading market, without the prior written consent (including by e-mail) of Subscriber, except as required by the federal securities laws, rules or regulations and to the extent such disclosure is required by other laws, rules or regulations, at the request of the staff of the Commission or regulatory agency or under Nasdaq Stock Market regulations, in which case the Company shall provide Subscriber with prior written notice (including by e-mail) of such permitted disclosure, and shall reasonably consult with Subscriber regarding such disclosure.</w:t>
      </w:r>
    </w:p>
    <w:p>
      <w:pPr>
        <w:spacing w:after="0" w:line="160" w:lineRule="exact"/>
        <w:rPr>
          <w:sz w:val="20"/>
          <w:szCs w:val="20"/>
          <w:color w:val="auto"/>
        </w:rPr>
      </w:pPr>
    </w:p>
    <w:p>
      <w:pPr>
        <w:jc w:val="both"/>
        <w:ind w:firstLine="1147"/>
        <w:spacing w:after="0" w:line="289" w:lineRule="auto"/>
        <w:rPr>
          <w:sz w:val="20"/>
          <w:szCs w:val="20"/>
          <w:color w:val="auto"/>
        </w:rPr>
      </w:pPr>
      <w:r>
        <w:rPr>
          <w:rFonts w:ascii="Arial" w:cs="Arial" w:eastAsia="Arial" w:hAnsi="Arial"/>
          <w:sz w:val="14"/>
          <w:szCs w:val="14"/>
          <w:color w:val="auto"/>
        </w:rPr>
        <w:t>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Securities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Securities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2" w:name="page243"/>
    <w:bookmarkEnd w:id="242"/>
    <w:p>
      <w:pPr>
        <w:ind w:left="1140"/>
        <w:spacing w:after="0"/>
        <w:rPr>
          <w:sz w:val="20"/>
          <w:szCs w:val="20"/>
          <w:color w:val="auto"/>
        </w:rPr>
      </w:pPr>
      <w:r>
        <w:rPr>
          <w:rFonts w:ascii="Arial" w:cs="Arial" w:eastAsia="Arial" w:hAnsi="Arial"/>
          <w:sz w:val="14"/>
          <w:szCs w:val="14"/>
          <w:color w:val="auto"/>
        </w:rPr>
        <w:t>u. Following the Closing Date, Company shall hold regular quarterly conference calls to discuss the company’s financial results during the previous quarter.</w:t>
      </w:r>
    </w:p>
    <w:p>
      <w:pPr>
        <w:spacing w:after="0" w:line="221" w:lineRule="exact"/>
        <w:rPr>
          <w:sz w:val="20"/>
          <w:szCs w:val="20"/>
          <w:color w:val="auto"/>
        </w:rPr>
      </w:pPr>
    </w:p>
    <w:p>
      <w:pPr>
        <w:jc w:val="both"/>
        <w:ind w:firstLine="1147"/>
        <w:spacing w:after="0" w:line="268" w:lineRule="auto"/>
        <w:rPr>
          <w:sz w:val="20"/>
          <w:szCs w:val="20"/>
          <w:color w:val="auto"/>
        </w:rPr>
      </w:pPr>
      <w:r>
        <w:rPr>
          <w:rFonts w:ascii="Arial" w:cs="Arial" w:eastAsia="Arial" w:hAnsi="Arial"/>
          <w:sz w:val="15"/>
          <w:szCs w:val="15"/>
          <w:color w:val="auto"/>
        </w:rPr>
        <w:t>v. Following the Closing Date, for so long as the Subscriber holds no less than 50.0% of the Subscribed Notes (or shares issued in conversion thereof) purchased on the Closing Date, the Subscriber shall be entitled to designate one natural person from time to time to serve as an observer of the board of directors of the Company (the “</w:t>
      </w:r>
      <w:r>
        <w:rPr>
          <w:rFonts w:ascii="Arial" w:cs="Arial" w:eastAsia="Arial" w:hAnsi="Arial"/>
          <w:sz w:val="15"/>
          <w:szCs w:val="15"/>
          <w:u w:val="single" w:color="auto"/>
          <w:color w:val="auto"/>
        </w:rPr>
        <w:t>Board</w:t>
      </w:r>
      <w:r>
        <w:rPr>
          <w:rFonts w:ascii="Arial" w:cs="Arial" w:eastAsia="Arial" w:hAnsi="Arial"/>
          <w:sz w:val="15"/>
          <w:szCs w:val="15"/>
          <w:color w:val="auto"/>
        </w:rPr>
        <w:t>”) (a “</w:t>
      </w:r>
      <w:r>
        <w:rPr>
          <w:rFonts w:ascii="Arial" w:cs="Arial" w:eastAsia="Arial" w:hAnsi="Arial"/>
          <w:sz w:val="15"/>
          <w:szCs w:val="15"/>
          <w:u w:val="single" w:color="auto"/>
          <w:color w:val="auto"/>
        </w:rPr>
        <w:t>Board Observer</w:t>
      </w:r>
      <w:r>
        <w:rPr>
          <w:rFonts w:ascii="Arial" w:cs="Arial" w:eastAsia="Arial" w:hAnsi="Arial"/>
          <w:sz w:val="15"/>
          <w:szCs w:val="15"/>
          <w:color w:val="auto"/>
        </w:rPr>
        <w:t>”). Each of the Company and Subscriber shall take commercially reasonable efforts to negotiate in good faith a customary non-disclosure agreement between the Company and the Subscriber in a customary form provided by the Company and to be agreed between the parties including a “cleansing protocol” (the “</w:t>
      </w:r>
      <w:r>
        <w:rPr>
          <w:rFonts w:ascii="Arial" w:cs="Arial" w:eastAsia="Arial" w:hAnsi="Arial"/>
          <w:sz w:val="15"/>
          <w:szCs w:val="15"/>
          <w:u w:val="single" w:color="auto"/>
          <w:color w:val="auto"/>
        </w:rPr>
        <w:t>Confidentiality Agreement</w:t>
      </w:r>
      <w:r>
        <w:rPr>
          <w:rFonts w:ascii="Arial" w:cs="Arial" w:eastAsia="Arial" w:hAnsi="Arial"/>
          <w:sz w:val="15"/>
          <w:szCs w:val="15"/>
          <w:color w:val="auto"/>
        </w:rPr>
        <w:t>”). Subject to entry into the Confidentiality Agreement, the Board Observer may attend and participate in any meeting of the Board or any committee thereof as a non-voting observer. The Board Observer shall not (i) be deemed to be a member of the Board, (ii) have the right to vote on any matter presented to the Board or committee thereof, (iii) be considered or required for purposes of establishing quorum, and (iv) have the right to propose or offer any motions or resolutions to the Board. The Board Observer shall, subject to execution of the Confidentiality Agreement, have the right to (i) receive the same materials distributed to the Board and any committee thereof, (ii) receive notice of all meetings of the Board and any committee thereof and (iii) otherwise fully participate in meetings and discussions of the Board and any committee thereof (whether in person or by telephone), except for the right to vote; provided, however, the Board Observer shall adhere and be subject to, and act consistently with, the policies of the Board. Notwithstanding the foregoing, Subscriber agrees that the Board Observer may be excluded from access to any material or meeting or portion thereof if the Board or committee of the Board determines in good faith that (A) such exclusion is reasonably necessary to preserve the attorney-client privilege between the Company or its subsidiaries and counsel, or any privilege under any common interest or joint defense doctrine, (B) such materials or discussion relates to items in which Subscriber or its Affiliates have a conflict of interest or otherwise relate to any potential transactions (including but not limited to transactions relating to the convertible notes or common stock issuable upon conversion) between or among the Company or its Affiliates and such persons, or (C) such exclusion is necessary to avoid disclosure that is restricted by any agreement to which the Company or its Affiliates is a party or otherwise bound and (iii) nothing herein shall prevent the Board or any committee of the Board from taking any action by written consent; provided, however, that the Company shall provide notice to the Board Observer of (a) any meeting of the Board or any committee thereof from which the Board Observer was excluded and (b) any action taken by written consent of the Board or any committee of the Board within 24 hours after such meet has been held or such action has been taken.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 follow.]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3" w:name="page244"/>
    <w:bookmarkEnd w:id="243"/>
    <w:p>
      <w:pPr>
        <w:ind w:firstLine="574"/>
        <w:spacing w:after="0" w:line="280"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Company and Subscriber has executed or caused this Subscription Agreement to be executed by its duly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as of the date first set forth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VENTOUX CCM ACQUISITION CORP.</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 Edward Scheetz</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 Chairman and Chief Executive Officer</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Address for Notices:</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1 East Putnam Avenue, Floor 4</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Greenwich, CT</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Ventoux CCM Acquisition Corp Subscription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04"/>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SUBSCRIBER: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2"/>
        </w:trPr>
        <w:tc>
          <w:tcPr>
            <w:tcW w:w="7200" w:type="dxa"/>
            <w:vAlign w:val="bottom"/>
            <w:gridSpan w:val="2"/>
          </w:tcPr>
          <w:p>
            <w:pPr>
              <w:ind w:left="6760"/>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7200" w:type="dxa"/>
            <w:vAlign w:val="bottom"/>
            <w:gridSpan w:val="2"/>
          </w:tcPr>
          <w:p>
            <w:pPr>
              <w:ind w:left="6760"/>
              <w:spacing w:after="0"/>
              <w:rPr>
                <w:sz w:val="20"/>
                <w:szCs w:val="20"/>
                <w:color w:val="auto"/>
              </w:rPr>
            </w:pPr>
            <w:r>
              <w:rPr>
                <w:rFonts w:ascii="Arial" w:cs="Arial" w:eastAsia="Arial" w:hAnsi="Arial"/>
                <w:sz w:val="16"/>
                <w:szCs w:val="16"/>
                <w:color w:val="auto"/>
              </w:rPr>
              <w:t>By:</w:t>
            </w:r>
          </w:p>
        </w:tc>
        <w:tc>
          <w:tcPr>
            <w:tcW w:w="3260" w:type="dxa"/>
            <w:vAlign w:val="bottom"/>
            <w:gridSpan w:val="2"/>
          </w:tcPr>
          <w:p>
            <w:pPr>
              <w:spacing w:after="0"/>
              <w:rPr>
                <w:sz w:val="20"/>
                <w:szCs w:val="20"/>
                <w:color w:val="auto"/>
              </w:rPr>
            </w:pPr>
            <w:r>
              <w:rPr>
                <w:rFonts w:ascii="Arial" w:cs="Arial" w:eastAsia="Arial" w:hAnsi="Arial"/>
                <w:sz w:val="16"/>
                <w:szCs w:val="16"/>
                <w:color w:val="auto"/>
              </w:rPr>
              <w:t>[***], its investment adviser</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6"/>
        </w:trPr>
        <w:tc>
          <w:tcPr>
            <w:tcW w:w="7200" w:type="dxa"/>
            <w:vAlign w:val="bottom"/>
            <w:gridSpan w:val="2"/>
          </w:tcPr>
          <w:p>
            <w:pPr>
              <w:ind w:left="6760"/>
              <w:spacing w:after="0"/>
              <w:rPr>
                <w:sz w:val="20"/>
                <w:szCs w:val="20"/>
                <w:color w:val="auto"/>
              </w:rPr>
            </w:pPr>
            <w:r>
              <w:rPr>
                <w:rFonts w:ascii="Arial" w:cs="Arial" w:eastAsia="Arial" w:hAnsi="Arial"/>
                <w:sz w:val="16"/>
                <w:szCs w:val="16"/>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79"/>
        </w:trPr>
        <w:tc>
          <w:tcPr>
            <w:tcW w:w="7200" w:type="dxa"/>
            <w:vAlign w:val="bottom"/>
            <w:gridSpan w:val="2"/>
          </w:tcPr>
          <w:p>
            <w:pPr>
              <w:ind w:left="6760"/>
              <w:spacing w:after="0" w:line="179" w:lineRule="exact"/>
              <w:rPr>
                <w:sz w:val="20"/>
                <w:szCs w:val="20"/>
                <w:color w:val="auto"/>
              </w:rPr>
            </w:pPr>
            <w:r>
              <w:rPr>
                <w:rFonts w:ascii="Arial" w:cs="Arial" w:eastAsia="Arial" w:hAnsi="Arial"/>
                <w:sz w:val="16"/>
                <w:szCs w:val="16"/>
                <w:color w:val="auto"/>
                <w:w w:val="89"/>
              </w:rPr>
              <w:t>Name:</w:t>
            </w:r>
          </w:p>
        </w:tc>
        <w:tc>
          <w:tcPr>
            <w:tcW w:w="2820" w:type="dxa"/>
            <w:vAlign w:val="bottom"/>
          </w:tcPr>
          <w:p>
            <w:pPr>
              <w:spacing w:after="0" w:line="179"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4"/>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Title:  General Counsel and CCO</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2"/>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Address for Notices: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74"/>
        </w:trPr>
        <w:tc>
          <w:tcPr>
            <w:tcW w:w="7200" w:type="dxa"/>
            <w:vAlign w:val="bottom"/>
            <w:gridSpan w:val="2"/>
          </w:tcPr>
          <w:p>
            <w:pPr>
              <w:ind w:left="6760"/>
              <w:spacing w:after="0"/>
              <w:rPr>
                <w:sz w:val="20"/>
                <w:szCs w:val="20"/>
                <w:color w:val="auto"/>
              </w:rPr>
            </w:pPr>
            <w:r>
              <w:rPr>
                <w:rFonts w:ascii="Arial" w:cs="Arial" w:eastAsia="Arial" w:hAnsi="Arial"/>
                <w:sz w:val="16"/>
                <w:szCs w:val="16"/>
                <w:color w:val="auto"/>
              </w:rPr>
              <w:t>[***]</w:t>
            </w:r>
          </w:p>
        </w:tc>
        <w:tc>
          <w:tcPr>
            <w:tcW w:w="2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Name in which shares are to be registered:</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7200" w:type="dxa"/>
            <w:vAlign w:val="bottom"/>
            <w:gridSpan w:val="2"/>
          </w:tcPr>
          <w:p>
            <w:pPr>
              <w:ind w:left="6760"/>
              <w:spacing w:after="0"/>
              <w:rPr>
                <w:sz w:val="20"/>
                <w:szCs w:val="20"/>
                <w:color w:val="auto"/>
              </w:rPr>
            </w:pPr>
            <w:r>
              <w:rPr>
                <w:rFonts w:ascii="Arial" w:cs="Arial" w:eastAsia="Arial" w:hAnsi="Arial"/>
                <w:sz w:val="16"/>
                <w:szCs w:val="16"/>
                <w:color w:val="auto"/>
              </w:rPr>
              <w:t>[***]</w:t>
            </w:r>
          </w:p>
        </w:tc>
        <w:tc>
          <w:tcPr>
            <w:tcW w:w="2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67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r>
      <w:tr>
        <w:trPr>
          <w:trHeight w:val="191"/>
        </w:trPr>
        <w:tc>
          <w:tcPr>
            <w:tcW w:w="7200" w:type="dxa"/>
            <w:vAlign w:val="bottom"/>
            <w:gridSpan w:val="2"/>
          </w:tcPr>
          <w:p>
            <w:pPr>
              <w:spacing w:after="0"/>
              <w:rPr>
                <w:sz w:val="16"/>
                <w:szCs w:val="16"/>
                <w:color w:val="auto"/>
              </w:rPr>
            </w:pPr>
          </w:p>
        </w:tc>
        <w:tc>
          <w:tcPr>
            <w:tcW w:w="2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7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Aggregate Principal Amount of Subscribed Notes subscribed for:</w:t>
            </w:r>
          </w:p>
        </w:tc>
        <w:tc>
          <w:tcPr>
            <w:tcW w:w="3260" w:type="dxa"/>
            <w:vAlign w:val="bottom"/>
            <w:gridSpan w:val="2"/>
            <w:shd w:val="clear" w:color="auto" w:fill="CCEEFF"/>
          </w:tcPr>
          <w:p>
            <w:pPr>
              <w:jc w:val="right"/>
              <w:ind w:right="286"/>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r>
      <w:tr>
        <w:trPr>
          <w:trHeight w:val="191"/>
        </w:trPr>
        <w:tc>
          <w:tcPr>
            <w:tcW w:w="67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8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07"/>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Aggregate Number of Subscribed Warrants subscribed for:</w:t>
            </w:r>
          </w:p>
        </w:tc>
        <w:tc>
          <w:tcPr>
            <w:tcW w:w="2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91"/>
        </w:trPr>
        <w:tc>
          <w:tcPr>
            <w:tcW w:w="6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Aggregate Number of shares of Common Stock from Sponsors to be transferred:</w:t>
            </w:r>
          </w:p>
        </w:tc>
        <w:tc>
          <w:tcPr>
            <w:tcW w:w="2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91"/>
        </w:trPr>
        <w:tc>
          <w:tcPr>
            <w:tcW w:w="6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200" w:type="dxa"/>
            <w:vAlign w:val="bottom"/>
            <w:gridSpan w:val="2"/>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7200" w:type="dxa"/>
            <w:vAlign w:val="bottom"/>
            <w:gridSpan w:val="2"/>
          </w:tcPr>
          <w:p>
            <w:pPr>
              <w:spacing w:after="0"/>
              <w:rPr>
                <w:sz w:val="20"/>
                <w:szCs w:val="20"/>
                <w:color w:val="auto"/>
              </w:rPr>
            </w:pPr>
            <w:r>
              <w:rPr>
                <w:rFonts w:ascii="Arial" w:cs="Arial" w:eastAsia="Arial" w:hAnsi="Arial"/>
                <w:sz w:val="16"/>
                <w:szCs w:val="16"/>
                <w:color w:val="auto"/>
              </w:rPr>
              <w:t>Aggregate Purchase Price:</w:t>
            </w:r>
          </w:p>
        </w:tc>
        <w:tc>
          <w:tcPr>
            <w:tcW w:w="2820" w:type="dxa"/>
            <w:vAlign w:val="bottom"/>
          </w:tcPr>
          <w:p>
            <w:pPr>
              <w:spacing w:after="0"/>
              <w:rPr>
                <w:sz w:val="18"/>
                <w:szCs w:val="18"/>
                <w:color w:val="auto"/>
              </w:rPr>
            </w:pPr>
          </w:p>
        </w:tc>
        <w:tc>
          <w:tcPr>
            <w:tcW w:w="44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bl>
    <w:p>
      <w:pPr>
        <w:spacing w:after="0" w:line="17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You must pay the Purchase Price by wire transfer of United States dollars in immediately available funds to the account of the Company specified by the Company in the Closing Notice.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04"/>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SUBSCRIBER: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2"/>
        </w:trPr>
        <w:tc>
          <w:tcPr>
            <w:tcW w:w="7320" w:type="dxa"/>
            <w:vAlign w:val="bottom"/>
            <w:gridSpan w:val="2"/>
          </w:tcPr>
          <w:p>
            <w:pPr>
              <w:ind w:left="6760"/>
              <w:spacing w:after="0"/>
              <w:rPr>
                <w:sz w:val="20"/>
                <w:szCs w:val="20"/>
                <w:color w:val="auto"/>
              </w:rPr>
            </w:pPr>
            <w:r>
              <w:rPr>
                <w:rFonts w:ascii="Arial" w:cs="Arial" w:eastAsia="Arial" w:hAnsi="Arial"/>
                <w:sz w:val="16"/>
                <w:szCs w:val="16"/>
                <w:b w:val="1"/>
                <w:bCs w:val="1"/>
                <w:color w:val="auto"/>
              </w:rPr>
              <w:t>[***]</w:t>
            </w:r>
          </w:p>
        </w:tc>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7320" w:type="dxa"/>
            <w:vAlign w:val="bottom"/>
            <w:gridSpan w:val="2"/>
          </w:tcPr>
          <w:p>
            <w:pPr>
              <w:ind w:left="6760"/>
              <w:spacing w:after="0"/>
              <w:rPr>
                <w:sz w:val="20"/>
                <w:szCs w:val="20"/>
                <w:color w:val="auto"/>
              </w:rPr>
            </w:pPr>
            <w:r>
              <w:rPr>
                <w:rFonts w:ascii="Arial" w:cs="Arial" w:eastAsia="Arial" w:hAnsi="Arial"/>
                <w:sz w:val="16"/>
                <w:szCs w:val="16"/>
                <w:color w:val="auto"/>
              </w:rPr>
              <w:t>By:</w:t>
            </w:r>
          </w:p>
        </w:tc>
        <w:tc>
          <w:tcPr>
            <w:tcW w:w="3140" w:type="dxa"/>
            <w:vAlign w:val="bottom"/>
            <w:gridSpan w:val="2"/>
          </w:tcPr>
          <w:p>
            <w:pPr>
              <w:spacing w:after="0"/>
              <w:rPr>
                <w:sz w:val="20"/>
                <w:szCs w:val="20"/>
                <w:color w:val="auto"/>
              </w:rPr>
            </w:pPr>
            <w:r>
              <w:rPr>
                <w:rFonts w:ascii="Arial" w:cs="Arial" w:eastAsia="Arial" w:hAnsi="Arial"/>
                <w:sz w:val="16"/>
                <w:szCs w:val="16"/>
                <w:color w:val="auto"/>
              </w:rPr>
              <w:t>[***], its investment adviser</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6"/>
        </w:trPr>
        <w:tc>
          <w:tcPr>
            <w:tcW w:w="7320" w:type="dxa"/>
            <w:vAlign w:val="bottom"/>
            <w:gridSpan w:val="2"/>
          </w:tcPr>
          <w:p>
            <w:pPr>
              <w:ind w:left="6760"/>
              <w:spacing w:after="0"/>
              <w:rPr>
                <w:sz w:val="20"/>
                <w:szCs w:val="20"/>
                <w:color w:val="auto"/>
              </w:rPr>
            </w:pPr>
            <w:r>
              <w:rPr>
                <w:rFonts w:ascii="Arial" w:cs="Arial" w:eastAsia="Arial" w:hAnsi="Arial"/>
                <w:sz w:val="16"/>
                <w:szCs w:val="16"/>
                <w:color w:val="auto"/>
              </w:rPr>
              <w:t>By:</w:t>
            </w:r>
          </w:p>
        </w:tc>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79"/>
        </w:trPr>
        <w:tc>
          <w:tcPr>
            <w:tcW w:w="7320" w:type="dxa"/>
            <w:vAlign w:val="bottom"/>
            <w:gridSpan w:val="2"/>
          </w:tcPr>
          <w:p>
            <w:pPr>
              <w:ind w:left="6760"/>
              <w:spacing w:after="0" w:line="179" w:lineRule="exact"/>
              <w:rPr>
                <w:sz w:val="20"/>
                <w:szCs w:val="20"/>
                <w:color w:val="auto"/>
              </w:rPr>
            </w:pPr>
            <w:r>
              <w:rPr>
                <w:rFonts w:ascii="Arial" w:cs="Arial" w:eastAsia="Arial" w:hAnsi="Arial"/>
                <w:sz w:val="16"/>
                <w:szCs w:val="16"/>
                <w:color w:val="auto"/>
              </w:rPr>
              <w:t>Name:</w:t>
            </w:r>
          </w:p>
        </w:tc>
        <w:tc>
          <w:tcPr>
            <w:tcW w:w="2700" w:type="dxa"/>
            <w:vAlign w:val="bottom"/>
          </w:tcPr>
          <w:p>
            <w:pPr>
              <w:spacing w:after="0" w:line="179"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4"/>
        </w:trPr>
        <w:tc>
          <w:tcPr>
            <w:tcW w:w="7320" w:type="dxa"/>
            <w:vAlign w:val="bottom"/>
            <w:gridSpan w:val="2"/>
          </w:tcPr>
          <w:p>
            <w:pPr>
              <w:ind w:left="6760"/>
              <w:spacing w:after="0"/>
              <w:rPr>
                <w:sz w:val="20"/>
                <w:szCs w:val="20"/>
                <w:color w:val="auto"/>
              </w:rPr>
            </w:pPr>
            <w:r>
              <w:rPr>
                <w:rFonts w:ascii="Arial" w:cs="Arial" w:eastAsia="Arial" w:hAnsi="Arial"/>
                <w:sz w:val="16"/>
                <w:szCs w:val="16"/>
                <w:color w:val="auto"/>
              </w:rPr>
              <w:t>Title:</w:t>
            </w:r>
          </w:p>
        </w:tc>
        <w:tc>
          <w:tcPr>
            <w:tcW w:w="3140" w:type="dxa"/>
            <w:vAlign w:val="bottom"/>
            <w:gridSpan w:val="2"/>
          </w:tcPr>
          <w:p>
            <w:pPr>
              <w:spacing w:after="0"/>
              <w:rPr>
                <w:sz w:val="20"/>
                <w:szCs w:val="20"/>
                <w:color w:val="auto"/>
              </w:rPr>
            </w:pPr>
            <w:r>
              <w:rPr>
                <w:rFonts w:ascii="Arial" w:cs="Arial" w:eastAsia="Arial" w:hAnsi="Arial"/>
                <w:sz w:val="16"/>
                <w:szCs w:val="16"/>
                <w:color w:val="auto"/>
              </w:rPr>
              <w:t>General Counsel and CCO</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2"/>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Address for Notices: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7320" w:type="dxa"/>
            <w:vAlign w:val="bottom"/>
            <w:gridSpan w:val="2"/>
          </w:tcPr>
          <w:p>
            <w:pPr>
              <w:ind w:left="6760"/>
              <w:spacing w:after="0"/>
              <w:rPr>
                <w:sz w:val="20"/>
                <w:szCs w:val="20"/>
                <w:color w:val="auto"/>
              </w:rPr>
            </w:pPr>
            <w:r>
              <w:rPr>
                <w:rFonts w:ascii="Arial" w:cs="Arial" w:eastAsia="Arial" w:hAnsi="Arial"/>
                <w:sz w:val="16"/>
                <w:szCs w:val="16"/>
                <w:color w:val="auto"/>
              </w:rPr>
              <w:t>[***]</w:t>
            </w:r>
          </w:p>
        </w:tc>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74"/>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Name in which shares are to be registered:</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7320" w:type="dxa"/>
            <w:vAlign w:val="bottom"/>
            <w:gridSpan w:val="2"/>
          </w:tcPr>
          <w:p>
            <w:pPr>
              <w:ind w:left="6760"/>
              <w:spacing w:after="0"/>
              <w:rPr>
                <w:sz w:val="20"/>
                <w:szCs w:val="20"/>
                <w:color w:val="auto"/>
              </w:rPr>
            </w:pPr>
            <w:r>
              <w:rPr>
                <w:rFonts w:ascii="Arial" w:cs="Arial" w:eastAsia="Arial" w:hAnsi="Arial"/>
                <w:sz w:val="16"/>
                <w:szCs w:val="16"/>
                <w:color w:val="auto"/>
              </w:rPr>
              <w:t>[***]</w:t>
            </w:r>
          </w:p>
        </w:tc>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67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r>
      <w:tr>
        <w:trPr>
          <w:trHeight w:val="191"/>
        </w:trPr>
        <w:tc>
          <w:tcPr>
            <w:tcW w:w="7320" w:type="dxa"/>
            <w:vAlign w:val="bottom"/>
            <w:gridSpan w:val="2"/>
          </w:tcPr>
          <w:p>
            <w:pPr>
              <w:spacing w:after="0"/>
              <w:rPr>
                <w:sz w:val="16"/>
                <w:szCs w:val="16"/>
                <w:color w:val="auto"/>
              </w:rPr>
            </w:pPr>
          </w:p>
        </w:tc>
        <w:tc>
          <w:tcPr>
            <w:tcW w:w="2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Aggregate Principal Amount of Subscribed Notes subscribed for:</w:t>
            </w:r>
          </w:p>
        </w:tc>
        <w:tc>
          <w:tcPr>
            <w:tcW w:w="3140" w:type="dxa"/>
            <w:vAlign w:val="bottom"/>
            <w:gridSpan w:val="2"/>
            <w:shd w:val="clear" w:color="auto" w:fill="CCEEFF"/>
          </w:tcPr>
          <w:p>
            <w:pPr>
              <w:ind w:left="27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r>
      <w:tr>
        <w:trPr>
          <w:trHeight w:val="191"/>
        </w:trPr>
        <w:tc>
          <w:tcPr>
            <w:tcW w:w="67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70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0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Aggregate Number of Subscribed Warrants subscribed for:</w:t>
            </w:r>
          </w:p>
        </w:tc>
        <w:tc>
          <w:tcPr>
            <w:tcW w:w="2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91"/>
        </w:trPr>
        <w:tc>
          <w:tcPr>
            <w:tcW w:w="6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Aggregate Number of shares of Common Stock from Sponsors to be transferred:</w:t>
            </w:r>
          </w:p>
        </w:tc>
        <w:tc>
          <w:tcPr>
            <w:tcW w:w="2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91"/>
        </w:trPr>
        <w:tc>
          <w:tcPr>
            <w:tcW w:w="6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20" w:type="dxa"/>
            <w:vAlign w:val="bottom"/>
            <w:gridSpan w:val="2"/>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Aggregate Purchase Price:</w:t>
            </w:r>
          </w:p>
        </w:tc>
        <w:tc>
          <w:tcPr>
            <w:tcW w:w="270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bl>
    <w:p>
      <w:pPr>
        <w:spacing w:after="0" w:line="17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You must pay the Purchase Price by wire transfer of United States dollars in immediately available funds to the account of the Company specified by the Company in the Closing Notice.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6" w:name="page247"/>
    <w:bookmarkEnd w:id="246"/>
    <w:p>
      <w:pPr>
        <w:jc w:val="center"/>
        <w:ind w:right="-79"/>
        <w:spacing w:after="0"/>
        <w:rPr>
          <w:sz w:val="20"/>
          <w:szCs w:val="20"/>
          <w:color w:val="auto"/>
        </w:rPr>
      </w:pPr>
      <w:r>
        <w:rPr>
          <w:rFonts w:ascii="Arial" w:cs="Arial" w:eastAsia="Arial" w:hAnsi="Arial"/>
          <w:sz w:val="16"/>
          <w:szCs w:val="16"/>
          <w:b w:val="1"/>
          <w:bCs w:val="1"/>
          <w:color w:val="auto"/>
        </w:rPr>
        <w:t>ANNEX A</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ELIGIBILITY REPRESENTATIONS OF SUBSCRIBER</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This Annex A should be completed and signed by Subscriber</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and constitutes a part of the Subscription Agreement.</w:t>
      </w:r>
    </w:p>
    <w:p>
      <w:pPr>
        <w:spacing w:after="0" w:line="186" w:lineRule="exact"/>
        <w:rPr>
          <w:sz w:val="20"/>
          <w:szCs w:val="20"/>
          <w:color w:val="auto"/>
        </w:rPr>
      </w:pPr>
    </w:p>
    <w:p>
      <w:pPr>
        <w:ind w:left="380" w:hanging="304"/>
        <w:spacing w:after="0"/>
        <w:tabs>
          <w:tab w:leader="none" w:pos="3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QUALIFIED INSTITUTIONAL BUYER STATUS (Please check the box, if applicable)</w:t>
      </w:r>
    </w:p>
    <w:p>
      <w:pPr>
        <w:spacing w:after="0" w:line="294" w:lineRule="exact"/>
        <w:rPr>
          <w:rFonts w:ascii="Arial" w:cs="Arial" w:eastAsia="Arial" w:hAnsi="Arial"/>
          <w:sz w:val="16"/>
          <w:szCs w:val="16"/>
          <w:color w:val="auto"/>
        </w:rPr>
      </w:pPr>
    </w:p>
    <w:p>
      <w:pPr>
        <w:ind w:left="640" w:hanging="278"/>
        <w:spacing w:after="0"/>
        <w:tabs>
          <w:tab w:leader="none" w:pos="64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Subscriber is a “qualified institutional buyer” (as defined in Rule 144A under the Securities Act).</w:t>
      </w:r>
    </w:p>
    <w:p>
      <w:pPr>
        <w:spacing w:after="0" w:line="198" w:lineRule="exact"/>
        <w:rPr>
          <w:rFonts w:ascii="Arial" w:cs="Arial" w:eastAsia="Arial" w:hAnsi="Arial"/>
          <w:sz w:val="16"/>
          <w:szCs w:val="16"/>
          <w:color w:val="auto"/>
        </w:rPr>
      </w:pPr>
    </w:p>
    <w:p>
      <w:pPr>
        <w:ind w:left="380" w:hanging="304"/>
        <w:spacing w:after="0"/>
        <w:tabs>
          <w:tab w:leader="none" w:pos="3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ACCREDITED INVESTOR STATUS (Please check the box)</w:t>
      </w:r>
    </w:p>
    <w:p>
      <w:pPr>
        <w:spacing w:after="0" w:line="294" w:lineRule="exact"/>
        <w:rPr>
          <w:rFonts w:ascii="Arial" w:cs="Arial" w:eastAsia="Arial" w:hAnsi="Arial"/>
          <w:sz w:val="16"/>
          <w:szCs w:val="16"/>
          <w:color w:val="auto"/>
        </w:rPr>
      </w:pPr>
    </w:p>
    <w:p>
      <w:pPr>
        <w:ind w:left="640" w:right="20" w:hanging="278"/>
        <w:spacing w:after="0" w:line="275" w:lineRule="auto"/>
        <w:tabs>
          <w:tab w:leader="none" w:pos="64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51" w:lineRule="exact"/>
        <w:rPr>
          <w:rFonts w:ascii="Arial" w:cs="Arial" w:eastAsia="Arial" w:hAnsi="Arial"/>
          <w:sz w:val="16"/>
          <w:szCs w:val="16"/>
          <w:color w:val="auto"/>
        </w:rPr>
      </w:pPr>
    </w:p>
    <w:p>
      <w:pPr>
        <w:ind w:left="380" w:hanging="304"/>
        <w:spacing w:after="0"/>
        <w:tabs>
          <w:tab w:leader="none" w:pos="3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AFFILIATE STATUS</w:t>
      </w:r>
    </w:p>
    <w:p>
      <w:pPr>
        <w:spacing w:after="0" w:line="19"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(Please check the applicable box)</w:t>
      </w:r>
    </w:p>
    <w:p>
      <w:pPr>
        <w:spacing w:after="0" w:line="281"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SUBSCRIBER:</w:t>
      </w:r>
    </w:p>
    <w:p>
      <w:pPr>
        <w:spacing w:after="0" w:line="294" w:lineRule="exact"/>
        <w:rPr>
          <w:rFonts w:ascii="Arial" w:cs="Arial" w:eastAsia="Arial" w:hAnsi="Arial"/>
          <w:sz w:val="16"/>
          <w:szCs w:val="16"/>
          <w:color w:val="auto"/>
        </w:rPr>
      </w:pPr>
    </w:p>
    <w:p>
      <w:pPr>
        <w:ind w:left="640" w:hanging="278"/>
        <w:spacing w:after="0"/>
        <w:tabs>
          <w:tab w:leader="none" w:pos="64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is:</w:t>
      </w:r>
    </w:p>
    <w:p>
      <w:pPr>
        <w:spacing w:after="0" w:line="198" w:lineRule="exact"/>
        <w:rPr>
          <w:rFonts w:ascii="Arial" w:cs="Arial" w:eastAsia="Arial" w:hAnsi="Arial"/>
          <w:sz w:val="16"/>
          <w:szCs w:val="16"/>
          <w:color w:val="auto"/>
        </w:rPr>
      </w:pPr>
    </w:p>
    <w:p>
      <w:pPr>
        <w:ind w:left="640" w:hanging="278"/>
        <w:spacing w:after="0"/>
        <w:tabs>
          <w:tab w:leader="none" w:pos="64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is not:</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an “affiliate” (as defined in Rule 144 under the Securities Act) of the Company or acting on behalf of an affiliate of the Company.</w:t>
      </w:r>
    </w:p>
    <w:p>
      <w:pPr>
        <w:spacing w:after="0" w:line="198" w:lineRule="exact"/>
        <w:rPr>
          <w:sz w:val="20"/>
          <w:szCs w:val="20"/>
          <w:color w:val="auto"/>
        </w:rPr>
      </w:pPr>
    </w:p>
    <w:p>
      <w:pPr>
        <w:jc w:val="both"/>
        <w:ind w:firstLine="335"/>
        <w:spacing w:after="0" w:line="287" w:lineRule="auto"/>
        <w:rPr>
          <w:sz w:val="20"/>
          <w:szCs w:val="20"/>
          <w:color w:val="auto"/>
        </w:rPr>
      </w:pPr>
      <w:r>
        <w:rPr>
          <w:rFonts w:ascii="Arial" w:cs="Arial" w:eastAsia="Arial" w:hAnsi="Arial"/>
          <w:sz w:val="15"/>
          <w:szCs w:val="15"/>
          <w:color w:val="auto"/>
        </w:rPr>
        <w:t>Rule 501(a), in relevant part, states that an “accredited investor” shall mean any person who comes within any of the below listed categories, or who the issuer reasonably eves comes within any of the below listed categories, at the time of the sale of the securities to that person. Subscriber has indicated, by marking and initialing the appropriate below, the provision(s) below which apply to Subscriber and under which Subscriber accordingly qualifies as an “accredited investor.”</w:t>
      </w:r>
    </w:p>
    <w:p>
      <w:pPr>
        <w:spacing w:after="0" w:line="146" w:lineRule="exact"/>
        <w:rPr>
          <w:sz w:val="20"/>
          <w:szCs w:val="20"/>
          <w:color w:val="auto"/>
        </w:rPr>
      </w:pPr>
    </w:p>
    <w:p>
      <w:pPr>
        <w:ind w:left="640" w:hanging="278"/>
        <w:spacing w:after="0"/>
        <w:tabs>
          <w:tab w:leader="none" w:pos="64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Any bank, registered broker or dealer, insurance company, registered investment company, business development company, or small business investment company;</w:t>
      </w:r>
    </w:p>
    <w:p>
      <w:pPr>
        <w:spacing w:after="0" w:line="221" w:lineRule="exact"/>
        <w:rPr>
          <w:rFonts w:ascii="Arial" w:cs="Arial" w:eastAsia="Arial" w:hAnsi="Arial"/>
          <w:sz w:val="14"/>
          <w:szCs w:val="14"/>
          <w:color w:val="auto"/>
        </w:rPr>
      </w:pPr>
    </w:p>
    <w:p>
      <w:pPr>
        <w:jc w:val="both"/>
        <w:ind w:left="640" w:right="20" w:hanging="278"/>
        <w:spacing w:after="0" w:line="262" w:lineRule="auto"/>
        <w:tabs>
          <w:tab w:leader="none" w:pos="6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plan established and maintained by a state, its political subdivisions, or any agency or instrumentality of a state or its political subdivisions for the benefit of its employees, if such plan has total assets in excess of $5,000,000, or, if a self-directed plan, with investment decisions made solely by persons that are accredited investors;</w:t>
      </w:r>
    </w:p>
    <w:p>
      <w:pPr>
        <w:spacing w:after="0" w:line="162" w:lineRule="exact"/>
        <w:rPr>
          <w:rFonts w:ascii="Arial" w:cs="Arial" w:eastAsia="Arial" w:hAnsi="Arial"/>
          <w:sz w:val="16"/>
          <w:szCs w:val="16"/>
          <w:color w:val="auto"/>
        </w:rPr>
      </w:pPr>
    </w:p>
    <w:p>
      <w:pPr>
        <w:ind w:left="640" w:right="20" w:hanging="278"/>
        <w:spacing w:after="0" w:line="275" w:lineRule="auto"/>
        <w:tabs>
          <w:tab w:leader="none" w:pos="6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51" w:lineRule="exact"/>
        <w:rPr>
          <w:rFonts w:ascii="Arial" w:cs="Arial" w:eastAsia="Arial" w:hAnsi="Arial"/>
          <w:sz w:val="16"/>
          <w:szCs w:val="16"/>
          <w:color w:val="auto"/>
        </w:rPr>
      </w:pPr>
    </w:p>
    <w:p>
      <w:pPr>
        <w:ind w:left="640" w:hanging="278"/>
        <w:spacing w:after="0"/>
        <w:tabs>
          <w:tab w:leader="none" w:pos="6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private business development company as defined in section 202(a)(22) of the Investment Advisers Act of 1940;</w:t>
      </w:r>
    </w:p>
    <w:p>
      <w:pPr>
        <w:spacing w:after="0" w:line="198" w:lineRule="exact"/>
        <w:rPr>
          <w:rFonts w:ascii="Arial" w:cs="Arial" w:eastAsia="Arial" w:hAnsi="Arial"/>
          <w:sz w:val="16"/>
          <w:szCs w:val="16"/>
          <w:color w:val="auto"/>
        </w:rPr>
      </w:pPr>
    </w:p>
    <w:p>
      <w:pPr>
        <w:ind w:left="640" w:right="20" w:hanging="278"/>
        <w:spacing w:after="0" w:line="275" w:lineRule="auto"/>
        <w:tabs>
          <w:tab w:leader="none" w:pos="6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362585</wp:posOffset>
            </wp:positionV>
            <wp:extent cx="7148195"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340"/>
          </w:cols>
          <w:pgMar w:left="240" w:top="816" w:right="319" w:bottom="1440" w:gutter="0" w:footer="0" w:header="0"/>
        </w:sectPr>
      </w:pPr>
    </w:p>
    <w:bookmarkStart w:id="247" w:name="page248"/>
    <w:bookmarkEnd w:id="247"/>
    <w:p>
      <w:pPr>
        <w:ind w:left="560" w:hanging="278"/>
        <w:spacing w:after="0" w:line="275" w:lineRule="auto"/>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director, executive officer, or general partner of the issuer of the securities being offered or sold, or any director, executive officer, or general partner of a general partner of that issuer;</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natural person whose individual net worth, or joint net worth with that person’s spouse or spousal equivalent, exceeds $1,000,000;</w:t>
      </w:r>
    </w:p>
    <w:p>
      <w:pPr>
        <w:spacing w:after="0" w:line="198" w:lineRule="exact"/>
        <w:rPr>
          <w:rFonts w:ascii="Arial" w:cs="Arial" w:eastAsia="Arial" w:hAnsi="Arial"/>
          <w:sz w:val="16"/>
          <w:szCs w:val="16"/>
          <w:color w:val="auto"/>
        </w:rPr>
      </w:pPr>
    </w:p>
    <w:p>
      <w:pPr>
        <w:ind w:left="560" w:hanging="278"/>
        <w:spacing w:after="0" w:line="309" w:lineRule="auto"/>
        <w:tabs>
          <w:tab w:leader="none" w:pos="56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29" w:lineRule="exact"/>
        <w:rPr>
          <w:rFonts w:ascii="Arial" w:cs="Arial" w:eastAsia="Arial" w:hAnsi="Arial"/>
          <w:sz w:val="15"/>
          <w:szCs w:val="15"/>
          <w:color w:val="auto"/>
        </w:rPr>
      </w:pPr>
    </w:p>
    <w:p>
      <w:pPr>
        <w:ind w:left="560" w:hanging="278"/>
        <w:spacing w:after="0" w:line="275" w:lineRule="auto"/>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trust, with total assets in excess of $5,000,000, not formed for the specific purpose of acquiring the securities offered, whose purchase is directed by a sophisticated person as described in § 230.506(b)(2)(ii);</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entity in which all of the equity owners are accredited investors;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Any entity, of a type not listed above, not formed for the specific purpose of acquiring the securities offered, owning investments in excess of $5,000,000;</w:t>
      </w:r>
    </w:p>
    <w:p>
      <w:pPr>
        <w:spacing w:after="0" w:line="209" w:lineRule="exact"/>
        <w:rPr>
          <w:rFonts w:ascii="Arial" w:cs="Arial" w:eastAsia="Arial" w:hAnsi="Arial"/>
          <w:sz w:val="15"/>
          <w:szCs w:val="15"/>
          <w:color w:val="auto"/>
        </w:rPr>
      </w:pPr>
    </w:p>
    <w:p>
      <w:pPr>
        <w:ind w:left="560" w:hanging="278"/>
        <w:spacing w:after="0" w:line="275" w:lineRule="auto"/>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natural person holding in good standing one or more professional certifications or designations or credentials from an accredited educational institution that the Commission has designated as qualifying an individual for accredited investor status;</w:t>
      </w:r>
    </w:p>
    <w:p>
      <w:pPr>
        <w:spacing w:after="0" w:line="151" w:lineRule="exact"/>
        <w:rPr>
          <w:rFonts w:ascii="Arial" w:cs="Arial" w:eastAsia="Arial" w:hAnsi="Arial"/>
          <w:sz w:val="16"/>
          <w:szCs w:val="16"/>
          <w:color w:val="auto"/>
        </w:rPr>
      </w:pPr>
    </w:p>
    <w:p>
      <w:pPr>
        <w:jc w:val="both"/>
        <w:ind w:left="560" w:hanging="278"/>
        <w:spacing w:after="0" w:line="262" w:lineRule="auto"/>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natural person who is a “knowledgeable employee,” as defined in rule 3c-5(a)(4) under the Investment Company Act of 1940 (17 CFR 270.3c-5(a)(4)), of the issuer of the securities being offered or sold where the issuer would be an investment company, as defined in section 3 of such act, but for the exclusion provided by either section 3(c)(1) or section 3(c)(7) of such Act;</w:t>
      </w:r>
    </w:p>
    <w:p>
      <w:pPr>
        <w:spacing w:after="0" w:line="162" w:lineRule="exact"/>
        <w:rPr>
          <w:rFonts w:ascii="Arial" w:cs="Arial" w:eastAsia="Arial" w:hAnsi="Arial"/>
          <w:sz w:val="16"/>
          <w:szCs w:val="16"/>
          <w:color w:val="auto"/>
        </w:rPr>
      </w:pPr>
    </w:p>
    <w:p>
      <w:pPr>
        <w:jc w:val="both"/>
        <w:ind w:left="560" w:hanging="278"/>
        <w:spacing w:after="0" w:line="258" w:lineRule="auto"/>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and</w:t>
      </w:r>
    </w:p>
    <w:p>
      <w:pPr>
        <w:spacing w:after="0" w:line="164" w:lineRule="exact"/>
        <w:rPr>
          <w:rFonts w:ascii="Arial" w:cs="Arial" w:eastAsia="Arial" w:hAnsi="Arial"/>
          <w:sz w:val="16"/>
          <w:szCs w:val="16"/>
          <w:color w:val="auto"/>
        </w:rPr>
      </w:pPr>
    </w:p>
    <w:p>
      <w:pPr>
        <w:jc w:val="both"/>
        <w:ind w:left="560" w:hanging="278"/>
        <w:spacing w:after="0" w:line="262" w:lineRule="auto"/>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‘‘family client,’’ as defined in rule 202(a)(11)(G)–1 under the Investment Advisers Act of 1940 (17 CFR 275.202(a)(11)(G)–1)), of a family office meeting the requirements in paragraph (a)(12) of this section 501(a) and whose prospective investment in the issuer is directed by such family office pursuant to paragraph (a)(12) (iii).</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[Specify which tests: ]</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SUBSCRIBER:</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Print Name:</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6"/>
          <w:szCs w:val="16"/>
          <w:b w:val="1"/>
          <w:bCs w:val="1"/>
          <w:color w:val="auto"/>
        </w:rPr>
        <w:t>Exhibit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 Indenture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273050</wp:posOffset>
            </wp:positionV>
            <wp:extent cx="7148195"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744" w:right="1440"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16"/>
          <w:szCs w:val="16"/>
          <w:b w:val="1"/>
          <w:bCs w:val="1"/>
          <w:color w:val="auto"/>
        </w:rPr>
        <w:t>Exhibit B</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 Amended and Restated Warrant Agreement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273050</wp:posOffset>
            </wp:positionV>
            <wp:extent cx="7148195"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625" w:right="1440" w:bottom="1440" w:gutter="0" w:footer="0" w:header="0"/>
        </w:sectPr>
      </w:pPr>
    </w:p>
    <w:bookmarkStart w:id="250" w:name="page251"/>
    <w:bookmarkEnd w:id="250"/>
    <w:p>
      <w:pPr>
        <w:jc w:val="right"/>
        <w:spacing w:after="0"/>
        <w:rPr>
          <w:sz w:val="20"/>
          <w:szCs w:val="20"/>
          <w:color w:val="auto"/>
        </w:rPr>
      </w:pPr>
      <w:r>
        <w:rPr>
          <w:rFonts w:ascii="Arial" w:cs="Arial" w:eastAsia="Arial" w:hAnsi="Arial"/>
          <w:sz w:val="16"/>
          <w:szCs w:val="16"/>
          <w:b w:val="1"/>
          <w:bCs w:val="1"/>
          <w:color w:val="auto"/>
        </w:rPr>
        <w:t>Exhibit 10.3</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b w:val="1"/>
          <w:bCs w:val="1"/>
          <w:u w:val="single" w:color="auto"/>
          <w:color w:val="auto"/>
        </w:rPr>
        <w:t>Exhibit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AGREEMENT</w:t>
      </w:r>
    </w:p>
    <w:p>
      <w:pPr>
        <w:spacing w:after="0" w:line="18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This AMENDED AND RESTATED WARRANT AGREEMENT (“</w:t>
      </w:r>
      <w:r>
        <w:rPr>
          <w:rFonts w:ascii="Arial" w:cs="Arial" w:eastAsia="Arial" w:hAnsi="Arial"/>
          <w:sz w:val="16"/>
          <w:szCs w:val="16"/>
          <w:b w:val="1"/>
          <w:bCs w:val="1"/>
          <w:color w:val="auto"/>
        </w:rPr>
        <w:t>Warrant Agreement</w:t>
      </w:r>
      <w:r>
        <w:rPr>
          <w:rFonts w:ascii="Arial" w:cs="Arial" w:eastAsia="Arial" w:hAnsi="Arial"/>
          <w:sz w:val="16"/>
          <w:szCs w:val="16"/>
          <w:color w:val="auto"/>
        </w:rPr>
        <w:t>”) is made as of [●], 2022, by and between Ventoux CCM Acquisition Corp.,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color w:val="auto"/>
        </w:rPr>
        <w:t>Warrant Agent</w:t>
      </w:r>
      <w:r>
        <w:rPr>
          <w:rFonts w:ascii="Arial" w:cs="Arial" w:eastAsia="Arial" w:hAnsi="Arial"/>
          <w:sz w:val="16"/>
          <w:szCs w:val="16"/>
          <w:color w:val="auto"/>
        </w:rPr>
        <w:t>”).</w:t>
      </w:r>
    </w:p>
    <w:p>
      <w:pPr>
        <w:spacing w:after="0" w:line="144" w:lineRule="exact"/>
        <w:rPr>
          <w:sz w:val="20"/>
          <w:szCs w:val="20"/>
          <w:color w:val="auto"/>
        </w:rPr>
      </w:pPr>
    </w:p>
    <w:p>
      <w:pPr>
        <w:jc w:val="both"/>
        <w:ind w:right="20" w:firstLine="574"/>
        <w:spacing w:after="0" w:line="259" w:lineRule="auto"/>
        <w:rPr>
          <w:sz w:val="20"/>
          <w:szCs w:val="20"/>
          <w:color w:val="auto"/>
        </w:rPr>
      </w:pPr>
      <w:r>
        <w:rPr>
          <w:rFonts w:ascii="Arial" w:cs="Arial" w:eastAsia="Arial" w:hAnsi="Arial"/>
          <w:sz w:val="16"/>
          <w:szCs w:val="16"/>
          <w:color w:val="auto"/>
        </w:rPr>
        <w:t>WHEREAS, the Company completed an initial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of 17,250,000 units (the “</w:t>
      </w:r>
      <w:r>
        <w:rPr>
          <w:rFonts w:ascii="Arial" w:cs="Arial" w:eastAsia="Arial" w:hAnsi="Arial"/>
          <w:sz w:val="16"/>
          <w:szCs w:val="16"/>
          <w:b w:val="1"/>
          <w:bCs w:val="1"/>
          <w:color w:val="auto"/>
        </w:rPr>
        <w:t>Units</w:t>
      </w:r>
      <w:r>
        <w:rPr>
          <w:rFonts w:ascii="Arial" w:cs="Arial" w:eastAsia="Arial" w:hAnsi="Arial"/>
          <w:sz w:val="16"/>
          <w:szCs w:val="16"/>
          <w:color w:val="auto"/>
        </w:rPr>
        <w:t>”) of the Company, inclusive of the underwriters’ exercise of their over-allotment option in full, each Unit consisting of one share of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one right to receive one-twentieth of one share of Common Stock, and one warrant (the “</w:t>
      </w:r>
      <w:r>
        <w:rPr>
          <w:rFonts w:ascii="Arial" w:cs="Arial" w:eastAsia="Arial" w:hAnsi="Arial"/>
          <w:sz w:val="16"/>
          <w:szCs w:val="16"/>
          <w:b w:val="1"/>
          <w:bCs w:val="1"/>
          <w:color w:val="auto"/>
        </w:rPr>
        <w:t>Public Warrant</w:t>
      </w:r>
      <w:r>
        <w:rPr>
          <w:rFonts w:ascii="Arial" w:cs="Arial" w:eastAsia="Arial" w:hAnsi="Arial"/>
          <w:sz w:val="16"/>
          <w:szCs w:val="16"/>
          <w:color w:val="auto"/>
        </w:rPr>
        <w:t>” or “</w:t>
      </w:r>
      <w:r>
        <w:rPr>
          <w:rFonts w:ascii="Arial" w:cs="Arial" w:eastAsia="Arial" w:hAnsi="Arial"/>
          <w:sz w:val="16"/>
          <w:szCs w:val="16"/>
          <w:b w:val="1"/>
          <w:bCs w:val="1"/>
          <w:color w:val="auto"/>
        </w:rPr>
        <w:t>Public Warrants</w:t>
      </w:r>
      <w:r>
        <w:rPr>
          <w:rFonts w:ascii="Arial" w:cs="Arial" w:eastAsia="Arial" w:hAnsi="Arial"/>
          <w:sz w:val="16"/>
          <w:szCs w:val="16"/>
          <w:color w:val="auto"/>
        </w:rPr>
        <w:t>”), each whole Public Warrant entitling its holder to purchase one-half of one share of Common Stock (the “</w:t>
      </w:r>
      <w:r>
        <w:rPr>
          <w:rFonts w:ascii="Arial" w:cs="Arial" w:eastAsia="Arial" w:hAnsi="Arial"/>
          <w:sz w:val="16"/>
          <w:szCs w:val="16"/>
          <w:b w:val="1"/>
          <w:bCs w:val="1"/>
          <w:color w:val="auto"/>
        </w:rPr>
        <w:t>Public Warrant Shares</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4"/>
        <w:spacing w:after="0" w:line="278" w:lineRule="auto"/>
        <w:rPr>
          <w:sz w:val="20"/>
          <w:szCs w:val="20"/>
          <w:color w:val="auto"/>
        </w:rPr>
      </w:pPr>
      <w:r>
        <w:rPr>
          <w:rFonts w:ascii="Arial" w:cs="Arial" w:eastAsia="Arial" w:hAnsi="Arial"/>
          <w:sz w:val="15"/>
          <w:szCs w:val="15"/>
          <w:color w:val="auto"/>
        </w:rPr>
        <w:t>WHEREAS, the Company entered into Subscription Agreements dated as of December 23, 2020 (collectively, the “</w:t>
      </w:r>
      <w:r>
        <w:rPr>
          <w:rFonts w:ascii="Arial" w:cs="Arial" w:eastAsia="Arial" w:hAnsi="Arial"/>
          <w:sz w:val="15"/>
          <w:szCs w:val="15"/>
          <w:b w:val="1"/>
          <w:bCs w:val="1"/>
          <w:color w:val="auto"/>
        </w:rPr>
        <w:t>Subscription Agreements</w:t>
      </w:r>
      <w:r>
        <w:rPr>
          <w:rFonts w:ascii="Arial" w:cs="Arial" w:eastAsia="Arial" w:hAnsi="Arial"/>
          <w:sz w:val="15"/>
          <w:szCs w:val="15"/>
          <w:color w:val="auto"/>
        </w:rPr>
        <w:t>”), with Ventoux Acquisition Holdings LLC (the “</w:t>
      </w:r>
      <w:r>
        <w:rPr>
          <w:rFonts w:ascii="Arial" w:cs="Arial" w:eastAsia="Arial" w:hAnsi="Arial"/>
          <w:sz w:val="15"/>
          <w:szCs w:val="15"/>
          <w:b w:val="1"/>
          <w:bCs w:val="1"/>
          <w:color w:val="auto"/>
        </w:rPr>
        <w:t>Co-Sponsor</w:t>
      </w:r>
      <w:r>
        <w:rPr>
          <w:rFonts w:ascii="Arial" w:cs="Arial" w:eastAsia="Arial" w:hAnsi="Arial"/>
          <w:sz w:val="15"/>
          <w:szCs w:val="15"/>
          <w:color w:val="auto"/>
        </w:rPr>
        <w:t>”) and Chardan International Investments, LLC (the “</w:t>
      </w:r>
      <w:r>
        <w:rPr>
          <w:rFonts w:ascii="Arial" w:cs="Arial" w:eastAsia="Arial" w:hAnsi="Arial"/>
          <w:sz w:val="15"/>
          <w:szCs w:val="15"/>
          <w:b w:val="1"/>
          <w:bCs w:val="1"/>
          <w:color w:val="auto"/>
        </w:rPr>
        <w:t>Co-Sponsor II</w:t>
      </w:r>
      <w:r>
        <w:rPr>
          <w:rFonts w:ascii="Arial" w:cs="Arial" w:eastAsia="Arial" w:hAnsi="Arial"/>
          <w:sz w:val="15"/>
          <w:szCs w:val="15"/>
          <w:color w:val="auto"/>
        </w:rPr>
        <w:t>”, and together with the Co-Sponsor, the “</w:t>
      </w:r>
      <w:r>
        <w:rPr>
          <w:rFonts w:ascii="Arial" w:cs="Arial" w:eastAsia="Arial" w:hAnsi="Arial"/>
          <w:sz w:val="15"/>
          <w:szCs w:val="15"/>
          <w:b w:val="1"/>
          <w:bCs w:val="1"/>
          <w:color w:val="auto"/>
        </w:rPr>
        <w:t>Sponsors</w:t>
      </w:r>
      <w:r>
        <w:rPr>
          <w:rFonts w:ascii="Arial" w:cs="Arial" w:eastAsia="Arial" w:hAnsi="Arial"/>
          <w:sz w:val="15"/>
          <w:szCs w:val="15"/>
          <w:color w:val="auto"/>
        </w:rPr>
        <w:t>”), pursuant to which the Co-Sponsor purchased 4,450,000 warrants and the Co-Sponsor II purchased 2,225,000 warrants, for an aggregate purchase of 6,675,000 warrants, each for a purchase price of $1.00 per warrant (the “</w:t>
      </w:r>
      <w:r>
        <w:rPr>
          <w:rFonts w:ascii="Arial" w:cs="Arial" w:eastAsia="Arial" w:hAnsi="Arial"/>
          <w:sz w:val="15"/>
          <w:szCs w:val="15"/>
          <w:b w:val="1"/>
          <w:bCs w:val="1"/>
          <w:color w:val="auto"/>
        </w:rPr>
        <w:t>Private Warrants</w:t>
      </w:r>
      <w:r>
        <w:rPr>
          <w:rFonts w:ascii="Arial" w:cs="Arial" w:eastAsia="Arial" w:hAnsi="Arial"/>
          <w:sz w:val="15"/>
          <w:szCs w:val="15"/>
          <w:color w:val="auto"/>
        </w:rPr>
        <w:t>”, together with the Public Warrants, the “</w:t>
      </w:r>
      <w:r>
        <w:rPr>
          <w:rFonts w:ascii="Arial" w:cs="Arial" w:eastAsia="Arial" w:hAnsi="Arial"/>
          <w:sz w:val="15"/>
          <w:szCs w:val="15"/>
          <w:b w:val="1"/>
          <w:bCs w:val="1"/>
          <w:color w:val="auto"/>
        </w:rPr>
        <w:t>Initial Warrants</w:t>
      </w:r>
      <w:r>
        <w:rPr>
          <w:rFonts w:ascii="Arial" w:cs="Arial" w:eastAsia="Arial" w:hAnsi="Arial"/>
          <w:sz w:val="15"/>
          <w:szCs w:val="15"/>
          <w:color w:val="auto"/>
        </w:rPr>
        <w:t>”), each whole Private Warrant entitling its holder to purchase one share of Common Stock (“</w:t>
      </w:r>
      <w:r>
        <w:rPr>
          <w:rFonts w:ascii="Arial" w:cs="Arial" w:eastAsia="Arial" w:hAnsi="Arial"/>
          <w:sz w:val="15"/>
          <w:szCs w:val="15"/>
          <w:b w:val="1"/>
          <w:bCs w:val="1"/>
          <w:color w:val="auto"/>
        </w:rPr>
        <w:t>Private Warrant Shares</w:t>
      </w:r>
      <w:r>
        <w:rPr>
          <w:rFonts w:ascii="Arial" w:cs="Arial" w:eastAsia="Arial" w:hAnsi="Arial"/>
          <w:sz w:val="15"/>
          <w:szCs w:val="15"/>
          <w:color w:val="auto"/>
        </w:rPr>
        <w:t>”, and together with the Public Warrant Shares, the “</w:t>
      </w:r>
      <w:r>
        <w:rPr>
          <w:rFonts w:ascii="Arial" w:cs="Arial" w:eastAsia="Arial" w:hAnsi="Arial"/>
          <w:sz w:val="15"/>
          <w:szCs w:val="15"/>
          <w:b w:val="1"/>
          <w:bCs w:val="1"/>
          <w:color w:val="auto"/>
        </w:rPr>
        <w:t>Initial Warrant Shares</w:t>
      </w:r>
      <w:r>
        <w:rPr>
          <w:rFonts w:ascii="Arial" w:cs="Arial" w:eastAsia="Arial" w:hAnsi="Arial"/>
          <w:sz w:val="15"/>
          <w:szCs w:val="15"/>
          <w:color w:val="auto"/>
        </w:rPr>
        <w: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WHEREAS, the Company, Co-Sponsor and Co-Sponsor II desire to cancel 600,000 of the Private Warrants on a pro-rata basis between Co-Sponsor and Co-Sponsor</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II;</w:t>
      </w:r>
    </w:p>
    <w:p>
      <w:pPr>
        <w:spacing w:after="0" w:line="182"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color w:val="auto"/>
        </w:rPr>
        <w:t>WHEREAS, the Company and Warrant Agent entered into that certain Warrant Agreement, dated as of December 23, 2020 (the “</w:t>
      </w:r>
      <w:r>
        <w:rPr>
          <w:rFonts w:ascii="Arial" w:cs="Arial" w:eastAsia="Arial" w:hAnsi="Arial"/>
          <w:sz w:val="16"/>
          <w:szCs w:val="16"/>
          <w:b w:val="1"/>
          <w:bCs w:val="1"/>
          <w:color w:val="auto"/>
        </w:rPr>
        <w:t>Original Warrant Agreement</w:t>
      </w:r>
      <w:r>
        <w:rPr>
          <w:rFonts w:ascii="Arial" w:cs="Arial" w:eastAsia="Arial" w:hAnsi="Arial"/>
          <w:sz w:val="16"/>
          <w:szCs w:val="16"/>
          <w:color w:val="auto"/>
        </w:rPr>
        <w:t>”), which provides for the form and provisions of the Initial Warrants, the terms upon which they shall be issued and exercised, and the respective rights, limitations of rights, and immunities of the Company, the Warrant Agent and the holders of the Initial Warrants;</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WHEREAS, the Company has filed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and the SEC has declared effective, a Registration Statement on Form S-1, No. 333-251048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registration,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relating to the issuance of, among other securities, the Public Warrants;</w:t>
      </w:r>
    </w:p>
    <w:p>
      <w:pPr>
        <w:spacing w:after="0" w:line="155" w:lineRule="exact"/>
        <w:rPr>
          <w:sz w:val="20"/>
          <w:szCs w:val="20"/>
          <w:color w:val="auto"/>
        </w:rPr>
      </w:pPr>
    </w:p>
    <w:p>
      <w:pPr>
        <w:jc w:val="both"/>
        <w:ind w:firstLine="574"/>
        <w:spacing w:after="0" w:line="278" w:lineRule="auto"/>
        <w:rPr>
          <w:sz w:val="20"/>
          <w:szCs w:val="20"/>
          <w:color w:val="auto"/>
        </w:rPr>
      </w:pPr>
      <w:r>
        <w:rPr>
          <w:rFonts w:ascii="Arial" w:cs="Arial" w:eastAsia="Arial" w:hAnsi="Arial"/>
          <w:sz w:val="15"/>
          <w:szCs w:val="15"/>
          <w:color w:val="auto"/>
        </w:rPr>
        <w:t>WHEREAS, the Company, Ventoux Merger Sub I, Inc. (“</w:t>
      </w:r>
      <w:r>
        <w:rPr>
          <w:rFonts w:ascii="Arial" w:cs="Arial" w:eastAsia="Arial" w:hAnsi="Arial"/>
          <w:sz w:val="15"/>
          <w:szCs w:val="15"/>
          <w:b w:val="1"/>
          <w:bCs w:val="1"/>
          <w:color w:val="auto"/>
        </w:rPr>
        <w:t>First Merger Sub</w:t>
      </w:r>
      <w:r>
        <w:rPr>
          <w:rFonts w:ascii="Arial" w:cs="Arial" w:eastAsia="Arial" w:hAnsi="Arial"/>
          <w:sz w:val="15"/>
          <w:szCs w:val="15"/>
          <w:color w:val="auto"/>
        </w:rPr>
        <w:t>”), Ventoux Merger Sub II, LLC (“</w:t>
      </w:r>
      <w:r>
        <w:rPr>
          <w:rFonts w:ascii="Arial" w:cs="Arial" w:eastAsia="Arial" w:hAnsi="Arial"/>
          <w:sz w:val="15"/>
          <w:szCs w:val="15"/>
          <w:b w:val="1"/>
          <w:bCs w:val="1"/>
          <w:color w:val="auto"/>
        </w:rPr>
        <w:t>Second Merger Sub</w:t>
      </w:r>
      <w:r>
        <w:rPr>
          <w:rFonts w:ascii="Arial" w:cs="Arial" w:eastAsia="Arial" w:hAnsi="Arial"/>
          <w:sz w:val="15"/>
          <w:szCs w:val="15"/>
          <w:color w:val="auto"/>
        </w:rPr>
        <w:t>”) and E La Carte, Inc. (the “</w:t>
      </w:r>
      <w:r>
        <w:rPr>
          <w:rFonts w:ascii="Arial" w:cs="Arial" w:eastAsia="Arial" w:hAnsi="Arial"/>
          <w:sz w:val="15"/>
          <w:szCs w:val="15"/>
          <w:b w:val="1"/>
          <w:bCs w:val="1"/>
          <w:color w:val="auto"/>
        </w:rPr>
        <w:t>Target</w:t>
      </w:r>
      <w:r>
        <w:rPr>
          <w:rFonts w:ascii="Arial" w:cs="Arial" w:eastAsia="Arial" w:hAnsi="Arial"/>
          <w:sz w:val="15"/>
          <w:szCs w:val="15"/>
          <w:color w:val="auto"/>
        </w:rPr>
        <w:t>”) have entered into that certain Agreement and Plan of Merger, dated as of November 10, 2021 (the “</w:t>
      </w:r>
      <w:r>
        <w:rPr>
          <w:rFonts w:ascii="Arial" w:cs="Arial" w:eastAsia="Arial" w:hAnsi="Arial"/>
          <w:sz w:val="15"/>
          <w:szCs w:val="15"/>
          <w:b w:val="1"/>
          <w:bCs w:val="1"/>
          <w:color w:val="auto"/>
        </w:rPr>
        <w:t>Merger Agreement</w:t>
      </w:r>
      <w:r>
        <w:rPr>
          <w:rFonts w:ascii="Arial" w:cs="Arial" w:eastAsia="Arial" w:hAnsi="Arial"/>
          <w:sz w:val="15"/>
          <w:szCs w:val="15"/>
          <w:color w:val="auto"/>
        </w:rPr>
        <w:t>”), pursuant to which (and subject to the terms and conditions set forth therein) First Merger Sub will merge with and into the Target, with the Target surviving such merger as a wholly-owned subsidiary of the Company (the “</w:t>
      </w:r>
      <w:r>
        <w:rPr>
          <w:rFonts w:ascii="Arial" w:cs="Arial" w:eastAsia="Arial" w:hAnsi="Arial"/>
          <w:sz w:val="15"/>
          <w:szCs w:val="15"/>
          <w:b w:val="1"/>
          <w:bCs w:val="1"/>
          <w:color w:val="auto"/>
        </w:rPr>
        <w:t>First Merger</w:t>
      </w:r>
      <w:r>
        <w:rPr>
          <w:rFonts w:ascii="Arial" w:cs="Arial" w:eastAsia="Arial" w:hAnsi="Arial"/>
          <w:sz w:val="15"/>
          <w:szCs w:val="15"/>
          <w:color w:val="auto"/>
        </w:rPr>
        <w:t>”), and immediately following the First Merger, the surviving corporation will merge with and into Second Merger Sub, with Second Merger Sub continuing on as the surviving entity as a wholly-owned subsidiary of the Company (the merger transactions collectively referred to as the “</w:t>
      </w:r>
      <w:r>
        <w:rPr>
          <w:rFonts w:ascii="Arial" w:cs="Arial" w:eastAsia="Arial" w:hAnsi="Arial"/>
          <w:sz w:val="15"/>
          <w:szCs w:val="15"/>
          <w:b w:val="1"/>
          <w:bCs w:val="1"/>
          <w:color w:val="auto"/>
        </w:rPr>
        <w:t>Merger</w:t>
      </w:r>
      <w:r>
        <w:rPr>
          <w:rFonts w:ascii="Arial" w:cs="Arial" w:eastAsia="Arial" w:hAnsi="Arial"/>
          <w:sz w:val="15"/>
          <w:szCs w:val="15"/>
          <w:color w:val="auto"/>
        </w:rPr>
        <w:t>”);</w:t>
      </w:r>
    </w:p>
    <w:p>
      <w:pPr>
        <w:spacing w:after="0" w:line="15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WHEREAS, the Company has, concurrently with entering into the Merger Agreement, entered into a Subscription Agreement, dated as of November 10, 2021 (the “</w:t>
      </w:r>
      <w:r>
        <w:rPr>
          <w:rFonts w:ascii="Arial" w:cs="Arial" w:eastAsia="Arial" w:hAnsi="Arial"/>
          <w:sz w:val="15"/>
          <w:szCs w:val="15"/>
          <w:b w:val="1"/>
          <w:bCs w:val="1"/>
          <w:i w:val="1"/>
          <w:iCs w:val="1"/>
          <w:color w:val="auto"/>
        </w:rPr>
        <w:t>Subscription Agreement</w:t>
      </w:r>
      <w:r>
        <w:rPr>
          <w:rFonts w:ascii="Arial" w:cs="Arial" w:eastAsia="Arial" w:hAnsi="Arial"/>
          <w:sz w:val="15"/>
          <w:szCs w:val="15"/>
          <w:color w:val="auto"/>
        </w:rPr>
        <w:t>”) with a certain investor (the “</w:t>
      </w:r>
      <w:r>
        <w:rPr>
          <w:rFonts w:ascii="Arial" w:cs="Arial" w:eastAsia="Arial" w:hAnsi="Arial"/>
          <w:sz w:val="15"/>
          <w:szCs w:val="15"/>
          <w:b w:val="1"/>
          <w:bCs w:val="1"/>
          <w:i w:val="1"/>
          <w:iCs w:val="1"/>
          <w:color w:val="auto"/>
        </w:rPr>
        <w:t>Subscriber</w:t>
      </w:r>
      <w:r>
        <w:rPr>
          <w:rFonts w:ascii="Arial" w:cs="Arial" w:eastAsia="Arial" w:hAnsi="Arial"/>
          <w:sz w:val="15"/>
          <w:szCs w:val="15"/>
          <w:color w:val="auto"/>
        </w:rPr>
        <w:t>”), pursuant to which the Subscriber has agreed to subscribe for and purchase, and the Company has agreed to issue and sell to the Subscriber, effective as of immediately prior to the effective time of the Merger, (a) an aggregate principal amount of $55,000,000 of the Company’s 9.0%/11.0% notes due 2026 (the “</w:t>
      </w:r>
      <w:r>
        <w:rPr>
          <w:rFonts w:ascii="Arial" w:cs="Arial" w:eastAsia="Arial" w:hAnsi="Arial"/>
          <w:sz w:val="15"/>
          <w:szCs w:val="15"/>
          <w:b w:val="1"/>
          <w:bCs w:val="1"/>
          <w:color w:val="auto"/>
        </w:rPr>
        <w:t>Notes</w:t>
      </w:r>
      <w:r>
        <w:rPr>
          <w:rFonts w:ascii="Arial" w:cs="Arial" w:eastAsia="Arial" w:hAnsi="Arial"/>
          <w:sz w:val="15"/>
          <w:szCs w:val="15"/>
          <w:color w:val="auto"/>
        </w:rPr>
        <w:t>”), which are convertible into shares of Common Stock, and (b) warrants to purchase an aggregate of 1,000,000 shares of Common Stock (the “</w:t>
      </w:r>
      <w:r>
        <w:rPr>
          <w:rFonts w:ascii="Arial" w:cs="Arial" w:eastAsia="Arial" w:hAnsi="Arial"/>
          <w:sz w:val="15"/>
          <w:szCs w:val="15"/>
          <w:b w:val="1"/>
          <w:bCs w:val="1"/>
          <w:color w:val="auto"/>
        </w:rPr>
        <w:t>Notes Warrant Shares</w:t>
      </w:r>
      <w:r>
        <w:rPr>
          <w:rFonts w:ascii="Arial" w:cs="Arial" w:eastAsia="Arial" w:hAnsi="Arial"/>
          <w:sz w:val="15"/>
          <w:szCs w:val="15"/>
          <w:color w:val="auto"/>
        </w:rPr>
        <w:t>” and together with the Initial Warrant Shares, the “</w:t>
      </w:r>
      <w:r>
        <w:rPr>
          <w:rFonts w:ascii="Arial" w:cs="Arial" w:eastAsia="Arial" w:hAnsi="Arial"/>
          <w:sz w:val="15"/>
          <w:szCs w:val="15"/>
          <w:b w:val="1"/>
          <w:bCs w:val="1"/>
          <w:color w:val="auto"/>
        </w:rPr>
        <w:t>Warrant Shares</w:t>
      </w:r>
      <w:r>
        <w:rPr>
          <w:rFonts w:ascii="Arial" w:cs="Arial" w:eastAsia="Arial" w:hAnsi="Arial"/>
          <w:sz w:val="15"/>
          <w:szCs w:val="15"/>
          <w:color w:val="auto"/>
        </w:rPr>
        <w:t>”) for an initial exercise price of $11.50 per share of Common Stock (the “</w:t>
      </w:r>
      <w:r>
        <w:rPr>
          <w:rFonts w:ascii="Arial" w:cs="Arial" w:eastAsia="Arial" w:hAnsi="Arial"/>
          <w:sz w:val="15"/>
          <w:szCs w:val="15"/>
          <w:b w:val="1"/>
          <w:bCs w:val="1"/>
          <w:color w:val="auto"/>
        </w:rPr>
        <w:t>Note Financing Warrants</w:t>
      </w:r>
      <w:r>
        <w:rPr>
          <w:rFonts w:ascii="Arial" w:cs="Arial" w:eastAsia="Arial" w:hAnsi="Arial"/>
          <w:sz w:val="15"/>
          <w:szCs w:val="15"/>
          <w:color w:val="auto"/>
        </w:rPr>
        <w:t>” and, together with the Initial Warrants, the “</w:t>
      </w:r>
      <w:r>
        <w:rPr>
          <w:rFonts w:ascii="Arial" w:cs="Arial" w:eastAsia="Arial" w:hAnsi="Arial"/>
          <w:sz w:val="15"/>
          <w:szCs w:val="15"/>
          <w:b w:val="1"/>
          <w:bCs w:val="1"/>
          <w:color w:val="auto"/>
        </w:rPr>
        <w:t>Warrants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365760</wp:posOffset>
            </wp:positionV>
            <wp:extent cx="7148195"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51" w:name="page252"/>
    <w:bookmarkEnd w:id="251"/>
    <w:p>
      <w:pPr>
        <w:jc w:val="both"/>
        <w:ind w:right="20" w:firstLine="574"/>
        <w:spacing w:after="0" w:line="349" w:lineRule="auto"/>
        <w:rPr>
          <w:sz w:val="20"/>
          <w:szCs w:val="20"/>
          <w:color w:val="auto"/>
        </w:rPr>
      </w:pPr>
      <w:r>
        <w:rPr>
          <w:rFonts w:ascii="Arial" w:cs="Arial" w:eastAsia="Arial" w:hAnsi="Arial"/>
          <w:sz w:val="14"/>
          <w:szCs w:val="14"/>
          <w:color w:val="auto"/>
        </w:rPr>
        <w:t>WHEREAS, each Public Warrant entitles the holder thereof to purchase one-half of one share of Common Stock at a price of $11.50 per whole share; and each Private Warrant and Note Financing Warrant entitles the holder thereof to purchase one share of Common Stock for $11.50 per share, subject to adjustment as described herein;</w:t>
      </w:r>
    </w:p>
    <w:p>
      <w:pPr>
        <w:spacing w:after="0" w:line="10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w:t>
      </w:r>
    </w:p>
    <w:p>
      <w:pPr>
        <w:spacing w:after="0" w:line="15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WHEREAS, in connection with the foregoing, the Company and the Warrant Agent desire to amend and restate the Original Warrant Agreement in the form of this Agreement, in accordance with Section 9.8 of the Original Warrant Agreement, such that this Agreement will take effect and supersede the Original Warrant Agreement in its entirety as of immediately prior to the effective time of the Merger (concurrently with the issuance of the Note Financing Warrants); and</w:t>
      </w:r>
    </w:p>
    <w:p>
      <w:pPr>
        <w:spacing w:after="0" w:line="14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NOW, THEREFORE, in consideration of the mutual agreements herein contained, the parties hereto agree as follows:</w:t>
      </w:r>
    </w:p>
    <w:p>
      <w:pPr>
        <w:spacing w:after="0" w:line="198" w:lineRule="exact"/>
        <w:rPr>
          <w:sz w:val="20"/>
          <w:szCs w:val="20"/>
          <w:color w:val="auto"/>
        </w:rPr>
      </w:pPr>
    </w:p>
    <w:p>
      <w:pPr>
        <w:ind w:right="20" w:firstLine="569"/>
        <w:spacing w:after="0" w:line="309" w:lineRule="auto"/>
        <w:tabs>
          <w:tab w:leader="none" w:pos="733" w:val="left"/>
        </w:tabs>
        <w:numPr>
          <w:ilvl w:val="0"/>
          <w:numId w:val="262"/>
        </w:numPr>
        <w:rPr>
          <w:rFonts w:ascii="Arial" w:cs="Arial" w:eastAsia="Arial" w:hAnsi="Arial"/>
          <w:sz w:val="15"/>
          <w:szCs w:val="15"/>
          <w:color w:val="auto"/>
        </w:rPr>
      </w:pPr>
      <w:r>
        <w:rPr>
          <w:rFonts w:ascii="Arial" w:cs="Arial" w:eastAsia="Arial" w:hAnsi="Arial"/>
          <w:sz w:val="15"/>
          <w:szCs w:val="15"/>
          <w:u w:val="single" w:color="auto"/>
          <w:color w:val="auto"/>
        </w:rPr>
        <w:t>Appointment of Warrant Agent</w:t>
      </w:r>
      <w:r>
        <w:rPr>
          <w:rFonts w:ascii="Arial" w:cs="Arial" w:eastAsia="Arial" w:hAnsi="Arial"/>
          <w:sz w:val="15"/>
          <w:szCs w:val="15"/>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29" w:lineRule="exact"/>
        <w:rPr>
          <w:rFonts w:ascii="Arial" w:cs="Arial" w:eastAsia="Arial" w:hAnsi="Arial"/>
          <w:sz w:val="15"/>
          <w:szCs w:val="15"/>
          <w:color w:val="auto"/>
        </w:rPr>
      </w:pPr>
    </w:p>
    <w:p>
      <w:pPr>
        <w:ind w:left="720" w:hanging="151"/>
        <w:spacing w:after="0"/>
        <w:tabs>
          <w:tab w:leader="none" w:pos="720"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Warrants</w:t>
      </w:r>
      <w:r>
        <w:rPr>
          <w:rFonts w:ascii="Arial" w:cs="Arial" w:eastAsia="Arial" w:hAnsi="Arial"/>
          <w:sz w:val="16"/>
          <w:szCs w:val="16"/>
          <w:color w:val="auto"/>
        </w:rPr>
        <w:t>.</w:t>
      </w:r>
    </w:p>
    <w:p>
      <w:pPr>
        <w:spacing w:after="0" w:line="194" w:lineRule="exact"/>
        <w:rPr>
          <w:sz w:val="20"/>
          <w:szCs w:val="20"/>
          <w:color w:val="auto"/>
        </w:rPr>
      </w:pPr>
    </w:p>
    <w:p>
      <w:pPr>
        <w:jc w:val="both"/>
        <w:ind w:right="20" w:firstLine="574"/>
        <w:spacing w:after="0" w:line="278"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Form of Warrant</w:t>
      </w:r>
      <w:r>
        <w:rPr>
          <w:rFonts w:ascii="Arial" w:cs="Arial" w:eastAsia="Arial" w:hAnsi="Arial"/>
          <w:sz w:val="15"/>
          <w:szCs w:val="15"/>
          <w:color w:val="auto"/>
        </w:rPr>
        <w:t xml:space="preserve">. Each Warrant other than a Private Warrant shall be: (a) issued in registered form only, (b) in substantially the form of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hereto, the provisions of which are incorporated herein and (c) signed by, or bear the facsimile signature of, the Chairman of the Board, the Chief Executive Officer or the Chief Financial Officer of the Company. The Note Financing Warrants shall be identical to the Public Warrants, except that the Note Financing Warrants shall be exercisable for one share of Common Stock.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Effect of Countersignature</w:t>
      </w:r>
      <w:r>
        <w:rPr>
          <w:rFonts w:ascii="Arial" w:cs="Arial" w:eastAsia="Arial" w:hAnsi="Arial"/>
          <w:sz w:val="16"/>
          <w:szCs w:val="16"/>
          <w:color w:val="auto"/>
        </w:rPr>
        <w:t>. Unless and until countersigned by the Warrant Agent pursuant to this Warrant Agreement, a Warrant shall be invalid and of no effect and may not be exercised by the holder thereof.</w:t>
      </w: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2" w:name="page253"/>
    <w:bookmarkEnd w:id="252"/>
    <w:p>
      <w:pPr>
        <w:ind w:left="56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194"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r>
        <w:rPr>
          <w:rFonts w:ascii="Arial" w:cs="Arial" w:eastAsia="Arial" w:hAnsi="Arial"/>
          <w:sz w:val="26"/>
          <w:szCs w:val="26"/>
          <w:color w:val="auto"/>
          <w:vertAlign w:val="superscript"/>
        </w:rPr>
        <w:t>1</w:t>
      </w:r>
    </w:p>
    <w:p>
      <w:pPr>
        <w:spacing w:after="0" w:line="43"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 xml:space="preserve">2.3.2 </w:t>
      </w:r>
      <w:r>
        <w:rPr>
          <w:rFonts w:ascii="Arial" w:cs="Arial" w:eastAsia="Arial" w:hAnsi="Arial"/>
          <w:sz w:val="14"/>
          <w:szCs w:val="14"/>
          <w:u w:val="single" w:color="auto"/>
          <w:color w:val="auto"/>
        </w:rPr>
        <w:t>Registered Holder</w:t>
      </w:r>
      <w:r>
        <w:rPr>
          <w:rFonts w:ascii="Arial" w:cs="Arial" w:eastAsia="Arial" w:hAnsi="Arial"/>
          <w:sz w:val="14"/>
          <w:szCs w:val="14"/>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4"/>
          <w:szCs w:val="14"/>
          <w:b w:val="1"/>
          <w:bCs w:val="1"/>
          <w:color w:val="auto"/>
        </w:rPr>
        <w:t>Registered Holder</w:t>
      </w:r>
      <w:r>
        <w:rPr>
          <w:rFonts w:ascii="Arial" w:cs="Arial" w:eastAsia="Arial" w:hAnsi="Arial"/>
          <w:sz w:val="14"/>
          <w:szCs w:val="14"/>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Reserved.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2.5.1 </w:t>
      </w:r>
      <w:r>
        <w:rPr>
          <w:rFonts w:ascii="Arial" w:cs="Arial" w:eastAsia="Arial" w:hAnsi="Arial"/>
          <w:sz w:val="16"/>
          <w:szCs w:val="16"/>
          <w:u w:val="single" w:color="auto"/>
          <w:color w:val="auto"/>
        </w:rPr>
        <w:t>Cancellation of Certain Private Warrants.</w:t>
      </w:r>
      <w:r>
        <w:rPr>
          <w:rFonts w:ascii="Arial" w:cs="Arial" w:eastAsia="Arial" w:hAnsi="Arial"/>
          <w:sz w:val="16"/>
          <w:szCs w:val="16"/>
          <w:color w:val="auto"/>
        </w:rPr>
        <w:t xml:space="preserve"> Of the 6,675,000 Private Warrants outstanding immediately prior to the execution of this Warrant Agreement, 600,000 Private Warrants shall be cancelled, on a pro rata basis between Co-Sponsor and Co-Sponsor II, effective as of the date hereof.</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u w:val="single" w:color="auto"/>
          <w:color w:val="auto"/>
        </w:rPr>
        <w:t>Exercise and Redemption</w:t>
      </w:r>
      <w:r>
        <w:rPr>
          <w:rFonts w:ascii="Arial" w:cs="Arial" w:eastAsia="Arial" w:hAnsi="Arial"/>
          <w:sz w:val="16"/>
          <w:szCs w:val="16"/>
          <w:color w:val="auto"/>
        </w:rPr>
        <w:t xml:space="preserve">. The Private Warrants (i) will be exercisable either for cash or on a cashless basis at the holder’s option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and (ii) will not be redeemable by the Company, in either case as long as the Private Warrants are held by the initial purchasers or any of their permitted transferees (as prescribed in the Subscription Agreements).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 Terms and Exercise of Warrants.</w:t>
      </w:r>
    </w:p>
    <w:p>
      <w:pPr>
        <w:spacing w:after="0" w:line="198"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Warrant Price</w:t>
      </w:r>
      <w:r>
        <w:rPr>
          <w:rFonts w:ascii="Arial" w:cs="Arial" w:eastAsia="Arial" w:hAnsi="Arial"/>
          <w:sz w:val="14"/>
          <w:szCs w:val="14"/>
          <w:color w:val="auto"/>
        </w:rPr>
        <w:t>. Each Warrant shall, when countersigned by the Warrant Agent, entitle the Registered Holder thereof, subject to the provisions of such Warrant and of this Warrant Agreement, to purchase from the Company the number of shares of Common Stock stated therein, at the exercise price of $11.50 per whole share, subject to the adjustments provided in Section 4 hereof. The term “</w:t>
      </w:r>
      <w:r>
        <w:rPr>
          <w:rFonts w:ascii="Arial" w:cs="Arial" w:eastAsia="Arial" w:hAnsi="Arial"/>
          <w:sz w:val="14"/>
          <w:szCs w:val="14"/>
          <w:b w:val="1"/>
          <w:bCs w:val="1"/>
          <w:color w:val="auto"/>
        </w:rPr>
        <w:t>Warrant Price</w:t>
      </w:r>
      <w:r>
        <w:rPr>
          <w:rFonts w:ascii="Arial" w:cs="Arial" w:eastAsia="Arial" w:hAnsi="Arial"/>
          <w:sz w:val="14"/>
          <w:szCs w:val="14"/>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w:t>
      </w:r>
    </w:p>
    <w:p>
      <w:pPr>
        <w:spacing w:after="0" w:line="131" w:lineRule="exact"/>
        <w:rPr>
          <w:sz w:val="20"/>
          <w:szCs w:val="20"/>
          <w:color w:val="auto"/>
        </w:rPr>
      </w:pPr>
    </w:p>
    <w:p>
      <w:pPr>
        <w:jc w:val="both"/>
        <w:ind w:firstLine="574"/>
        <w:spacing w:after="0" w:line="292"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Duration of Warrants</w:t>
      </w:r>
      <w:r>
        <w:rPr>
          <w:rFonts w:ascii="Arial" w:cs="Arial" w:eastAsia="Arial" w:hAnsi="Arial"/>
          <w:sz w:val="14"/>
          <w:szCs w:val="14"/>
          <w:color w:val="auto"/>
        </w:rPr>
        <w:t>. A Warrant may be exercised only during the period (“</w:t>
      </w:r>
      <w:r>
        <w:rPr>
          <w:rFonts w:ascii="Arial" w:cs="Arial" w:eastAsia="Arial" w:hAnsi="Arial"/>
          <w:sz w:val="14"/>
          <w:szCs w:val="14"/>
          <w:b w:val="1"/>
          <w:bCs w:val="1"/>
          <w:color w:val="auto"/>
        </w:rPr>
        <w:t>Exercise Period</w:t>
      </w:r>
      <w:r>
        <w:rPr>
          <w:rFonts w:ascii="Arial" w:cs="Arial" w:eastAsia="Arial" w:hAnsi="Arial"/>
          <w:sz w:val="14"/>
          <w:szCs w:val="14"/>
          <w:color w:val="auto"/>
        </w:rPr>
        <w:t xml:space="preserve">”) commencing on the date of completion of the Company’s initial business combination, and terminating at 5:00 p.m., New York City time, on the earlier to occur of (i) (A) with respect to the Public Warrants, the Private Warrants (except as provided in the following clause (B)) and the Note Financing Warrants, five years following the completion of the Company’s initial business combination, and (B) only with respect to the Warrants purchased by Co-Sponsor II, five years from the effective date of the Registration Statement with respect to the Private Warrants,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once the Private Warrants are not beneficially owned by Co-Sponsor II or any of its related persons anymore, the Private Warrants may not be exercised five years following the completion of the Company’s initial business combination, and (ii) the date fixed for redemption of the Warrants as provided in Section 6 of this Warrant Agreement (except as provided in Section 2.5) (“</w:t>
      </w:r>
      <w:r>
        <w:rPr>
          <w:rFonts w:ascii="Arial" w:cs="Arial" w:eastAsia="Arial" w:hAnsi="Arial"/>
          <w:sz w:val="14"/>
          <w:szCs w:val="14"/>
          <w:b w:val="1"/>
          <w:bCs w:val="1"/>
          <w:color w:val="auto"/>
        </w:rPr>
        <w:t>Expiration Date</w:t>
      </w:r>
      <w:r>
        <w:rPr>
          <w:rFonts w:ascii="Arial" w:cs="Arial" w:eastAsia="Arial" w:hAnsi="Arial"/>
          <w:sz w:val="14"/>
          <w:szCs w:val="14"/>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written notice of not less than 10 days to Registered Holders of such extension and that such extension shall be identical in duration among all of the then outstanding Warrants.</w:t>
      </w: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3" w:name="page254"/>
    <w:bookmarkEnd w:id="253"/>
    <w:p>
      <w:pPr>
        <w:ind w:left="56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3.3.1 </w:t>
      </w:r>
      <w:r>
        <w:rPr>
          <w:rFonts w:ascii="Arial" w:cs="Arial" w:eastAsia="Arial" w:hAnsi="Arial"/>
          <w:sz w:val="14"/>
          <w:szCs w:val="14"/>
          <w:u w:val="single" w:color="auto"/>
          <w:color w:val="auto"/>
        </w:rPr>
        <w:t>Cash Exercise</w:t>
      </w:r>
      <w:r>
        <w:rPr>
          <w:rFonts w:ascii="Arial" w:cs="Arial" w:eastAsia="Arial" w:hAnsi="Arial"/>
          <w:sz w:val="14"/>
          <w:szCs w:val="14"/>
          <w:color w:val="auto"/>
        </w:rPr>
        <w:t>. Subject to the provisions of the Warrant and this Warrant Agreement, a Warrant, when countersigned by the Company, may be exercised by the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Registered Holder thereof by surrendering it at the office of the Warrant Agent, or at the office of its successor as Warrant Agent, currently being:</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Continental Stock Transfer &amp; Trust Company</w:t>
      </w:r>
    </w:p>
    <w:p>
      <w:pPr>
        <w:ind w:left="1720"/>
        <w:spacing w:after="0" w:line="199" w:lineRule="auto"/>
        <w:rPr>
          <w:sz w:val="20"/>
          <w:szCs w:val="20"/>
          <w:color w:val="auto"/>
        </w:rPr>
      </w:pPr>
      <w:r>
        <w:rPr>
          <w:rFonts w:ascii="Arial" w:cs="Arial" w:eastAsia="Arial" w:hAnsi="Arial"/>
          <w:sz w:val="16"/>
          <w:szCs w:val="16"/>
          <w:color w:val="auto"/>
        </w:rPr>
        <w:t>1 State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1720"/>
        <w:spacing w:after="0"/>
        <w:rPr>
          <w:sz w:val="20"/>
          <w:szCs w:val="20"/>
          <w:color w:val="auto"/>
        </w:rPr>
      </w:pPr>
      <w:r>
        <w:rPr>
          <w:rFonts w:ascii="Arial" w:cs="Arial" w:eastAsia="Arial" w:hAnsi="Arial"/>
          <w:sz w:val="16"/>
          <w:szCs w:val="16"/>
          <w:color w:val="auto"/>
        </w:rPr>
        <w:t>New York, New York 10004</w:t>
      </w:r>
    </w:p>
    <w:p>
      <w:pPr>
        <w:spacing w:after="0" w:line="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Compliance Department</w:t>
      </w:r>
    </w:p>
    <w:p>
      <w:pPr>
        <w:spacing w:after="0" w:line="186"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4"/>
          <w:szCs w:val="14"/>
          <w:b w:val="1"/>
          <w:bCs w:val="1"/>
          <w:color w:val="auto"/>
        </w:rPr>
        <w:t>Cash Exercise</w:t>
      </w:r>
      <w:r>
        <w:rPr>
          <w:rFonts w:ascii="Arial" w:cs="Arial" w:eastAsia="Arial" w:hAnsi="Arial"/>
          <w:sz w:val="14"/>
          <w:szCs w:val="14"/>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13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completed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Holder the number of Warrant Shares determined as follows:</w:t>
      </w:r>
    </w:p>
    <w:p>
      <w:pPr>
        <w:spacing w:after="0" w:line="17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X = Y [(A-B)/A]</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where:</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X = the number of Warrant Shares to be issued to the Holder.</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Y = the number of Warrant Shares with respect to which this Warrant is being exercised.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 = the Fair Market Value of one share of Common Stock.</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B = the Warrant Price.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4" w:name="page255"/>
    <w:bookmarkEnd w:id="254"/>
    <w:p>
      <w:pPr>
        <w:ind w:right="20" w:firstLine="574"/>
        <w:spacing w:after="0" w:line="275" w:lineRule="auto"/>
        <w:rPr>
          <w:sz w:val="20"/>
          <w:szCs w:val="20"/>
          <w:color w:val="auto"/>
        </w:rPr>
      </w:pPr>
      <w:r>
        <w:rPr>
          <w:rFonts w:ascii="Arial" w:cs="Arial" w:eastAsia="Arial" w:hAnsi="Arial"/>
          <w:sz w:val="16"/>
          <w:szCs w:val="16"/>
          <w:color w:val="auto"/>
        </w:rPr>
        <w:t xml:space="preserve">The Registered Holder may not exercise any Warrants in the absence of a registration statement except pursuant to this </w:t>
      </w:r>
      <w:r>
        <w:rPr>
          <w:rFonts w:ascii="Arial" w:cs="Arial" w:eastAsia="Arial" w:hAnsi="Arial"/>
          <w:sz w:val="16"/>
          <w:szCs w:val="16"/>
          <w:u w:val="single" w:color="auto"/>
          <w:color w:val="auto"/>
        </w:rPr>
        <w:t>Section 3.3.2</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3.3.2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w:t>
      </w:r>
      <w:r>
        <w:rPr>
          <w:rFonts w:ascii="Arial" w:cs="Arial" w:eastAsia="Arial" w:hAnsi="Arial"/>
          <w:sz w:val="16"/>
          <w:szCs w:val="16"/>
          <w:color w:val="auto"/>
        </w:rPr>
        <w:t>, the “</w:t>
      </w:r>
      <w:r>
        <w:rPr>
          <w:rFonts w:ascii="Arial" w:cs="Arial" w:eastAsia="Arial" w:hAnsi="Arial"/>
          <w:sz w:val="16"/>
          <w:szCs w:val="16"/>
          <w:b w:val="1"/>
          <w:bCs w:val="1"/>
          <w:color w:val="auto"/>
        </w:rPr>
        <w:t>Fair Market Value</w:t>
      </w:r>
      <w:r>
        <w:rPr>
          <w:rFonts w:ascii="Arial" w:cs="Arial" w:eastAsia="Arial" w:hAnsi="Arial"/>
          <w:sz w:val="16"/>
          <w:szCs w:val="16"/>
          <w:color w:val="auto"/>
        </w:rPr>
        <w:t>” of one share of Common Stock is defined as follows:</w:t>
      </w:r>
    </w:p>
    <w:p>
      <w:pPr>
        <w:spacing w:after="0" w:line="152" w:lineRule="exact"/>
        <w:rPr>
          <w:sz w:val="20"/>
          <w:szCs w:val="20"/>
          <w:color w:val="auto"/>
        </w:rPr>
      </w:pPr>
    </w:p>
    <w:p>
      <w:pPr>
        <w:jc w:val="both"/>
        <w:ind w:left="1720" w:right="20" w:hanging="577"/>
        <w:spacing w:after="0" w:line="258" w:lineRule="auto"/>
        <w:tabs>
          <w:tab w:leader="none" w:pos="172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the Company’s shares of Common Stock are listed and traded on the New York Stock Exchange, the NYSE American, the NASDAQ Global Select Market, the NASDAQ Global Market or the NASDAQ Capital Market (each, a “</w:t>
      </w:r>
      <w:r>
        <w:rPr>
          <w:rFonts w:ascii="Arial" w:cs="Arial" w:eastAsia="Arial" w:hAnsi="Arial"/>
          <w:sz w:val="16"/>
          <w:szCs w:val="16"/>
          <w:b w:val="1"/>
          <w:bCs w:val="1"/>
          <w:color w:val="auto"/>
        </w:rPr>
        <w:t>Trading Market</w:t>
      </w:r>
      <w:r>
        <w:rPr>
          <w:rFonts w:ascii="Arial" w:cs="Arial" w:eastAsia="Arial" w:hAnsi="Arial"/>
          <w:sz w:val="16"/>
          <w:szCs w:val="16"/>
          <w:color w:val="auto"/>
        </w:rPr>
        <w:t>”), the fair market value shall be deemed the average of the closing price on such Trading Market for the 10 trading days ending on the third trading day immediately prior to the date the subscription form is submitted to the Company in connection with the exercise of the Warrant; or</w:t>
      </w:r>
    </w:p>
    <w:p>
      <w:pPr>
        <w:spacing w:after="0" w:line="164" w:lineRule="exact"/>
        <w:rPr>
          <w:rFonts w:ascii="Arial" w:cs="Arial" w:eastAsia="Arial" w:hAnsi="Arial"/>
          <w:sz w:val="16"/>
          <w:szCs w:val="16"/>
          <w:color w:val="auto"/>
        </w:rPr>
      </w:pPr>
    </w:p>
    <w:p>
      <w:pPr>
        <w:jc w:val="both"/>
        <w:ind w:left="1720" w:hanging="577"/>
        <w:spacing w:after="0" w:line="262" w:lineRule="auto"/>
        <w:tabs>
          <w:tab w:leader="none" w:pos="172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the Company’s shares of Common Stock are not listed on a Trading Market, but is traded in the over-the-counter market, the fair market value shall be deemed to be the average of the bid price on such Trading Market for the 10 trading days ending on the third trading day immediately prior to the date the subscription form is submitted in connection with the exercise of the Warrant; or</w:t>
      </w:r>
    </w:p>
    <w:p>
      <w:pPr>
        <w:spacing w:after="0" w:line="162" w:lineRule="exact"/>
        <w:rPr>
          <w:rFonts w:ascii="Arial" w:cs="Arial" w:eastAsia="Arial" w:hAnsi="Arial"/>
          <w:sz w:val="16"/>
          <w:szCs w:val="16"/>
          <w:color w:val="auto"/>
        </w:rPr>
      </w:pPr>
    </w:p>
    <w:p>
      <w:pPr>
        <w:ind w:left="1720" w:hanging="577"/>
        <w:spacing w:after="0" w:line="275" w:lineRule="auto"/>
        <w:tabs>
          <w:tab w:leader="none" w:pos="172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there is no active public market for the Company’s shares of Common Stock, the fair market value of the shares of Common Stock shall be determined in good faith by the Company’s board of directors.</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70"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3.3.4 </w:t>
      </w:r>
      <w:r>
        <w:rPr>
          <w:rFonts w:ascii="Arial" w:cs="Arial" w:eastAsia="Arial" w:hAnsi="Arial"/>
          <w:sz w:val="14"/>
          <w:szCs w:val="14"/>
          <w:u w:val="single" w:color="auto"/>
          <w:color w:val="auto"/>
        </w:rPr>
        <w:t>Issuance of Common Stock Certificates</w:t>
      </w:r>
      <w:r>
        <w:rPr>
          <w:rFonts w:ascii="Arial" w:cs="Arial" w:eastAsia="Arial" w:hAnsi="Arial"/>
          <w:sz w:val="14"/>
          <w:szCs w:val="14"/>
          <w:color w:val="auto"/>
        </w:rPr>
        <w:t>. No later than three (3)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a book-entry position and deliver electronically through the facilities of the Depository Trust Corporation) the number of whole shares of Common Stock to which such Registered Holder is entitled, registered in such name or names as may be directed by such Registered Holder, and, if such Warrant shall not have been exercised or surrendered in full, a new book-entry position or countersigned Warrant, as applicable, for the number of shares of Common Stock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5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Valid Issuance</w:t>
      </w:r>
      <w:r>
        <w:rPr>
          <w:rFonts w:ascii="Arial" w:cs="Arial" w:eastAsia="Arial" w:hAnsi="Arial"/>
          <w:sz w:val="16"/>
          <w:szCs w:val="16"/>
          <w:color w:val="auto"/>
        </w:rPr>
        <w:t>. All shares of Common Stock issued upon the proper exercise or surrender of a Warrant in conformity with this Warrant Agreement shall be validly issued, fully paid and non-assessable.</w:t>
      </w: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5" w:name="page256"/>
    <w:bookmarkEnd w:id="255"/>
    <w:p>
      <w:pPr>
        <w:jc w:val="both"/>
        <w:ind w:firstLine="574"/>
        <w:spacing w:after="0" w:line="276" w:lineRule="auto"/>
        <w:rPr>
          <w:sz w:val="20"/>
          <w:szCs w:val="20"/>
          <w:color w:val="auto"/>
        </w:rPr>
      </w:pPr>
      <w:r>
        <w:rPr>
          <w:rFonts w:ascii="Arial" w:cs="Arial" w:eastAsia="Arial" w:hAnsi="Arial"/>
          <w:sz w:val="15"/>
          <w:szCs w:val="15"/>
          <w:color w:val="auto"/>
        </w:rPr>
        <w:t xml:space="preserve">3.3.6 </w:t>
      </w:r>
      <w:r>
        <w:rPr>
          <w:rFonts w:ascii="Arial" w:cs="Arial" w:eastAsia="Arial" w:hAnsi="Arial"/>
          <w:sz w:val="15"/>
          <w:szCs w:val="15"/>
          <w:u w:val="single" w:color="auto"/>
          <w:color w:val="auto"/>
        </w:rPr>
        <w:t>Date of Issuance</w:t>
      </w:r>
      <w:r>
        <w:rPr>
          <w:rFonts w:ascii="Arial" w:cs="Arial" w:eastAsia="Arial" w:hAnsi="Arial"/>
          <w:sz w:val="15"/>
          <w:szCs w:val="15"/>
          <w:color w:val="auto"/>
        </w:rPr>
        <w:t>. Each person or entity in whose name any book-entry position or certificate for shares of Common Stock is issued shall, for all purposes, be deemed to have become the holder of record of such shares of Common Stock on the date on which the Warrant (or book-entry position representing such Warrant) was surrendered and payment of the Warrant Price was made, irrespective of the date of delivery of such certificate, except that, if the date of such surrender and payment is a date when the stock transfer books of the Company or book-entry system of the Warrant Agent are closed, such person shall be deemed to have become the holder of such shares at the close of business on the next succeeding date on which the stock transfer books or book-entry system are open.</w:t>
      </w:r>
    </w:p>
    <w:p>
      <w:pPr>
        <w:spacing w:after="0" w:line="155"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color w:val="auto"/>
        </w:rPr>
        <w:t xml:space="preserve">3.3.7 </w:t>
      </w:r>
      <w:r>
        <w:rPr>
          <w:rFonts w:ascii="Arial" w:cs="Arial" w:eastAsia="Arial" w:hAnsi="Arial"/>
          <w:sz w:val="14"/>
          <w:szCs w:val="14"/>
          <w:u w:val="single" w:color="auto"/>
          <w:color w:val="auto"/>
        </w:rPr>
        <w:t>Maximum Percentage</w:t>
      </w:r>
      <w:r>
        <w:rPr>
          <w:rFonts w:ascii="Arial" w:cs="Arial" w:eastAsia="Arial" w:hAnsi="Arial"/>
          <w:sz w:val="14"/>
          <w:szCs w:val="14"/>
          <w:color w:val="auto"/>
        </w:rPr>
        <w:t>. A holder of a Warrant may notify the Company in writing in the event it elects to be subject to the provisions contained in this subsection 3.3.7; however, no holder of a Warrant shall be subject to this subsection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 (the “</w:t>
      </w:r>
      <w:r>
        <w:rPr>
          <w:rFonts w:ascii="Arial" w:cs="Arial" w:eastAsia="Arial" w:hAnsi="Arial"/>
          <w:sz w:val="14"/>
          <w:szCs w:val="14"/>
          <w:b w:val="1"/>
          <w:bCs w:val="1"/>
          <w:color w:val="auto"/>
        </w:rPr>
        <w:t>Maximum Percentage</w:t>
      </w:r>
      <w:r>
        <w:rPr>
          <w:rFonts w:ascii="Arial" w:cs="Arial" w:eastAsia="Arial" w:hAnsi="Arial"/>
          <w:sz w:val="14"/>
          <w:szCs w:val="14"/>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4"/>
          <w:szCs w:val="14"/>
          <w:b w:val="1"/>
          <w:bCs w:val="1"/>
          <w:color w:val="auto"/>
        </w:rPr>
        <w:t>Exchange Act</w:t>
      </w:r>
      <w:r>
        <w:rPr>
          <w:rFonts w:ascii="Arial" w:cs="Arial" w:eastAsia="Arial" w:hAnsi="Arial"/>
          <w:sz w:val="14"/>
          <w:szCs w:val="14"/>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153" w:lineRule="exact"/>
        <w:rPr>
          <w:sz w:val="20"/>
          <w:szCs w:val="20"/>
          <w:color w:val="auto"/>
        </w:rPr>
      </w:pPr>
    </w:p>
    <w:p>
      <w:pPr>
        <w:ind w:left="720" w:hanging="151"/>
        <w:spacing w:after="0"/>
        <w:tabs>
          <w:tab w:leader="none" w:pos="720"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Stock Dividends, Splits</w:t>
      </w:r>
      <w:r>
        <w:rPr>
          <w:rFonts w:ascii="Arial" w:cs="Arial" w:eastAsia="Arial" w:hAnsi="Arial"/>
          <w:sz w:val="15"/>
          <w:szCs w:val="15"/>
          <w:color w:val="auto"/>
        </w:rPr>
        <w:t>. If, after the date hereof, and subject to the provisions of Section 4.5 below, the number of outstanding shares of Common Stock is increased or decreased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6" w:name="page257"/>
    <w:bookmarkEnd w:id="256"/>
    <w:p>
      <w:pPr>
        <w:jc w:val="both"/>
        <w:ind w:firstLine="574"/>
        <w:spacing w:after="0" w:line="25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Aggregation of Shares</w:t>
      </w:r>
      <w:r>
        <w:rPr>
          <w:rFonts w:ascii="Arial" w:cs="Arial" w:eastAsia="Arial" w:hAnsi="Arial"/>
          <w:sz w:val="16"/>
          <w:szCs w:val="16"/>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65"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Extraordinary Dividends</w:t>
      </w:r>
      <w:r>
        <w:rPr>
          <w:rFonts w:ascii="Arial" w:cs="Arial" w:eastAsia="Arial" w:hAnsi="Arial"/>
          <w:sz w:val="14"/>
          <w:szCs w:val="14"/>
          <w:color w:val="auto"/>
        </w:rPr>
        <w:t>. If the Company, at any time while the Warrants (or rights to purchase the Warrants) are outstanding and unexpired, shall pay a dividend or make a distribution in cash, securities or other assets to the holders of the shares of Common Stock on account of such shares of Common Stock (or other shares of the Company’s capital stock into which the Warrants are convertible), other than (a) as described in subsection 4.1 above, (b) Ordinary Cash Dividends (as defined below), (c) to satisfy the conversion rights of the holders of the shares of Common Stock in connection with a proposed initial business combination or vote to extend the time period to complete an initial business combination, (d) as a result of the repurchase of shares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Arial" w:cs="Arial" w:eastAsia="Arial" w:hAnsi="Arial"/>
          <w:sz w:val="14"/>
          <w:szCs w:val="14"/>
          <w:b w:val="1"/>
          <w:bCs w:val="1"/>
          <w:color w:val="auto"/>
        </w:rPr>
        <w:t>Extraordinary Dividend</w:t>
      </w:r>
      <w:r>
        <w:rPr>
          <w:rFonts w:ascii="Arial" w:cs="Arial" w:eastAsia="Arial" w:hAnsi="Arial"/>
          <w:sz w:val="14"/>
          <w:szCs w:val="14"/>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w:t>
      </w:r>
      <w:r>
        <w:rPr>
          <w:rFonts w:ascii="Arial" w:cs="Arial" w:eastAsia="Arial" w:hAnsi="Arial"/>
          <w:sz w:val="14"/>
          <w:szCs w:val="14"/>
          <w:b w:val="1"/>
          <w:bCs w:val="1"/>
          <w:color w:val="auto"/>
        </w:rPr>
        <w:t>Ordinary Cash Dividends</w:t>
      </w:r>
      <w:r>
        <w:rPr>
          <w:rFonts w:ascii="Arial" w:cs="Arial" w:eastAsia="Arial" w:hAnsi="Arial"/>
          <w:sz w:val="14"/>
          <w:szCs w:val="14"/>
          <w:color w:val="auto"/>
        </w:rPr>
        <w:t>”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 The foregoing adjustment shall not apply to the Private Warrants or the Note Financing Warrants.</w:t>
      </w:r>
    </w:p>
    <w:p>
      <w:pPr>
        <w:spacing w:after="0" w:line="154"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Adjustments in Exercise Price</w:t>
      </w:r>
      <w:r>
        <w:rPr>
          <w:rFonts w:ascii="Arial" w:cs="Arial" w:eastAsia="Arial" w:hAnsi="Arial"/>
          <w:sz w:val="15"/>
          <w:szCs w:val="15"/>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7" w:name="page258"/>
    <w:bookmarkEnd w:id="257"/>
    <w:p>
      <w:pPr>
        <w:jc w:val="both"/>
        <w:ind w:firstLine="574"/>
        <w:spacing w:after="0" w:line="270"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Replacement of Securities upon Reorganization, etc.</w:t>
      </w:r>
      <w:r>
        <w:rPr>
          <w:rFonts w:ascii="Arial" w:cs="Arial" w:eastAsia="Arial" w:hAnsi="Arial"/>
          <w:sz w:val="15"/>
          <w:szCs w:val="15"/>
          <w:color w:val="auto"/>
        </w:rPr>
        <w:t xml:space="preserve"> In case of any reclassification or reorganization of the outstanding shares of Common Stock (other than a change covered by Sections 4.1, 4.2 or 4.3 hereof or one that solely affects the par value of such shares of Common Stock), or, in the case of any merger or consolidation of the Company with or into another entity (other than a consolidation or merger in which the Company is the continuing entity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4.2 or 4.3, then such adjustment shall be made pursuant to Sections 4.1, 4.2, 4.3 and this Section 4.5. The provisions of this Section 4.5 shall similarly apply to successive reclassifications, reorganizations, mergers or consolidations, sales or other transfers. In no event shall the Warrant Price be reduced to less than the par value per share of Common Stock issuable upon exercise of the Warrant.</w:t>
      </w:r>
    </w:p>
    <w:p>
      <w:pPr>
        <w:spacing w:after="0" w:line="157"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70"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u w:val="single" w:color="auto"/>
          <w:color w:val="auto"/>
        </w:rPr>
        <w:t>Form of Warrant</w:t>
      </w:r>
      <w:r>
        <w:rPr>
          <w:rFonts w:ascii="Arial" w:cs="Arial" w:eastAsia="Arial" w:hAnsi="Arial"/>
          <w:sz w:val="14"/>
          <w:szCs w:val="14"/>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35"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color w:val="auto"/>
        </w:rPr>
        <w:t xml:space="preserve">4.8 </w:t>
      </w:r>
      <w:r>
        <w:rPr>
          <w:rFonts w:ascii="Arial" w:cs="Arial" w:eastAsia="Arial" w:hAnsi="Arial"/>
          <w:sz w:val="14"/>
          <w:szCs w:val="14"/>
          <w:u w:val="single" w:color="auto"/>
          <w:color w:val="auto"/>
        </w:rPr>
        <w:t>Notice of Certain Transactions</w:t>
      </w:r>
      <w:r>
        <w:rPr>
          <w:rFonts w:ascii="Arial" w:cs="Arial" w:eastAsia="Arial" w:hAnsi="Arial"/>
          <w:sz w:val="14"/>
          <w:szCs w:val="14"/>
          <w:color w:val="auto"/>
        </w:rPr>
        <w:t>.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8" w:name="page259"/>
    <w:bookmarkEnd w:id="258"/>
    <w:p>
      <w:pPr>
        <w:jc w:val="both"/>
        <w:ind w:firstLine="574"/>
        <w:spacing w:after="0" w:line="254"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Other Events</w:t>
      </w:r>
      <w:r>
        <w:rPr>
          <w:rFonts w:ascii="Arial" w:cs="Arial" w:eastAsia="Arial" w:hAnsi="Arial"/>
          <w:sz w:val="16"/>
          <w:szCs w:val="16"/>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 (ii) 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170" w:lineRule="exact"/>
        <w:rPr>
          <w:sz w:val="20"/>
          <w:szCs w:val="20"/>
          <w:color w:val="auto"/>
        </w:rPr>
      </w:pPr>
    </w:p>
    <w:p>
      <w:pPr>
        <w:ind w:left="720" w:hanging="151"/>
        <w:spacing w:after="0"/>
        <w:tabs>
          <w:tab w:leader="none" w:pos="720"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Warrants</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6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 for Surrender of Warrants</w:t>
      </w:r>
      <w:r>
        <w:rPr>
          <w:rFonts w:ascii="Arial" w:cs="Arial" w:eastAsia="Arial" w:hAnsi="Arial"/>
          <w:sz w:val="16"/>
          <w:szCs w:val="16"/>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Fractional Warrants</w:t>
      </w:r>
      <w:r>
        <w:rPr>
          <w:rFonts w:ascii="Arial" w:cs="Arial" w:eastAsia="Arial" w:hAnsi="Arial"/>
          <w:sz w:val="16"/>
          <w:szCs w:val="16"/>
          <w:color w:val="auto"/>
        </w:rPr>
        <w:t>. The Warrant Agent shall not be required to effect any registration of transfer or exchange which will result in the issuance of a warrant certificate or book-entry position for a fraction of a warrant.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Warrant Execution and Countersignature</w:t>
      </w:r>
      <w:r>
        <w:rPr>
          <w:rFonts w:ascii="Arial" w:cs="Arial" w:eastAsia="Arial" w:hAnsi="Arial"/>
          <w:sz w:val="16"/>
          <w:szCs w:val="16"/>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62" w:lineRule="exact"/>
        <w:rPr>
          <w:sz w:val="20"/>
          <w:szCs w:val="20"/>
          <w:color w:val="auto"/>
        </w:rPr>
      </w:pPr>
    </w:p>
    <w:p>
      <w:pPr>
        <w:ind w:left="720" w:hanging="151"/>
        <w:spacing w:after="0"/>
        <w:tabs>
          <w:tab w:leader="none" w:pos="720"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Redemption</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Redemption</w:t>
      </w:r>
      <w:r>
        <w:rPr>
          <w:rFonts w:ascii="Arial" w:cs="Arial" w:eastAsia="Arial" w:hAnsi="Arial"/>
          <w:sz w:val="14"/>
          <w:szCs w:val="14"/>
          <w:color w:val="auto"/>
        </w:rPr>
        <w:t>. Subject to the second sentence of this Section 6.1,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Section 6.2, at the price of $0.01 per Warrant (“</w:t>
      </w:r>
      <w:r>
        <w:rPr>
          <w:rFonts w:ascii="Arial" w:cs="Arial" w:eastAsia="Arial" w:hAnsi="Arial"/>
          <w:sz w:val="14"/>
          <w:szCs w:val="14"/>
          <w:b w:val="1"/>
          <w:bCs w:val="1"/>
          <w:color w:val="auto"/>
        </w:rPr>
        <w:t>Redemption Price</w:t>
      </w:r>
      <w:r>
        <w:rPr>
          <w:rFonts w:ascii="Arial" w:cs="Arial" w:eastAsia="Arial" w:hAnsi="Arial"/>
          <w:sz w:val="14"/>
          <w:szCs w:val="14"/>
          <w:color w:val="auto"/>
        </w:rPr>
        <w:t>”); provided that the last sales price of the shares of Common Stock has been equal to or greater than $16.50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and a current prospectus relating thereto, for each day in the aforementioned 30-day trading period and continuing each day thereafter until the Redemption Date (defined below).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9" w:name="page260"/>
    <w:bookmarkEnd w:id="259"/>
    <w:p>
      <w:pPr>
        <w:jc w:val="both"/>
        <w:ind w:right="20" w:firstLine="574"/>
        <w:spacing w:after="0" w:line="280"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Date Fixed for, and Notice of, Redemption</w:t>
      </w:r>
      <w:r>
        <w:rPr>
          <w:rFonts w:ascii="Arial" w:cs="Arial" w:eastAsia="Arial" w:hAnsi="Arial"/>
          <w:sz w:val="15"/>
          <w:szCs w:val="15"/>
          <w:color w:val="auto"/>
        </w:rPr>
        <w:t>. In the event the Company shall elect to redeem all of the Warrants, the Company shall fix a date for the redemption (the “</w:t>
      </w:r>
      <w:r>
        <w:rPr>
          <w:rFonts w:ascii="Arial" w:cs="Arial" w:eastAsia="Arial" w:hAnsi="Arial"/>
          <w:sz w:val="15"/>
          <w:szCs w:val="15"/>
          <w:b w:val="1"/>
          <w:bCs w:val="1"/>
          <w:color w:val="auto"/>
        </w:rPr>
        <w:t>Redemption Date</w:t>
      </w:r>
      <w:r>
        <w:rPr>
          <w:rFonts w:ascii="Arial" w:cs="Arial" w:eastAsia="Arial" w:hAnsi="Arial"/>
          <w:sz w:val="15"/>
          <w:szCs w:val="15"/>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51"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Exercise After Notice of Redemption</w:t>
      </w:r>
      <w:r>
        <w:rPr>
          <w:rFonts w:ascii="Arial" w:cs="Arial" w:eastAsia="Arial" w:hAnsi="Arial"/>
          <w:sz w:val="16"/>
          <w:szCs w:val="16"/>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as set forth under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0"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No Other Rights to Cash Payment</w:t>
      </w:r>
      <w:r>
        <w:rPr>
          <w:rFonts w:ascii="Arial" w:cs="Arial" w:eastAsia="Arial" w:hAnsi="Arial"/>
          <w:sz w:val="15"/>
          <w:szCs w:val="15"/>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129" w:lineRule="exact"/>
        <w:rPr>
          <w:sz w:val="20"/>
          <w:szCs w:val="20"/>
          <w:color w:val="auto"/>
        </w:rPr>
      </w:pPr>
    </w:p>
    <w:p>
      <w:pPr>
        <w:ind w:left="720" w:hanging="151"/>
        <w:spacing w:after="0"/>
        <w:tabs>
          <w:tab w:leader="none" w:pos="720"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Other Provisions Relating to Rights of Registered Holders of Warrants</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Lost, Stolen Mutilated or Destroyed Warrants</w:t>
      </w:r>
      <w:r>
        <w:rPr>
          <w:rFonts w:ascii="Arial" w:cs="Arial" w:eastAsia="Arial" w:hAnsi="Arial"/>
          <w:sz w:val="15"/>
          <w:szCs w:val="15"/>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5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shares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5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u w:val="single" w:color="auto"/>
          <w:color w:val="auto"/>
        </w:rPr>
        <w:t>Registration of shares of Common Stock</w:t>
      </w:r>
      <w:r>
        <w:rPr>
          <w:rFonts w:ascii="Arial" w:cs="Arial" w:eastAsia="Arial" w:hAnsi="Arial"/>
          <w:sz w:val="15"/>
          <w:szCs w:val="15"/>
          <w:color w:val="auto"/>
        </w:rPr>
        <w:t>. The Company agrees that as soon as practicable, but in no event later than thirty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0" w:name="page261"/>
    <w:bookmarkEnd w:id="260"/>
    <w:p>
      <w:pPr>
        <w:ind w:left="720" w:hanging="151"/>
        <w:spacing w:after="0"/>
        <w:tabs>
          <w:tab w:leader="none" w:pos="720"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Concerning the Warrant Agent and Other Matters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Payment of Taxes</w:t>
      </w:r>
      <w:r>
        <w:rPr>
          <w:rFonts w:ascii="Arial" w:cs="Arial" w:eastAsia="Arial" w:hAnsi="Arial"/>
          <w:sz w:val="16"/>
          <w:szCs w:val="16"/>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 of Common Stock.</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8.2.1 </w:t>
      </w:r>
      <w:r>
        <w:rPr>
          <w:rFonts w:ascii="Arial" w:cs="Arial" w:eastAsia="Arial" w:hAnsi="Arial"/>
          <w:sz w:val="14"/>
          <w:szCs w:val="14"/>
          <w:u w:val="single" w:color="auto"/>
          <w:color w:val="auto"/>
        </w:rPr>
        <w:t>Appointment of Successor Warrant Agent</w:t>
      </w:r>
      <w:r>
        <w:rPr>
          <w:rFonts w:ascii="Arial" w:cs="Arial" w:eastAsia="Arial" w:hAnsi="Arial"/>
          <w:sz w:val="14"/>
          <w:szCs w:val="14"/>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4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8.2.3 </w:t>
      </w:r>
      <w:r>
        <w:rPr>
          <w:rFonts w:ascii="Arial" w:cs="Arial" w:eastAsia="Arial" w:hAnsi="Arial"/>
          <w:sz w:val="16"/>
          <w:szCs w:val="16"/>
          <w:u w:val="single" w:color="auto"/>
          <w:color w:val="auto"/>
        </w:rPr>
        <w:t>Merger or Consolidation of Warrant Agent</w:t>
      </w:r>
      <w:r>
        <w:rPr>
          <w:rFonts w:ascii="Arial" w:cs="Arial" w:eastAsia="Arial" w:hAnsi="Arial"/>
          <w:sz w:val="16"/>
          <w:szCs w:val="16"/>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Fees and Expenses of Warrant Agent</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8.3.1 </w:t>
      </w:r>
      <w:r>
        <w:rPr>
          <w:rFonts w:ascii="Arial" w:cs="Arial" w:eastAsia="Arial" w:hAnsi="Arial"/>
          <w:sz w:val="16"/>
          <w:szCs w:val="16"/>
          <w:u w:val="single" w:color="auto"/>
          <w:color w:val="auto"/>
        </w:rPr>
        <w:t>Remuneration</w:t>
      </w:r>
      <w:r>
        <w:rPr>
          <w:rFonts w:ascii="Arial" w:cs="Arial" w:eastAsia="Arial" w:hAnsi="Arial"/>
          <w:sz w:val="16"/>
          <w:szCs w:val="16"/>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8.3.2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1" w:name="page262"/>
    <w:bookmarkEnd w:id="261"/>
    <w:p>
      <w:pPr>
        <w:ind w:left="560"/>
        <w:spacing w:after="0"/>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Liability of Warrant Agent</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170"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8.4.2 </w:t>
      </w:r>
      <w:r>
        <w:rPr>
          <w:rFonts w:ascii="Arial" w:cs="Arial" w:eastAsia="Arial" w:hAnsi="Arial"/>
          <w:sz w:val="15"/>
          <w:szCs w:val="15"/>
          <w:u w:val="single" w:color="auto"/>
          <w:color w:val="auto"/>
        </w:rPr>
        <w:t>Indemnity</w:t>
      </w:r>
      <w:r>
        <w:rPr>
          <w:rFonts w:ascii="Arial" w:cs="Arial" w:eastAsia="Arial" w:hAnsi="Arial"/>
          <w:sz w:val="15"/>
          <w:szCs w:val="15"/>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46"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8.4.3 </w:t>
      </w:r>
      <w:r>
        <w:rPr>
          <w:rFonts w:ascii="Arial" w:cs="Arial" w:eastAsia="Arial" w:hAnsi="Arial"/>
          <w:sz w:val="15"/>
          <w:szCs w:val="15"/>
          <w:u w:val="single" w:color="auto"/>
          <w:color w:val="auto"/>
        </w:rPr>
        <w:t>Exclusions</w:t>
      </w:r>
      <w:r>
        <w:rPr>
          <w:rFonts w:ascii="Arial" w:cs="Arial" w:eastAsia="Arial" w:hAnsi="Arial"/>
          <w:sz w:val="15"/>
          <w:szCs w:val="15"/>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57"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Acceptance of Agency</w:t>
      </w:r>
      <w:r>
        <w:rPr>
          <w:rFonts w:ascii="Arial" w:cs="Arial" w:eastAsia="Arial" w:hAnsi="Arial"/>
          <w:sz w:val="14"/>
          <w:szCs w:val="14"/>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shares of Common Stock through the exercise of Warrants.</w:t>
      </w:r>
    </w:p>
    <w:p>
      <w:pPr>
        <w:spacing w:after="0" w:line="127" w:lineRule="exact"/>
        <w:rPr>
          <w:sz w:val="20"/>
          <w:szCs w:val="20"/>
          <w:color w:val="auto"/>
        </w:rPr>
      </w:pPr>
    </w:p>
    <w:p>
      <w:pPr>
        <w:ind w:left="720" w:hanging="151"/>
        <w:spacing w:after="0"/>
        <w:tabs>
          <w:tab w:leader="none" w:pos="720"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Miscellaneous Provisions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Successors</w:t>
      </w:r>
      <w:r>
        <w:rPr>
          <w:rFonts w:ascii="Arial" w:cs="Arial" w:eastAsia="Arial" w:hAnsi="Arial"/>
          <w:sz w:val="16"/>
          <w:szCs w:val="16"/>
          <w:color w:val="auto"/>
        </w:rPr>
        <w:t>. All the covenants and provisions of this Warrant Agreement by or for the benefit of the Company or the Warrant Agent shall bind and inure to the benefit of their respective successors and assigns.</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Notices</w:t>
      </w:r>
      <w:r>
        <w:rPr>
          <w:rFonts w:ascii="Arial" w:cs="Arial" w:eastAsia="Arial" w:hAnsi="Arial"/>
          <w:sz w:val="16"/>
          <w:szCs w:val="16"/>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Ventoux CCM Acquisition Corp.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3000 El Camino Real 2 Palo Alto Square Suite 900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Palo Alto, California 94306-2109</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with a copy (which shall not constitute notice)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White and Case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10020-1095</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Colin Diamond</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2" w:name="page263"/>
    <w:bookmarkEnd w:id="262"/>
    <w:p>
      <w:pPr>
        <w:jc w:val="both"/>
        <w:ind w:right="20"/>
        <w:spacing w:after="0" w:line="262" w:lineRule="auto"/>
        <w:rPr>
          <w:sz w:val="20"/>
          <w:szCs w:val="20"/>
          <w:color w:val="auto"/>
        </w:rPr>
      </w:pPr>
      <w:r>
        <w:rPr>
          <w:rFonts w:ascii="Arial" w:cs="Arial" w:eastAsia="Arial" w:hAnsi="Arial"/>
          <w:sz w:val="16"/>
          <w:szCs w:val="16"/>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Continental Stock Transfer &amp; Trust Company</w:t>
      </w:r>
    </w:p>
    <w:p>
      <w:pPr>
        <w:ind w:left="1140"/>
        <w:spacing w:after="0" w:line="199" w:lineRule="auto"/>
        <w:rPr>
          <w:sz w:val="20"/>
          <w:szCs w:val="20"/>
          <w:color w:val="auto"/>
        </w:rPr>
      </w:pPr>
      <w:r>
        <w:rPr>
          <w:rFonts w:ascii="Arial" w:cs="Arial" w:eastAsia="Arial" w:hAnsi="Arial"/>
          <w:sz w:val="16"/>
          <w:szCs w:val="16"/>
          <w:color w:val="auto"/>
        </w:rPr>
        <w:t>1 State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1140"/>
        <w:spacing w:after="0"/>
        <w:rPr>
          <w:sz w:val="20"/>
          <w:szCs w:val="20"/>
          <w:color w:val="auto"/>
        </w:rPr>
      </w:pPr>
      <w:r>
        <w:rPr>
          <w:rFonts w:ascii="Arial" w:cs="Arial" w:eastAsia="Arial" w:hAnsi="Arial"/>
          <w:sz w:val="16"/>
          <w:szCs w:val="16"/>
          <w:color w:val="auto"/>
        </w:rPr>
        <w:t>New York, New York 10004</w:t>
      </w:r>
    </w:p>
    <w:p>
      <w:pPr>
        <w:spacing w:after="0" w:line="184"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29"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Applicable Law</w:t>
      </w:r>
      <w:r>
        <w:rPr>
          <w:rFonts w:ascii="Arial" w:cs="Arial" w:eastAsia="Arial" w:hAnsi="Arial"/>
          <w:sz w:val="15"/>
          <w:szCs w:val="15"/>
          <w:color w:val="auto"/>
        </w:rPr>
        <w:t>. The validity, interpretation, and performance of this Warrant Agreement and of the Warrants shall be governed in all respects by the laws of the State of New York, without giving effect to conflict of laws. Subject to applicable law,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and the Warrant Agent hereby waive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56"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 xml:space="preserve">Any person or entity purchasing or otherwise acquiring any interest in the Warrants shall be deemed to have notice of and to have consented to the forum provisions in this </w:t>
      </w:r>
      <w:r>
        <w:rPr>
          <w:rFonts w:ascii="Arial" w:cs="Arial" w:eastAsia="Arial" w:hAnsi="Arial"/>
          <w:sz w:val="14"/>
          <w:szCs w:val="14"/>
          <w:u w:val="single" w:color="auto"/>
          <w:color w:val="auto"/>
        </w:rPr>
        <w:t>Section 9.3</w:t>
      </w:r>
      <w:r>
        <w:rPr>
          <w:rFonts w:ascii="Arial" w:cs="Arial" w:eastAsia="Arial" w:hAnsi="Arial"/>
          <w:sz w:val="14"/>
          <w:szCs w:val="14"/>
          <w:color w:val="auto"/>
        </w:rPr>
        <w:t>.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4"/>
          <w:szCs w:val="14"/>
          <w:b w:val="1"/>
          <w:bCs w:val="1"/>
          <w:color w:val="auto"/>
        </w:rPr>
        <w:t>foreign action</w:t>
      </w:r>
      <w:r>
        <w:rPr>
          <w:rFonts w:ascii="Arial" w:cs="Arial" w:eastAsia="Arial" w:hAnsi="Arial"/>
          <w:sz w:val="14"/>
          <w:szCs w:val="14"/>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4"/>
          <w:szCs w:val="14"/>
          <w:b w:val="1"/>
          <w:bCs w:val="1"/>
          <w:color w:val="auto"/>
        </w:rPr>
        <w:t>enforcement action</w:t>
      </w:r>
      <w:r>
        <w:rPr>
          <w:rFonts w:ascii="Arial" w:cs="Arial" w:eastAsia="Arial" w:hAnsi="Arial"/>
          <w:sz w:val="14"/>
          <w:szCs w:val="14"/>
          <w:color w:val="auto"/>
        </w:rPr>
        <w:t>”), and (y) having service of process made upon such Warrant holder in any such enforcement action by service upon such Warrant holder’s counsel in the foreign action as agent for such Warrant holder.</w:t>
      </w:r>
    </w:p>
    <w:p>
      <w:pPr>
        <w:spacing w:after="0" w:line="143"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hereof. Such mailing shall be deemed personal service and shall be legal and binding upon the party receiving such service in any action, proceeding or claim.</w:t>
      </w:r>
    </w:p>
    <w:p>
      <w:pPr>
        <w:spacing w:after="0" w:line="16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Persons Having Rights under this Warrant Agreement</w:t>
      </w:r>
      <w:r>
        <w:rPr>
          <w:rFonts w:ascii="Arial" w:cs="Arial" w:eastAsia="Arial" w:hAnsi="Arial"/>
          <w:sz w:val="15"/>
          <w:szCs w:val="15"/>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5"/>
          <w:szCs w:val="15"/>
          <w:u w:val="single" w:color="auto"/>
          <w:color w:val="auto"/>
        </w:rPr>
        <w:t>Sections 2.5</w:t>
      </w:r>
      <w:r>
        <w:rPr>
          <w:rFonts w:ascii="Arial" w:cs="Arial" w:eastAsia="Arial" w:hAnsi="Arial"/>
          <w:sz w:val="15"/>
          <w:szCs w:val="15"/>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3" w:name="page264"/>
    <w:bookmarkEnd w:id="263"/>
    <w:p>
      <w:pPr>
        <w:jc w:val="both"/>
        <w:ind w:right="20" w:firstLine="574"/>
        <w:spacing w:after="0" w:line="262"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Examination of the Warrant Agreement</w:t>
      </w:r>
      <w:r>
        <w:rPr>
          <w:rFonts w:ascii="Arial" w:cs="Arial" w:eastAsia="Arial" w:hAnsi="Arial"/>
          <w:sz w:val="16"/>
          <w:szCs w:val="16"/>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Counterparts- Facsimile Signatures</w:t>
      </w:r>
      <w:r>
        <w:rPr>
          <w:rFonts w:ascii="Arial" w:cs="Arial" w:eastAsia="Arial" w:hAnsi="Arial"/>
          <w:sz w:val="16"/>
          <w:szCs w:val="16"/>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u w:val="single" w:color="auto"/>
          <w:color w:val="auto"/>
        </w:rPr>
        <w:t>Effect of Headings</w:t>
      </w:r>
      <w:r>
        <w:rPr>
          <w:rFonts w:ascii="Arial" w:cs="Arial" w:eastAsia="Arial" w:hAnsi="Arial"/>
          <w:sz w:val="14"/>
          <w:szCs w:val="14"/>
          <w:color w:val="auto"/>
        </w:rPr>
        <w:t>. The section headings herein are for convenience only and are not part of this Warrant Agreement and shall not affect the interpretation there of</w:t>
      </w:r>
    </w:p>
    <w:p>
      <w:pPr>
        <w:spacing w:after="0" w:line="221"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9.8 </w:t>
      </w:r>
      <w:r>
        <w:rPr>
          <w:rFonts w:ascii="Arial" w:cs="Arial" w:eastAsia="Arial" w:hAnsi="Arial"/>
          <w:sz w:val="15"/>
          <w:szCs w:val="15"/>
          <w:u w:val="single" w:color="auto"/>
          <w:color w:val="auto"/>
        </w:rPr>
        <w:t>Amendments</w:t>
      </w:r>
      <w:r>
        <w:rPr>
          <w:rFonts w:ascii="Arial" w:cs="Arial" w:eastAsia="Arial" w:hAnsi="Arial"/>
          <w:sz w:val="15"/>
          <w:szCs w:val="15"/>
          <w:color w:val="auto"/>
        </w:rPr>
        <w:t>. This Warrant Agreement and any Warrant certificate may be amended by the parties hereto by executing a supplemental warrant agreement (a “</w:t>
      </w:r>
      <w:r>
        <w:rPr>
          <w:rFonts w:ascii="Arial" w:cs="Arial" w:eastAsia="Arial" w:hAnsi="Arial"/>
          <w:sz w:val="15"/>
          <w:szCs w:val="15"/>
          <w:b w:val="1"/>
          <w:bCs w:val="1"/>
          <w:color w:val="auto"/>
        </w:rPr>
        <w:t>Supplemental Agreement</w:t>
      </w:r>
      <w:r>
        <w:rPr>
          <w:rFonts w:ascii="Arial" w:cs="Arial" w:eastAsia="Arial" w:hAnsi="Arial"/>
          <w:sz w:val="15"/>
          <w:szCs w:val="15"/>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and any amendment to the terms of only the Note Financing Warrants,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60"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Severability</w:t>
      </w:r>
      <w:r>
        <w:rPr>
          <w:rFonts w:ascii="Arial" w:cs="Arial" w:eastAsia="Arial" w:hAnsi="Arial"/>
          <w:sz w:val="16"/>
          <w:szCs w:val="16"/>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4" w:name="page265"/>
    <w:bookmarkEnd w:id="264"/>
    <w:p>
      <w:pPr>
        <w:spacing w:after="0"/>
        <w:rPr>
          <w:sz w:val="20"/>
          <w:szCs w:val="20"/>
          <w:color w:val="auto"/>
        </w:rPr>
      </w:pPr>
      <w:r>
        <w:rPr>
          <w:rFonts w:ascii="Arial" w:cs="Arial" w:eastAsia="Arial" w:hAnsi="Arial"/>
          <w:sz w:val="16"/>
          <w:szCs w:val="16"/>
          <w:color w:val="auto"/>
        </w:rPr>
        <w:t>IN WITNESS WHEREOF, this Warrant Agreement has been duly executed by the parties hereto as of the day and year first above written.</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6200"/>
        <w:spacing w:after="0"/>
        <w:rPr>
          <w:sz w:val="20"/>
          <w:szCs w:val="20"/>
          <w:color w:val="auto"/>
        </w:rPr>
      </w:pPr>
      <w:r>
        <w:rPr>
          <w:rFonts w:ascii="Arial" w:cs="Arial" w:eastAsia="Arial" w:hAnsi="Arial"/>
          <w:sz w:val="15"/>
          <w:szCs w:val="15"/>
          <w:b w:val="1"/>
          <w:bCs w:val="1"/>
          <w:color w:val="auto"/>
        </w:rPr>
        <w:t>CONTINENTAL STOCK TRANSFER &amp; TRUST COMPANY</w:t>
      </w:r>
    </w:p>
    <w:p>
      <w:pPr>
        <w:spacing w:after="0" w:line="21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Title:</w:t>
      </w:r>
    </w:p>
    <w:p>
      <w:pPr>
        <w:spacing w:after="0" w:line="37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460"/>
          </w:cols>
          <w:pgMar w:left="880" w:top="820" w:right="559" w:bottom="1440" w:gutter="0" w:footer="0" w:header="0"/>
        </w:sectPr>
      </w:pPr>
    </w:p>
    <w:bookmarkStart w:id="265" w:name="page266"/>
    <w:bookmarkEnd w:id="265"/>
    <w:p>
      <w:pPr>
        <w:jc w:val="center"/>
        <w:ind w:right="16"/>
        <w:spacing w:after="0"/>
        <w:rPr>
          <w:sz w:val="20"/>
          <w:szCs w:val="20"/>
          <w:color w:val="auto"/>
        </w:rPr>
      </w:pPr>
      <w:r>
        <w:rPr>
          <w:rFonts w:ascii="Arial" w:cs="Arial" w:eastAsia="Arial" w:hAnsi="Arial"/>
          <w:sz w:val="16"/>
          <w:szCs w:val="16"/>
          <w:b w:val="1"/>
          <w:bCs w:val="1"/>
          <w:color w:val="auto"/>
        </w:rPr>
        <w:t>Exhibit A</w:t>
      </w:r>
    </w:p>
    <w:p>
      <w:pPr>
        <w:spacing w:after="0" w:line="24"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Form of Warrant</w:t>
      </w:r>
    </w:p>
    <w:p>
      <w:pPr>
        <w:spacing w:after="0" w:line="7" w:lineRule="exact"/>
        <w:rPr>
          <w:sz w:val="20"/>
          <w:szCs w:val="20"/>
          <w:color w:val="auto"/>
        </w:rPr>
      </w:pPr>
    </w:p>
    <w:p>
      <w:pPr>
        <w:jc w:val="center"/>
        <w:ind w:right="16"/>
        <w:spacing w:after="0"/>
        <w:rPr>
          <w:sz w:val="20"/>
          <w:szCs w:val="20"/>
          <w:color w:val="auto"/>
        </w:rPr>
      </w:pPr>
      <w:r>
        <w:rPr>
          <w:rFonts w:ascii="Arial" w:cs="Arial" w:eastAsia="Arial" w:hAnsi="Arial"/>
          <w:sz w:val="15"/>
          <w:szCs w:val="15"/>
          <w:color w:val="auto"/>
        </w:rPr>
        <w:t>SPECIMEN WARRANT CERTIFICATE</w:t>
      </w:r>
    </w:p>
    <w:p>
      <w:pPr>
        <w:sectPr>
          <w:pgSz w:w="11900" w:h="16838" w:orient="portrait"/>
          <w:cols w:equalWidth="0" w:num="1">
            <w:col w:w="11264"/>
          </w:cols>
          <w:pgMar w:left="316" w:top="816" w:right="319" w:bottom="1440" w:gutter="0" w:footer="0" w:header="0"/>
        </w:sectPr>
      </w:pPr>
    </w:p>
    <w:p>
      <w:pPr>
        <w:spacing w:after="0" w:line="197" w:lineRule="exact"/>
        <w:rPr>
          <w:sz w:val="20"/>
          <w:szCs w:val="20"/>
          <w:color w:val="auto"/>
        </w:rPr>
      </w:pPr>
    </w:p>
    <w:p>
      <w:pPr>
        <w:ind w:left="4"/>
        <w:spacing w:after="0"/>
        <w:rPr>
          <w:sz w:val="20"/>
          <w:szCs w:val="20"/>
          <w:color w:val="auto"/>
        </w:rPr>
      </w:pPr>
      <w:r>
        <w:rPr>
          <w:rFonts w:ascii="Arial" w:cs="Arial" w:eastAsia="Arial" w:hAnsi="Arial"/>
          <w:sz w:val="15"/>
          <w:szCs w:val="15"/>
          <w:color w:val="auto"/>
        </w:rPr>
        <w:t>NUMBER</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auto"/>
        </w:rPr>
        <w:t>WA-</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 ] WARRANTS</w:t>
      </w:r>
    </w:p>
    <w:p>
      <w:pPr>
        <w:spacing w:after="0" w:line="401" w:lineRule="exact"/>
        <w:rPr>
          <w:sz w:val="20"/>
          <w:szCs w:val="20"/>
          <w:color w:val="auto"/>
        </w:rPr>
      </w:pPr>
    </w:p>
    <w:p>
      <w:pPr>
        <w:sectPr>
          <w:pgSz w:w="11900" w:h="16838" w:orient="portrait"/>
          <w:cols w:equalWidth="0" w:num="2">
            <w:col w:w="9464" w:space="720"/>
            <w:col w:w="1080"/>
          </w:cols>
          <w:pgMar w:left="316" w:top="816" w:right="319" w:bottom="1440" w:gutter="0" w:footer="0" w:header="0"/>
          <w:type w:val="continuous"/>
        </w:sectPr>
      </w:pPr>
    </w:p>
    <w:p>
      <w:pPr>
        <w:jc w:val="center"/>
        <w:ind w:right="-3"/>
        <w:spacing w:after="0"/>
        <w:rPr>
          <w:sz w:val="20"/>
          <w:szCs w:val="20"/>
          <w:color w:val="auto"/>
        </w:rPr>
      </w:pPr>
      <w:r>
        <w:rPr>
          <w:rFonts w:ascii="Arial" w:cs="Arial" w:eastAsia="Arial" w:hAnsi="Arial"/>
          <w:sz w:val="16"/>
          <w:szCs w:val="16"/>
          <w:color w:val="auto"/>
        </w:rPr>
        <w:t>(THIS WARRANT WILL BE VOID IF NOT EXERCISED PRIOR TO 5:00 P.M.</w:t>
      </w:r>
    </w:p>
    <w:p>
      <w:pPr>
        <w:spacing w:after="0" w:line="20" w:lineRule="exact"/>
        <w:rPr>
          <w:sz w:val="20"/>
          <w:szCs w:val="20"/>
          <w:color w:val="auto"/>
        </w:rPr>
      </w:pPr>
    </w:p>
    <w:p>
      <w:pPr>
        <w:jc w:val="center"/>
        <w:ind w:right="36"/>
        <w:spacing w:after="0"/>
        <w:rPr>
          <w:sz w:val="20"/>
          <w:szCs w:val="20"/>
          <w:color w:val="auto"/>
        </w:rPr>
      </w:pPr>
      <w:r>
        <w:rPr>
          <w:rFonts w:ascii="Arial" w:cs="Arial" w:eastAsia="Arial" w:hAnsi="Arial"/>
          <w:sz w:val="16"/>
          <w:szCs w:val="16"/>
          <w:color w:val="auto"/>
        </w:rPr>
        <w:t>NEW YORK CITY TIME, FIVE YEARS FROM THE CLOSING DATE OF THE COMPANY’S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INITIAL BUSINESS COMBINATION)</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VENTOUX CCM ACQUISITION CORP.</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92280L119</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WARRANT</w:t>
      </w:r>
    </w:p>
    <w:p>
      <w:pPr>
        <w:spacing w:after="0" w:line="198"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4"/>
          <w:szCs w:val="14"/>
          <w:color w:val="auto"/>
        </w:rPr>
        <w:t>THIS WARRANT CERTIFIES THAT, for value received, or registered assigns, is the registered holder of a Warrant or Warrants (the “Warrant”), expiring on a date which is five (5) years from the completion of the Company’s initial business combination, to purchase one-half of one</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fully paid and non-assessable share (the “Warrant Shares”), of common stock, par value $0.0001 per share (the “Common Stock”), of Ventoux CCM Acquisition Corp., a Delaware corporation (the “Company”), for each Warrant evidenced by this Warrant Certificate. This Warrant Certificate is subject to and shall be interpreted under the terms and conditions of the Warrant Agreement (as defined below).</w:t>
      </w:r>
    </w:p>
    <w:p>
      <w:pPr>
        <w:spacing w:after="0" w:line="163" w:lineRule="exact"/>
        <w:rPr>
          <w:sz w:val="20"/>
          <w:szCs w:val="20"/>
          <w:color w:val="auto"/>
        </w:rPr>
      </w:pPr>
    </w:p>
    <w:p>
      <w:pPr>
        <w:jc w:val="both"/>
        <w:ind w:left="4" w:firstLine="574"/>
        <w:spacing w:after="0" w:line="272" w:lineRule="auto"/>
        <w:rPr>
          <w:sz w:val="20"/>
          <w:szCs w:val="20"/>
          <w:color w:val="auto"/>
        </w:rPr>
      </w:pPr>
      <w:r>
        <w:rPr>
          <w:rFonts w:ascii="Arial" w:cs="Arial" w:eastAsia="Arial" w:hAnsi="Arial"/>
          <w:sz w:val="15"/>
          <w:szCs w:val="15"/>
          <w:color w:val="auto"/>
        </w:rPr>
        <w:t>The Warrant entitles the holder thereof to purchase from the Company, from time to time, in whole or in part, commencing on the later to occur of (i) the completion of the Company’s initial business combination or (ii) twelve (12) months following the closing of the Company’s initial public offering, such number of Warrant Shares at the price of $11.50 per share (the “Warrant Price”), upon surrender of this Warrant Certificate and payment of the Warrant Price at the office or agency of Continental Stock Transfer &amp; Trust Company (the “Warrant Agent”), such payment to be made subject to the conditions set forth herein and in the Warrant Agreement, dated [●], 2020,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57"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5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No fractional shares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1790700"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07" w:lineRule="exact"/>
        <w:rPr>
          <w:sz w:val="20"/>
          <w:szCs w:val="20"/>
          <w:color w:val="auto"/>
        </w:rPr>
      </w:pPr>
    </w:p>
    <w:p>
      <w:pPr>
        <w:ind w:left="104" w:hanging="104"/>
        <w:spacing w:after="0"/>
        <w:tabs>
          <w:tab w:leader="none" w:pos="104" w:val="left"/>
        </w:tabs>
        <w:numPr>
          <w:ilvl w:val="0"/>
          <w:numId w:val="270"/>
        </w:numPr>
        <w:rPr>
          <w:rFonts w:ascii="Arial" w:cs="Arial" w:eastAsia="Arial" w:hAnsi="Arial"/>
          <w:sz w:val="27"/>
          <w:szCs w:val="27"/>
          <w:color w:val="auto"/>
          <w:vertAlign w:val="superscript"/>
        </w:rPr>
      </w:pPr>
      <w:r>
        <w:rPr>
          <w:rFonts w:ascii="Arial" w:cs="Arial" w:eastAsia="Arial" w:hAnsi="Arial"/>
          <w:sz w:val="16"/>
          <w:szCs w:val="16"/>
          <w:color w:val="auto"/>
        </w:rPr>
        <w:t>Each Note Financing Warrant is exercisable into one share of Common Stock</w:t>
      </w:r>
    </w:p>
    <w:p>
      <w:pPr>
        <w:spacing w:after="0" w:line="370" w:lineRule="exact"/>
        <w:rPr>
          <w:sz w:val="20"/>
          <w:szCs w:val="20"/>
          <w:color w:val="auto"/>
        </w:rPr>
      </w:pPr>
    </w:p>
    <w:p>
      <w:pPr>
        <w:jc w:val="center"/>
        <w:ind w:right="36"/>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type w:val="continuous"/>
        </w:sectPr>
      </w:pPr>
    </w:p>
    <w:bookmarkStart w:id="266" w:name="page267"/>
    <w:bookmarkEnd w:id="266"/>
    <w:p>
      <w:pPr>
        <w:jc w:val="both"/>
        <w:ind w:right="20" w:firstLine="574"/>
        <w:spacing w:after="0" w:line="275" w:lineRule="auto"/>
        <w:rPr>
          <w:sz w:val="20"/>
          <w:szCs w:val="20"/>
          <w:color w:val="auto"/>
        </w:rPr>
      </w:pPr>
      <w:r>
        <w:rPr>
          <w:rFonts w:ascii="Arial" w:cs="Arial" w:eastAsia="Arial" w:hAnsi="Arial"/>
          <w:sz w:val="16"/>
          <w:szCs w:val="16"/>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Warrant does not entitle the registered holder(s) to any of the rights of a stockholder of the Company.</w:t>
      </w:r>
    </w:p>
    <w:p>
      <w:pPr>
        <w:spacing w:after="0" w:line="19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After the Warrant becomes exercisable and prior to its expiration date, the Company reserves the right to call the Warrant at any time, with a notice of call in writing to the holder(s) of record of the Warrant, giving thirty (30) days’ written notice of such call if the last reported sale price of the Common Stock has been equal to or greater than $16.50 per share for any twenty (20) trading days within a thirty (30) trading day period ending on the third (3rd) trading day prior to the date on which notice of such call is given, provided that (i) a registration statement under the Securities Act of 1933, as amended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Act. The call price is $0.01 per Warrant Share. No fractional shares will be issued upon exercise of the Warrant.</w:t>
      </w:r>
    </w:p>
    <w:p>
      <w:pPr>
        <w:spacing w:after="0" w:line="17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12700</wp:posOffset>
            </wp:positionV>
            <wp:extent cx="2496820" cy="15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Chief Executive Officer</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6"/>
          <w:szCs w:val="16"/>
          <w:color w:val="auto"/>
        </w:rPr>
        <w:t>[REVERSE OF CERTIFICATE]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SUBSCRIPTION FORM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Be Executed by the Registered Holder(s) in Order to Exercise Warrants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162"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Cash Exercise</w:t>
      </w:r>
      <w:r>
        <w:rPr>
          <w:rFonts w:ascii="Arial" w:cs="Arial" w:eastAsia="Arial" w:hAnsi="Arial"/>
          <w:sz w:val="16"/>
          <w:szCs w:val="16"/>
          <w:color w:val="auto"/>
        </w:rPr>
        <w:t>” with respect to Warrant Shares; and/or</w:t>
      </w:r>
    </w:p>
    <w:p>
      <w:pPr>
        <w:spacing w:after="0" w:line="198" w:lineRule="exact"/>
        <w:rPr>
          <w:sz w:val="20"/>
          <w:szCs w:val="20"/>
          <w:color w:val="auto"/>
        </w:rPr>
      </w:pPr>
    </w:p>
    <w:p>
      <w:pPr>
        <w:jc w:val="both"/>
        <w:ind w:left="4400" w:right="20"/>
        <w:spacing w:after="0" w:line="280" w:lineRule="auto"/>
        <w:rPr>
          <w:sz w:val="20"/>
          <w:szCs w:val="20"/>
          <w:color w:val="auto"/>
        </w:rPr>
      </w:pPr>
      <w:r>
        <w:rPr>
          <w:rFonts w:ascii="Arial" w:cs="Arial" w:eastAsia="Arial" w:hAnsi="Arial"/>
          <w:sz w:val="15"/>
          <w:szCs w:val="15"/>
          <w:color w:val="auto"/>
        </w:rPr>
        <w:t>a “</w:t>
      </w:r>
      <w:r>
        <w:rPr>
          <w:rFonts w:ascii="Arial" w:cs="Arial" w:eastAsia="Arial" w:hAnsi="Arial"/>
          <w:sz w:val="15"/>
          <w:szCs w:val="15"/>
          <w:u w:val="single" w:color="auto"/>
          <w:color w:val="auto"/>
        </w:rPr>
        <w:t>Cashless Exercise</w:t>
      </w:r>
      <w:r>
        <w:rPr>
          <w:rFonts w:ascii="Arial" w:cs="Arial" w:eastAsia="Arial" w:hAnsi="Arial"/>
          <w:sz w:val="15"/>
          <w:szCs w:val="15"/>
          <w:color w:val="auto"/>
        </w:rPr>
        <w:t xml:space="preserve">” with respect to Warrant Shares because on the date of this exercise, there is no effective registration statement registering the Warrant Shares, or the prospectus contained therein is not available for the resale of the Warrant Shares, in which event the Company shall deliver to the registered holder(s) shares of Common Stock pursuant to </w:t>
      </w:r>
      <w:r>
        <w:rPr>
          <w:rFonts w:ascii="Arial" w:cs="Arial" w:eastAsia="Arial" w:hAnsi="Arial"/>
          <w:sz w:val="15"/>
          <w:szCs w:val="15"/>
          <w:u w:val="single" w:color="auto"/>
          <w:color w:val="auto"/>
        </w:rPr>
        <w:t>Section 3.3.2</w:t>
      </w:r>
      <w:r>
        <w:rPr>
          <w:rFonts w:ascii="Arial" w:cs="Arial" w:eastAsia="Arial" w:hAnsi="Arial"/>
          <w:sz w:val="15"/>
          <w:szCs w:val="15"/>
          <w:color w:val="auto"/>
        </w:rPr>
        <w:t xml:space="preserve"> of the Warrant Agreement.</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undersigned requests that a certificate for such shares be registered in the name(s)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148195"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148195" cy="15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(SOCIAL SECURITY OR TAX IDENTIFICATION NUMBER(S))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and be delivered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(PLEASE PRINT OR TYPE NAME(S) AND ADDRESS)</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 Warrants be registered in the name of, and delivered to, the registered holder(s) at the address(es) stated below:</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2860675"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2860675"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(TAX IDENTIFICATION NUMBER(S))</w:t>
      </w: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6"/>
          <w:szCs w:val="16"/>
          <w:color w:val="auto"/>
        </w:rPr>
        <w:t>ASSIGNMENT</w:t>
      </w:r>
    </w:p>
    <w:p>
      <w:pPr>
        <w:spacing w:after="0" w:line="198"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To Be Executed by the Registered Holder in Order to Assign Warrants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148195" cy="15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(PLEASE TYPE OR PRINT NAME(S)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148195"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(SOCIAL SECURITY OR TAX IDENTIFICATION NUMBER(S))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and to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262890</wp:posOffset>
            </wp:positionV>
            <wp:extent cx="2860675"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(PLEASE PRINT OR TYPE NAME(S)</w:t>
      </w:r>
    </w:p>
    <w:p>
      <w:pPr>
        <w:spacing w:after="0" w:line="2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4295140"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295140" cy="1524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(SOCIAL SECURITY OR TAX IDENTIFICATION NUMBER(S))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of the Warrants represented by this Warrant Certificate, and hereby irrevocably constitute and appoint Attorney to transfer this Warrant Certificate on the books of the Company, with full power of substitution in the premises.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2860675"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NOTICE: THE SIGNATURE(S) TO THIS ASSIGNMENT MUST CORRESPOND WITH THE NAME AS WRITTEN UPON THE FACE OF THE CERTIFICATE IN EVERY PARTICULAR, WITHOUT ALTERATION OR ENLARGEMENT OR ANY CHANGE WHATEVER.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Signature(s) Guaranteed: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12700</wp:posOffset>
            </wp:positionV>
            <wp:extent cx="2496820"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9" w:name="page270"/>
    <w:bookmarkEnd w:id="269"/>
    <w:p>
      <w:pPr>
        <w:jc w:val="right"/>
        <w:spacing w:after="0"/>
        <w:rPr>
          <w:sz w:val="20"/>
          <w:szCs w:val="20"/>
          <w:color w:val="auto"/>
        </w:rPr>
      </w:pPr>
      <w:r>
        <w:rPr>
          <w:rFonts w:ascii="Arial" w:cs="Arial" w:eastAsia="Arial" w:hAnsi="Arial"/>
          <w:sz w:val="16"/>
          <w:szCs w:val="16"/>
          <w:b w:val="1"/>
          <w:bCs w:val="1"/>
          <w:color w:val="auto"/>
        </w:rPr>
        <w:t>Exhibit 10.4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REGISTRATION RIGHTS AGREEMENT</w:t>
      </w:r>
    </w:p>
    <w:p>
      <w:pPr>
        <w:spacing w:after="0" w:line="20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This AMENDED AND RESTATED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 ● ], 2022, by and among (i) Ventoux CCM Acquisition Corp., a Delaware corporation (“</w:t>
      </w:r>
      <w:r>
        <w:rPr>
          <w:rFonts w:ascii="Arial" w:cs="Arial" w:eastAsia="Arial" w:hAnsi="Arial"/>
          <w:sz w:val="16"/>
          <w:szCs w:val="16"/>
          <w:u w:val="single" w:color="auto"/>
          <w:color w:val="auto"/>
        </w:rPr>
        <w:t>Pubco</w:t>
      </w:r>
      <w:r>
        <w:rPr>
          <w:rFonts w:ascii="Arial" w:cs="Arial" w:eastAsia="Arial" w:hAnsi="Arial"/>
          <w:sz w:val="16"/>
          <w:szCs w:val="16"/>
          <w:color w:val="auto"/>
        </w:rPr>
        <w:t>”), (ii) Ventoux Acquisition Holdings LLC, a Delaware limited liability company (“</w:t>
      </w:r>
      <w:r>
        <w:rPr>
          <w:rFonts w:ascii="Arial" w:cs="Arial" w:eastAsia="Arial" w:hAnsi="Arial"/>
          <w:sz w:val="16"/>
          <w:szCs w:val="16"/>
          <w:u w:val="single" w:color="auto"/>
          <w:color w:val="auto"/>
        </w:rPr>
        <w:t>Co-Sponsor</w:t>
      </w:r>
      <w:r>
        <w:rPr>
          <w:rFonts w:ascii="Arial" w:cs="Arial" w:eastAsia="Arial" w:hAnsi="Arial"/>
          <w:sz w:val="16"/>
          <w:szCs w:val="16"/>
          <w:color w:val="auto"/>
        </w:rPr>
        <w:t>”), (iii) Chardan International Investments, LLC, a Delaware limited liability company (together with the Co-Sponsor, the “</w:t>
      </w:r>
      <w:r>
        <w:rPr>
          <w:rFonts w:ascii="Arial" w:cs="Arial" w:eastAsia="Arial" w:hAnsi="Arial"/>
          <w:sz w:val="16"/>
          <w:szCs w:val="16"/>
          <w:u w:val="single" w:color="auto"/>
          <w:color w:val="auto"/>
        </w:rPr>
        <w:t>Sponsors</w:t>
      </w:r>
      <w:r>
        <w:rPr>
          <w:rFonts w:ascii="Arial" w:cs="Arial" w:eastAsia="Arial" w:hAnsi="Arial"/>
          <w:sz w:val="16"/>
          <w:szCs w:val="16"/>
          <w:color w:val="auto"/>
        </w:rPr>
        <w:t>”), (iv) [***] (the “</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 (together with the [***], the “ </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Investors</w:t>
      </w:r>
      <w:r>
        <w:rPr>
          <w:rFonts w:ascii="Arial" w:cs="Arial" w:eastAsia="Arial" w:hAnsi="Arial"/>
          <w:sz w:val="16"/>
          <w:szCs w:val="16"/>
          <w:color w:val="auto"/>
        </w:rPr>
        <w:t>”), (v) each of the Persons listed on the Schedule of Investors attached hereto as of the date hereof, and (vi) each of the other Persons set forth from time to time on the Schedule of Investors who, at any time, own securities of Pubco and enter into a joinder to this Agreement agreeing to be bound by the terms hereof (each Person identified in the foregoing (ii) through (vi), an “</w:t>
      </w:r>
      <w:r>
        <w:rPr>
          <w:rFonts w:ascii="Arial" w:cs="Arial" w:eastAsia="Arial" w:hAnsi="Arial"/>
          <w:sz w:val="16"/>
          <w:szCs w:val="16"/>
          <w:u w:val="single" w:color="auto"/>
          <w:color w:val="auto"/>
        </w:rPr>
        <w:t>Investor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Investors</w:t>
      </w:r>
      <w:r>
        <w:rPr>
          <w:rFonts w:ascii="Arial" w:cs="Arial" w:eastAsia="Arial" w:hAnsi="Arial"/>
          <w:sz w:val="16"/>
          <w:szCs w:val="16"/>
          <w:color w:val="auto"/>
        </w:rPr>
        <w:t xml:space="preserve">”). Unless otherwise provided in this Agreement, capitalized terms used herein shall have the meanings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hereof.</w:t>
      </w:r>
    </w:p>
    <w:p>
      <w:pPr>
        <w:spacing w:after="0" w:line="17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Pubco and certain of the Investors (the “</w:t>
      </w:r>
      <w:r>
        <w:rPr>
          <w:rFonts w:ascii="Arial" w:cs="Arial" w:eastAsia="Arial" w:hAnsi="Arial"/>
          <w:sz w:val="16"/>
          <w:szCs w:val="16"/>
          <w:u w:val="single" w:color="auto"/>
          <w:color w:val="auto"/>
        </w:rPr>
        <w:t>Original Holders</w:t>
      </w:r>
      <w:r>
        <w:rPr>
          <w:rFonts w:ascii="Arial" w:cs="Arial" w:eastAsia="Arial" w:hAnsi="Arial"/>
          <w:sz w:val="16"/>
          <w:szCs w:val="16"/>
          <w:color w:val="auto"/>
        </w:rPr>
        <w:t>”) are parties to that certain Registration Rights Agreement, dated as of December 23, 2020 (the “</w:t>
      </w:r>
      <w:r>
        <w:rPr>
          <w:rFonts w:ascii="Arial" w:cs="Arial" w:eastAsia="Arial" w:hAnsi="Arial"/>
          <w:sz w:val="16"/>
          <w:szCs w:val="16"/>
          <w:u w:val="single" w:color="auto"/>
          <w:color w:val="auto"/>
        </w:rPr>
        <w:t>Prior Agreement</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Original Holders currently hold an aggregate of 4,312,500 shares (the “</w:t>
      </w:r>
      <w:r>
        <w:rPr>
          <w:rFonts w:ascii="Arial" w:cs="Arial" w:eastAsia="Arial" w:hAnsi="Arial"/>
          <w:sz w:val="16"/>
          <w:szCs w:val="16"/>
          <w:u w:val="single" w:color="auto"/>
          <w:color w:val="auto"/>
        </w:rPr>
        <w:t>Founder Shares</w:t>
      </w:r>
      <w:r>
        <w:rPr>
          <w:rFonts w:ascii="Arial" w:cs="Arial" w:eastAsia="Arial" w:hAnsi="Arial"/>
          <w:sz w:val="16"/>
          <w:szCs w:val="16"/>
          <w:color w:val="auto"/>
        </w:rPr>
        <w:t>”) of common stock of Pubco, par value $0.0001 per share, issued prior to Pubco’s initial public offering;</w:t>
      </w:r>
    </w:p>
    <w:p>
      <w:pPr>
        <w:spacing w:after="0" w:line="15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WHEREAS, upon the consummation of the transactions contemplated by the Merger Agreement, the Original Holders will hold an aggregate of 6,075,000 warrants (the “</w:t>
      </w:r>
      <w:r>
        <w:rPr>
          <w:rFonts w:ascii="Arial" w:cs="Arial" w:eastAsia="Arial" w:hAnsi="Arial"/>
          <w:sz w:val="15"/>
          <w:szCs w:val="15"/>
          <w:u w:val="single" w:color="auto"/>
          <w:color w:val="auto"/>
        </w:rPr>
        <w:t>Private Placement Warrants</w:t>
      </w:r>
      <w:r>
        <w:rPr>
          <w:rFonts w:ascii="Arial" w:cs="Arial" w:eastAsia="Arial" w:hAnsi="Arial"/>
          <w:sz w:val="15"/>
          <w:szCs w:val="15"/>
          <w:color w:val="auto"/>
        </w:rPr>
        <w:t>”) to purchase, at an exercise price of $11.50 per share (subject to adjustment), shares of Common Stock;</w:t>
      </w:r>
    </w:p>
    <w:p>
      <w:pPr>
        <w:spacing w:after="0" w:line="129"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WHEREAS, Pubco, Ventoux Merger Sub I, Inc. (“</w:t>
      </w:r>
      <w:r>
        <w:rPr>
          <w:rFonts w:ascii="Arial" w:cs="Arial" w:eastAsia="Arial" w:hAnsi="Arial"/>
          <w:sz w:val="15"/>
          <w:szCs w:val="15"/>
          <w:u w:val="single" w:color="auto"/>
          <w:color w:val="auto"/>
        </w:rPr>
        <w:t>First Merger Sub</w:t>
      </w:r>
      <w:r>
        <w:rPr>
          <w:rFonts w:ascii="Arial" w:cs="Arial" w:eastAsia="Arial" w:hAnsi="Arial"/>
          <w:sz w:val="15"/>
          <w:szCs w:val="15"/>
          <w:color w:val="auto"/>
        </w:rPr>
        <w:t>”), Ventoux Merger Sub II, LLC (“</w:t>
      </w:r>
      <w:r>
        <w:rPr>
          <w:rFonts w:ascii="Arial" w:cs="Arial" w:eastAsia="Arial" w:hAnsi="Arial"/>
          <w:sz w:val="15"/>
          <w:szCs w:val="15"/>
          <w:u w:val="single" w:color="auto"/>
          <w:color w:val="auto"/>
        </w:rPr>
        <w:t>Second Merger Sub</w:t>
      </w:r>
      <w:r>
        <w:rPr>
          <w:rFonts w:ascii="Arial" w:cs="Arial" w:eastAsia="Arial" w:hAnsi="Arial"/>
          <w:sz w:val="15"/>
          <w:szCs w:val="15"/>
          <w:color w:val="auto"/>
        </w:rPr>
        <w:t>”) and E La Carte, Inc. (the “</w:t>
      </w:r>
      <w:r>
        <w:rPr>
          <w:rFonts w:ascii="Arial" w:cs="Arial" w:eastAsia="Arial" w:hAnsi="Arial"/>
          <w:sz w:val="15"/>
          <w:szCs w:val="15"/>
          <w:u w:val="single" w:color="auto"/>
          <w:color w:val="auto"/>
        </w:rPr>
        <w:t>Target”)</w:t>
      </w:r>
      <w:r>
        <w:rPr>
          <w:rFonts w:ascii="Arial" w:cs="Arial" w:eastAsia="Arial" w:hAnsi="Arial"/>
          <w:sz w:val="15"/>
          <w:szCs w:val="15"/>
          <w:color w:val="auto"/>
        </w:rPr>
        <w:t xml:space="preserve"> have entered into that certain Agreement and Plan of Merger, dated as of November 10, 2021 (the “</w:t>
      </w:r>
      <w:r>
        <w:rPr>
          <w:rFonts w:ascii="Arial" w:cs="Arial" w:eastAsia="Arial" w:hAnsi="Arial"/>
          <w:sz w:val="15"/>
          <w:szCs w:val="15"/>
          <w:u w:val="single" w:color="auto"/>
          <w:color w:val="auto"/>
        </w:rPr>
        <w:t>Merger Agreement</w:t>
      </w:r>
      <w:r>
        <w:rPr>
          <w:rFonts w:ascii="Arial" w:cs="Arial" w:eastAsia="Arial" w:hAnsi="Arial"/>
          <w:sz w:val="15"/>
          <w:szCs w:val="15"/>
          <w:color w:val="auto"/>
        </w:rPr>
        <w:t>”), pursuant to which (and subject to the terms and conditions set forth therein) First Merger Sub will merge with and into the Target, with the Target surviving such merger as a wholly-owned subsidiary of Pubco (the “</w:t>
      </w:r>
      <w:r>
        <w:rPr>
          <w:rFonts w:ascii="Arial" w:cs="Arial" w:eastAsia="Arial" w:hAnsi="Arial"/>
          <w:sz w:val="15"/>
          <w:szCs w:val="15"/>
          <w:u w:val="single" w:color="auto"/>
          <w:color w:val="auto"/>
        </w:rPr>
        <w:t>First Merger</w:t>
      </w:r>
      <w:r>
        <w:rPr>
          <w:rFonts w:ascii="Arial" w:cs="Arial" w:eastAsia="Arial" w:hAnsi="Arial"/>
          <w:sz w:val="15"/>
          <w:szCs w:val="15"/>
          <w:color w:val="auto"/>
        </w:rPr>
        <w:t>”), and immediately following the First Merger, the surviving corporation will merge with and into Second Merger Sub, with Second Merger Sub continuing on as the surviving entity as a wholly-owned subsidiary of the Company (the merger transactions collectively referred to as the “</w:t>
      </w:r>
      <w:r>
        <w:rPr>
          <w:rFonts w:ascii="Arial" w:cs="Arial" w:eastAsia="Arial" w:hAnsi="Arial"/>
          <w:sz w:val="15"/>
          <w:szCs w:val="15"/>
          <w:u w:val="single" w:color="auto"/>
          <w:color w:val="auto"/>
        </w:rPr>
        <w:t>Merger</w:t>
      </w:r>
      <w:r>
        <w:rPr>
          <w:rFonts w:ascii="Arial" w:cs="Arial" w:eastAsia="Arial" w:hAnsi="Arial"/>
          <w:sz w:val="15"/>
          <w:szCs w:val="15"/>
          <w:color w:val="auto"/>
        </w:rPr>
        <w:t>”);</w:t>
      </w:r>
    </w:p>
    <w:p>
      <w:pPr>
        <w:spacing w:after="0" w:line="15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WHEREAS, in connection with the execution and delivery of the Merger Agreement, Pubco and the [***] Investors entered into subscription agreements, dated as of 10, 2021 (the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pursuant to which, and subject to the terms and conditions thereof, such [***] Investors have agreed to purchase the Subscribed Shares, the Subscribed Notes and the Subscribed Warrants, each as defined in the Subscription Agreements);</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parties to the Prior Agreement desire to amend and restate the Prior Agreement in its entirety on the terms and conditions included herein and to include the recipients of the other Registrable Securities identified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362585</wp:posOffset>
            </wp:positionV>
            <wp:extent cx="7148195"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70" w:name="page271"/>
    <w:bookmarkEnd w:id="270"/>
    <w:p>
      <w:pPr>
        <w:ind w:right="20" w:firstLine="574"/>
        <w:spacing w:after="0" w:line="275" w:lineRule="auto"/>
        <w:rPr>
          <w:sz w:val="20"/>
          <w:szCs w:val="20"/>
          <w:color w:val="auto"/>
        </w:rPr>
      </w:pPr>
      <w:r>
        <w:rPr>
          <w:rFonts w:ascii="Arial" w:cs="Arial" w:eastAsia="Arial" w:hAnsi="Arial"/>
          <w:sz w:val="16"/>
          <w:szCs w:val="16"/>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52" w:lineRule="exact"/>
        <w:rPr>
          <w:sz w:val="20"/>
          <w:szCs w:val="20"/>
          <w:color w:val="auto"/>
        </w:rPr>
      </w:pPr>
    </w:p>
    <w:p>
      <w:pPr>
        <w:ind w:left="720" w:hanging="151"/>
        <w:spacing w:after="0"/>
        <w:tabs>
          <w:tab w:leader="none" w:pos="720"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Resale Shelf Registration Rights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85" w:lineRule="auto"/>
        <w:tabs>
          <w:tab w:leader="none" w:pos="1364" w:val="left"/>
        </w:tabs>
        <w:numPr>
          <w:ilvl w:val="1"/>
          <w:numId w:val="271"/>
        </w:numPr>
        <w:rPr>
          <w:rFonts w:ascii="Arial" w:cs="Arial" w:eastAsia="Arial" w:hAnsi="Arial"/>
          <w:sz w:val="14"/>
          <w:szCs w:val="14"/>
          <w:color w:val="auto"/>
        </w:rPr>
      </w:pPr>
      <w:r>
        <w:rPr>
          <w:rFonts w:ascii="Arial" w:cs="Arial" w:eastAsia="Arial" w:hAnsi="Arial"/>
          <w:sz w:val="14"/>
          <w:szCs w:val="14"/>
          <w:u w:val="single" w:color="auto"/>
          <w:color w:val="auto"/>
        </w:rPr>
        <w:t>Registration Statement Covering Resale of Registrable Securities</w:t>
      </w:r>
      <w:r>
        <w:rPr>
          <w:rFonts w:ascii="Arial" w:cs="Arial" w:eastAsia="Arial" w:hAnsi="Arial"/>
          <w:sz w:val="14"/>
          <w:szCs w:val="14"/>
          <w:color w:val="auto"/>
        </w:rPr>
        <w:t>. Pubco shall use its reasonable best efforts to prepare and file or cause to be prepared and filed with the Commission, no later than thirty (30) days following the consummation of the Mergers (the “</w:t>
      </w:r>
      <w:r>
        <w:rPr>
          <w:rFonts w:ascii="Arial" w:cs="Arial" w:eastAsia="Arial" w:hAnsi="Arial"/>
          <w:sz w:val="14"/>
          <w:szCs w:val="14"/>
          <w:u w:val="single" w:color="auto"/>
          <w:color w:val="auto"/>
        </w:rPr>
        <w:t>Filing Deadline</w:t>
      </w:r>
      <w:r>
        <w:rPr>
          <w:rFonts w:ascii="Arial" w:cs="Arial" w:eastAsia="Arial" w:hAnsi="Arial"/>
          <w:sz w:val="14"/>
          <w:szCs w:val="14"/>
          <w:color w:val="auto"/>
        </w:rPr>
        <w:t>”), a Registration Statement for an offering to be made on a continuous basis pursuant to Rule 415 of the Securities Act registering the resale from time to time by the Investors of all of the Registrable Securities held by the Investors (the “</w:t>
      </w:r>
      <w:r>
        <w:rPr>
          <w:rFonts w:ascii="Arial" w:cs="Arial" w:eastAsia="Arial" w:hAnsi="Arial"/>
          <w:sz w:val="14"/>
          <w:szCs w:val="14"/>
          <w:u w:val="single" w:color="auto"/>
          <w:color w:val="auto"/>
        </w:rPr>
        <w:t>Resale Shelf Registration Statement</w:t>
      </w:r>
      <w:r>
        <w:rPr>
          <w:rFonts w:ascii="Arial" w:cs="Arial" w:eastAsia="Arial" w:hAnsi="Arial"/>
          <w:sz w:val="14"/>
          <w:szCs w:val="14"/>
          <w:color w:val="auto"/>
        </w:rPr>
        <w:t xml:space="preserve">”). The Resale Shelf Registration Statement shall be on Form S-1; </w:t>
      </w:r>
      <w:r>
        <w:rPr>
          <w:rFonts w:ascii="Arial" w:cs="Arial" w:eastAsia="Arial" w:hAnsi="Arial"/>
          <w:sz w:val="14"/>
          <w:szCs w:val="14"/>
          <w:u w:val="single" w:color="auto"/>
          <w:color w:val="auto"/>
        </w:rPr>
        <w:t>provided</w:t>
      </w:r>
      <w:r>
        <w:rPr>
          <w:rFonts w:ascii="Arial" w:cs="Arial" w:eastAsia="Arial" w:hAnsi="Arial"/>
          <w:sz w:val="14"/>
          <w:szCs w:val="14"/>
          <w:color w:val="auto"/>
        </w:rPr>
        <w:t>, that Pubco shall file, within thirty (30) days of such time as Form S-3 (“</w:t>
      </w:r>
      <w:r>
        <w:rPr>
          <w:rFonts w:ascii="Arial" w:cs="Arial" w:eastAsia="Arial" w:hAnsi="Arial"/>
          <w:sz w:val="14"/>
          <w:szCs w:val="14"/>
          <w:u w:val="single" w:color="auto"/>
          <w:color w:val="auto"/>
        </w:rPr>
        <w:t>Form S-3</w:t>
      </w:r>
      <w:r>
        <w:rPr>
          <w:rFonts w:ascii="Arial" w:cs="Arial" w:eastAsia="Arial" w:hAnsi="Arial"/>
          <w:sz w:val="14"/>
          <w:szCs w:val="14"/>
          <w:color w:val="auto"/>
        </w:rPr>
        <w:t>”) is available for the Resale Shelf Registration Statement, a post-effective amendment to the Resale Shelf Registration Statement then in effect, or otherwise file a Registration Statement on Form S-3, registering the Registrable Securities for resale in accordance with the immediately preceding sentence on Form S-3 (provided that Pubco shall maintain the effectiveness of the Registration Statement then in effect until such time as a Registration Statement (or post-effective amendment) on Form S-3 covering such Registrable Securities has been declared effective by the Commission). Pubco shall use reasonable best efforts to cause the Resale Shelf Registration Statement to be declared effective as soon as possible after filing, but in no event later than the earlier of (i) sixty (60) days following the Filing Deadline and (ii) three (3) Business Days after the Commission notifies Pubco that it will not review the Resale Shelf Registration Statement, if applicable (the “</w:t>
      </w:r>
      <w:r>
        <w:rPr>
          <w:rFonts w:ascii="Arial" w:cs="Arial" w:eastAsia="Arial" w:hAnsi="Arial"/>
          <w:sz w:val="14"/>
          <w:szCs w:val="14"/>
          <w:u w:val="single" w:color="auto"/>
          <w:color w:val="auto"/>
        </w:rPr>
        <w:t>Effectiveness Deadline</w:t>
      </w:r>
      <w:r>
        <w:rPr>
          <w:rFonts w:ascii="Arial" w:cs="Arial" w:eastAsia="Arial" w:hAnsi="Arial"/>
          <w:sz w:val="14"/>
          <w:szCs w:val="14"/>
          <w:color w:val="auto"/>
        </w:rPr>
        <w:t>”); provided, that, if the Registration Statement filed pursuant to this Section 1(a) is reviewed by, and Pubco receives comments from, the Commission with respect to such Registration Statement, the Effectiveness Deadline shall be extended to ninety (90) days following the Filing Deadline. Without limiting the foregoing, as soon as practicable, but in no event later than three (3) Business Days, following the resolution or clearance of all Commission comments or, if applicable, following notification by the Commission that any such Registration Statement or any amendment thereto will not be subject to review, Pubco shall file a request for acceleration of effectiveness of such Registration Statement (to the extent required, by declaration or ordering of effectiveness, of such Registration Statement or amendment by the Commission) to a time and date not later than two (2) Business days after the submission of such request. Once effective, Pubco shall use reasonable best efforts to keep the Resale Shelf Registration Statement continuously effective and to be supplemented and amended to the extent necessary to ensure that such Registration Statement is available or, if not available, to ensure that another Registration Statement is available, under the Securities Act at all times for the public resale of all of the Registrable Securities until such date as all Registrable Securities covered by the Resale Shelf Registration Statement have been disposed of in accordance with the intended method(s) of distribution set forth in such Registration Statement. The Resale Shelf Registration Statement shall contain a Prospectus in such form as to permit any Investor to sell such Registrable Securities pursuant to Rule 415 under the Securities Act (or any successor or similar provision adopted by the Commission then in effect) at any time beginning on the effective date for such Registration Statement, and</w:t>
      </w:r>
    </w:p>
    <w:p>
      <w:pPr>
        <w:spacing w:after="0" w:line="13"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Pubco shall file with the Commission the final form of such Prospectus pursuant to Rule 424 (or successor thereto) under the Securities Act no later than the first (1</w:t>
      </w:r>
      <w:r>
        <w:rPr>
          <w:rFonts w:ascii="Arial" w:cs="Arial" w:eastAsia="Arial" w:hAnsi="Arial"/>
          <w:sz w:val="26"/>
          <w:szCs w:val="26"/>
          <w:color w:val="auto"/>
          <w:vertAlign w:val="superscript"/>
        </w:rPr>
        <w:t>st</w:t>
      </w:r>
      <w:r>
        <w:rPr>
          <w:rFonts w:ascii="Arial" w:cs="Arial" w:eastAsia="Arial" w:hAnsi="Arial"/>
          <w:sz w:val="16"/>
          <w:szCs w:val="16"/>
          <w:color w:val="auto"/>
        </w:rPr>
        <w:t>) Business Day after the Resale Shelf Registration Statement becomes effective. The Resale Shelf Registration Statement shall provide that the Registrable Securities may be sold pursuant to any method or combination of methods legally available to, and requested by, the Investors. Without limiting the foregoing, subject to any comments from the Commission, each Registration Statement filed pursuant to this Section 1 shall include a “plan of distribution” approved by the Majority Presto Investors, the Majority [***] Investors and the Sponsors.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1" w:name="page272"/>
    <w:bookmarkEnd w:id="271"/>
    <w:p>
      <w:pPr>
        <w:jc w:val="both"/>
        <w:ind w:firstLine="1143"/>
        <w:spacing w:after="0" w:line="288" w:lineRule="auto"/>
        <w:tabs>
          <w:tab w:leader="none" w:pos="1377" w:val="left"/>
        </w:tabs>
        <w:numPr>
          <w:ilvl w:val="0"/>
          <w:numId w:val="272"/>
        </w:numPr>
        <w:rPr>
          <w:rFonts w:ascii="Arial" w:cs="Arial" w:eastAsia="Arial" w:hAnsi="Arial"/>
          <w:sz w:val="14"/>
          <w:szCs w:val="14"/>
          <w:color w:val="auto"/>
        </w:rPr>
      </w:pPr>
      <w:r>
        <w:rPr>
          <w:rFonts w:ascii="Arial" w:cs="Arial" w:eastAsia="Arial" w:hAnsi="Arial"/>
          <w:sz w:val="14"/>
          <w:szCs w:val="14"/>
          <w:color w:val="auto"/>
        </w:rPr>
        <w:t xml:space="preserve">Notwithstanding the registration obligations set forth in this </w:t>
      </w:r>
      <w:r>
        <w:rPr>
          <w:rFonts w:ascii="Arial" w:cs="Arial" w:eastAsia="Arial" w:hAnsi="Arial"/>
          <w:sz w:val="14"/>
          <w:szCs w:val="14"/>
          <w:u w:val="single" w:color="auto"/>
          <w:color w:val="auto"/>
        </w:rPr>
        <w:t>Section 1</w:t>
      </w:r>
      <w:r>
        <w:rPr>
          <w:rFonts w:ascii="Arial" w:cs="Arial" w:eastAsia="Arial" w:hAnsi="Arial"/>
          <w:sz w:val="14"/>
          <w:szCs w:val="14"/>
          <w:color w:val="auto"/>
        </w:rPr>
        <w:t>, in the event that, despite Pubco’s efforts to include all of the Registrable Securities in any Registration Statement filed pursuant to Section 1(a), the Commission informs Pubco (the “</w:t>
      </w:r>
      <w:r>
        <w:rPr>
          <w:rFonts w:ascii="Arial" w:cs="Arial" w:eastAsia="Arial" w:hAnsi="Arial"/>
          <w:sz w:val="14"/>
          <w:szCs w:val="14"/>
          <w:u w:val="single" w:color="auto"/>
          <w:color w:val="auto"/>
        </w:rPr>
        <w:t>Commission’s Notice</w:t>
      </w:r>
      <w:r>
        <w:rPr>
          <w:rFonts w:ascii="Arial" w:cs="Arial" w:eastAsia="Arial" w:hAnsi="Arial"/>
          <w:sz w:val="14"/>
          <w:szCs w:val="14"/>
          <w:color w:val="auto"/>
        </w:rPr>
        <w:t>”) that all of the Registrable Securities cannot, as a result of the application of Rule 415 or otherwise, be registered for resale as a secondary offering on a single Registration Statement, Pubco agrees to promptly (i) inform each of the holders thereof and use its reasonable best efforts to file amendments to the Resale Shelf Registration Statement as required by the Commission and (ii) as soon as practicable but in no event later than the New Registration Statement Filing Deadline, file an additional Registration Statement (a “</w:t>
      </w:r>
      <w:r>
        <w:rPr>
          <w:rFonts w:ascii="Arial" w:cs="Arial" w:eastAsia="Arial" w:hAnsi="Arial"/>
          <w:sz w:val="14"/>
          <w:szCs w:val="14"/>
          <w:u w:val="single" w:color="auto"/>
          <w:color w:val="auto"/>
        </w:rPr>
        <w:t>New Registration Statement</w:t>
      </w:r>
      <w:r>
        <w:rPr>
          <w:rFonts w:ascii="Arial" w:cs="Arial" w:eastAsia="Arial" w:hAnsi="Arial"/>
          <w:sz w:val="14"/>
          <w:szCs w:val="14"/>
          <w:color w:val="auto"/>
        </w:rPr>
        <w:t>”), on Form S-3, or if Form S-3 is not then available to Pubco for such Registration Statement, on such other form available to register for resale the Registrable Securities as a secondary offering; provided, however, that prior to filing such amendment or New Registration Statement, Pubco shall be obligated to use its reasonable best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4"/>
          <w:szCs w:val="14"/>
          <w:u w:val="single" w:color="auto"/>
          <w:color w:val="auto"/>
        </w:rPr>
        <w:t>SEC Guidance</w:t>
      </w:r>
      <w:r>
        <w:rPr>
          <w:rFonts w:ascii="Arial" w:cs="Arial" w:eastAsia="Arial" w:hAnsi="Arial"/>
          <w:sz w:val="14"/>
          <w:szCs w:val="14"/>
          <w:color w:val="auto"/>
        </w:rPr>
        <w:t>”), including without limitation, the Manual of Publicly Available Telephone Interpretations D.29. The Investors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Investor’s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or otherwise required by the SEC, the number of Registrable Securities to be registered on such Registration Statement will be reduced on a pro rata basis based on the total number of Registrable Securities held by the Investors. In the event Pubco amends the Resale Shelf Registration Statement or files a New Registration Statement, as the case may be, under clauses (i) or (ii) above, Pubco will use its reasonable best efforts to file with the Commission, as promptly as allowed by Commission or SEC Guidance provided to Pubco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 If Pubco shall not be able to register for resale all of the Registrable Securities on the Resale Shelf Registration Statement within three (3) months following the date of Pubco’s receipt of the Commission’s Notice, then, until such Resale Shelf Registration Statement is effective, each of the Majority Presto Investors, the Majority [***] Investors and the Sponsors shall be entitled to demand registration rights pursuant to Section 2 below (the “</w:t>
      </w:r>
      <w:r>
        <w:rPr>
          <w:rFonts w:ascii="Arial" w:cs="Arial" w:eastAsia="Arial" w:hAnsi="Arial"/>
          <w:sz w:val="14"/>
          <w:szCs w:val="14"/>
          <w:u w:val="single" w:color="auto"/>
          <w:color w:val="auto"/>
        </w:rPr>
        <w:t>Shelf Demand Right</w:t>
      </w:r>
      <w:r>
        <w:rPr>
          <w:rFonts w:ascii="Arial" w:cs="Arial" w:eastAsia="Arial" w:hAnsi="Arial"/>
          <w:sz w:val="14"/>
          <w:szCs w:val="14"/>
          <w:color w:val="auto"/>
        </w:rPr>
        <w:t>”).</w:t>
      </w:r>
    </w:p>
    <w:p>
      <w:pPr>
        <w:spacing w:after="0" w:line="149" w:lineRule="exact"/>
        <w:rPr>
          <w:rFonts w:ascii="Arial" w:cs="Arial" w:eastAsia="Arial" w:hAnsi="Arial"/>
          <w:sz w:val="14"/>
          <w:szCs w:val="14"/>
          <w:color w:val="auto"/>
        </w:rPr>
      </w:pPr>
    </w:p>
    <w:p>
      <w:pPr>
        <w:ind w:left="1360" w:hanging="217"/>
        <w:spacing w:after="0"/>
        <w:tabs>
          <w:tab w:leader="none" w:pos="13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Registrations effected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 shall not be counted as Demand Registrations effected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94" w:lineRule="auto"/>
        <w:tabs>
          <w:tab w:leader="none" w:pos="1376" w:val="left"/>
        </w:tabs>
        <w:numPr>
          <w:ilvl w:val="0"/>
          <w:numId w:val="272"/>
        </w:numPr>
        <w:rPr>
          <w:rFonts w:ascii="Arial" w:cs="Arial" w:eastAsia="Arial" w:hAnsi="Arial"/>
          <w:sz w:val="14"/>
          <w:szCs w:val="14"/>
          <w:color w:val="auto"/>
        </w:rPr>
      </w:pPr>
      <w:r>
        <w:rPr>
          <w:rFonts w:ascii="Arial" w:cs="Arial" w:eastAsia="Arial" w:hAnsi="Arial"/>
          <w:sz w:val="14"/>
          <w:szCs w:val="14"/>
          <w:color w:val="auto"/>
        </w:rPr>
        <w:t>No Investor shall be named as an “underwriter” in any Registration Statement filed pursuant to this Section 1 without the Investor’s prior written consent; provided that if the Commission requests that an Investor be identified as a statutory underwriter in the Registration Statement, then such Investor will have the option, in its sole and absolute discretion, to either (i) have the opportunity to withdraw from the Registration Statement upon its prompt written request to Pubco, in which case Pubco’s obligation to register such Investor’s Registrable Securities shall be deemed satisfied or (ii) be included as such in the Registration Statement. Each Registration Statement (and each amendment or supplement thereto, and each request for acceleration of effectiveness thereof) shall be provided to (and shall be subject to the approval, which shall not be unreasonably withheld or delayed, of) the Majority Presto Investors, the Majority [***] Investors and the Sponsors prior to its filing with, or other submission to, the Commission; provided that, Pubco shall not be deemed to be in breach of any Effectiveness Deadline or other deadline set forth in this Agreement if the failure of Pubco to meet such deadline is the result of an Investor’s failure to approve such Registration Statement or amendment or supplement thereto or request for acceleration thereof.</w:t>
      </w:r>
    </w:p>
    <w:p>
      <w:pPr>
        <w:spacing w:after="0" w:line="143" w:lineRule="exact"/>
        <w:rPr>
          <w:rFonts w:ascii="Arial" w:cs="Arial" w:eastAsia="Arial" w:hAnsi="Arial"/>
          <w:sz w:val="14"/>
          <w:szCs w:val="14"/>
          <w:color w:val="auto"/>
        </w:rPr>
      </w:pPr>
    </w:p>
    <w:p>
      <w:pPr>
        <w:jc w:val="both"/>
        <w:ind w:firstLine="1143"/>
        <w:spacing w:after="0" w:line="270" w:lineRule="auto"/>
        <w:tabs>
          <w:tab w:leader="none" w:pos="1395" w:val="left"/>
        </w:tabs>
        <w:numPr>
          <w:ilvl w:val="0"/>
          <w:numId w:val="272"/>
        </w:numPr>
        <w:rPr>
          <w:rFonts w:ascii="Arial" w:cs="Arial" w:eastAsia="Arial" w:hAnsi="Arial"/>
          <w:sz w:val="15"/>
          <w:szCs w:val="15"/>
          <w:color w:val="auto"/>
        </w:rPr>
      </w:pPr>
      <w:r>
        <w:rPr>
          <w:rFonts w:ascii="Arial" w:cs="Arial" w:eastAsia="Arial" w:hAnsi="Arial"/>
          <w:sz w:val="15"/>
          <w:szCs w:val="15"/>
          <w:color w:val="auto"/>
        </w:rPr>
        <w:t>In the event that on any Trading Day (as defined below) (the “</w:t>
      </w:r>
      <w:r>
        <w:rPr>
          <w:rFonts w:ascii="Arial" w:cs="Arial" w:eastAsia="Arial" w:hAnsi="Arial"/>
          <w:sz w:val="15"/>
          <w:szCs w:val="15"/>
          <w:u w:val="single" w:color="auto"/>
          <w:color w:val="auto"/>
        </w:rPr>
        <w:t>Registration Trigger Date</w:t>
      </w:r>
      <w:r>
        <w:rPr>
          <w:rFonts w:ascii="Arial" w:cs="Arial" w:eastAsia="Arial" w:hAnsi="Arial"/>
          <w:sz w:val="15"/>
          <w:szCs w:val="15"/>
          <w:color w:val="auto"/>
        </w:rPr>
        <w:t>”) the number of shares available under the Registration Statements filed pursuant to this Section 1 is insufficient to cover all of the Registrable Securities (without giving effect to any limitations on the exercise or conversion of any securities exercisable for, or convertible into, Registrable Securities and, in the case of Registrable Securities issuable upon the exercise of warrants, assuming the exercise of such warrants for cash), Pubco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Pubco shall use its reasonable best efforts to cause such amendment and/or new Registration Statement to become effective as soon as practicable following the filing thereof, but in any event Pubco shall cause such amendment and/or new Registration Statement to become effective within sixty (60) days of the Registration Trigger Date (or ninety (90) days if the applicable Registration Statement or amendment is reviewed by, and comments are thereto provided from, the Commission) or as promptly as practicable in the event Pubco is required to increase its authorized shares. “</w:t>
      </w:r>
      <w:r>
        <w:rPr>
          <w:rFonts w:ascii="Arial" w:cs="Arial" w:eastAsia="Arial" w:hAnsi="Arial"/>
          <w:sz w:val="15"/>
          <w:szCs w:val="15"/>
          <w:u w:val="single" w:color="auto"/>
          <w:color w:val="auto"/>
        </w:rPr>
        <w:t>Trading Day</w:t>
      </w:r>
      <w:r>
        <w:rPr>
          <w:rFonts w:ascii="Arial" w:cs="Arial" w:eastAsia="Arial" w:hAnsi="Arial"/>
          <w:sz w:val="15"/>
          <w:szCs w:val="15"/>
          <w:color w:val="auto"/>
        </w:rPr>
        <w:t>” shall mean any day on which the Common Stock is traded for any period on the principal securities exchange or other securities market on which the Common Stock is then being traded.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2" w:name="page273"/>
    <w:bookmarkEnd w:id="272"/>
    <w:p>
      <w:pPr>
        <w:ind w:left="720" w:hanging="151"/>
        <w:spacing w:after="0"/>
        <w:tabs>
          <w:tab w:leader="none" w:pos="720"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Demand Registrations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89" w:lineRule="auto"/>
        <w:tabs>
          <w:tab w:leader="none" w:pos="1376" w:val="left"/>
        </w:tabs>
        <w:numPr>
          <w:ilvl w:val="1"/>
          <w:numId w:val="273"/>
        </w:numPr>
        <w:rPr>
          <w:rFonts w:ascii="Arial" w:cs="Arial" w:eastAsia="Arial" w:hAnsi="Arial"/>
          <w:sz w:val="14"/>
          <w:szCs w:val="14"/>
          <w:color w:val="auto"/>
        </w:rPr>
      </w:pPr>
      <w:r>
        <w:rPr>
          <w:rFonts w:ascii="Arial" w:cs="Arial" w:eastAsia="Arial" w:hAnsi="Arial"/>
          <w:sz w:val="14"/>
          <w:szCs w:val="14"/>
          <w:u w:val="single" w:color="auto"/>
          <w:color w:val="auto"/>
        </w:rPr>
        <w:t>Requests for Registration</w:t>
      </w:r>
      <w:r>
        <w:rPr>
          <w:rFonts w:ascii="Arial" w:cs="Arial" w:eastAsia="Arial" w:hAnsi="Arial"/>
          <w:sz w:val="14"/>
          <w:szCs w:val="14"/>
          <w:color w:val="auto"/>
        </w:rPr>
        <w:t>. Subject to the terms and conditions of this Agreement and, as applicable, the lock-up provisions contained in Section 5.3 of Pubco’s Amended and Restated Bylaws (the “</w:t>
      </w:r>
      <w:r>
        <w:rPr>
          <w:rFonts w:ascii="Arial" w:cs="Arial" w:eastAsia="Arial" w:hAnsi="Arial"/>
          <w:sz w:val="14"/>
          <w:szCs w:val="14"/>
          <w:u w:val="single" w:color="auto"/>
          <w:color w:val="auto"/>
        </w:rPr>
        <w:t>Bylaws</w:t>
      </w:r>
      <w:r>
        <w:rPr>
          <w:rFonts w:ascii="Arial" w:cs="Arial" w:eastAsia="Arial" w:hAnsi="Arial"/>
          <w:sz w:val="14"/>
          <w:szCs w:val="14"/>
          <w:color w:val="auto"/>
        </w:rPr>
        <w:t>”) and the Support Agreements (as defined in the Merger Agreement) at any time or from time to time, provided that Pubco does not then have an effective Registration Statement outstanding covering all of the Registrable Securities, the holders of Registrable Securities may request registration under the Securities Act of all or any portion of their Registrable Securities on Form S-1 or any similar long-form registration statement (“</w:t>
      </w:r>
      <w:r>
        <w:rPr>
          <w:rFonts w:ascii="Arial" w:cs="Arial" w:eastAsia="Arial" w:hAnsi="Arial"/>
          <w:sz w:val="14"/>
          <w:szCs w:val="14"/>
          <w:u w:val="single" w:color="auto"/>
          <w:color w:val="auto"/>
        </w:rPr>
        <w:t>Long-Form</w:t>
      </w:r>
      <w:r>
        <w:rPr>
          <w:rFonts w:ascii="Arial" w:cs="Arial" w:eastAsia="Arial" w:hAnsi="Arial"/>
          <w:sz w:val="14"/>
          <w:szCs w:val="14"/>
          <w:color w:val="auto"/>
        </w:rPr>
        <w:t xml:space="preserve"> </w:t>
      </w:r>
      <w:r>
        <w:rPr>
          <w:rFonts w:ascii="Arial" w:cs="Arial" w:eastAsia="Arial" w:hAnsi="Arial"/>
          <w:sz w:val="14"/>
          <w:szCs w:val="14"/>
          <w:u w:val="single" w:color="auto"/>
          <w:color w:val="auto"/>
        </w:rPr>
        <w:t>Registrations</w:t>
      </w:r>
      <w:r>
        <w:rPr>
          <w:rFonts w:ascii="Arial" w:cs="Arial" w:eastAsia="Arial" w:hAnsi="Arial"/>
          <w:sz w:val="14"/>
          <w:szCs w:val="14"/>
          <w:color w:val="auto"/>
        </w:rPr>
        <w:t>”) or, if available, on Form S-3 (including a shelf registration pursuant to Rule 415 under the Securities Act) or any similar short-form registration statement, including an automatic shelf registration statement (as defined in Rule 405) (an “</w:t>
      </w:r>
      <w:r>
        <w:rPr>
          <w:rFonts w:ascii="Arial" w:cs="Arial" w:eastAsia="Arial" w:hAnsi="Arial"/>
          <w:sz w:val="14"/>
          <w:szCs w:val="14"/>
          <w:u w:val="single" w:color="auto"/>
          <w:color w:val="auto"/>
        </w:rPr>
        <w:t>Automatic Shelf Registration Statement</w:t>
      </w:r>
      <w:r>
        <w:rPr>
          <w:rFonts w:ascii="Arial" w:cs="Arial" w:eastAsia="Arial" w:hAnsi="Arial"/>
          <w:sz w:val="14"/>
          <w:szCs w:val="14"/>
          <w:color w:val="auto"/>
        </w:rPr>
        <w:t>”), if available to Pubco (“</w:t>
      </w:r>
      <w:r>
        <w:rPr>
          <w:rFonts w:ascii="Arial" w:cs="Arial" w:eastAsia="Arial" w:hAnsi="Arial"/>
          <w:sz w:val="14"/>
          <w:szCs w:val="14"/>
          <w:u w:val="single" w:color="auto"/>
          <w:color w:val="auto"/>
        </w:rPr>
        <w:t>Short-Form Registrations</w:t>
      </w:r>
      <w:r>
        <w:rPr>
          <w:rFonts w:ascii="Arial" w:cs="Arial" w:eastAsia="Arial" w:hAnsi="Arial"/>
          <w:sz w:val="14"/>
          <w:szCs w:val="14"/>
          <w:color w:val="auto"/>
        </w:rPr>
        <w:t xml:space="preserve">”), in accordance with </w:t>
      </w:r>
      <w:r>
        <w:rPr>
          <w:rFonts w:ascii="Arial" w:cs="Arial" w:eastAsia="Arial" w:hAnsi="Arial"/>
          <w:sz w:val="14"/>
          <w:szCs w:val="14"/>
          <w:u w:val="single" w:color="auto"/>
          <w:color w:val="auto"/>
        </w:rPr>
        <w:t>Section 2(b)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2(c)</w:t>
      </w:r>
      <w:r>
        <w:rPr>
          <w:rFonts w:ascii="Arial" w:cs="Arial" w:eastAsia="Arial" w:hAnsi="Arial"/>
          <w:sz w:val="14"/>
          <w:szCs w:val="14"/>
          <w:color w:val="auto"/>
        </w:rPr>
        <w:t xml:space="preserve"> below (such holders being referred to herein as the “</w:t>
      </w:r>
      <w:r>
        <w:rPr>
          <w:rFonts w:ascii="Arial" w:cs="Arial" w:eastAsia="Arial" w:hAnsi="Arial"/>
          <w:sz w:val="14"/>
          <w:szCs w:val="14"/>
          <w:u w:val="single" w:color="auto"/>
          <w:color w:val="auto"/>
        </w:rPr>
        <w:t>Initiating Investors</w:t>
      </w:r>
      <w:r>
        <w:rPr>
          <w:rFonts w:ascii="Arial" w:cs="Arial" w:eastAsia="Arial" w:hAnsi="Arial"/>
          <w:sz w:val="14"/>
          <w:szCs w:val="14"/>
          <w:color w:val="auto"/>
        </w:rPr>
        <w:t>” and all registrations requested by the Initiating Investors being referred to herein as “</w:t>
      </w:r>
      <w:r>
        <w:rPr>
          <w:rFonts w:ascii="Arial" w:cs="Arial" w:eastAsia="Arial" w:hAnsi="Arial"/>
          <w:sz w:val="14"/>
          <w:szCs w:val="14"/>
          <w:u w:val="single" w:color="auto"/>
          <w:color w:val="auto"/>
        </w:rPr>
        <w:t>Demand Registrations</w:t>
      </w:r>
      <w:r>
        <w:rPr>
          <w:rFonts w:ascii="Arial" w:cs="Arial" w:eastAsia="Arial" w:hAnsi="Arial"/>
          <w:sz w:val="14"/>
          <w:szCs w:val="14"/>
          <w:color w:val="auto"/>
        </w:rPr>
        <w:t>”). Each request for a Demand Registration shall specify the approximate number of Registrable Securities requested to be registered and the intended method of distribution. Subject to Sections 10(a) and 10(b) (collectively, the “</w:t>
      </w:r>
      <w:r>
        <w:rPr>
          <w:rFonts w:ascii="Arial" w:cs="Arial" w:eastAsia="Arial" w:hAnsi="Arial"/>
          <w:sz w:val="14"/>
          <w:szCs w:val="14"/>
          <w:u w:val="single" w:color="auto"/>
          <w:color w:val="auto"/>
        </w:rPr>
        <w:t>MNPI Provisions</w:t>
      </w:r>
      <w:r>
        <w:rPr>
          <w:rFonts w:ascii="Arial" w:cs="Arial" w:eastAsia="Arial" w:hAnsi="Arial"/>
          <w:sz w:val="14"/>
          <w:szCs w:val="14"/>
          <w:color w:val="auto"/>
        </w:rPr>
        <w:t>”), within five (5) Business Days after receipt of any such request, Pubco shall give written notice of such requested registration to all other holders of Registrable Securities and, subject to the terms and conditions set forth herein, shall include in such registration (and in all related registrations and qualifications under state blue sky laws or in compliance with other registration requirements and in any related underwriting) all such Registrable Securities with respect to which Pubco has received written requests for inclusion therein within five (5) Business Days after the receipt of Pubco’s notice. Each holder of Registrable Securities agrees that such holder shall treat as confidential the receipt of the notice of Demand Registration and shall not disclose or use the information contained in such notice of Demand Registration without the prior written consent of Pubco until such time as the information contained therein is or becomes available to the public generally, other than as a result of disclosure by the holder in breach of the terms of this Agreement.</w:t>
      </w:r>
    </w:p>
    <w:p>
      <w:pPr>
        <w:spacing w:after="0" w:line="151" w:lineRule="exact"/>
        <w:rPr>
          <w:rFonts w:ascii="Arial" w:cs="Arial" w:eastAsia="Arial" w:hAnsi="Arial"/>
          <w:sz w:val="14"/>
          <w:szCs w:val="14"/>
          <w:color w:val="auto"/>
        </w:rPr>
      </w:pPr>
    </w:p>
    <w:p>
      <w:pPr>
        <w:jc w:val="both"/>
        <w:ind w:firstLine="1143"/>
        <w:spacing w:after="0" w:line="270" w:lineRule="auto"/>
        <w:tabs>
          <w:tab w:leader="none" w:pos="1385" w:val="left"/>
        </w:tabs>
        <w:numPr>
          <w:ilvl w:val="1"/>
          <w:numId w:val="273"/>
        </w:numPr>
        <w:rPr>
          <w:rFonts w:ascii="Arial" w:cs="Arial" w:eastAsia="Arial" w:hAnsi="Arial"/>
          <w:sz w:val="15"/>
          <w:szCs w:val="15"/>
          <w:color w:val="auto"/>
        </w:rPr>
      </w:pPr>
      <w:r>
        <w:rPr>
          <w:rFonts w:ascii="Arial" w:cs="Arial" w:eastAsia="Arial" w:hAnsi="Arial"/>
          <w:sz w:val="15"/>
          <w:szCs w:val="15"/>
          <w:u w:val="single" w:color="auto"/>
          <w:color w:val="auto"/>
        </w:rPr>
        <w:t>Long-Form Registrations</w:t>
      </w:r>
      <w:r>
        <w:rPr>
          <w:rFonts w:ascii="Arial" w:cs="Arial" w:eastAsia="Arial" w:hAnsi="Arial"/>
          <w:sz w:val="15"/>
          <w:szCs w:val="15"/>
          <w:color w:val="auto"/>
        </w:rPr>
        <w:t>. (i) The Majority Presto Investors, on behalf of any and all Presto Investors, may request two (2) Long-Form Registration in which Pubco shall pay all Registration Expenses whether or not any such Long-Form Registration has become effective, (ii) the Majority [***] Investors, on behalf of any and all [***] Investors, may request two (2) Long-Form Registration in which Pubco shall pay all Registration Expenses whether or not any such Long-Form Registration has become effective, and (iii) the Sponsors may request two (2) Long-Form Registration in which Pubco shall pay all Registration Expenses whether or not any such Long-Form Registration has become effective; in each case, provided thatif Pubco has already effected a Demand Registration (which became effective) in the preceding 45-day period; provided, further, that Pubco shall only be obligated to effect, or take any action to effect, two (2) Long-Form Registrations for each of the Majority Presto Investors, the Majority [***] Investors and the Sponsors. A registration shall not count as one of the permitted Long-Form Registrations until it has become effective and unless the holders of Registrable Securities are able to register and sell at least 90% of the Registrable Securities requested to be included in such registration; provided that in any event Pubco shall pay all Registration Expenses in connection with any registration initiated as a Long-Form Registration whether or not it has become effective and whether or not such registration has counted as one of the permitted Long-Form Registrations hereunder.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3" w:name="page274"/>
    <w:bookmarkEnd w:id="273"/>
    <w:p>
      <w:pPr>
        <w:jc w:val="both"/>
        <w:ind w:firstLine="1143"/>
        <w:spacing w:after="0" w:line="268" w:lineRule="auto"/>
        <w:tabs>
          <w:tab w:leader="none" w:pos="1364" w:val="left"/>
        </w:tabs>
        <w:numPr>
          <w:ilvl w:val="0"/>
          <w:numId w:val="274"/>
        </w:numPr>
        <w:rPr>
          <w:rFonts w:ascii="Arial" w:cs="Arial" w:eastAsia="Arial" w:hAnsi="Arial"/>
          <w:sz w:val="15"/>
          <w:szCs w:val="15"/>
          <w:color w:val="auto"/>
        </w:rPr>
      </w:pPr>
      <w:r>
        <w:rPr>
          <w:rFonts w:ascii="Arial" w:cs="Arial" w:eastAsia="Arial" w:hAnsi="Arial"/>
          <w:sz w:val="15"/>
          <w:szCs w:val="15"/>
          <w:u w:val="single" w:color="auto"/>
          <w:color w:val="auto"/>
        </w:rPr>
        <w:t>Short-Form Registrations</w:t>
      </w:r>
      <w:r>
        <w:rPr>
          <w:rFonts w:ascii="Arial" w:cs="Arial" w:eastAsia="Arial" w:hAnsi="Arial"/>
          <w:sz w:val="15"/>
          <w:szCs w:val="15"/>
          <w:color w:val="auto"/>
        </w:rPr>
        <w:t xml:space="preserve">. In addition to the Long-Form Registration provided pursuant to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each of (i) the Majority Presto Investors, on behalf of any and all Presto Investors, (ii) the Majority [***] Investors, on behalf of any and all [***] Investors, and (iii) the Sponsors, shall be entitled to request Short-Form Registrations in which Pubco shall pay all Registration Expenses whether or not any such Short-Form Registration has become effective; provided, however, that Pubco shall not be obligated to effect any such Short-Form Registration: (x) if Pubco has already effected three (3) Short-Form Registrations (which became effective) for the holders of Registrable Securities requesting a Short-Form Registration pursuant to this </w:t>
      </w:r>
      <w:r>
        <w:rPr>
          <w:rFonts w:ascii="Arial" w:cs="Arial" w:eastAsia="Arial" w:hAnsi="Arial"/>
          <w:sz w:val="15"/>
          <w:szCs w:val="15"/>
          <w:u w:val="single" w:color="auto"/>
          <w:color w:val="auto"/>
        </w:rPr>
        <w:t>Section 2(c)</w:t>
      </w:r>
      <w:r>
        <w:rPr>
          <w:rFonts w:ascii="Arial" w:cs="Arial" w:eastAsia="Arial" w:hAnsi="Arial"/>
          <w:sz w:val="15"/>
          <w:szCs w:val="15"/>
          <w:color w:val="auto"/>
        </w:rPr>
        <w:t>, or (y) if Pubco has already effected a Demand Registration (which became effective) in the preceding 90-day period. Demand Registrations shall be Short-Form Registrations whenever Pubco is permitted to use any applicable short form registration and if the managing underwriters (if any) agree to the use of a Short-Form Registration. For so long as Pubco is subject to the reporting requirements of the Exchange Act, Pubco shall use its reasonable best efforts to make Short-Form Registrations available for the offer and sale of Registrable Securities. If Pubco is qualified to and, pursuant to the request of the holders of a majority of the Registrable Securities, has filed with the Commission a Registration Statement under the Securities Act on Form S-3 pursuant to Rule 415 (a “</w:t>
      </w:r>
      <w:r>
        <w:rPr>
          <w:rFonts w:ascii="Arial" w:cs="Arial" w:eastAsia="Arial" w:hAnsi="Arial"/>
          <w:sz w:val="15"/>
          <w:szCs w:val="15"/>
          <w:u w:val="single" w:color="auto"/>
          <w:color w:val="auto"/>
        </w:rPr>
        <w:t>Shelf Registration</w:t>
      </w:r>
      <w:r>
        <w:rPr>
          <w:rFonts w:ascii="Arial" w:cs="Arial" w:eastAsia="Arial" w:hAnsi="Arial"/>
          <w:sz w:val="15"/>
          <w:szCs w:val="15"/>
          <w:color w:val="auto"/>
        </w:rPr>
        <w:t>”), then Pubco shall use its reasonable best efforts to cause the Shelf Registration to be declared effective under the Securities Act as soon as practicable after filing, and, if Pubco is a WKSI at the time of any such request, to cause such Shelf Registration to be an Automatic Shelf Registration Statement, and once effective, Pubco shall cause such Shelf Registration to remain effective (including by filing a new Shelf Registration, if necessary) for a period ending on the earlier of (i) the date on which all Registrable Securities included in such registration have been sold or distributed pursuant to the Shelf Registration or (ii) the date as of which all of the Registrable Securities included in such registration are able to be sold within a 45-day period in compliance with Rule 144 under the Securities Act (without any restrictions as to volume or the manner of sale or otherwise and without the requirement for Pubco to be in compliance with the current public information required under Rule 144(c)(i) or Rule 144(i)(2) and, in the case of Registrable Securities issuable upon the exercise of warrants, assuming the exercise of such warrants for cash). If for any reason Pubco ceases to be a WKSI or becomes ineligible to utilize Form S-3, Pubco shall prepare and file with the Commission a Registration Statement or Registration Statements on such form that is available for the sale of Registrable Securities.</w:t>
      </w:r>
    </w:p>
    <w:p>
      <w:pPr>
        <w:spacing w:after="0" w:line="165" w:lineRule="exact"/>
        <w:rPr>
          <w:rFonts w:ascii="Arial" w:cs="Arial" w:eastAsia="Arial" w:hAnsi="Arial"/>
          <w:sz w:val="15"/>
          <w:szCs w:val="15"/>
          <w:color w:val="auto"/>
        </w:rPr>
      </w:pPr>
    </w:p>
    <w:p>
      <w:pPr>
        <w:jc w:val="both"/>
        <w:ind w:firstLine="1143"/>
        <w:spacing w:after="0" w:line="288" w:lineRule="auto"/>
        <w:tabs>
          <w:tab w:leader="none" w:pos="1373" w:val="left"/>
        </w:tabs>
        <w:numPr>
          <w:ilvl w:val="0"/>
          <w:numId w:val="274"/>
        </w:numPr>
        <w:rPr>
          <w:rFonts w:ascii="Arial" w:cs="Arial" w:eastAsia="Arial" w:hAnsi="Arial"/>
          <w:sz w:val="14"/>
          <w:szCs w:val="14"/>
          <w:color w:val="auto"/>
        </w:rPr>
      </w:pPr>
      <w:r>
        <w:rPr>
          <w:rFonts w:ascii="Arial" w:cs="Arial" w:eastAsia="Arial" w:hAnsi="Arial"/>
          <w:sz w:val="14"/>
          <w:szCs w:val="14"/>
          <w:u w:val="single" w:color="auto"/>
          <w:color w:val="auto"/>
        </w:rPr>
        <w:t>Shelf Takedowns</w:t>
      </w:r>
      <w:r>
        <w:rPr>
          <w:rFonts w:ascii="Arial" w:cs="Arial" w:eastAsia="Arial" w:hAnsi="Arial"/>
          <w:sz w:val="14"/>
          <w:szCs w:val="14"/>
          <w:color w:val="auto"/>
        </w:rPr>
        <w:t>. At any time when the Resale Shelf Registration Statement or a Shelf Registration for the sale or distribution by holders of Registrable Securities on a delayed or continuous basis pursuant to Rule 415, including by way of an underwritten offering, block sale or other distribution plan (each, a “</w:t>
      </w:r>
      <w:r>
        <w:rPr>
          <w:rFonts w:ascii="Arial" w:cs="Arial" w:eastAsia="Arial" w:hAnsi="Arial"/>
          <w:sz w:val="14"/>
          <w:szCs w:val="14"/>
          <w:u w:val="single" w:color="auto"/>
          <w:color w:val="auto"/>
        </w:rPr>
        <w:t>Resale Shelf</w:t>
      </w:r>
      <w:r>
        <w:rPr>
          <w:rFonts w:ascii="Arial" w:cs="Arial" w:eastAsia="Arial" w:hAnsi="Arial"/>
          <w:sz w:val="14"/>
          <w:szCs w:val="14"/>
          <w:color w:val="auto"/>
        </w:rPr>
        <w:t xml:space="preserve"> </w:t>
      </w:r>
      <w:r>
        <w:rPr>
          <w:rFonts w:ascii="Arial" w:cs="Arial" w:eastAsia="Arial" w:hAnsi="Arial"/>
          <w:sz w:val="14"/>
          <w:szCs w:val="14"/>
          <w:u w:val="single" w:color="auto"/>
          <w:color w:val="auto"/>
        </w:rPr>
        <w:t>Registration</w:t>
      </w:r>
      <w:r>
        <w:rPr>
          <w:rFonts w:ascii="Arial" w:cs="Arial" w:eastAsia="Arial" w:hAnsi="Arial"/>
          <w:sz w:val="14"/>
          <w:szCs w:val="14"/>
          <w:color w:val="auto"/>
        </w:rPr>
        <w:t xml:space="preserve">”), is effective and its use has not been otherwise suspended by Pubco in accordance with the terms of </w:t>
      </w:r>
      <w:r>
        <w:rPr>
          <w:rFonts w:ascii="Arial" w:cs="Arial" w:eastAsia="Arial" w:hAnsi="Arial"/>
          <w:sz w:val="14"/>
          <w:szCs w:val="14"/>
          <w:u w:val="single" w:color="auto"/>
          <w:color w:val="auto"/>
        </w:rPr>
        <w:t>Section 2(f)</w:t>
      </w:r>
      <w:r>
        <w:rPr>
          <w:rFonts w:ascii="Arial" w:cs="Arial" w:eastAsia="Arial" w:hAnsi="Arial"/>
          <w:sz w:val="14"/>
          <w:szCs w:val="14"/>
          <w:color w:val="auto"/>
        </w:rPr>
        <w:t xml:space="preserve"> below, upon a written demand (a “</w:t>
      </w:r>
      <w:r>
        <w:rPr>
          <w:rFonts w:ascii="Arial" w:cs="Arial" w:eastAsia="Arial" w:hAnsi="Arial"/>
          <w:sz w:val="14"/>
          <w:szCs w:val="14"/>
          <w:u w:val="single" w:color="auto"/>
          <w:color w:val="auto"/>
        </w:rPr>
        <w:t>Takedown</w:t>
      </w:r>
      <w:r>
        <w:rPr>
          <w:rFonts w:ascii="Arial" w:cs="Arial" w:eastAsia="Arial" w:hAnsi="Arial"/>
          <w:sz w:val="14"/>
          <w:szCs w:val="14"/>
          <w:color w:val="auto"/>
        </w:rPr>
        <w:t xml:space="preserve"> </w:t>
      </w:r>
      <w:r>
        <w:rPr>
          <w:rFonts w:ascii="Arial" w:cs="Arial" w:eastAsia="Arial" w:hAnsi="Arial"/>
          <w:sz w:val="14"/>
          <w:szCs w:val="14"/>
          <w:u w:val="single" w:color="auto"/>
          <w:color w:val="auto"/>
        </w:rPr>
        <w:t>Demand</w:t>
      </w:r>
      <w:r>
        <w:rPr>
          <w:rFonts w:ascii="Arial" w:cs="Arial" w:eastAsia="Arial" w:hAnsi="Arial"/>
          <w:sz w:val="14"/>
          <w:szCs w:val="14"/>
          <w:color w:val="auto"/>
        </w:rPr>
        <w:t>”) by any Investor that is, in either case, a Shelf Participant holding Registrable Securities at such time (the “</w:t>
      </w:r>
      <w:r>
        <w:rPr>
          <w:rFonts w:ascii="Arial" w:cs="Arial" w:eastAsia="Arial" w:hAnsi="Arial"/>
          <w:sz w:val="14"/>
          <w:szCs w:val="14"/>
          <w:u w:val="single" w:color="auto"/>
          <w:color w:val="auto"/>
        </w:rPr>
        <w:t>Initiating Holder</w:t>
      </w:r>
      <w:r>
        <w:rPr>
          <w:rFonts w:ascii="Arial" w:cs="Arial" w:eastAsia="Arial" w:hAnsi="Arial"/>
          <w:sz w:val="14"/>
          <w:szCs w:val="14"/>
          <w:color w:val="auto"/>
        </w:rPr>
        <w:t>”), Pubco will facilitate in the manner described in this Agreement a “takedown” of Registrable Securities off of such Resale Shelf Registration (a “</w:t>
      </w:r>
      <w:r>
        <w:rPr>
          <w:rFonts w:ascii="Arial" w:cs="Arial" w:eastAsia="Arial" w:hAnsi="Arial"/>
          <w:sz w:val="14"/>
          <w:szCs w:val="14"/>
          <w:u w:val="single" w:color="auto"/>
          <w:color w:val="auto"/>
        </w:rPr>
        <w:t>take down offering</w:t>
      </w:r>
      <w:r>
        <w:rPr>
          <w:rFonts w:ascii="Arial" w:cs="Arial" w:eastAsia="Arial" w:hAnsi="Arial"/>
          <w:sz w:val="14"/>
          <w:szCs w:val="14"/>
          <w:color w:val="auto"/>
        </w:rPr>
        <w:t>”) and Pubco shall pay all Registration Expenses in connection therewith; provided that, subject to the MNPI Provisions, Pubco will provide (x) in connection with any non-marketed underwritten takedown offering (other than a Block Trade), at least two (2) Business Days’ notice of such Takedown Demand to each holder of Registrable Securities (other than the Initiating Holder) that is a Shelf Participant, (y) in connection with any Block Trade initiated prior to the three (3) year anniversary of the consummation of the Mergers, notice of such Takedown Demand to each holder of Registrable Securities (other than the Initiating Holder) that is a Shelf Participant no later than noon Eastern time on the Business Day prior to the requested Takedown Demand and (z) in connection with any marketed underwritten takedown offering, at least five (5) Business Days’ notice of such Takedown Demand to each holder of Registrable Securities (other than the Initiating Holder) that is a Shelf Participant. In connection with (x) any non-marketed underwritten takedown offering initiated prior to the three (3) year anniversary of the consummation of the Mergers and (y) any marketed underwritten takedown offering, if any Shelf Participants entitled to receive a notice pursuant to the preceding sentence request inclusion of their Registrable Securities (by notice to Pubco, which notice must be received by Pubco no later than (A) in the case of a non-marketed underwritten takedown offering (other than a Block Trade), the Business Day following the date notice is given to such participant, (B) in the case of a Block Trade, by 10:00 p.m. Eastern time on the date notice is given to such participant and (C) in the case of a marketed underwritten takedown offering, three (3) Business Days following the date notice is given to such participant), the Initiating Holder and the other Shelf Participants that request inclusion of their Registrable Securities shall be entitled to sell their Registrable Securities in such offering. Each holder of Registrable Securities that is a Shelf Participant agrees that such holder shall treat as confidential the receipt of the notice of a Takedown Demand and shall not disclose or use the information contained in such notice without the prior written consent of Pubco until such time as the information contained therein is or becomes available to the public generally, other than as a result of disclosure by the holder in breach of the terms of this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4" w:name="page275"/>
    <w:bookmarkEnd w:id="274"/>
    <w:p>
      <w:pPr>
        <w:jc w:val="both"/>
        <w:ind w:firstLine="1143"/>
        <w:spacing w:after="0" w:line="253" w:lineRule="auto"/>
        <w:tabs>
          <w:tab w:leader="none" w:pos="1376"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Priority on Demand Registrations and Takedown Offerings</w:t>
      </w:r>
      <w:r>
        <w:rPr>
          <w:rFonts w:ascii="Arial" w:cs="Arial" w:eastAsia="Arial" w:hAnsi="Arial"/>
          <w:sz w:val="16"/>
          <w:szCs w:val="16"/>
          <w:color w:val="auto"/>
        </w:rPr>
        <w:t>. Pubco shall not include in any Demand Registration that is an underwritten offering any securities that are not Registrable Securities without the prior written consent of the managing underwriters and the holders of a majority of the Registrable Securities then outstanding. If a Demand Registration or a takedown offering is an underwritten offering and the managing underwriters advise Pubco in writing that in their opinion the number of Registrable Securities and, if permitted hereunder, other securities requested to be included in such offering exceeds the number of Registrable Securities and other securities, if any, which can be sold in an orderly manner in such offering within a price range acceptable to the holders of a majority of the Registrable Securities included in such underwritten offering, Pubco shall include in such offering, prior to the inclusion of any securities which are not Registrable Securities, the Registrable Securities requested to be included in such registration (pro rata among the holders of such Registrable Securities on the basis of the number of Registrable Securities owned by each such holder).</w:t>
      </w:r>
    </w:p>
    <w:p>
      <w:pPr>
        <w:spacing w:after="0" w:line="169" w:lineRule="exact"/>
        <w:rPr>
          <w:rFonts w:ascii="Arial" w:cs="Arial" w:eastAsia="Arial" w:hAnsi="Arial"/>
          <w:sz w:val="16"/>
          <w:szCs w:val="16"/>
          <w:color w:val="auto"/>
        </w:rPr>
      </w:pPr>
    </w:p>
    <w:p>
      <w:pPr>
        <w:jc w:val="both"/>
        <w:ind w:right="20" w:firstLine="1143"/>
        <w:spacing w:after="0" w:line="262" w:lineRule="auto"/>
        <w:tabs>
          <w:tab w:leader="none" w:pos="1370"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Restrictions on Demand Registrations and Takedown Offerings</w:t>
      </w:r>
      <w:r>
        <w:rPr>
          <w:rFonts w:ascii="Arial" w:cs="Arial" w:eastAsia="Arial" w:hAnsi="Arial"/>
          <w:sz w:val="16"/>
          <w:szCs w:val="16"/>
          <w:color w:val="auto"/>
        </w:rPr>
        <w:t>. Any demand for the filing of a Registration Statement or for a registered offering (including a takedown offering) hereunder will be subject to the constraints of any applicable lock-up arrangements to which any demanding Investor is party, and any such demand must be deferred until such lock-up arrangements no longer apply.</w:t>
      </w:r>
    </w:p>
    <w:p>
      <w:pPr>
        <w:spacing w:after="0" w:line="162" w:lineRule="exact"/>
        <w:rPr>
          <w:rFonts w:ascii="Arial" w:cs="Arial" w:eastAsia="Arial" w:hAnsi="Arial"/>
          <w:sz w:val="16"/>
          <w:szCs w:val="16"/>
          <w:color w:val="auto"/>
        </w:rPr>
      </w:pPr>
    </w:p>
    <w:p>
      <w:pPr>
        <w:jc w:val="both"/>
        <w:ind w:left="560" w:firstLine="1156"/>
        <w:spacing w:after="0" w:line="269" w:lineRule="auto"/>
        <w:tabs>
          <w:tab w:leader="none" w:pos="1915" w:val="left"/>
        </w:tabs>
        <w:numPr>
          <w:ilvl w:val="1"/>
          <w:numId w:val="275"/>
        </w:numPr>
        <w:rPr>
          <w:rFonts w:ascii="Arial" w:cs="Arial" w:eastAsia="Arial" w:hAnsi="Arial"/>
          <w:sz w:val="15"/>
          <w:szCs w:val="15"/>
          <w:color w:val="auto"/>
        </w:rPr>
      </w:pPr>
      <w:r>
        <w:rPr>
          <w:rFonts w:ascii="Arial" w:cs="Arial" w:eastAsia="Arial" w:hAnsi="Arial"/>
          <w:sz w:val="15"/>
          <w:szCs w:val="15"/>
          <w:color w:val="auto"/>
        </w:rPr>
        <w:t xml:space="preserve">Pubco shall not be obligated to effect any Demand Registration within 60 days prior to Pubco’s good faith estimate of the date of filing of a Registration Statement in respect of an underwritten public offering of Pubco’s securities and for such a period of time after such a filing as the managing underwriters request, provided that such period shall not exceed 120 days from the date of the underwriting agreement entered into in respect of such underwritten public offering. Pubco may postpone, for up to 60 days from the date of the request, the filing or the effectiveness of a Registration Statement for a Demand Registration or suspend the use of a prospectus that is part of any Resale Shelf Registration Statement (and therefore suspend sales of the Registrable Securities included therein pursuant to such Resale Shelf Registration Statement) by providing written notice to the holders of Registrable Securities in accordance with </w:t>
      </w:r>
      <w:r>
        <w:rPr>
          <w:rFonts w:ascii="Arial" w:cs="Arial" w:eastAsia="Arial" w:hAnsi="Arial"/>
          <w:sz w:val="15"/>
          <w:szCs w:val="15"/>
          <w:u w:val="single" w:color="auto"/>
          <w:color w:val="auto"/>
        </w:rPr>
        <w:t>Section 2(f)(ii)</w:t>
      </w:r>
      <w:r>
        <w:rPr>
          <w:rFonts w:ascii="Arial" w:cs="Arial" w:eastAsia="Arial" w:hAnsi="Arial"/>
          <w:sz w:val="15"/>
          <w:szCs w:val="15"/>
          <w:color w:val="auto"/>
        </w:rPr>
        <w:t xml:space="preserve"> if the board of directors of Pubco reasonably determines in good faith that the offer or sale of Registrable Securities would be expected to have a detrimental effect on any proposal or plan by Pubco or any subsidiary thereof to engage in any material acquisition or disposition of assets or stock (other than in the ordinary course of business) or any material merger, consolidation, tender offer, recapitalization, reorganization or similar transaction or would require Pubco to disclose any material nonpublic information which would reasonably be likely to be detrimental to Pubco and its subsidiaries; provided that in such event, the holders of Registrable Securities initially requesting such Demand Registration or Takedown Demand shall be entitled to withdraw such request. Pubco may delay or suspend the effectiveness of a Registration Statement filed hereunder or takedown offering pursuant to this </w:t>
      </w:r>
      <w:r>
        <w:rPr>
          <w:rFonts w:ascii="Arial" w:cs="Arial" w:eastAsia="Arial" w:hAnsi="Arial"/>
          <w:sz w:val="15"/>
          <w:szCs w:val="15"/>
          <w:u w:val="single" w:color="auto"/>
          <w:color w:val="auto"/>
        </w:rPr>
        <w:t>Section 2(f)(i)</w:t>
      </w:r>
      <w:r>
        <w:rPr>
          <w:rFonts w:ascii="Arial" w:cs="Arial" w:eastAsia="Arial" w:hAnsi="Arial"/>
          <w:sz w:val="15"/>
          <w:szCs w:val="15"/>
          <w:color w:val="auto"/>
        </w:rPr>
        <w:t xml:space="preserve"> twice in any consecutive twelve-month period; provided that, for the avoidance of doubt, Pubco may in any event delay or suspend the effectiveness of Demand Registration or takedown offering in the case of an event described under </w:t>
      </w:r>
      <w:r>
        <w:rPr>
          <w:rFonts w:ascii="Arial" w:cs="Arial" w:eastAsia="Arial" w:hAnsi="Arial"/>
          <w:sz w:val="15"/>
          <w:szCs w:val="15"/>
          <w:u w:val="single" w:color="auto"/>
          <w:color w:val="auto"/>
        </w:rPr>
        <w:t>Section 5(g)</w:t>
      </w:r>
      <w:r>
        <w:rPr>
          <w:rFonts w:ascii="Arial" w:cs="Arial" w:eastAsia="Arial" w:hAnsi="Arial"/>
          <w:sz w:val="15"/>
          <w:szCs w:val="15"/>
          <w:color w:val="auto"/>
        </w:rPr>
        <w:t xml:space="preserve"> to enable it to comply with its obligations set forth in </w:t>
      </w:r>
      <w:r>
        <w:rPr>
          <w:rFonts w:ascii="Arial" w:cs="Arial" w:eastAsia="Arial" w:hAnsi="Arial"/>
          <w:sz w:val="15"/>
          <w:szCs w:val="15"/>
          <w:u w:val="single" w:color="auto"/>
          <w:color w:val="auto"/>
        </w:rPr>
        <w:t>Section 5(f)</w:t>
      </w:r>
      <w:r>
        <w:rPr>
          <w:rFonts w:ascii="Arial" w:cs="Arial" w:eastAsia="Arial" w:hAnsi="Arial"/>
          <w:sz w:val="15"/>
          <w:szCs w:val="15"/>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5" w:name="page276"/>
    <w:bookmarkEnd w:id="275"/>
    <w:p>
      <w:pPr>
        <w:jc w:val="both"/>
        <w:ind w:left="560" w:firstLine="1156"/>
        <w:spacing w:after="0" w:line="289" w:lineRule="auto"/>
        <w:tabs>
          <w:tab w:leader="none" w:pos="1945" w:val="left"/>
        </w:tabs>
        <w:numPr>
          <w:ilvl w:val="1"/>
          <w:numId w:val="276"/>
        </w:numPr>
        <w:rPr>
          <w:rFonts w:ascii="Arial" w:cs="Arial" w:eastAsia="Arial" w:hAnsi="Arial"/>
          <w:sz w:val="14"/>
          <w:szCs w:val="14"/>
          <w:color w:val="auto"/>
        </w:rPr>
      </w:pPr>
      <w:r>
        <w:rPr>
          <w:rFonts w:ascii="Arial" w:cs="Arial" w:eastAsia="Arial" w:hAnsi="Arial"/>
          <w:sz w:val="14"/>
          <w:szCs w:val="14"/>
          <w:color w:val="auto"/>
        </w:rPr>
        <w:t xml:space="preserve">In the case of an event that causes Pubco to suspend the use of any Resale Shelf Registration as set forth in </w:t>
      </w:r>
      <w:r>
        <w:rPr>
          <w:rFonts w:ascii="Arial" w:cs="Arial" w:eastAsia="Arial" w:hAnsi="Arial"/>
          <w:sz w:val="14"/>
          <w:szCs w:val="14"/>
          <w:u w:val="single" w:color="auto"/>
          <w:color w:val="auto"/>
        </w:rPr>
        <w:t>Section 2(f)(i)</w:t>
      </w:r>
      <w:r>
        <w:rPr>
          <w:rFonts w:ascii="Arial" w:cs="Arial" w:eastAsia="Arial" w:hAnsi="Arial"/>
          <w:sz w:val="14"/>
          <w:szCs w:val="14"/>
          <w:color w:val="auto"/>
        </w:rPr>
        <w:t xml:space="preserve"> or pursuant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5(g)</w:t>
      </w:r>
      <w:r>
        <w:rPr>
          <w:rFonts w:ascii="Arial" w:cs="Arial" w:eastAsia="Arial" w:hAnsi="Arial"/>
          <w:sz w:val="14"/>
          <w:szCs w:val="14"/>
          <w:color w:val="auto"/>
        </w:rPr>
        <w:t xml:space="preserve"> (a “</w:t>
      </w:r>
      <w:r>
        <w:rPr>
          <w:rFonts w:ascii="Arial" w:cs="Arial" w:eastAsia="Arial" w:hAnsi="Arial"/>
          <w:sz w:val="14"/>
          <w:szCs w:val="14"/>
          <w:u w:val="single" w:color="auto"/>
          <w:color w:val="auto"/>
        </w:rPr>
        <w:t>Suspension Event</w:t>
      </w:r>
      <w:r>
        <w:rPr>
          <w:rFonts w:ascii="Arial" w:cs="Arial" w:eastAsia="Arial" w:hAnsi="Arial"/>
          <w:sz w:val="14"/>
          <w:szCs w:val="14"/>
          <w:color w:val="auto"/>
        </w:rPr>
        <w:t>”), Pubco shall give a notice to the holders of Registrable Securities registered pursuant to such Shelf Registration (a “</w:t>
      </w:r>
      <w:r>
        <w:rPr>
          <w:rFonts w:ascii="Arial" w:cs="Arial" w:eastAsia="Arial" w:hAnsi="Arial"/>
          <w:sz w:val="14"/>
          <w:szCs w:val="14"/>
          <w:u w:val="single" w:color="auto"/>
          <w:color w:val="auto"/>
        </w:rPr>
        <w:t>Suspension Notice</w:t>
      </w:r>
      <w:r>
        <w:rPr>
          <w:rFonts w:ascii="Arial" w:cs="Arial" w:eastAsia="Arial" w:hAnsi="Arial"/>
          <w:sz w:val="14"/>
          <w:szCs w:val="14"/>
          <w:color w:val="auto"/>
        </w:rPr>
        <w:t>”), no later than three (3) Business Days from the date of such Suspension Event, to suspend sales of the Registrable Securities and, subject to the MNPI Provisions, such notice shall state that such suspension shall continue only for so long as the Suspension Event or its effect is continuing (provided that in each notice Pubco shall not disclose the basis for such suspension or any material non-public information to any Investor unless otherwise requested in writing by such Investor). Pubco shall use commercially reasonable efforts to make the Resale Shelf Registration Statement available for the sale by Investors of Registrable Securities as soon as practicable following a Suspension Event. A holder of Registrable Securities shall not effect any sales of the Registrable Securities pursuant to such Resale Shelf Registration (or such filings) at any time after it has received a Suspension Notice from Pubco and prior to receipt of an End of Suspension Notice (as defined below); provided, for the avoidance of doubt, that the foregoing shall not restrict or otherwise affect the consummation of any sale pursuant to a contract entered into, or order placed, by any holder prior to the delivery the Suspension Notice. Each holder of Registrable Securities agrees that such holder shall treat as confidential the receipt of the Suspension Notice and shall not disclose the information contained in such Suspension Notice without the prior written consent of Pubco until such time as the information contained therein is or becomes available to the public generally, other than as a result of disclosure by such holder in breach of the terms of this Agreement. The holders of Registrable Securities may recommence effecting sales of the Registrable Securities pursuant to the Resale Shelf Registration (or such filings) following further written notice to such effect (an “</w:t>
      </w:r>
      <w:r>
        <w:rPr>
          <w:rFonts w:ascii="Arial" w:cs="Arial" w:eastAsia="Arial" w:hAnsi="Arial"/>
          <w:sz w:val="14"/>
          <w:szCs w:val="14"/>
          <w:u w:val="single" w:color="auto"/>
          <w:color w:val="auto"/>
        </w:rPr>
        <w:t>End of Suspension Notice</w:t>
      </w:r>
      <w:r>
        <w:rPr>
          <w:rFonts w:ascii="Arial" w:cs="Arial" w:eastAsia="Arial" w:hAnsi="Arial"/>
          <w:sz w:val="14"/>
          <w:szCs w:val="14"/>
          <w:color w:val="auto"/>
        </w:rPr>
        <w:t>”) from Pubco, which End of Suspension Notice shall be given by Pubco to the holders of Registrable Securities and to such holders’ counsel, if any, promptly following the conclusion of any Suspension Event.</w:t>
      </w:r>
    </w:p>
    <w:p>
      <w:pPr>
        <w:spacing w:after="0" w:line="151" w:lineRule="exact"/>
        <w:rPr>
          <w:rFonts w:ascii="Arial" w:cs="Arial" w:eastAsia="Arial" w:hAnsi="Arial"/>
          <w:sz w:val="14"/>
          <w:szCs w:val="14"/>
          <w:color w:val="auto"/>
        </w:rPr>
      </w:pPr>
    </w:p>
    <w:p>
      <w:pPr>
        <w:jc w:val="both"/>
        <w:ind w:left="560" w:firstLine="1156"/>
        <w:spacing w:after="0" w:line="254" w:lineRule="auto"/>
        <w:tabs>
          <w:tab w:leader="none" w:pos="2003" w:val="left"/>
        </w:tabs>
        <w:numPr>
          <w:ilvl w:val="1"/>
          <w:numId w:val="276"/>
        </w:numPr>
        <w:rPr>
          <w:rFonts w:ascii="Arial" w:cs="Arial" w:eastAsia="Arial" w:hAnsi="Arial"/>
          <w:sz w:val="16"/>
          <w:szCs w:val="16"/>
          <w:color w:val="auto"/>
        </w:rPr>
      </w:pPr>
      <w:r>
        <w:rPr>
          <w:rFonts w:ascii="Arial" w:cs="Arial" w:eastAsia="Arial" w:hAnsi="Arial"/>
          <w:sz w:val="16"/>
          <w:szCs w:val="16"/>
          <w:color w:val="auto"/>
        </w:rPr>
        <w:t xml:space="preserve">Notwithstanding any provision herein to the contrary, if Pubco shall give a Suspension Notice with respect to any Resale Shelf Registration pursuant to this </w:t>
      </w:r>
      <w:r>
        <w:rPr>
          <w:rFonts w:ascii="Arial" w:cs="Arial" w:eastAsia="Arial" w:hAnsi="Arial"/>
          <w:sz w:val="16"/>
          <w:szCs w:val="16"/>
          <w:u w:val="single" w:color="auto"/>
          <w:color w:val="auto"/>
        </w:rPr>
        <w:t>Section 2(f)</w:t>
      </w:r>
      <w:r>
        <w:rPr>
          <w:rFonts w:ascii="Arial" w:cs="Arial" w:eastAsia="Arial" w:hAnsi="Arial"/>
          <w:sz w:val="16"/>
          <w:szCs w:val="16"/>
          <w:color w:val="auto"/>
        </w:rPr>
        <w:t>, Pubco agrees that it shall extend the period of time during which such Resale Shelf Registration shall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with respect to each Suspension Event; provided that such period of time shall not be extended beyond the date that Common Stock covered by such Resale Shelf Registration are no longer Registrable Securities.</w:t>
      </w:r>
    </w:p>
    <w:p>
      <w:pPr>
        <w:spacing w:after="0" w:line="170" w:lineRule="exact"/>
        <w:rPr>
          <w:rFonts w:ascii="Arial" w:cs="Arial" w:eastAsia="Arial" w:hAnsi="Arial"/>
          <w:sz w:val="16"/>
          <w:szCs w:val="16"/>
          <w:color w:val="auto"/>
        </w:rPr>
      </w:pPr>
    </w:p>
    <w:p>
      <w:pPr>
        <w:jc w:val="both"/>
        <w:ind w:firstLine="1143"/>
        <w:spacing w:after="0" w:line="295" w:lineRule="auto"/>
        <w:tabs>
          <w:tab w:leader="none" w:pos="1385" w:val="left"/>
        </w:tabs>
        <w:numPr>
          <w:ilvl w:val="0"/>
          <w:numId w:val="277"/>
        </w:numPr>
        <w:rPr>
          <w:rFonts w:ascii="Arial" w:cs="Arial" w:eastAsia="Arial" w:hAnsi="Arial"/>
          <w:sz w:val="14"/>
          <w:szCs w:val="14"/>
          <w:color w:val="auto"/>
        </w:rPr>
      </w:pPr>
      <w:r>
        <w:rPr>
          <w:rFonts w:ascii="Arial" w:cs="Arial" w:eastAsia="Arial" w:hAnsi="Arial"/>
          <w:sz w:val="14"/>
          <w:szCs w:val="14"/>
          <w:u w:val="single" w:color="auto"/>
          <w:color w:val="auto"/>
        </w:rPr>
        <w:t>Selection of Underwriters</w:t>
      </w:r>
      <w:r>
        <w:rPr>
          <w:rFonts w:ascii="Arial" w:cs="Arial" w:eastAsia="Arial" w:hAnsi="Arial"/>
          <w:sz w:val="14"/>
          <w:szCs w:val="14"/>
          <w:color w:val="auto"/>
        </w:rPr>
        <w:t>. In connection with any Demand Registration, the Applicable Approving Party shall have the right to select the investment banker(s) and manager(s) to administer the offering; provided that such selection shall be subject to the written consent of Pubco, which consent will not be unreasonably withheld, conditioned or delayed. If any takedown offering is an underwritten offering, the Applicable Approving Party shall have the right to select the investment banker(s) and manager(s) to administer such takedown offering, provided that such selection shall be subject to the written consent of Pubco, which consent will not be unreasonably withheld, conditioned or delayed. In each case, Pubco and the Applicable Approving Party shall have the right to approve the underwriting arrangements with such investment banker(s) and manager(s) on behalf of all holders of Registrable Securities participating in such offering. All Investors proposing to distribute their securities through underwriting shall (together with Pubco) enter into an underwriting agreement in customary form with the underwriter or underwriters selected for such underwriting.</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6" w:name="page277"/>
    <w:bookmarkEnd w:id="276"/>
    <w:p>
      <w:pPr>
        <w:jc w:val="both"/>
        <w:ind w:right="20" w:firstLine="1143"/>
        <w:spacing w:after="0" w:line="258" w:lineRule="auto"/>
        <w:tabs>
          <w:tab w:leader="none" w:pos="1373"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Pubco represents and warrants to each holder of Registrable Securities that the registration rights granted in this Agreement do not conflict with any other registration rights granted by Pubco. Except as provided in this Agreement, Pubco shall not grant to any Persons the right to request Pubco to register any equity securities of Pubco, or any securities, options or rights convertible or exchangeable into or exercisable for such securities, without the prior written consent of the holders of a majority of the Registrable Securities then outstanding.</w:t>
      </w:r>
    </w:p>
    <w:p>
      <w:pPr>
        <w:spacing w:after="0" w:line="164" w:lineRule="exact"/>
        <w:rPr>
          <w:rFonts w:ascii="Arial" w:cs="Arial" w:eastAsia="Arial" w:hAnsi="Arial"/>
          <w:sz w:val="16"/>
          <w:szCs w:val="16"/>
          <w:color w:val="auto"/>
        </w:rPr>
      </w:pPr>
    </w:p>
    <w:p>
      <w:pPr>
        <w:jc w:val="both"/>
        <w:ind w:firstLine="1143"/>
        <w:spacing w:after="0" w:line="280" w:lineRule="auto"/>
        <w:tabs>
          <w:tab w:leader="none" w:pos="1337" w:val="left"/>
        </w:tabs>
        <w:numPr>
          <w:ilvl w:val="1"/>
          <w:numId w:val="278"/>
        </w:numPr>
        <w:rPr>
          <w:rFonts w:ascii="Arial" w:cs="Arial" w:eastAsia="Arial" w:hAnsi="Arial"/>
          <w:sz w:val="15"/>
          <w:szCs w:val="15"/>
          <w:color w:val="auto"/>
        </w:rPr>
      </w:pPr>
      <w:r>
        <w:rPr>
          <w:rFonts w:ascii="Arial" w:cs="Arial" w:eastAsia="Arial" w:hAnsi="Arial"/>
          <w:sz w:val="15"/>
          <w:szCs w:val="15"/>
          <w:u w:val="single" w:color="auto"/>
          <w:color w:val="auto"/>
        </w:rPr>
        <w:t>Revocation of Demand Notice or Takedown Notice</w:t>
      </w:r>
      <w:r>
        <w:rPr>
          <w:rFonts w:ascii="Arial" w:cs="Arial" w:eastAsia="Arial" w:hAnsi="Arial"/>
          <w:sz w:val="15"/>
          <w:szCs w:val="15"/>
          <w:color w:val="auto"/>
        </w:rPr>
        <w:t>. At any time prior to the effective date of the Registration Statement relating to a Demand Registration or the “pricing” of any offering relating to a Takedown Demand, the holders of Registrable Securities that requested such Demand Registration or takedown offering may revoke such request for a Demand Registration or takedown offering on behalf of all holders of Registrable Securities participating in such Demand Registration or takedown offering without liability to such holders of Registrable Securities, in each case by providing written notice to Pubco.</w:t>
      </w:r>
    </w:p>
    <w:p>
      <w:pPr>
        <w:spacing w:after="0" w:line="151" w:lineRule="exact"/>
        <w:rPr>
          <w:rFonts w:ascii="Arial" w:cs="Arial" w:eastAsia="Arial" w:hAnsi="Arial"/>
          <w:sz w:val="15"/>
          <w:szCs w:val="15"/>
          <w:color w:val="auto"/>
        </w:rPr>
      </w:pPr>
    </w:p>
    <w:p>
      <w:pPr>
        <w:ind w:left="720" w:hanging="151"/>
        <w:spacing w:after="0"/>
        <w:tabs>
          <w:tab w:leader="none" w:pos="720"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Piggyback Registrations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70" w:lineRule="auto"/>
        <w:tabs>
          <w:tab w:leader="none" w:pos="1364" w:val="left"/>
        </w:tabs>
        <w:numPr>
          <w:ilvl w:val="1"/>
          <w:numId w:val="279"/>
        </w:numPr>
        <w:rPr>
          <w:rFonts w:ascii="Arial" w:cs="Arial" w:eastAsia="Arial" w:hAnsi="Arial"/>
          <w:sz w:val="15"/>
          <w:szCs w:val="15"/>
          <w:color w:val="auto"/>
        </w:rPr>
      </w:pPr>
      <w:r>
        <w:rPr>
          <w:rFonts w:ascii="Arial" w:cs="Arial" w:eastAsia="Arial" w:hAnsi="Arial"/>
          <w:sz w:val="15"/>
          <w:szCs w:val="15"/>
          <w:u w:val="single" w:color="auto"/>
          <w:color w:val="auto"/>
        </w:rPr>
        <w:t>Right to Piggyback</w:t>
      </w:r>
      <w:r>
        <w:rPr>
          <w:rFonts w:ascii="Arial" w:cs="Arial" w:eastAsia="Arial" w:hAnsi="Arial"/>
          <w:sz w:val="15"/>
          <w:szCs w:val="15"/>
          <w:color w:val="auto"/>
        </w:rPr>
        <w:t xml:space="preserve">. Whenever Pubco proposes to register under the Securities Act an offering of any of its securities on behalf of any holders thereof or otherwise effect an underwritten offering of securities (other than (i) pursuant to the Resale Shelf Registration Statement, (ii) pursuant to a Demand Registration (which, for the avoidance of doubt, is addressed in and subject to the rights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hereof), (iii) pursuant to a Takedown Demand (which, for the avoidance of doubt, is addressed in and subject to the rights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hereof), (iv) in connection with registrations on Form S-4 or S-8 promulgated by the Commission or any successor forms, (v) pursuant to a registration relating solely to employment benefit plans, or (vi) in connection with a registration the primary purpose of which is to register debt securities) and the registration form to be used may be used for the registration of Registrable Securities (a “</w:t>
      </w:r>
      <w:r>
        <w:rPr>
          <w:rFonts w:ascii="Arial" w:cs="Arial" w:eastAsia="Arial" w:hAnsi="Arial"/>
          <w:sz w:val="15"/>
          <w:szCs w:val="15"/>
          <w:u w:val="single" w:color="auto"/>
          <w:color w:val="auto"/>
        </w:rPr>
        <w:t>Piggyback Registration</w:t>
      </w:r>
      <w:r>
        <w:rPr>
          <w:rFonts w:ascii="Arial" w:cs="Arial" w:eastAsia="Arial" w:hAnsi="Arial"/>
          <w:sz w:val="15"/>
          <w:szCs w:val="15"/>
          <w:color w:val="auto"/>
        </w:rPr>
        <w:t xml:space="preserve">”), Pubco shall give prompt written notice to all holders of Registrable Securities of its intention to effect such a Piggyback Registration and, subject to the terms of </w:t>
      </w:r>
      <w:r>
        <w:rPr>
          <w:rFonts w:ascii="Arial" w:cs="Arial" w:eastAsia="Arial" w:hAnsi="Arial"/>
          <w:sz w:val="15"/>
          <w:szCs w:val="15"/>
          <w:u w:val="single" w:color="auto"/>
          <w:color w:val="auto"/>
        </w:rPr>
        <w:t>Sections 3(c)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3(d)</w:t>
      </w:r>
      <w:r>
        <w:rPr>
          <w:rFonts w:ascii="Arial" w:cs="Arial" w:eastAsia="Arial" w:hAnsi="Arial"/>
          <w:sz w:val="15"/>
          <w:szCs w:val="15"/>
          <w:color w:val="auto"/>
        </w:rPr>
        <w:t xml:space="preserve"> hereof, shall include in such Piggyback Registration (and in all related registrations or qualifications under blue sky laws or in compliance with other registration requirements and in any related underwriting) all Registrable Securities with respect to which Pubco has received written requests for inclusion therein within ten (10) Business Days after the delivery of Pubco’s notice; provided that any such other holder may withdraw its request for inclusion at any time prior to executing the underwriting agreement or, if none, prior to the applicable Registration Statement becoming effective (if applicable).</w:t>
      </w:r>
    </w:p>
    <w:p>
      <w:pPr>
        <w:spacing w:after="0" w:line="159" w:lineRule="exact"/>
        <w:rPr>
          <w:rFonts w:ascii="Arial" w:cs="Arial" w:eastAsia="Arial" w:hAnsi="Arial"/>
          <w:sz w:val="15"/>
          <w:szCs w:val="15"/>
          <w:color w:val="auto"/>
        </w:rPr>
      </w:pPr>
    </w:p>
    <w:p>
      <w:pPr>
        <w:ind w:firstLine="1143"/>
        <w:spacing w:after="0" w:line="275" w:lineRule="auto"/>
        <w:tabs>
          <w:tab w:leader="none" w:pos="1373"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Piggyback Expenses</w:t>
      </w:r>
      <w:r>
        <w:rPr>
          <w:rFonts w:ascii="Arial" w:cs="Arial" w:eastAsia="Arial" w:hAnsi="Arial"/>
          <w:sz w:val="16"/>
          <w:szCs w:val="16"/>
          <w:color w:val="auto"/>
        </w:rPr>
        <w:t>. The Registration Expenses of the holders of Registrable Securities shall be paid by Pubco in all Piggyback Registrations, whether or not any such registration became effective.</w:t>
      </w:r>
    </w:p>
    <w:p>
      <w:pPr>
        <w:spacing w:after="0" w:line="151" w:lineRule="exact"/>
        <w:rPr>
          <w:rFonts w:ascii="Arial" w:cs="Arial" w:eastAsia="Arial" w:hAnsi="Arial"/>
          <w:sz w:val="16"/>
          <w:szCs w:val="16"/>
          <w:color w:val="auto"/>
        </w:rPr>
      </w:pPr>
    </w:p>
    <w:p>
      <w:pPr>
        <w:jc w:val="both"/>
        <w:ind w:firstLine="1143"/>
        <w:spacing w:after="0" w:line="253" w:lineRule="auto"/>
        <w:tabs>
          <w:tab w:leader="none" w:pos="1364"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Priority on Primary Registrations</w:t>
      </w:r>
      <w:r>
        <w:rPr>
          <w:rFonts w:ascii="Arial" w:cs="Arial" w:eastAsia="Arial" w:hAnsi="Arial"/>
          <w:sz w:val="16"/>
          <w:szCs w:val="16"/>
          <w:color w:val="auto"/>
        </w:rPr>
        <w:t>. If a Piggyback Registration is an underwritten primary registration on behalf of Pubco, and the managing underwriters advise Pubco in writing that in their opinion the number of securities requested to be included in such registration exceeds the number of securities which can be sold in such offering without adversely affecting the marketability, proposed offering price, timing or method of distribution of the offering, Pubco shall include in such registration (i) first, the securities Pubco proposes to sell, (ii) second, the Registrable Securities requested to be included in such registration by the Investors which, in the opinion of such underwriters, can be sold, without any such adverse effect (pro rata among the holders of such Registrable Securities on the basis of the number of Registrable Securities owned by each such holder), and (iii) third, other securities requested to be included in such registration which, in the opinion of such underwriters, can be sold, without any such adverse effect.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7" w:name="page278"/>
    <w:bookmarkEnd w:id="277"/>
    <w:p>
      <w:pPr>
        <w:jc w:val="both"/>
        <w:ind w:left="4" w:firstLine="1143"/>
        <w:spacing w:after="0" w:line="289" w:lineRule="auto"/>
        <w:tabs>
          <w:tab w:leader="none" w:pos="1377" w:val="left"/>
        </w:tabs>
        <w:numPr>
          <w:ilvl w:val="2"/>
          <w:numId w:val="280"/>
        </w:numPr>
        <w:rPr>
          <w:rFonts w:ascii="Arial" w:cs="Arial" w:eastAsia="Arial" w:hAnsi="Arial"/>
          <w:sz w:val="14"/>
          <w:szCs w:val="14"/>
          <w:color w:val="auto"/>
        </w:rPr>
      </w:pPr>
      <w:r>
        <w:rPr>
          <w:rFonts w:ascii="Arial" w:cs="Arial" w:eastAsia="Arial" w:hAnsi="Arial"/>
          <w:sz w:val="14"/>
          <w:szCs w:val="14"/>
          <w:u w:val="single" w:color="auto"/>
          <w:color w:val="auto"/>
        </w:rPr>
        <w:t>Priority on Secondary Registrations</w:t>
      </w:r>
      <w:r>
        <w:rPr>
          <w:rFonts w:ascii="Arial" w:cs="Arial" w:eastAsia="Arial" w:hAnsi="Arial"/>
          <w:sz w:val="14"/>
          <w:szCs w:val="14"/>
          <w:color w:val="auto"/>
        </w:rPr>
        <w:t>. If a Piggyback Registration is an underwritten secondary registration on behalf of holders of Pubco’s securities other than holders of Registrable Securities, and the managing underwriters advise Pubco in writing that in their opinion the number of securities requested to be included in such registration exceeds the number of securities which can be sold in such offering without adversely affecting the marketability, proposed offering price, timing or method of distribution of the offering, Pubco shall include in such registration (i) first, the securities requested to be included therein by the holders initially requesting such registration,</w:t>
      </w:r>
    </w:p>
    <w:p>
      <w:pPr>
        <w:spacing w:after="0" w:line="2" w:lineRule="exact"/>
        <w:rPr>
          <w:rFonts w:ascii="Arial" w:cs="Arial" w:eastAsia="Arial" w:hAnsi="Arial"/>
          <w:sz w:val="14"/>
          <w:szCs w:val="14"/>
          <w:color w:val="auto"/>
        </w:rPr>
      </w:pPr>
    </w:p>
    <w:p>
      <w:pPr>
        <w:jc w:val="both"/>
        <w:ind w:left="4" w:right="20" w:hanging="4"/>
        <w:spacing w:after="0" w:line="279" w:lineRule="auto"/>
        <w:tabs>
          <w:tab w:leader="none" w:pos="248" w:val="left"/>
        </w:tabs>
        <w:numPr>
          <w:ilvl w:val="0"/>
          <w:numId w:val="281"/>
        </w:numPr>
        <w:rPr>
          <w:rFonts w:ascii="Arial" w:cs="Arial" w:eastAsia="Arial" w:hAnsi="Arial"/>
          <w:sz w:val="15"/>
          <w:szCs w:val="15"/>
          <w:color w:val="auto"/>
        </w:rPr>
      </w:pPr>
      <w:r>
        <w:rPr>
          <w:rFonts w:ascii="Arial" w:cs="Arial" w:eastAsia="Arial" w:hAnsi="Arial"/>
          <w:sz w:val="15"/>
          <w:szCs w:val="15"/>
          <w:color w:val="auto"/>
        </w:rPr>
        <w:t>second, the Registrable Securities requested to be included in such registration by the Investors which, in the opinion of such underwriters, can be sold, without any such adverse effect (pro rata among the holders of such Registrable Securities on the basis of the number of Registrable Securities owned by each such holder), and (iii) third, other securities requested to be included in such registration which, in the opinion of such underwriters, can be sold, without any such adverse effect.</w:t>
      </w:r>
    </w:p>
    <w:p>
      <w:pPr>
        <w:spacing w:after="0" w:line="150" w:lineRule="exact"/>
        <w:rPr>
          <w:rFonts w:ascii="Arial" w:cs="Arial" w:eastAsia="Arial" w:hAnsi="Arial"/>
          <w:sz w:val="15"/>
          <w:szCs w:val="15"/>
          <w:color w:val="auto"/>
        </w:rPr>
      </w:pPr>
    </w:p>
    <w:p>
      <w:pPr>
        <w:jc w:val="both"/>
        <w:ind w:left="4" w:firstLine="1143"/>
        <w:spacing w:after="0" w:line="297" w:lineRule="auto"/>
        <w:tabs>
          <w:tab w:leader="none" w:pos="1368" w:val="left"/>
        </w:tabs>
        <w:numPr>
          <w:ilvl w:val="2"/>
          <w:numId w:val="281"/>
        </w:numPr>
        <w:rPr>
          <w:rFonts w:ascii="Arial" w:cs="Arial" w:eastAsia="Arial" w:hAnsi="Arial"/>
          <w:sz w:val="14"/>
          <w:szCs w:val="14"/>
          <w:color w:val="auto"/>
        </w:rPr>
      </w:pPr>
      <w:r>
        <w:rPr>
          <w:rFonts w:ascii="Arial" w:cs="Arial" w:eastAsia="Arial" w:hAnsi="Arial"/>
          <w:sz w:val="14"/>
          <w:szCs w:val="14"/>
          <w:u w:val="single" w:color="auto"/>
          <w:color w:val="auto"/>
        </w:rPr>
        <w:t>Other Registrations</w:t>
      </w:r>
      <w:r>
        <w:rPr>
          <w:rFonts w:ascii="Arial" w:cs="Arial" w:eastAsia="Arial" w:hAnsi="Arial"/>
          <w:sz w:val="14"/>
          <w:szCs w:val="14"/>
          <w:color w:val="auto"/>
        </w:rPr>
        <w:t xml:space="preserve">. If Pubco has previously filed a Registration Statement with respect to Registrable Securities pursuant to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or pursuant to this </w:t>
      </w:r>
      <w:r>
        <w:rPr>
          <w:rFonts w:ascii="Arial" w:cs="Arial" w:eastAsia="Arial" w:hAnsi="Arial"/>
          <w:sz w:val="14"/>
          <w:szCs w:val="14"/>
          <w:u w:val="single" w:color="auto"/>
          <w:color w:val="auto"/>
        </w:rPr>
        <w:t>Section 3</w:t>
      </w:r>
      <w:r>
        <w:rPr>
          <w:rFonts w:ascii="Arial" w:cs="Arial" w:eastAsia="Arial" w:hAnsi="Arial"/>
          <w:sz w:val="14"/>
          <w:szCs w:val="14"/>
          <w:color w:val="auto"/>
        </w:rPr>
        <w:t>, and if such previous registration has not been withdrawn or abandoned, then Pubco shall not be required to file or cause to be effected any other registration of any of its equity securities or securities convertible or exchangeable into or exercisable for its equity securities under the Securities Act (except on Form S-8 or any successor form or the Resale Shelf Registration Statement or a New Registration Statement) at the request of any holder or holders of such Registrable Securities until a period of at least 90 days has elapsed from the effective date of such previous registration; provided, however, that Pubco shall at all times remain obligated to file, supplement and/or amend, as applicable, each Registration Statement required to be filed pursuant to Section 1 in accordance with Sections 1(a) and 1(b), as applicable.</w:t>
      </w:r>
    </w:p>
    <w:p>
      <w:pPr>
        <w:spacing w:after="0" w:line="143" w:lineRule="exact"/>
        <w:rPr>
          <w:rFonts w:ascii="Arial" w:cs="Arial" w:eastAsia="Arial" w:hAnsi="Arial"/>
          <w:sz w:val="14"/>
          <w:szCs w:val="14"/>
          <w:color w:val="auto"/>
        </w:rPr>
      </w:pPr>
    </w:p>
    <w:p>
      <w:pPr>
        <w:jc w:val="both"/>
        <w:ind w:left="4" w:right="20" w:firstLine="1143"/>
        <w:spacing w:after="0" w:line="262" w:lineRule="auto"/>
        <w:tabs>
          <w:tab w:leader="none" w:pos="1350" w:val="left"/>
        </w:tabs>
        <w:numPr>
          <w:ilvl w:val="2"/>
          <w:numId w:val="281"/>
        </w:numPr>
        <w:rPr>
          <w:rFonts w:ascii="Arial" w:cs="Arial" w:eastAsia="Arial" w:hAnsi="Arial"/>
          <w:sz w:val="16"/>
          <w:szCs w:val="16"/>
          <w:color w:val="auto"/>
        </w:rPr>
      </w:pPr>
      <w:r>
        <w:rPr>
          <w:rFonts w:ascii="Arial" w:cs="Arial" w:eastAsia="Arial" w:hAnsi="Arial"/>
          <w:sz w:val="16"/>
          <w:szCs w:val="16"/>
          <w:u w:val="single" w:color="auto"/>
          <w:color w:val="auto"/>
        </w:rPr>
        <w:t>Right to Terminate Registration</w:t>
      </w:r>
      <w:r>
        <w:rPr>
          <w:rFonts w:ascii="Arial" w:cs="Arial" w:eastAsia="Arial" w:hAnsi="Arial"/>
          <w:sz w:val="16"/>
          <w:szCs w:val="16"/>
          <w:color w:val="auto"/>
        </w:rPr>
        <w:t xml:space="preserve">. Pubco shall have the right to terminate or withdraw any registration initiated by it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3 whether or not any holder of Registrable Securities has elected to include securities in such registration. The Registration Expenses of such withdrawn registration shall be borne by Pubco in accordance with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724" w:hanging="151"/>
        <w:spacing w:after="0"/>
        <w:tabs>
          <w:tab w:leader="none" w:pos="724"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Agreements of Certain Holders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4" w:firstLine="1143"/>
        <w:spacing w:after="0" w:line="269" w:lineRule="auto"/>
        <w:tabs>
          <w:tab w:leader="none" w:pos="1373" w:val="left"/>
        </w:tabs>
        <w:numPr>
          <w:ilvl w:val="2"/>
          <w:numId w:val="282"/>
        </w:numPr>
        <w:rPr>
          <w:rFonts w:ascii="Arial" w:cs="Arial" w:eastAsia="Arial" w:hAnsi="Arial"/>
          <w:sz w:val="15"/>
          <w:szCs w:val="15"/>
          <w:color w:val="auto"/>
        </w:rPr>
      </w:pPr>
      <w:r>
        <w:rPr>
          <w:rFonts w:ascii="Arial" w:cs="Arial" w:eastAsia="Arial" w:hAnsi="Arial"/>
          <w:sz w:val="15"/>
          <w:szCs w:val="15"/>
          <w:color w:val="auto"/>
        </w:rPr>
        <w:t xml:space="preserve">If required by the managing underwriter(s), in connection with any underwritten Public Offering on or after the date hereof, any Investor that beneficially owns 1% or more of the outstanding Common Stock on the date of such underwritten Public Offering shall enter into lock-up agreements with the managing underwriter(s) of such underwritten Public Offering in such form as agreed to by such managing underwriter(s). In no event shall any Investor holding Registrable Securities that is not a director or executive officer of Pubco on the date of such underwritten Public Offering be required to enter into any such lock-up agreement (i) that contains less favorable terms than the terms offered to any other Investor, or (ii) unless such Investor has requested its Registrable Securities be included in such underwritten registration, after the first anniversary of the Closing Date (as defined in the Merger Agreement) if it owns less than 5% of the outstanding Common Stock on the date of such underwritten Public Offering. In addition, (i) in no event shall any Investor that is not a director or executive officer of Pubco on the date of such underwritten Public Offering be required to enter into lock-up agreements pursuant to this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on more than two (2) occasions (unless such Investor is including its Registrable Securities in an underwritten registration and such lock-up is requested by the managing underwriter(s) in connection therewith), (ii) any lock-up agreement into which any Investor enters into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4(a)</w:t>
      </w:r>
      <w:r>
        <w:rPr>
          <w:rFonts w:ascii="Arial" w:cs="Arial" w:eastAsia="Arial" w:hAnsi="Arial"/>
          <w:sz w:val="15"/>
          <w:szCs w:val="15"/>
          <w:color w:val="auto"/>
        </w:rPr>
        <w:t xml:space="preserve"> shall be for a period of not more than sixty (60) days, (iii) the obligations of the Investors to enter into lockup agreements pursuant to this Section 4(a) shall terminate on the second anniversary of the Closing Date, (iv) no Investor shall be required to enter into a lock-up agreement pursuant to this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within six (6) months following the expiration of a previous lock-up agreement entered into by such Investor pursuant to this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(v) no Investor shall be required to be subject to a lock-up agreement pursuant to this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during the sixty (60) day period commencing immediately following the date that shares of Common Stock are first released from the Lock-up (as defined in the Support Agreements, respectively).</w:t>
      </w:r>
    </w:p>
    <w:p>
      <w:pPr>
        <w:spacing w:after="0" w:line="35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78" w:name="page279"/>
    <w:bookmarkEnd w:id="278"/>
    <w:p>
      <w:pPr>
        <w:jc w:val="both"/>
        <w:ind w:firstLine="1143"/>
        <w:spacing w:after="0" w:line="288" w:lineRule="auto"/>
        <w:tabs>
          <w:tab w:leader="none" w:pos="1378" w:val="left"/>
        </w:tabs>
        <w:numPr>
          <w:ilvl w:val="0"/>
          <w:numId w:val="283"/>
        </w:numPr>
        <w:rPr>
          <w:rFonts w:ascii="Arial" w:cs="Arial" w:eastAsia="Arial" w:hAnsi="Arial"/>
          <w:sz w:val="14"/>
          <w:szCs w:val="14"/>
          <w:color w:val="auto"/>
        </w:rPr>
      </w:pPr>
      <w:r>
        <w:rPr>
          <w:rFonts w:ascii="Arial" w:cs="Arial" w:eastAsia="Arial" w:hAnsi="Arial"/>
          <w:sz w:val="14"/>
          <w:szCs w:val="14"/>
          <w:color w:val="auto"/>
        </w:rPr>
        <w:t xml:space="preserve">The holders of Registrable Securities shall use commercially reasonable efforts to provide such information as may reasonably be requested by Pubco, or the managing underwriter, if any, in connection with the preparation of any Registration Statement in which the Registrable Securities of such holder are to be included, including amendments and supplements thereto, in order to effect the Registration Statement, including amendments and supplements thereto, in order to effect the Registration of any Registrable Securities under the Securities Act pursuant to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Notwithstanding anything else in this Agreement, Pubco shall not be obligated to include such holder’s Registrable Securities to the extent Pubco has not received such information, and received any other reasonably requested selling stockholder questionnaires, on or</w:t>
      </w:r>
    </w:p>
    <w:p>
      <w:pPr>
        <w:spacing w:after="0" w:line="3" w:lineRule="exact"/>
        <w:rPr>
          <w:sz w:val="20"/>
          <w:szCs w:val="20"/>
          <w:color w:val="auto"/>
        </w:rPr>
      </w:pPr>
    </w:p>
    <w:p>
      <w:pPr>
        <w:spacing w:after="0" w:line="207" w:lineRule="auto"/>
        <w:rPr>
          <w:sz w:val="20"/>
          <w:szCs w:val="20"/>
          <w:color w:val="auto"/>
        </w:rPr>
      </w:pPr>
      <w:r>
        <w:rPr>
          <w:rFonts w:ascii="Arial" w:cs="Arial" w:eastAsia="Arial" w:hAnsi="Arial"/>
          <w:sz w:val="16"/>
          <w:szCs w:val="16"/>
          <w:color w:val="auto"/>
        </w:rPr>
        <w:t>prior to the later of (i) the tenth (10</w:t>
      </w:r>
      <w:r>
        <w:rPr>
          <w:rFonts w:ascii="Arial" w:cs="Arial" w:eastAsia="Arial" w:hAnsi="Arial"/>
          <w:sz w:val="26"/>
          <w:szCs w:val="26"/>
          <w:color w:val="auto"/>
          <w:vertAlign w:val="superscript"/>
        </w:rPr>
        <w:t>th</w:t>
      </w:r>
      <w:r>
        <w:rPr>
          <w:rFonts w:ascii="Arial" w:cs="Arial" w:eastAsia="Arial" w:hAnsi="Arial"/>
          <w:sz w:val="16"/>
          <w:szCs w:val="16"/>
          <w:color w:val="auto"/>
        </w:rPr>
        <w:t>) Business Day following the date on which such information is requested from such holder and (ii) the second (2</w:t>
      </w:r>
      <w:r>
        <w:rPr>
          <w:rFonts w:ascii="Arial" w:cs="Arial" w:eastAsia="Arial" w:hAnsi="Arial"/>
          <w:sz w:val="26"/>
          <w:szCs w:val="26"/>
          <w:color w:val="auto"/>
          <w:vertAlign w:val="superscript"/>
        </w:rPr>
        <w:t>nd</w:t>
      </w:r>
      <w:r>
        <w:rPr>
          <w:rFonts w:ascii="Arial" w:cs="Arial" w:eastAsia="Arial" w:hAnsi="Arial"/>
          <w:sz w:val="16"/>
          <w:szCs w:val="16"/>
          <w:color w:val="auto"/>
        </w:rPr>
        <w:t>) Business Day prior to the first anticipated filing date of a Registration Statement pursuant to this Agreement.</w:t>
      </w:r>
    </w:p>
    <w:p>
      <w:pPr>
        <w:spacing w:after="0" w:line="180" w:lineRule="exact"/>
        <w:rPr>
          <w:sz w:val="20"/>
          <w:szCs w:val="20"/>
          <w:color w:val="auto"/>
        </w:rPr>
      </w:pPr>
    </w:p>
    <w:p>
      <w:pPr>
        <w:jc w:val="both"/>
        <w:ind w:firstLine="569"/>
        <w:spacing w:after="0" w:line="258" w:lineRule="auto"/>
        <w:tabs>
          <w:tab w:leader="none" w:pos="757"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Registration Procedures</w:t>
      </w:r>
      <w:r>
        <w:rPr>
          <w:rFonts w:ascii="Arial" w:cs="Arial" w:eastAsia="Arial" w:hAnsi="Arial"/>
          <w:sz w:val="16"/>
          <w:szCs w:val="16"/>
          <w:color w:val="auto"/>
        </w:rPr>
        <w:t>. In connection with the Registration to be effected pursuant to the Resale Shelf Registration Statement, and whenever the holders of Registrable Securities have requested that any Registrable Securities be registered pursuant to this Agreement or have initiated a takedown offering, Pubco shall use its reasonable best efforts to effect the registration and the sale of such Registrable Securities in accordance with the intended method of disposition thereof, and pursuant thereto Pubco shall as expeditiously as reasonably possible:</w:t>
      </w:r>
    </w:p>
    <w:p>
      <w:pPr>
        <w:spacing w:after="0" w:line="164" w:lineRule="exact"/>
        <w:rPr>
          <w:rFonts w:ascii="Arial" w:cs="Arial" w:eastAsia="Arial" w:hAnsi="Arial"/>
          <w:sz w:val="16"/>
          <w:szCs w:val="16"/>
          <w:color w:val="auto"/>
        </w:rPr>
      </w:pPr>
    </w:p>
    <w:p>
      <w:pPr>
        <w:jc w:val="both"/>
        <w:ind w:right="20" w:firstLine="1143"/>
        <w:spacing w:after="0" w:line="254" w:lineRule="auto"/>
        <w:tabs>
          <w:tab w:leader="none" w:pos="136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prepare in accordance with the Securities Act and all applicable rules and regulations promulgated thereunder and file with the Commission a Registration Statement, and all amendments and supplements thereto and related prospectuses as may be necessary to comply with applicable securities laws, with respect to such Registrable Securities and use its reasonable best efforts to cause such Registration Statement to become effective (provided that at least two (2) Business Days before filing a Registration Statement or prospectus or any amendments or supplements thereto, Pubco shall furnish to counsel selected by the Applicable Approving Party copies of all such documents proposed to be filed, which documents shall be subject to the review and comment of such counsel, and no such document shall be filed with the Commission to which any Investor or its counsel reasonably objects);</w:t>
      </w:r>
    </w:p>
    <w:p>
      <w:pPr>
        <w:spacing w:after="0" w:line="170" w:lineRule="exact"/>
        <w:rPr>
          <w:rFonts w:ascii="Arial" w:cs="Arial" w:eastAsia="Arial" w:hAnsi="Arial"/>
          <w:sz w:val="16"/>
          <w:szCs w:val="16"/>
          <w:color w:val="auto"/>
        </w:rPr>
      </w:pPr>
    </w:p>
    <w:p>
      <w:pPr>
        <w:jc w:val="both"/>
        <w:ind w:firstLine="1143"/>
        <w:spacing w:after="0" w:line="258" w:lineRule="auto"/>
        <w:tabs>
          <w:tab w:leader="none" w:pos="1388" w:val="left"/>
        </w:tabs>
        <w:numPr>
          <w:ilvl w:val="1"/>
          <w:numId w:val="284"/>
        </w:numPr>
        <w:rPr>
          <w:rFonts w:ascii="Arial" w:cs="Arial" w:eastAsia="Arial" w:hAnsi="Arial"/>
          <w:sz w:val="16"/>
          <w:szCs w:val="16"/>
          <w:color w:val="auto"/>
        </w:rPr>
      </w:pPr>
      <w:r>
        <w:rPr>
          <w:rFonts w:ascii="Arial" w:cs="Arial" w:eastAsia="Arial" w:hAnsi="Arial"/>
          <w:sz w:val="16"/>
          <w:szCs w:val="16"/>
          <w:color w:val="auto"/>
        </w:rPr>
        <w:t>notify each holder of Registrable Securities of (A) the issuance by the Commission of any stop order suspending the effectiveness of any Registration Statement or the initiation of any proceedings for that purpose, (B) the receipt by Pubco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w:t>
      </w:r>
    </w:p>
    <w:p>
      <w:pPr>
        <w:spacing w:after="0" w:line="164" w:lineRule="exact"/>
        <w:rPr>
          <w:rFonts w:ascii="Arial" w:cs="Arial" w:eastAsia="Arial" w:hAnsi="Arial"/>
          <w:sz w:val="16"/>
          <w:szCs w:val="16"/>
          <w:color w:val="auto"/>
        </w:rPr>
      </w:pPr>
    </w:p>
    <w:p>
      <w:pPr>
        <w:jc w:val="both"/>
        <w:ind w:right="20" w:firstLine="1143"/>
        <w:spacing w:after="0" w:line="272" w:lineRule="auto"/>
        <w:tabs>
          <w:tab w:leader="none" w:pos="1369" w:val="left"/>
        </w:tabs>
        <w:numPr>
          <w:ilvl w:val="1"/>
          <w:numId w:val="284"/>
        </w:numPr>
        <w:rPr>
          <w:rFonts w:ascii="Arial" w:cs="Arial" w:eastAsia="Arial" w:hAnsi="Arial"/>
          <w:sz w:val="15"/>
          <w:szCs w:val="15"/>
          <w:color w:val="auto"/>
        </w:rPr>
      </w:pPr>
      <w:r>
        <w:rPr>
          <w:rFonts w:ascii="Arial" w:cs="Arial" w:eastAsia="Arial" w:hAnsi="Arial"/>
          <w:sz w:val="15"/>
          <w:szCs w:val="15"/>
          <w:color w:val="auto"/>
        </w:rPr>
        <w:t>prepare and file with the Commission such amendments and supplements to such Registration Statement and the prospectus used in connection therewith as may be necessary to keep such Registration Statement and the prospectus used in connection therewith current, effective and available for the resale of all of the Registrable Securities required to be covered thereby for a period ending when all of the securities covered by such Registration Statement have been disposed of in accordance with the intended methods of distribution by the sellers thereof set forth in such Registration Statement (but not in any event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9" w:name="page280"/>
    <w:bookmarkEnd w:id="279"/>
    <w:p>
      <w:pPr>
        <w:jc w:val="both"/>
        <w:ind w:left="4" w:firstLine="1143"/>
        <w:spacing w:after="0" w:line="262" w:lineRule="auto"/>
        <w:tabs>
          <w:tab w:leader="none" w:pos="1378" w:val="left"/>
        </w:tabs>
        <w:numPr>
          <w:ilvl w:val="1"/>
          <w:numId w:val="285"/>
        </w:numPr>
        <w:rPr>
          <w:rFonts w:ascii="Arial" w:cs="Arial" w:eastAsia="Arial" w:hAnsi="Arial"/>
          <w:sz w:val="16"/>
          <w:szCs w:val="16"/>
          <w:color w:val="auto"/>
        </w:rPr>
      </w:pPr>
      <w:r>
        <w:rPr>
          <w:rFonts w:ascii="Arial" w:cs="Arial" w:eastAsia="Arial" w:hAnsi="Arial"/>
          <w:sz w:val="16"/>
          <w:szCs w:val="16"/>
          <w:color w:val="auto"/>
        </w:rPr>
        <w:t>furnish to each seller of Registrable Securities thereunder such number of copies of such Registration Statement, each amendment and supplement thereto, the prospectus included in such Registration Statement (including each preliminary prospectus), each Free-Writing Prospectus and such other documents as such seller may reasonably request in order to facilitate the disposition of the Registrable Securities owned by such seller;</w:t>
      </w:r>
    </w:p>
    <w:p>
      <w:pPr>
        <w:spacing w:after="0" w:line="162" w:lineRule="exact"/>
        <w:rPr>
          <w:rFonts w:ascii="Arial" w:cs="Arial" w:eastAsia="Arial" w:hAnsi="Arial"/>
          <w:sz w:val="16"/>
          <w:szCs w:val="16"/>
          <w:color w:val="auto"/>
        </w:rPr>
      </w:pPr>
    </w:p>
    <w:p>
      <w:pPr>
        <w:ind w:left="4" w:right="20" w:firstLine="1143"/>
        <w:spacing w:after="0" w:line="275" w:lineRule="auto"/>
        <w:tabs>
          <w:tab w:leader="none" w:pos="1383" w:val="left"/>
        </w:tabs>
        <w:numPr>
          <w:ilvl w:val="1"/>
          <w:numId w:val="285"/>
        </w:numPr>
        <w:rPr>
          <w:rFonts w:ascii="Arial" w:cs="Arial" w:eastAsia="Arial" w:hAnsi="Arial"/>
          <w:sz w:val="16"/>
          <w:szCs w:val="16"/>
          <w:color w:val="auto"/>
        </w:rPr>
      </w:pPr>
      <w:r>
        <w:rPr>
          <w:rFonts w:ascii="Arial" w:cs="Arial" w:eastAsia="Arial" w:hAnsi="Arial"/>
          <w:sz w:val="16"/>
          <w:szCs w:val="16"/>
          <w:color w:val="auto"/>
        </w:rPr>
        <w:t>during any period in which a prospectus is required to be delivered under the Securities Act, promptly file all documents required to be filed with the Commission, including pursuant to Sections 13(a), 13(c), 14 or 15(d) of the Securities Act;</w:t>
      </w:r>
    </w:p>
    <w:p>
      <w:pPr>
        <w:spacing w:after="0" w:line="151" w:lineRule="exact"/>
        <w:rPr>
          <w:rFonts w:ascii="Arial" w:cs="Arial" w:eastAsia="Arial" w:hAnsi="Arial"/>
          <w:sz w:val="16"/>
          <w:szCs w:val="16"/>
          <w:color w:val="auto"/>
        </w:rPr>
      </w:pPr>
    </w:p>
    <w:p>
      <w:pPr>
        <w:jc w:val="both"/>
        <w:ind w:left="4" w:firstLine="1143"/>
        <w:spacing w:after="0" w:line="289" w:lineRule="auto"/>
        <w:tabs>
          <w:tab w:leader="none" w:pos="1353" w:val="left"/>
        </w:tabs>
        <w:numPr>
          <w:ilvl w:val="1"/>
          <w:numId w:val="285"/>
        </w:numPr>
        <w:rPr>
          <w:rFonts w:ascii="Arial" w:cs="Arial" w:eastAsia="Arial" w:hAnsi="Arial"/>
          <w:sz w:val="14"/>
          <w:szCs w:val="14"/>
          <w:color w:val="auto"/>
        </w:rPr>
      </w:pPr>
      <w:r>
        <w:rPr>
          <w:rFonts w:ascii="Arial" w:cs="Arial" w:eastAsia="Arial" w:hAnsi="Arial"/>
          <w:sz w:val="14"/>
          <w:szCs w:val="14"/>
          <w:color w:val="auto"/>
        </w:rPr>
        <w:t xml:space="preserve">use its reasonable best efforts to register or qualify such Registrable Securities under such other securities or blue sky laws of such jurisdictions as the lead underwriter or the Applicable Approving Party reasonably requests and do any and all other acts and things which may be reasonably necessary or advisable to enable such seller to consummate the disposition in such jurisdictions of the Registrable Securities owned by such seller (provided that Pubco shall not be required to (i) qualify generally to do business in any jurisdiction where it would not otherwise be required to qualify but for this </w:t>
      </w:r>
      <w:r>
        <w:rPr>
          <w:rFonts w:ascii="Arial" w:cs="Arial" w:eastAsia="Arial" w:hAnsi="Arial"/>
          <w:sz w:val="14"/>
          <w:szCs w:val="14"/>
          <w:u w:val="single" w:color="auto"/>
          <w:color w:val="auto"/>
        </w:rPr>
        <w:t>Section 5(f)</w:t>
      </w:r>
      <w:r>
        <w:rPr>
          <w:rFonts w:ascii="Arial" w:cs="Arial" w:eastAsia="Arial" w:hAnsi="Arial"/>
          <w:sz w:val="14"/>
          <w:szCs w:val="14"/>
          <w:color w:val="auto"/>
        </w:rPr>
        <w:t>, (ii) consent to general service of process in any such jurisdiction or</w:t>
      </w:r>
    </w:p>
    <w:p>
      <w:pPr>
        <w:spacing w:after="0" w:line="2" w:lineRule="exact"/>
        <w:rPr>
          <w:rFonts w:ascii="Arial" w:cs="Arial" w:eastAsia="Arial" w:hAnsi="Arial"/>
          <w:sz w:val="14"/>
          <w:szCs w:val="14"/>
          <w:color w:val="auto"/>
        </w:rPr>
      </w:pPr>
    </w:p>
    <w:p>
      <w:pPr>
        <w:ind w:left="284" w:hanging="284"/>
        <w:spacing w:after="0"/>
        <w:tabs>
          <w:tab w:leader="none" w:pos="284" w:val="left"/>
        </w:tabs>
        <w:numPr>
          <w:ilvl w:val="0"/>
          <w:numId w:val="286"/>
        </w:numPr>
        <w:rPr>
          <w:rFonts w:ascii="Arial" w:cs="Arial" w:eastAsia="Arial" w:hAnsi="Arial"/>
          <w:sz w:val="16"/>
          <w:szCs w:val="16"/>
          <w:color w:val="auto"/>
        </w:rPr>
      </w:pPr>
      <w:r>
        <w:rPr>
          <w:rFonts w:ascii="Arial" w:cs="Arial" w:eastAsia="Arial" w:hAnsi="Arial"/>
          <w:sz w:val="16"/>
          <w:szCs w:val="16"/>
          <w:color w:val="auto"/>
        </w:rPr>
        <w:t>subject itself to taxation in any such jurisdiction);</w:t>
      </w:r>
    </w:p>
    <w:p>
      <w:pPr>
        <w:spacing w:after="0" w:line="185" w:lineRule="exact"/>
        <w:rPr>
          <w:rFonts w:ascii="Arial" w:cs="Arial" w:eastAsia="Arial" w:hAnsi="Arial"/>
          <w:sz w:val="16"/>
          <w:szCs w:val="16"/>
          <w:color w:val="auto"/>
        </w:rPr>
      </w:pPr>
    </w:p>
    <w:p>
      <w:pPr>
        <w:jc w:val="both"/>
        <w:ind w:left="4" w:firstLine="1143"/>
        <w:spacing w:after="0" w:line="271" w:lineRule="auto"/>
        <w:tabs>
          <w:tab w:leader="none" w:pos="1400" w:val="left"/>
        </w:tabs>
        <w:numPr>
          <w:ilvl w:val="1"/>
          <w:numId w:val="286"/>
        </w:numPr>
        <w:rPr>
          <w:rFonts w:ascii="Arial" w:cs="Arial" w:eastAsia="Arial" w:hAnsi="Arial"/>
          <w:sz w:val="15"/>
          <w:szCs w:val="15"/>
          <w:color w:val="auto"/>
        </w:rPr>
      </w:pPr>
      <w:r>
        <w:rPr>
          <w:rFonts w:ascii="Arial" w:cs="Arial" w:eastAsia="Arial" w:hAnsi="Arial"/>
          <w:sz w:val="15"/>
          <w:szCs w:val="15"/>
          <w:color w:val="auto"/>
        </w:rPr>
        <w:t>promptly notify in writing each seller of such Registrable Securities (i)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(ii) subject to the MNPI Provisions after receipt thereof, of any request by the Commission for the amendment or supplementing of such Registration Statement or prospectus or for additional information, and (iii)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at the request of any such seller, Pubco promptly shall prepare, file with the Commission and furnish to each such seller a reasonable number of copies of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159" w:lineRule="exact"/>
        <w:rPr>
          <w:rFonts w:ascii="Arial" w:cs="Arial" w:eastAsia="Arial" w:hAnsi="Arial"/>
          <w:sz w:val="15"/>
          <w:szCs w:val="15"/>
          <w:color w:val="auto"/>
        </w:rPr>
      </w:pPr>
    </w:p>
    <w:p>
      <w:pPr>
        <w:jc w:val="both"/>
        <w:ind w:left="4" w:right="20" w:firstLine="1143"/>
        <w:spacing w:after="0" w:line="262" w:lineRule="auto"/>
        <w:tabs>
          <w:tab w:leader="none" w:pos="139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cause all such Registrable Securities to be listed on each securities exchange on which similar securities issued by Pubco are then listed and, if similar securities are not so listed, to be listed on a securities exchange and, without limiting the generality of the foregoing, to arrange for at least two market makers to register as such with respect to such Registrable Securities with FINRA;</w:t>
      </w:r>
    </w:p>
    <w:p>
      <w:pPr>
        <w:spacing w:after="0" w:line="162" w:lineRule="exact"/>
        <w:rPr>
          <w:rFonts w:ascii="Arial" w:cs="Arial" w:eastAsia="Arial" w:hAnsi="Arial"/>
          <w:sz w:val="16"/>
          <w:szCs w:val="16"/>
          <w:color w:val="auto"/>
        </w:rPr>
      </w:pPr>
    </w:p>
    <w:p>
      <w:pPr>
        <w:jc w:val="both"/>
        <w:ind w:left="4" w:right="20" w:firstLine="1143"/>
        <w:spacing w:after="0" w:line="317" w:lineRule="auto"/>
        <w:tabs>
          <w:tab w:leader="none" w:pos="1344" w:val="left"/>
        </w:tabs>
        <w:numPr>
          <w:ilvl w:val="1"/>
          <w:numId w:val="286"/>
        </w:numPr>
        <w:rPr>
          <w:rFonts w:ascii="Arial" w:cs="Arial" w:eastAsia="Arial" w:hAnsi="Arial"/>
          <w:sz w:val="14"/>
          <w:szCs w:val="14"/>
          <w:color w:val="auto"/>
        </w:rPr>
      </w:pPr>
      <w:r>
        <w:rPr>
          <w:rFonts w:ascii="Arial" w:cs="Arial" w:eastAsia="Arial" w:hAnsi="Arial"/>
          <w:sz w:val="14"/>
          <w:szCs w:val="14"/>
          <w:color w:val="auto"/>
        </w:rPr>
        <w:t>if applicable, promptly effect a filing with FINRA pursuant to FINRA Rule 5110 (or successor thereto) with respect to the public offering contemplated by resales of securities under the Resale Shelf Registration Statement (an “</w:t>
      </w:r>
      <w:r>
        <w:rPr>
          <w:rFonts w:ascii="Arial" w:cs="Arial" w:eastAsia="Arial" w:hAnsi="Arial"/>
          <w:sz w:val="14"/>
          <w:szCs w:val="14"/>
          <w:u w:val="single" w:color="auto"/>
          <w:color w:val="auto"/>
        </w:rPr>
        <w:t>Issuer Filing</w:t>
      </w:r>
      <w:r>
        <w:rPr>
          <w:rFonts w:ascii="Arial" w:cs="Arial" w:eastAsia="Arial" w:hAnsi="Arial"/>
          <w:sz w:val="14"/>
          <w:szCs w:val="14"/>
          <w:color w:val="auto"/>
        </w:rPr>
        <w:t>”), pay the filing fee required by such Issuer Filing and use its reasonable best efforts to pursue the Issuer Filing until FINRA issues a letter confirming that it does not object to the terms of the offering contemplated by the Resale Shelf Registration Statement.</w:t>
      </w:r>
    </w:p>
    <w:p>
      <w:pPr>
        <w:spacing w:after="0" w:line="126" w:lineRule="exact"/>
        <w:rPr>
          <w:rFonts w:ascii="Arial" w:cs="Arial" w:eastAsia="Arial" w:hAnsi="Arial"/>
          <w:sz w:val="14"/>
          <w:szCs w:val="14"/>
          <w:color w:val="auto"/>
        </w:rPr>
      </w:pPr>
    </w:p>
    <w:p>
      <w:pPr>
        <w:ind w:left="1344" w:hanging="197"/>
        <w:spacing w:after="0"/>
        <w:tabs>
          <w:tab w:leader="none" w:pos="1344" w:val="left"/>
        </w:tabs>
        <w:numPr>
          <w:ilvl w:val="1"/>
          <w:numId w:val="286"/>
        </w:numPr>
        <w:rPr>
          <w:rFonts w:ascii="Arial" w:cs="Arial" w:eastAsia="Arial" w:hAnsi="Arial"/>
          <w:sz w:val="16"/>
          <w:szCs w:val="16"/>
          <w:color w:val="auto"/>
        </w:rPr>
      </w:pPr>
      <w:r>
        <w:rPr>
          <w:rFonts w:ascii="Arial" w:cs="Arial" w:eastAsia="Arial" w:hAnsi="Arial"/>
          <w:sz w:val="16"/>
          <w:szCs w:val="16"/>
          <w:color w:val="auto"/>
        </w:rPr>
        <w:t>provide a transfer agent and registrar for all such Registrable Securities not later than the effective date of such Registration Statement;</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80" w:name="page281"/>
    <w:bookmarkEnd w:id="280"/>
    <w:p>
      <w:pPr>
        <w:jc w:val="both"/>
        <w:ind w:firstLine="1143"/>
        <w:spacing w:after="0" w:line="317" w:lineRule="auto"/>
        <w:tabs>
          <w:tab w:leader="none" w:pos="1406" w:val="left"/>
        </w:tabs>
        <w:numPr>
          <w:ilvl w:val="0"/>
          <w:numId w:val="287"/>
        </w:numPr>
        <w:rPr>
          <w:rFonts w:ascii="Arial" w:cs="Arial" w:eastAsia="Arial" w:hAnsi="Arial"/>
          <w:sz w:val="14"/>
          <w:szCs w:val="14"/>
          <w:color w:val="auto"/>
        </w:rPr>
      </w:pPr>
      <w:r>
        <w:rPr>
          <w:rFonts w:ascii="Arial" w:cs="Arial" w:eastAsia="Arial" w:hAnsi="Arial"/>
          <w:sz w:val="14"/>
          <w:szCs w:val="14"/>
          <w:color w:val="auto"/>
        </w:rPr>
        <w:t>enter into and perform such customary agreements (including underwriting agreements in customary form) and take all such other actions as the Applicable Approving Party or the underwriters, if any, reasonably request in order to expedite or facilitate the disposition of such Registrable Securities (including, without limitation, participating in such number of “road shows”, investor presentations and marketing events as the underwriters managing such offering may reasonably request);</w:t>
      </w:r>
    </w:p>
    <w:p>
      <w:pPr>
        <w:spacing w:after="0" w:line="126" w:lineRule="exact"/>
        <w:rPr>
          <w:rFonts w:ascii="Arial" w:cs="Arial" w:eastAsia="Arial" w:hAnsi="Arial"/>
          <w:sz w:val="14"/>
          <w:szCs w:val="14"/>
          <w:color w:val="auto"/>
        </w:rPr>
      </w:pPr>
    </w:p>
    <w:p>
      <w:pPr>
        <w:jc w:val="both"/>
        <w:ind w:firstLine="1143"/>
        <w:spacing w:after="0" w:line="273" w:lineRule="auto"/>
        <w:tabs>
          <w:tab w:leader="none" w:pos="1341" w:val="left"/>
        </w:tabs>
        <w:numPr>
          <w:ilvl w:val="0"/>
          <w:numId w:val="287"/>
        </w:numPr>
        <w:rPr>
          <w:rFonts w:ascii="Arial" w:cs="Arial" w:eastAsia="Arial" w:hAnsi="Arial"/>
          <w:sz w:val="15"/>
          <w:szCs w:val="15"/>
          <w:color w:val="auto"/>
        </w:rPr>
      </w:pPr>
      <w:r>
        <w:rPr>
          <w:rFonts w:ascii="Arial" w:cs="Arial" w:eastAsia="Arial" w:hAnsi="Arial"/>
          <w:sz w:val="15"/>
          <w:szCs w:val="15"/>
          <w:color w:val="auto"/>
        </w:rPr>
        <w:t>make available for inspection by a representative of the Investors, other than the Majority [***] Investors and Sponsors (such representative to be selected by the Majority Presto Investors), a representative of the Sponsors, a representative of the[***] Investors, any underwriter participating in any disposition pursuant to such Registration Statement and any attorney, accountant or other agent retained by any such representative or underwriter, all financial and other records, pertinent corporate and business documents and properties of Pubco as shall be reasonably requested to enable them to exercise their due diligence responsibility, and cause Pubco’s officers, managers, directors, employees, agents, representatives and independent accountants to supply all information reasonably requested by any such representative, underwriter, attorney, accountant or agent in connection with such Registration Statement; provided, however, that any such representative or underwriter enters into a confidentiality agreement, in form and substance reasonably satisfactory to Pubco, prior to the release or disclosure of any such information;</w:t>
      </w:r>
    </w:p>
    <w:p>
      <w:pPr>
        <w:spacing w:after="0" w:line="156" w:lineRule="exact"/>
        <w:rPr>
          <w:rFonts w:ascii="Arial" w:cs="Arial" w:eastAsia="Arial" w:hAnsi="Arial"/>
          <w:sz w:val="15"/>
          <w:szCs w:val="15"/>
          <w:color w:val="auto"/>
        </w:rPr>
      </w:pPr>
    </w:p>
    <w:p>
      <w:pPr>
        <w:jc w:val="both"/>
        <w:ind w:firstLine="1143"/>
        <w:spacing w:after="0" w:line="306" w:lineRule="auto"/>
        <w:tabs>
          <w:tab w:leader="none" w:pos="1449" w:val="left"/>
        </w:tabs>
        <w:numPr>
          <w:ilvl w:val="0"/>
          <w:numId w:val="287"/>
        </w:numPr>
        <w:rPr>
          <w:rFonts w:ascii="Arial" w:cs="Arial" w:eastAsia="Arial" w:hAnsi="Arial"/>
          <w:sz w:val="14"/>
          <w:szCs w:val="14"/>
          <w:color w:val="auto"/>
        </w:rPr>
      </w:pPr>
      <w:r>
        <w:rPr>
          <w:rFonts w:ascii="Arial" w:cs="Arial" w:eastAsia="Arial" w:hAnsi="Arial"/>
          <w:sz w:val="14"/>
          <w:szCs w:val="14"/>
          <w:color w:val="auto"/>
        </w:rPr>
        <w:t>take all reasonable actions to ensure that any Free-Writing Prospectus utilized in connection with any Demand Registration (including any Shelf Registration) or Piggyback Registration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shall not contain any untrue statement of a material fact or omit to state a material fact necessary to make the statements therein, in light of the circumstances under which they were made, not misleading;</w:t>
      </w:r>
    </w:p>
    <w:p>
      <w:pPr>
        <w:spacing w:after="0" w:line="134" w:lineRule="exact"/>
        <w:rPr>
          <w:rFonts w:ascii="Arial" w:cs="Arial" w:eastAsia="Arial" w:hAnsi="Arial"/>
          <w:sz w:val="14"/>
          <w:szCs w:val="14"/>
          <w:color w:val="auto"/>
        </w:rPr>
      </w:pPr>
    </w:p>
    <w:p>
      <w:pPr>
        <w:ind w:left="1360" w:hanging="217"/>
        <w:spacing w:after="0"/>
        <w:tabs>
          <w:tab w:leader="none" w:pos="13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otherwise use its reasonable best efforts to comply with all applicable rules and regulations of the Commission;</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379" w:val="left"/>
        </w:tabs>
        <w:numPr>
          <w:ilvl w:val="0"/>
          <w:numId w:val="287"/>
        </w:numPr>
        <w:rPr>
          <w:rFonts w:ascii="Arial" w:cs="Arial" w:eastAsia="Arial" w:hAnsi="Arial"/>
          <w:sz w:val="16"/>
          <w:szCs w:val="16"/>
          <w:color w:val="auto"/>
        </w:rPr>
      </w:pPr>
      <w:r>
        <w:rPr>
          <w:rFonts w:ascii="Arial" w:cs="Arial" w:eastAsia="Arial" w:hAnsi="Arial"/>
          <w:sz w:val="16"/>
          <w:szCs w:val="16"/>
          <w:color w:val="auto"/>
        </w:rPr>
        <w:t>permit any holder of Registrable Securities who, in its good faith judgment (based on the advice of counsel), could reasonably be expected to be deemed to be an underwriter or a controlling Person of Pubco to participate in the preparation of such registration or comparable statement and to require the insertion therein of material furnished to Pubco in writing, which in the reasonable judgment of such holder and its counsel should be included;</w:t>
      </w:r>
    </w:p>
    <w:p>
      <w:pPr>
        <w:spacing w:after="0" w:line="162" w:lineRule="exact"/>
        <w:rPr>
          <w:rFonts w:ascii="Arial" w:cs="Arial" w:eastAsia="Arial" w:hAnsi="Arial"/>
          <w:sz w:val="16"/>
          <w:szCs w:val="16"/>
          <w:color w:val="auto"/>
        </w:rPr>
      </w:pPr>
    </w:p>
    <w:p>
      <w:pPr>
        <w:jc w:val="both"/>
        <w:ind w:right="20" w:firstLine="1143"/>
        <w:spacing w:after="0" w:line="262" w:lineRule="auto"/>
        <w:tabs>
          <w:tab w:leader="none" w:pos="137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in the event of the issuance of any stop order suspending the effectiveness of a Registration Statement, or of any order suspending or preventing the use of any related prospectus or suspending the qualification of any Common Stock included in such Registration Statement for sale in any jurisdiction, use its reasonable best efforts promptly to obtain the withdrawal of such order;</w:t>
      </w:r>
    </w:p>
    <w:p>
      <w:pPr>
        <w:spacing w:after="0" w:line="162" w:lineRule="exact"/>
        <w:rPr>
          <w:rFonts w:ascii="Arial" w:cs="Arial" w:eastAsia="Arial" w:hAnsi="Arial"/>
          <w:sz w:val="16"/>
          <w:szCs w:val="16"/>
          <w:color w:val="auto"/>
        </w:rPr>
      </w:pPr>
    </w:p>
    <w:p>
      <w:pPr>
        <w:ind w:firstLine="1143"/>
        <w:spacing w:after="0" w:line="309" w:lineRule="auto"/>
        <w:tabs>
          <w:tab w:leader="none" w:pos="1376" w:val="left"/>
        </w:tabs>
        <w:numPr>
          <w:ilvl w:val="0"/>
          <w:numId w:val="287"/>
        </w:numPr>
        <w:rPr>
          <w:rFonts w:ascii="Arial" w:cs="Arial" w:eastAsia="Arial" w:hAnsi="Arial"/>
          <w:sz w:val="15"/>
          <w:szCs w:val="15"/>
          <w:color w:val="auto"/>
        </w:rPr>
      </w:pPr>
      <w:r>
        <w:rPr>
          <w:rFonts w:ascii="Arial" w:cs="Arial" w:eastAsia="Arial" w:hAnsi="Arial"/>
          <w:sz w:val="15"/>
          <w:szCs w:val="15"/>
          <w:color w:val="auto"/>
        </w:rPr>
        <w:t>use its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129" w:lineRule="exact"/>
        <w:rPr>
          <w:rFonts w:ascii="Arial" w:cs="Arial" w:eastAsia="Arial" w:hAnsi="Arial"/>
          <w:sz w:val="15"/>
          <w:szCs w:val="15"/>
          <w:color w:val="auto"/>
        </w:rPr>
      </w:pPr>
    </w:p>
    <w:p>
      <w:pPr>
        <w:jc w:val="both"/>
        <w:ind w:right="20" w:firstLine="1143"/>
        <w:spacing w:after="0" w:line="287" w:lineRule="auto"/>
        <w:tabs>
          <w:tab w:leader="none" w:pos="1353" w:val="left"/>
        </w:tabs>
        <w:numPr>
          <w:ilvl w:val="0"/>
          <w:numId w:val="287"/>
        </w:numPr>
        <w:rPr>
          <w:rFonts w:ascii="Arial" w:cs="Arial" w:eastAsia="Arial" w:hAnsi="Arial"/>
          <w:sz w:val="15"/>
          <w:szCs w:val="15"/>
          <w:color w:val="auto"/>
        </w:rPr>
      </w:pPr>
      <w:r>
        <w:rPr>
          <w:rFonts w:ascii="Arial" w:cs="Arial" w:eastAsia="Arial" w:hAnsi="Arial"/>
          <w:sz w:val="15"/>
          <w:szCs w:val="15"/>
          <w:color w:val="auto"/>
        </w:rPr>
        <w:t>cooperate with the holders of Registrable Securities covered by the Registration Statement and the managing underwriter or agent, if any, to facilitate the timely preparation and delivery of certificates (not bearing any restrictive legends) representing securities to be sold under the Registration Statement and enable such securities to be in such denominations and registered in such names as the managing underwriter, or agent, if any, or such holders may request;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1" w:name="page282"/>
    <w:bookmarkEnd w:id="281"/>
    <w:p>
      <w:pPr>
        <w:ind w:right="20" w:firstLine="1143"/>
        <w:spacing w:after="0" w:line="275" w:lineRule="auto"/>
        <w:tabs>
          <w:tab w:leader="none" w:pos="135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cooperate with each holder of Registrable Securities covered by the Registration Statement and each underwriter or agent participating in the disposition of such Registrable Securities and their respective counsel in connection with any filings required to be made with FINRA;</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4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if such registration includes an underwritten public offering, use its reasonable best efforts to obtain a cold comfort letter from Pubco’s independent public accountants and addressed to the underwriters, in customary form and covering such matters of the type customarily covered by cold comfort letters as the underwriters in such registration reasonably request;</w:t>
      </w:r>
    </w:p>
    <w:p>
      <w:pPr>
        <w:spacing w:after="0" w:line="162" w:lineRule="exact"/>
        <w:rPr>
          <w:rFonts w:ascii="Arial" w:cs="Arial" w:eastAsia="Arial" w:hAnsi="Arial"/>
          <w:sz w:val="16"/>
          <w:szCs w:val="16"/>
          <w:color w:val="auto"/>
        </w:rPr>
      </w:pPr>
    </w:p>
    <w:p>
      <w:pPr>
        <w:jc w:val="both"/>
        <w:ind w:firstLine="1143"/>
        <w:spacing w:after="0" w:line="280" w:lineRule="auto"/>
        <w:tabs>
          <w:tab w:leader="none" w:pos="1407" w:val="left"/>
        </w:tabs>
        <w:numPr>
          <w:ilvl w:val="0"/>
          <w:numId w:val="288"/>
        </w:numPr>
        <w:rPr>
          <w:rFonts w:ascii="Arial" w:cs="Arial" w:eastAsia="Arial" w:hAnsi="Arial"/>
          <w:sz w:val="15"/>
          <w:szCs w:val="15"/>
          <w:color w:val="auto"/>
        </w:rPr>
      </w:pPr>
      <w:r>
        <w:rPr>
          <w:rFonts w:ascii="Arial" w:cs="Arial" w:eastAsia="Arial" w:hAnsi="Arial"/>
          <w:sz w:val="15"/>
          <w:szCs w:val="15"/>
          <w:color w:val="auto"/>
        </w:rPr>
        <w:t>provide a legal opinion of Pubco’s outside counsel, dated the effective date of such Registration Statement (and, if such registration includes an underwritten Public Offering, dated the date of the closing under the underwriting agreement),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 which opinion shall be addressed to the underwriters;</w:t>
      </w:r>
    </w:p>
    <w:p>
      <w:pPr>
        <w:spacing w:after="0" w:line="151" w:lineRule="exact"/>
        <w:rPr>
          <w:rFonts w:ascii="Arial" w:cs="Arial" w:eastAsia="Arial" w:hAnsi="Arial"/>
          <w:sz w:val="15"/>
          <w:szCs w:val="15"/>
          <w:color w:val="auto"/>
        </w:rPr>
      </w:pPr>
    </w:p>
    <w:p>
      <w:pPr>
        <w:ind w:right="20" w:firstLine="1143"/>
        <w:spacing w:after="0" w:line="309" w:lineRule="auto"/>
        <w:tabs>
          <w:tab w:leader="none" w:pos="1383" w:val="left"/>
        </w:tabs>
        <w:numPr>
          <w:ilvl w:val="0"/>
          <w:numId w:val="288"/>
        </w:numPr>
        <w:rPr>
          <w:rFonts w:ascii="Arial" w:cs="Arial" w:eastAsia="Arial" w:hAnsi="Arial"/>
          <w:sz w:val="15"/>
          <w:szCs w:val="15"/>
          <w:color w:val="auto"/>
        </w:rPr>
      </w:pPr>
      <w:r>
        <w:rPr>
          <w:rFonts w:ascii="Arial" w:cs="Arial" w:eastAsia="Arial" w:hAnsi="Arial"/>
          <w:sz w:val="15"/>
          <w:szCs w:val="15"/>
          <w:color w:val="auto"/>
        </w:rPr>
        <w:t>if Pubco files an Automatic Shelf Registration Statement covering any Registrable Securities, use its reasonable best efforts to remain a WKSI (and not become an ineligible issuer (as defined in Rule 405)) during the period during which such Automatic Shelf Registration Statement is required to remain effective;</w:t>
      </w:r>
    </w:p>
    <w:p>
      <w:pPr>
        <w:spacing w:after="0" w:line="129" w:lineRule="exact"/>
        <w:rPr>
          <w:rFonts w:ascii="Arial" w:cs="Arial" w:eastAsia="Arial" w:hAnsi="Arial"/>
          <w:sz w:val="15"/>
          <w:szCs w:val="15"/>
          <w:color w:val="auto"/>
        </w:rPr>
      </w:pPr>
    </w:p>
    <w:p>
      <w:pPr>
        <w:ind w:firstLine="1143"/>
        <w:spacing w:after="0" w:line="275" w:lineRule="auto"/>
        <w:tabs>
          <w:tab w:leader="none" w:pos="1409"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if Pubco does not pay the filing fee covering the Registrable Securities at the time an Automatic Shelf Registration Statement is filed, pay such fee at such time or times as the Registrable Securities are to be sold;</w:t>
      </w:r>
    </w:p>
    <w:p>
      <w:pPr>
        <w:spacing w:after="0" w:line="151" w:lineRule="exact"/>
        <w:rPr>
          <w:rFonts w:ascii="Arial" w:cs="Arial" w:eastAsia="Arial" w:hAnsi="Arial"/>
          <w:sz w:val="16"/>
          <w:szCs w:val="16"/>
          <w:color w:val="auto"/>
        </w:rPr>
      </w:pPr>
    </w:p>
    <w:p>
      <w:pPr>
        <w:jc w:val="both"/>
        <w:ind w:firstLine="1143"/>
        <w:spacing w:after="0" w:line="255" w:lineRule="auto"/>
        <w:tabs>
          <w:tab w:leader="none" w:pos="137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subject to the terms of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2(d)</w:t>
      </w:r>
      <w:r>
        <w:rPr>
          <w:rFonts w:ascii="Arial" w:cs="Arial" w:eastAsia="Arial" w:hAnsi="Arial"/>
          <w:sz w:val="16"/>
          <w:szCs w:val="16"/>
          <w:color w:val="auto"/>
        </w:rPr>
        <w:t>, if an Automatic Shelf Registration Statement has been outstanding for at least three (3) years, at the end of the third year, refile a new Automatic Shelf Registration Statement covering the Registrable Securities, and, if at any time when Pubco is required to re-evaluate its WKSI status Pubco determines that it is not a WKSI, use its reasonable best efforts to refile the Registration Statement on Form S-3 and keep such Registration Statement effective (including by filing a new Resale Shelf Registration or Shelf Registration, if necessary) during the period throughout which such Registration Statement is required to be kept effective;</w:t>
      </w:r>
    </w:p>
    <w:p>
      <w:pPr>
        <w:spacing w:after="0" w:line="169" w:lineRule="exact"/>
        <w:rPr>
          <w:rFonts w:ascii="Arial" w:cs="Arial" w:eastAsia="Arial" w:hAnsi="Arial"/>
          <w:sz w:val="16"/>
          <w:szCs w:val="16"/>
          <w:color w:val="auto"/>
        </w:rPr>
      </w:pPr>
    </w:p>
    <w:p>
      <w:pPr>
        <w:jc w:val="both"/>
        <w:ind w:firstLine="1143"/>
        <w:spacing w:after="0" w:line="254" w:lineRule="auto"/>
        <w:tabs>
          <w:tab w:leader="none" w:pos="138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cooperate with each Investor that holds Registrable Securities being offered and the managing underwriter or underwriters with respect to an applicable Registration Statement, if any, to facilitate the timely (i) preparation and delivery of certificates (not bearing any restrictive legends) representing Registrable Securities to be offered pursuant to such Registration Statement, and enable such certificates to be registered in such names and in such denominations or amounts, as the case may be, or (ii) crediting of the Registrable Securities to be offered pursuant to a Registration Statement to the applicable account (or accounts) with The Depository Trust Company (“DTC”) through its Deposit/Withdrawal At Custodian (“DWAC”) system, in any such case as such Investor or the managing underwriter or underwriters, if any, may reasonably request; and</w:t>
      </w:r>
    </w:p>
    <w:p>
      <w:pPr>
        <w:spacing w:after="0" w:line="170" w:lineRule="exact"/>
        <w:rPr>
          <w:rFonts w:ascii="Arial" w:cs="Arial" w:eastAsia="Arial" w:hAnsi="Arial"/>
          <w:sz w:val="16"/>
          <w:szCs w:val="16"/>
          <w:color w:val="auto"/>
        </w:rPr>
      </w:pPr>
    </w:p>
    <w:p>
      <w:pPr>
        <w:jc w:val="both"/>
        <w:ind w:right="20" w:firstLine="1143"/>
        <w:spacing w:after="0" w:line="274" w:lineRule="auto"/>
        <w:tabs>
          <w:tab w:leader="none" w:pos="1371" w:val="left"/>
        </w:tabs>
        <w:numPr>
          <w:ilvl w:val="0"/>
          <w:numId w:val="288"/>
        </w:numPr>
        <w:rPr>
          <w:rFonts w:ascii="Arial" w:cs="Arial" w:eastAsia="Arial" w:hAnsi="Arial"/>
          <w:sz w:val="15"/>
          <w:szCs w:val="15"/>
          <w:color w:val="auto"/>
        </w:rPr>
      </w:pPr>
      <w:r>
        <w:rPr>
          <w:rFonts w:ascii="Arial" w:cs="Arial" w:eastAsia="Arial" w:hAnsi="Arial"/>
          <w:sz w:val="15"/>
          <w:szCs w:val="15"/>
          <w:color w:val="auto"/>
        </w:rPr>
        <w:t>for so long as this Agreement remains effective, (a) cause the Common Stock to be eligible for clearing through DTC, through its DWAC system; (b) be eligible and participating in the Direct Registration System (DRS) of DTC with respect to the Common Stock; (c) ensure that the transfer agent for the Common Stock is a participant in, and that the Common Stock is eligible for transfer pursuant to, DTC’s Fast Automated Securities Transfer Program (or successor thereto); and (d) use its reasonable best efforts to cause the Common Stock to not at any time be subject to any DTC “chill,” “freeze” or similar restriction with respect to any DTC services, including the clearing of shares of Common Stock through DTC, and, in the event the Common Stock becomes subject to any DTC “chill,” “freeze” or similar restriction with respect to any DTC services, use its reasonable best efforts to cause any such “chill,” “freeze” or similar restriction to be removed at the earliest possible time.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2" w:name="page283"/>
    <w:bookmarkEnd w:id="282"/>
    <w:p>
      <w:pPr>
        <w:jc w:val="both"/>
        <w:ind w:firstLine="569"/>
        <w:spacing w:after="0" w:line="270" w:lineRule="auto"/>
        <w:tabs>
          <w:tab w:leader="none" w:pos="757" w:val="left"/>
        </w:tabs>
        <w:numPr>
          <w:ilvl w:val="0"/>
          <w:numId w:val="289"/>
        </w:numPr>
        <w:rPr>
          <w:rFonts w:ascii="Arial" w:cs="Arial" w:eastAsia="Arial" w:hAnsi="Arial"/>
          <w:sz w:val="15"/>
          <w:szCs w:val="15"/>
          <w:color w:val="auto"/>
        </w:rPr>
      </w:pPr>
      <w:r>
        <w:rPr>
          <w:rFonts w:ascii="Arial" w:cs="Arial" w:eastAsia="Arial" w:hAnsi="Arial"/>
          <w:sz w:val="15"/>
          <w:szCs w:val="15"/>
          <w:u w:val="single" w:color="auto"/>
          <w:color w:val="auto"/>
        </w:rPr>
        <w:t>Termination of Rights</w:t>
      </w:r>
      <w:r>
        <w:rPr>
          <w:rFonts w:ascii="Arial" w:cs="Arial" w:eastAsia="Arial" w:hAnsi="Arial"/>
          <w:sz w:val="15"/>
          <w:szCs w:val="15"/>
          <w:color w:val="auto"/>
        </w:rPr>
        <w:t xml:space="preserve">. Notwithstanding anything contained herein to the contrary, the right of any Investor to include Registrable Securities in any Demand Registration or any Piggyback Registration shall terminate on such date that (i) such Investor (together with its affiliates) beneficially owns less than 1% of the outstanding Common Stock, (ii) has held the securities for one year and (iii) may sell all of the Registrable Securities owned by such Investor pursuant to Rule 144 of the Securities Act without any restrictions as to volume or the manner of sale or otherwise and without the requirement for Pubco to be in compliance with the current public information required under Rule 144(c)(i) or Rule 144(i)(2); provided, however, that with respect to any Investor whose rights have terminated pursuant to this </w:t>
      </w:r>
      <w:r>
        <w:rPr>
          <w:rFonts w:ascii="Arial" w:cs="Arial" w:eastAsia="Arial" w:hAnsi="Arial"/>
          <w:sz w:val="15"/>
          <w:szCs w:val="15"/>
          <w:u w:val="single" w:color="auto"/>
          <w:color w:val="auto"/>
        </w:rPr>
        <w:t>Section 6</w:t>
      </w:r>
      <w:r>
        <w:rPr>
          <w:rFonts w:ascii="Arial" w:cs="Arial" w:eastAsia="Arial" w:hAnsi="Arial"/>
          <w:sz w:val="15"/>
          <w:szCs w:val="15"/>
          <w:color w:val="auto"/>
        </w:rPr>
        <w:t>, if following such a termination, such Investor loses the ability to sell all of its Registrable Securities pursuant to Rule 144 of the Securities Act without any restrictions as to volume or the manner of sale or otherwise and without the requirement for the Company to be in compliance with the current public information required under Rule 144(c)(i) or Rule 144(i)(2) due to a change in interpretive guidance by the Commission or otherwise, then such Investor’s right to include Registrable Securities in any Demand Registration or any Piggyback Registration shall be reinstated until such time as the Investor is once again able to sell all of its Registrable Securities pursuant to Rule 144 of the Securities Act without any restrictions as to volume or the manner of sale or otherwise and without the requirement for the Company to be in compliance with the current public information required under Rule 144(c)(i) or Rule 144(i)(2).</w:t>
      </w:r>
    </w:p>
    <w:p>
      <w:pPr>
        <w:spacing w:after="0" w:line="159" w:lineRule="exact"/>
        <w:rPr>
          <w:rFonts w:ascii="Arial" w:cs="Arial" w:eastAsia="Arial" w:hAnsi="Arial"/>
          <w:sz w:val="15"/>
          <w:szCs w:val="15"/>
          <w:color w:val="auto"/>
        </w:rPr>
      </w:pPr>
    </w:p>
    <w:p>
      <w:pPr>
        <w:ind w:left="720" w:hanging="151"/>
        <w:spacing w:after="0"/>
        <w:tabs>
          <w:tab w:leader="none" w:pos="720"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71" w:lineRule="auto"/>
        <w:tabs>
          <w:tab w:leader="none" w:pos="1367" w:val="left"/>
        </w:tabs>
        <w:numPr>
          <w:ilvl w:val="1"/>
          <w:numId w:val="289"/>
        </w:numPr>
        <w:rPr>
          <w:rFonts w:ascii="Arial" w:cs="Arial" w:eastAsia="Arial" w:hAnsi="Arial"/>
          <w:sz w:val="15"/>
          <w:szCs w:val="15"/>
          <w:color w:val="auto"/>
        </w:rPr>
      </w:pPr>
      <w:r>
        <w:rPr>
          <w:rFonts w:ascii="Arial" w:cs="Arial" w:eastAsia="Arial" w:hAnsi="Arial"/>
          <w:sz w:val="15"/>
          <w:szCs w:val="15"/>
          <w:color w:val="auto"/>
        </w:rPr>
        <w:t>All expenses incident to Pubco’s performance of or compliance with this Agreement, including, without limitation, all registration, qualification and filing fees, listing fees, fees and expenses of compliance with securities or blue sky laws, stock exchange rules and filings, printing expenses, messenger and delivery expenses, fees and disbursements of custodians, and fees and disbursements of counsel for Pubco and all independent certified public accountants, underwriters (excluding underwriting discounts and commissions) and other Persons retained by Pubco (all such expenses being herein called “</w:t>
      </w:r>
      <w:r>
        <w:rPr>
          <w:rFonts w:ascii="Arial" w:cs="Arial" w:eastAsia="Arial" w:hAnsi="Arial"/>
          <w:sz w:val="15"/>
          <w:szCs w:val="15"/>
          <w:u w:val="single" w:color="auto"/>
          <w:color w:val="auto"/>
        </w:rPr>
        <w:t>Registration Expenses</w:t>
      </w:r>
      <w:r>
        <w:rPr>
          <w:rFonts w:ascii="Arial" w:cs="Arial" w:eastAsia="Arial" w:hAnsi="Arial"/>
          <w:sz w:val="15"/>
          <w:szCs w:val="15"/>
          <w:color w:val="auto"/>
        </w:rPr>
        <w:t>”), shall be borne by Pubco as provided in this Agreement and, for the avoidance of doubt, Pubco also shall pay all of its internal expenses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similar securities issued by Pubco are then listed. Each Person that sells securities hereunder shall bear and pay all underwriting discounts and commissions, underwriter marketing costs, brokerage fees and transfer taxes applicable to the securities sold for such Person’s account and all reasonable fees and expenses of any legal counsel representing any such Person.</w:t>
      </w:r>
    </w:p>
    <w:p>
      <w:pPr>
        <w:spacing w:after="0" w:line="159" w:lineRule="exact"/>
        <w:rPr>
          <w:rFonts w:ascii="Arial" w:cs="Arial" w:eastAsia="Arial" w:hAnsi="Arial"/>
          <w:sz w:val="15"/>
          <w:szCs w:val="15"/>
          <w:color w:val="auto"/>
        </w:rPr>
      </w:pPr>
    </w:p>
    <w:p>
      <w:pPr>
        <w:ind w:right="20" w:firstLine="1143"/>
        <w:spacing w:after="0" w:line="275" w:lineRule="auto"/>
        <w:tabs>
          <w:tab w:leader="none" w:pos="1378" w:val="left"/>
        </w:tabs>
        <w:numPr>
          <w:ilvl w:val="1"/>
          <w:numId w:val="289"/>
        </w:numPr>
        <w:rPr>
          <w:rFonts w:ascii="Arial" w:cs="Arial" w:eastAsia="Arial" w:hAnsi="Arial"/>
          <w:sz w:val="16"/>
          <w:szCs w:val="16"/>
          <w:color w:val="auto"/>
        </w:rPr>
      </w:pPr>
      <w:r>
        <w:rPr>
          <w:rFonts w:ascii="Arial" w:cs="Arial" w:eastAsia="Arial" w:hAnsi="Arial"/>
          <w:sz w:val="16"/>
          <w:szCs w:val="16"/>
          <w:color w:val="auto"/>
        </w:rPr>
        <w:t>Pubco shall reimburse the holders of Registrable Securities included in such registration for the reasonable fees and disbursements of one counsel chosen by the Applicable Approving Party in connection with any underwritten Demand Registration.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3" w:name="page284"/>
    <w:bookmarkEnd w:id="283"/>
    <w:p>
      <w:pPr>
        <w:ind w:left="720" w:hanging="151"/>
        <w:spacing w:after="0"/>
        <w:tabs>
          <w:tab w:leader="none" w:pos="720"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88" w:lineRule="auto"/>
        <w:tabs>
          <w:tab w:leader="none" w:pos="1378" w:val="left"/>
        </w:tabs>
        <w:numPr>
          <w:ilvl w:val="1"/>
          <w:numId w:val="290"/>
        </w:numPr>
        <w:rPr>
          <w:rFonts w:ascii="Arial" w:cs="Arial" w:eastAsia="Arial" w:hAnsi="Arial"/>
          <w:sz w:val="14"/>
          <w:szCs w:val="14"/>
          <w:color w:val="auto"/>
        </w:rPr>
      </w:pPr>
      <w:r>
        <w:rPr>
          <w:rFonts w:ascii="Arial" w:cs="Arial" w:eastAsia="Arial" w:hAnsi="Arial"/>
          <w:sz w:val="14"/>
          <w:szCs w:val="14"/>
          <w:color w:val="auto"/>
        </w:rPr>
        <w:t>Pubco agrees to (i) indemnify, defend and hold harmless, to the fullest extent permitted by law, each Investor, each Person who controls such Investor (within the meaning of the Securities Act or the Exchange Act) each Investor’s and control Person’s respective officers, directors, members, partners, managers, agents, affiliates and employees from and against all losses, claims, actions, damages, liabilities and expenses (“</w:t>
      </w:r>
      <w:r>
        <w:rPr>
          <w:rFonts w:ascii="Arial" w:cs="Arial" w:eastAsia="Arial" w:hAnsi="Arial"/>
          <w:sz w:val="14"/>
          <w:szCs w:val="14"/>
          <w:u w:val="single" w:color="auto"/>
          <w:color w:val="auto"/>
        </w:rPr>
        <w:t>Losses</w:t>
      </w:r>
      <w:r>
        <w:rPr>
          <w:rFonts w:ascii="Arial" w:cs="Arial" w:eastAsia="Arial" w:hAnsi="Arial"/>
          <w:sz w:val="14"/>
          <w:szCs w:val="14"/>
          <w:color w:val="auto"/>
        </w:rPr>
        <w:t xml:space="preserve">”) caused by any untrue or alleged untrue statement of material fact contained in any Registration Statement, prospectus, preliminary prospectus, free writing prospectus or any amendment thereof or supplement thereto or any omission or alleged omission of a material fact required to be stated therein or necessary to make the statements therein not misleading (in the case of a prospectus, in light of the circumstances under which the statements therein were made), and (ii) pay to each Investor and their respective officers, directors, members, partners, managers, agents, affiliates and employees and each Person who controls such Investor (within the meaning of the Securities Act or the Exchange Act), as incurred, any legal and any other expenses reasonably incurred in connection with investigating, preparing or defending any such claim, loss, damage, liability or action, except in each case of (i) or (ii) insofar as the same are caused by or contained in any information furnished in writing to Pubco or any managing underwriter by or on behalf of such Investor expressly for use therein; provided, however, that the indemnity agreement contained in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shall not apply to amounts paid in settlement of any such claim, loss, damage, liability or action if such settlement is effected without the consent of Pubco (which consent shall not be unreasonably withheld, conditioned or delayed), nor shall Pubco be liable in any such case for any such claim, loss, damage, liability or action to the extent that it arises out of or is based upon an untrue or alleged untrue statement of any material fact contained in the Registration Statement, prospectus, preliminary prospectus, free writing prospectus or any amendment thereof or supplement thereto or omission or alleged omission to state therein a material fact required to be stated therein or necessary to make the statements therein not misleading, in each case to the extent that such untrue statement or alleged untrue statement or omission or alleged omission was made in the Registration Statement, prospectus, preliminary prospectus, free writing prospectus or any amendment thereof or supplement thereto, in reliance upon and in conformity with written information furnished by or on behalf of such Investor expressly for use in connection with such Registration Statement or to the extent that such Loss results from an Investor’s initiation of a transaction pursuant to a Registration Statement during a Suspension Event noticed to such Investor by Pubco in accordance with Section 2(f)(ii) hereof. In connection with an underwritten offering, Pubco shall indemnify any underwriters or deemed underwriters, their officers and directors and each Person who controls such underwriters (within the meaning of the Securities Act or the Exchange Act) to the same extent as provided above with respect to the indemnification of the holders of Registrable Securities.</w:t>
      </w:r>
    </w:p>
    <w:p>
      <w:pPr>
        <w:spacing w:after="0" w:line="344" w:lineRule="exact"/>
        <w:rPr>
          <w:rFonts w:ascii="Arial" w:cs="Arial" w:eastAsia="Arial" w:hAnsi="Arial"/>
          <w:sz w:val="14"/>
          <w:szCs w:val="14"/>
          <w:color w:val="auto"/>
        </w:rPr>
      </w:pPr>
    </w:p>
    <w:p>
      <w:pPr>
        <w:jc w:val="both"/>
        <w:ind w:firstLine="1143"/>
        <w:spacing w:after="0" w:line="270" w:lineRule="auto"/>
        <w:tabs>
          <w:tab w:leader="none" w:pos="1391" w:val="left"/>
        </w:tabs>
        <w:numPr>
          <w:ilvl w:val="1"/>
          <w:numId w:val="290"/>
        </w:numPr>
        <w:rPr>
          <w:rFonts w:ascii="Arial" w:cs="Arial" w:eastAsia="Arial" w:hAnsi="Arial"/>
          <w:sz w:val="15"/>
          <w:szCs w:val="15"/>
          <w:color w:val="auto"/>
        </w:rPr>
      </w:pPr>
      <w:r>
        <w:rPr>
          <w:rFonts w:ascii="Arial" w:cs="Arial" w:eastAsia="Arial" w:hAnsi="Arial"/>
          <w:sz w:val="15"/>
          <w:szCs w:val="15"/>
          <w:color w:val="auto"/>
        </w:rPr>
        <w:t>In connection with any Registration Statement in which a holder of Registrable Securities is participating, each such holder shall furnish to Pubco in writing such information relating to such holder as Pubco reasonably requests for use in connection with any such Registration Statement or prospectus and, to the extent permitted by law, shall indemnify Pubco, its officers, directors, employees, agents and representatives and each Person who controls Pubco (within the meaning of the Securities Act) against any losses, claims, damages, liabilities and expenses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or alleged untrue statement or omission is contained in any information so furnished in writing by or on behalf of such holder or to the extent that such Loss results from an Investor’s initiation of a transaction pursuant to a Registration Statement during a Suspension Event noticed to such Investor by Pubco in accordance with Section 2(f)(ii) hereof; provided that the obligation to indemnify shall be individual, not joint and several, for each holder and shall be limited to the net amount of proceeds actually received by such holder from the sale of Registrable Securities pursuant to such Registration Statement.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4" w:name="page285"/>
    <w:bookmarkEnd w:id="284"/>
    <w:p>
      <w:pPr>
        <w:jc w:val="both"/>
        <w:ind w:firstLine="1143"/>
        <w:spacing w:after="0" w:line="289" w:lineRule="auto"/>
        <w:tabs>
          <w:tab w:leader="none" w:pos="1366" w:val="left"/>
        </w:tabs>
        <w:numPr>
          <w:ilvl w:val="0"/>
          <w:numId w:val="291"/>
        </w:numPr>
        <w:rPr>
          <w:rFonts w:ascii="Arial" w:cs="Arial" w:eastAsia="Arial" w:hAnsi="Arial"/>
          <w:sz w:val="14"/>
          <w:szCs w:val="14"/>
          <w:color w:val="auto"/>
        </w:rPr>
      </w:pPr>
      <w:r>
        <w:rPr>
          <w:rFonts w:ascii="Arial" w:cs="Arial" w:eastAsia="Arial" w:hAnsi="Arial"/>
          <w:sz w:val="14"/>
          <w:szCs w:val="14"/>
          <w:color w:val="auto"/>
        </w:rPr>
        <w:t>Any Person entitled to indemnification hereunder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(as well as one local counsel for each applicable jurisdiction)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shall have a right to retain one separate counsel, chosen by the holders of a majority of the Registrable Securities included in the registration, at the expense of the indemnifying party. Notwithstanding anything to the contrary contained herein, Pubco shall not, without the prior written consent of the Person entitled to indemnification, consent to entry of any judgment or enter into any settlement or other compromise with respect to any claim in respect of which indemnification or contribution may be or has been sought hereunder (whether or not any such indemnified Person is an actual or potential party to such action or claim) which does not include as an unconditional term thereof the giving by the claimant or plaintiff to the indemnified Persons of a full release from all liability with respect to such claim or which includes any admission as to fault or culpability or failure to act on the part of any indemnified Person.</w:t>
      </w:r>
    </w:p>
    <w:p>
      <w:pPr>
        <w:spacing w:after="0" w:line="153" w:lineRule="exact"/>
        <w:rPr>
          <w:rFonts w:ascii="Arial" w:cs="Arial" w:eastAsia="Arial" w:hAnsi="Arial"/>
          <w:sz w:val="14"/>
          <w:szCs w:val="14"/>
          <w:color w:val="auto"/>
        </w:rPr>
      </w:pPr>
    </w:p>
    <w:p>
      <w:pPr>
        <w:jc w:val="both"/>
        <w:ind w:firstLine="1143"/>
        <w:spacing w:after="0" w:line="289" w:lineRule="auto"/>
        <w:tabs>
          <w:tab w:leader="none" w:pos="1381" w:val="left"/>
        </w:tabs>
        <w:numPr>
          <w:ilvl w:val="0"/>
          <w:numId w:val="291"/>
        </w:numPr>
        <w:rPr>
          <w:rFonts w:ascii="Arial" w:cs="Arial" w:eastAsia="Arial" w:hAnsi="Arial"/>
          <w:sz w:val="14"/>
          <w:szCs w:val="14"/>
          <w:color w:val="auto"/>
        </w:rPr>
      </w:pPr>
      <w:r>
        <w:rPr>
          <w:rFonts w:ascii="Arial" w:cs="Arial" w:eastAsia="Arial" w:hAnsi="Arial"/>
          <w:sz w:val="14"/>
          <w:szCs w:val="14"/>
          <w:color w:val="auto"/>
        </w:rPr>
        <w:t xml:space="preserve">Each party hereto agrees that, if for any reason the indemnification provisions contemplated by </w:t>
      </w:r>
      <w:r>
        <w:rPr>
          <w:rFonts w:ascii="Arial" w:cs="Arial" w:eastAsia="Arial" w:hAnsi="Arial"/>
          <w:sz w:val="14"/>
          <w:szCs w:val="14"/>
          <w:u w:val="single" w:color="auto"/>
          <w:color w:val="auto"/>
        </w:rPr>
        <w:t>Sections 8(a)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8(b)</w:t>
      </w:r>
      <w:r>
        <w:rPr>
          <w:rFonts w:ascii="Arial" w:cs="Arial" w:eastAsia="Arial" w:hAnsi="Arial"/>
          <w:sz w:val="14"/>
          <w:szCs w:val="14"/>
          <w:color w:val="auto"/>
        </w:rPr>
        <w:t xml:space="preserve"> are unavailable to or insufficient to hold harmless an indemnified party in respect of any losses, claims, damages, liabilities or expenses (or actions in respect thereof) referred to therein, then each indemnifying party, in lieu of indemnifying such indemnified party, shall contribute to the amount paid or payable by such indemnified party as a result of such losses, claims, damages, liabilities or expenses (or actions in respect thereof) in such proportion as is appropriate to reflect the relative fault of the indemnifying party and the indemnified party in connection with the actions which resulted in such losses, claims, damages, liabilities or expenses,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to state a material fact, relates to information supplied by or on behalf of such indemnifying party or indemnified party, and the parties’ relative intent, knowledge, access to information and opportunity to correct or prevent such statement or omission. The parties hereto agree that it would not be just or equitable if contribution pursuant to this </w:t>
      </w:r>
      <w:r>
        <w:rPr>
          <w:rFonts w:ascii="Arial" w:cs="Arial" w:eastAsia="Arial" w:hAnsi="Arial"/>
          <w:sz w:val="14"/>
          <w:szCs w:val="14"/>
          <w:u w:val="single" w:color="auto"/>
          <w:color w:val="auto"/>
        </w:rPr>
        <w:t>Section 8(d)</w:t>
      </w:r>
      <w:r>
        <w:rPr>
          <w:rFonts w:ascii="Arial" w:cs="Arial" w:eastAsia="Arial" w:hAnsi="Arial"/>
          <w:sz w:val="14"/>
          <w:szCs w:val="14"/>
          <w:color w:val="auto"/>
        </w:rPr>
        <w:t xml:space="preserve"> were determined by pro rata allocation (even if the holders or any underwriters or all of them were treated as one entity for such purpose) or by any other method of allocation which does not take account of the equitable considerations referred to in this </w:t>
      </w:r>
      <w:r>
        <w:rPr>
          <w:rFonts w:ascii="Arial" w:cs="Arial" w:eastAsia="Arial" w:hAnsi="Arial"/>
          <w:sz w:val="14"/>
          <w:szCs w:val="14"/>
          <w:u w:val="single" w:color="auto"/>
          <w:color w:val="auto"/>
        </w:rPr>
        <w:t>Section 8(d)</w:t>
      </w:r>
      <w:r>
        <w:rPr>
          <w:rFonts w:ascii="Arial" w:cs="Arial" w:eastAsia="Arial" w:hAnsi="Arial"/>
          <w:sz w:val="14"/>
          <w:szCs w:val="14"/>
          <w:color w:val="auto"/>
        </w:rPr>
        <w:t xml:space="preserve">.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Arial" w:cs="Arial" w:eastAsia="Arial" w:hAnsi="Arial"/>
          <w:sz w:val="14"/>
          <w:szCs w:val="14"/>
          <w:u w:val="single" w:color="auto"/>
          <w:color w:val="auto"/>
        </w:rPr>
        <w:t>Section 8(c)</w:t>
      </w:r>
      <w:r>
        <w:rPr>
          <w:rFonts w:ascii="Arial" w:cs="Arial" w:eastAsia="Arial" w:hAnsi="Arial"/>
          <w:sz w:val="14"/>
          <w:szCs w:val="14"/>
          <w:color w:val="auto"/>
        </w:rPr>
        <w:t xml:space="preserve">, defending any such action or claim. No Person guilty of fraudulent misrepresentation (within the meaning of Section 11(f) of the Securities Act) shall be entitled to contribution from any Person who was not guilty of such fraudulent misrepresentation. The sellers’ obligations in this </w:t>
      </w:r>
      <w:r>
        <w:rPr>
          <w:rFonts w:ascii="Arial" w:cs="Arial" w:eastAsia="Arial" w:hAnsi="Arial"/>
          <w:sz w:val="14"/>
          <w:szCs w:val="14"/>
          <w:u w:val="single" w:color="auto"/>
          <w:color w:val="auto"/>
        </w:rPr>
        <w:t>Section 8(d)</w:t>
      </w:r>
      <w:r>
        <w:rPr>
          <w:rFonts w:ascii="Arial" w:cs="Arial" w:eastAsia="Arial" w:hAnsi="Arial"/>
          <w:sz w:val="14"/>
          <w:szCs w:val="14"/>
          <w:color w:val="auto"/>
        </w:rPr>
        <w:t xml:space="preserve"> to contribute shall be several in proportion to the amount of securities registered by them and not joint and shall be limited to an amount equal to the net proceeds actually received by such seller from the sale of Registrable Securities effected pursuant to such registration (less the aggregate amount of any damages or other amounts such Investor has otherwise been required to pay (pursuant to </w:t>
      </w:r>
      <w:r>
        <w:rPr>
          <w:rFonts w:ascii="Arial" w:cs="Arial" w:eastAsia="Arial" w:hAnsi="Arial"/>
          <w:sz w:val="14"/>
          <w:szCs w:val="14"/>
          <w:u w:val="single" w:color="auto"/>
          <w:color w:val="auto"/>
        </w:rPr>
        <w:t>Section 8(b)</w:t>
      </w:r>
      <w:r>
        <w:rPr>
          <w:rFonts w:ascii="Arial" w:cs="Arial" w:eastAsia="Arial" w:hAnsi="Arial"/>
          <w:sz w:val="14"/>
          <w:szCs w:val="14"/>
          <w:color w:val="auto"/>
        </w:rPr>
        <w:t xml:space="preserve"> or otherwise) as a result of any untrue statements, alleged untrue statements, omissions or alleged omissions in connection with such registration).</w:t>
      </w:r>
    </w:p>
    <w:p>
      <w:pPr>
        <w:spacing w:after="0" w:line="145" w:lineRule="exact"/>
        <w:rPr>
          <w:rFonts w:ascii="Arial" w:cs="Arial" w:eastAsia="Arial" w:hAnsi="Arial"/>
          <w:sz w:val="14"/>
          <w:szCs w:val="14"/>
          <w:color w:val="auto"/>
        </w:rPr>
      </w:pPr>
    </w:p>
    <w:p>
      <w:pPr>
        <w:jc w:val="both"/>
        <w:ind w:right="20" w:firstLine="1143"/>
        <w:spacing w:after="0" w:line="262" w:lineRule="auto"/>
        <w:tabs>
          <w:tab w:leader="none" w:pos="136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indemnification and contribution provided for under this Agreement shall remain in full force and effect regardless of any investigation made by or on behalf of the indemnified party or any officer, director, manager, agent, representative or controlling Person of such indemnified party and shall survive the transfer of Registrable Securities and the termination or expiration of this Agreement.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5" w:name="page286"/>
    <w:bookmarkEnd w:id="285"/>
    <w:p>
      <w:pPr>
        <w:jc w:val="both"/>
        <w:ind w:firstLine="569"/>
        <w:spacing w:after="0" w:line="290" w:lineRule="auto"/>
        <w:tabs>
          <w:tab w:leader="none" w:pos="733" w:val="left"/>
        </w:tabs>
        <w:numPr>
          <w:ilvl w:val="0"/>
          <w:numId w:val="292"/>
        </w:numPr>
        <w:rPr>
          <w:rFonts w:ascii="Arial" w:cs="Arial" w:eastAsia="Arial" w:hAnsi="Arial"/>
          <w:sz w:val="14"/>
          <w:szCs w:val="14"/>
          <w:color w:val="auto"/>
        </w:rPr>
      </w:pPr>
      <w:r>
        <w:rPr>
          <w:rFonts w:ascii="Arial" w:cs="Arial" w:eastAsia="Arial" w:hAnsi="Arial"/>
          <w:sz w:val="14"/>
          <w:szCs w:val="14"/>
          <w:u w:val="single" w:color="auto"/>
          <w:color w:val="auto"/>
        </w:rPr>
        <w:t>Participation in Underwritten Registrations</w:t>
      </w:r>
      <w:r>
        <w:rPr>
          <w:rFonts w:ascii="Arial" w:cs="Arial" w:eastAsia="Arial" w:hAnsi="Arial"/>
          <w:sz w:val="14"/>
          <w:szCs w:val="14"/>
          <w:color w:val="auto"/>
        </w:rPr>
        <w:t xml:space="preserve">. No Person may participate in any registration hereunder which is underwritten unless such Person (a) agrees to sell such Person’s securities on the basis provided in any underwriting arrangements approved by the Person or Persons entitled hereunder to approve such arrangements (including, without limitation, pursuant to any over-allotment or “green shoe” option requested by the underwriters; provided that no holder of Registrable Securities shall be required to sell more than the number of Registrable Securities such holder has requested to include) and (b) completes and executes all questionnaires, powers of attorney, custody agreements, stock powers, indemnities, underwriting agreements and other documents required under the terms of such underwriting arrangements; provided that no holder of Registrable Securities included in any underwritten registration shall be required to make any representations or warranties to Pubco or the underwriters (other than representations and warranties regarding such holder, such holder’s title to the securities, such Person’s authority to sell such securities and such holder’s intended method of distribution) or to undertake any indemnification obligations to Pubco or the underwriters with respect thereto that are materially more burdensome than those provided in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Each holder of Registrable Securities shall execute and deliver such other agreements as may be reasonably requested by Pubco and the lead managing underwriter(s) that are consistent with such holder’s obligations under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and this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or that are necessary to give further effect thereto, and Pubco shall execute and deliver such other agreements as may be reasonably requested by the lead managing underwriter(s) (if applicable) in order to effect any registration required hereunder. To the extent that any such agreement is entered into pursuant to, and consistent with,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and this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the respective rights and obligations created under such agreement shall supersede the respective rights and obligations of the holders, Pubco and the underwriters created pursuant to this </w:t>
      </w:r>
      <w:r>
        <w:rPr>
          <w:rFonts w:ascii="Arial" w:cs="Arial" w:eastAsia="Arial" w:hAnsi="Arial"/>
          <w:sz w:val="14"/>
          <w:szCs w:val="14"/>
          <w:u w:val="single" w:color="auto"/>
          <w:color w:val="auto"/>
        </w:rPr>
        <w:t>Section 9</w:t>
      </w:r>
      <w:r>
        <w:rPr>
          <w:rFonts w:ascii="Arial" w:cs="Arial" w:eastAsia="Arial" w:hAnsi="Arial"/>
          <w:sz w:val="14"/>
          <w:szCs w:val="14"/>
          <w:color w:val="auto"/>
        </w:rPr>
        <w:t>.</w:t>
      </w:r>
    </w:p>
    <w:p>
      <w:pPr>
        <w:spacing w:after="0" w:line="147" w:lineRule="exact"/>
        <w:rPr>
          <w:rFonts w:ascii="Arial" w:cs="Arial" w:eastAsia="Arial" w:hAnsi="Arial"/>
          <w:sz w:val="14"/>
          <w:szCs w:val="14"/>
          <w:color w:val="auto"/>
        </w:rPr>
      </w:pPr>
    </w:p>
    <w:p>
      <w:pPr>
        <w:ind w:left="800" w:hanging="231"/>
        <w:spacing w:after="0"/>
        <w:tabs>
          <w:tab w:leader="none" w:pos="800"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Other Agreements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95" w:lineRule="auto"/>
        <w:tabs>
          <w:tab w:leader="none" w:pos="1379" w:val="left"/>
        </w:tabs>
        <w:numPr>
          <w:ilvl w:val="1"/>
          <w:numId w:val="292"/>
        </w:numPr>
        <w:rPr>
          <w:rFonts w:ascii="Arial" w:cs="Arial" w:eastAsia="Arial" w:hAnsi="Arial"/>
          <w:sz w:val="14"/>
          <w:szCs w:val="14"/>
          <w:color w:val="auto"/>
        </w:rPr>
      </w:pPr>
      <w:r>
        <w:rPr>
          <w:rFonts w:ascii="Arial" w:cs="Arial" w:eastAsia="Arial" w:hAnsi="Arial"/>
          <w:sz w:val="14"/>
          <w:szCs w:val="14"/>
          <w:color w:val="auto"/>
        </w:rPr>
        <w:t>For so long as any Investor holds Registrable Securities that may be sold pursuant to Rule 144 only if Pubco is in compliance with the current public information requirement under Rule 144(c)(1) (or Rule 144(i)(2), if applicable), Pubco will use its commercially reasonable efforts to make and keep public information available, as those terms are understood and defined in Rule 144 and, in furtherance thereof, (i) remain subject to the reporting requirements of Section 13 or 15(d) of the Exchange Act; and (ii) timely (without giving effect to any extensions pursuant to Rule 12b-25 under the Exchange Act, as applicable) file all reports and other materials required to be filed by Section 13 or 15(d) of the Exchange Act, as applicable (provided, that the failure to file Current Reports on Form 8-K, other than the Form 8-K filed on the Form 10 Disclosure Filing Date, shall not be deemed to violate this Section 10(b) to the extent that Rule 144 remains available for the resale of Registrable Securities). Upon reasonable prior written request, Pubco shall deliver to the Investors a customary written statement as to whether it has complied with such requirements.</w:t>
      </w:r>
    </w:p>
    <w:p>
      <w:pPr>
        <w:spacing w:after="0" w:line="144" w:lineRule="exact"/>
        <w:rPr>
          <w:rFonts w:ascii="Arial" w:cs="Arial" w:eastAsia="Arial" w:hAnsi="Arial"/>
          <w:sz w:val="14"/>
          <w:szCs w:val="14"/>
          <w:color w:val="auto"/>
        </w:rPr>
      </w:pPr>
    </w:p>
    <w:p>
      <w:pPr>
        <w:jc w:val="both"/>
        <w:ind w:firstLine="1143"/>
        <w:spacing w:after="0" w:line="270" w:lineRule="auto"/>
        <w:tabs>
          <w:tab w:leader="none" w:pos="1390" w:val="left"/>
        </w:tabs>
        <w:numPr>
          <w:ilvl w:val="1"/>
          <w:numId w:val="292"/>
        </w:numPr>
        <w:rPr>
          <w:rFonts w:ascii="Arial" w:cs="Arial" w:eastAsia="Arial" w:hAnsi="Arial"/>
          <w:sz w:val="15"/>
          <w:szCs w:val="15"/>
          <w:color w:val="auto"/>
        </w:rPr>
      </w:pPr>
      <w:r>
        <w:rPr>
          <w:rFonts w:ascii="Arial" w:cs="Arial" w:eastAsia="Arial" w:hAnsi="Arial"/>
          <w:sz w:val="15"/>
          <w:szCs w:val="15"/>
          <w:color w:val="auto"/>
        </w:rPr>
        <w:t>Notwithstanding anything in this Agreement to the contrary, and subject to (and without limiting) Section 8(s) of the Subscription Agreements, in the event that Pubco believes that a notice or communication required by this Agreement to be delivered to any Investor contains material, nonpublic information relating to Pubco, its securities, any of its affiliates or any other Person, Pubco shall so indicate to such Investor prior to delivery of such notice or communication, and such indication shall provide such Investor the means to refuse to receive such notice or communication; and in the absence of any such indication, the Investors and their respective affiliates, agents and representatives shall be allowed to presume that all matters relating to such notice or communication do not constitute material, nonpublic information relating to Pubco, its securities, any of its affiliates or any other Person. In the event of a breach of any of the foregoing covenants by Pubco, any of its affiliates, or any of its or their respective officers, directors (or equivalent persons), employees, attorneys, agents or representatives, in addition to any other remedies otherwise available at law or in equity, each of the Investors shall have the right to make a public disclosure in the form of a press release or otherwise, of the applicable material nonpublic information without the prior approval by Pubco or any of its affiliates, officers, directors (or equivalent persons), employees, stockholders, attorneys, agents or representatives, and no Investor (nor any of its affiliates, agents or representatives) shall have any liability to Pubco, any of its affiliates or any of its or their respective officers, directors (or equivalent persons), employees, stockholders, attorneys, agents or representatives for any such disclosure.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6" w:name="page287"/>
    <w:bookmarkEnd w:id="286"/>
    <w:p>
      <w:pPr>
        <w:jc w:val="both"/>
        <w:ind w:firstLine="1143"/>
        <w:spacing w:after="0" w:line="270" w:lineRule="auto"/>
        <w:tabs>
          <w:tab w:leader="none" w:pos="1379" w:val="left"/>
        </w:tabs>
        <w:numPr>
          <w:ilvl w:val="0"/>
          <w:numId w:val="293"/>
        </w:numPr>
        <w:rPr>
          <w:rFonts w:ascii="Arial" w:cs="Arial" w:eastAsia="Arial" w:hAnsi="Arial"/>
          <w:sz w:val="15"/>
          <w:szCs w:val="15"/>
          <w:color w:val="auto"/>
        </w:rPr>
      </w:pPr>
      <w:r>
        <w:rPr>
          <w:rFonts w:ascii="Arial" w:cs="Arial" w:eastAsia="Arial" w:hAnsi="Arial"/>
          <w:sz w:val="15"/>
          <w:szCs w:val="15"/>
          <w:color w:val="auto"/>
        </w:rPr>
        <w:t>Notwithstanding the foregoing and Section 8(s) of the Subscription Agreements, to the extent Pubco reasonably and in good faith determines that it is necessary to disclose material non-public information to an Investor in order to comply with its obligations hereunder (a “</w:t>
      </w:r>
      <w:r>
        <w:rPr>
          <w:rFonts w:ascii="Arial" w:cs="Arial" w:eastAsia="Arial" w:hAnsi="Arial"/>
          <w:sz w:val="15"/>
          <w:szCs w:val="15"/>
          <w:u w:val="single" w:color="auto"/>
          <w:color w:val="auto"/>
        </w:rPr>
        <w:t>Necessary Disclosure</w:t>
      </w:r>
      <w:r>
        <w:rPr>
          <w:rFonts w:ascii="Arial" w:cs="Arial" w:eastAsia="Arial" w:hAnsi="Arial"/>
          <w:sz w:val="15"/>
          <w:szCs w:val="15"/>
          <w:color w:val="auto"/>
        </w:rPr>
        <w:t>”), Pubco shall inform counsel to such Investor of such determination without disclosing the applicable material non-public information, and Pubco and such counsel on behalf of the applicable Investor shall endeavor to agree upon a process for making such Necessary Disclosure to the applicable Investor or its representatives that is mutually acceptable to such Investor and Pubco (an “</w:t>
      </w:r>
      <w:r>
        <w:rPr>
          <w:rFonts w:ascii="Arial" w:cs="Arial" w:eastAsia="Arial" w:hAnsi="Arial"/>
          <w:sz w:val="15"/>
          <w:szCs w:val="15"/>
          <w:u w:val="single" w:color="auto"/>
          <w:color w:val="auto"/>
        </w:rPr>
        <w:t>Agreed Disclosure Process</w:t>
      </w:r>
      <w:r>
        <w:rPr>
          <w:rFonts w:ascii="Arial" w:cs="Arial" w:eastAsia="Arial" w:hAnsi="Arial"/>
          <w:sz w:val="15"/>
          <w:szCs w:val="15"/>
          <w:color w:val="auto"/>
        </w:rPr>
        <w:t>”). Thereafter, Pubco shall be permitted to make such Necessary Disclosure (only) in accordance with the Agreed Disclosure Process. In furtherance of (but without limiting) the foregoing or Section 8(s) of the Subscription Agreements, at any time on or after the effective date of the Resale Shelf Registration Statement, any Investor may deliver written notice (an “</w:t>
      </w:r>
      <w:r>
        <w:rPr>
          <w:rFonts w:ascii="Arial" w:cs="Arial" w:eastAsia="Arial" w:hAnsi="Arial"/>
          <w:sz w:val="15"/>
          <w:szCs w:val="15"/>
          <w:u w:val="single" w:color="auto"/>
          <w:color w:val="auto"/>
        </w:rPr>
        <w:t>Opt-Out Notice</w:t>
      </w:r>
      <w:r>
        <w:rPr>
          <w:rFonts w:ascii="Arial" w:cs="Arial" w:eastAsia="Arial" w:hAnsi="Arial"/>
          <w:sz w:val="15"/>
          <w:szCs w:val="15"/>
          <w:color w:val="auto"/>
        </w:rPr>
        <w:t>”) to Pubco requesting that such Investor thereafter not receive notices from Pubco otherwise required by Section 10 of this Agreement, other than Suspension Notices to the extent applicable to such Investor; provided, however, that such Investor may later revoke any such Opt-Out Notice in writing. Following receipt of an Opt-Out Notice from any Investor (unless such Opt-Out Notice is subsequently revoked), Pubco shall not deliver any such notices to such Investor, and such Investor shall no longer be entitled to the rights associated with any such notice or conditioned upon the receipt of or response to any such notice.</w:t>
      </w:r>
    </w:p>
    <w:p>
      <w:pPr>
        <w:spacing w:after="0" w:line="159" w:lineRule="exact"/>
        <w:rPr>
          <w:rFonts w:ascii="Arial" w:cs="Arial" w:eastAsia="Arial" w:hAnsi="Arial"/>
          <w:sz w:val="15"/>
          <w:szCs w:val="15"/>
          <w:color w:val="auto"/>
        </w:rPr>
      </w:pPr>
    </w:p>
    <w:p>
      <w:pPr>
        <w:jc w:val="both"/>
        <w:ind w:firstLine="1143"/>
        <w:spacing w:after="0" w:line="288" w:lineRule="auto"/>
        <w:tabs>
          <w:tab w:leader="none" w:pos="1385" w:val="left"/>
        </w:tabs>
        <w:numPr>
          <w:ilvl w:val="0"/>
          <w:numId w:val="293"/>
        </w:numPr>
        <w:rPr>
          <w:rFonts w:ascii="Arial" w:cs="Arial" w:eastAsia="Arial" w:hAnsi="Arial"/>
          <w:sz w:val="14"/>
          <w:szCs w:val="14"/>
          <w:color w:val="auto"/>
        </w:rPr>
      </w:pPr>
      <w:r>
        <w:rPr>
          <w:rFonts w:ascii="Arial" w:cs="Arial" w:eastAsia="Arial" w:hAnsi="Arial"/>
          <w:sz w:val="14"/>
          <w:szCs w:val="14"/>
          <w:color w:val="auto"/>
        </w:rPr>
        <w:t>The stock certificates evidencing the Registrable Securities (and/or book entries representing the Registrable Securities) held by each Investor shall not contain or be subject to any legend restricting the transfer thereof (and the Registrable Securities shall not be subject to any stop transfer or similar instructions or notations) and no Investor shall be required to delivery any documentation affixed with a medallion guarantee in connection therewith: (A) while a Registration Statement covering the sale or resale of such securities is effective under the Securities Act, or (B) if such Investor provides customary paperwork to the effect that it has sold such shares pursuant to Rule 144, or (C) if such Registrable Securities are eligible for sale under Rule 144(b)(1) as set forth in customary non-affiliate paperwork provided by such Investor, or (D) if at any time on or after the date that is one year after the Form 10 Disclosure Filing Date such Investor certifies that it is not an affiliate of Pubco and that such Investor’s holding period for purposes of Rule 144 in respect of such Registrable Securities is at least six (6) months, or (E) if such legend is not required under applicable requirements of the Securities Act (including judicial interpretations and pronouncements issued by the staff of the Commission) as determined in good faith by counsel to Pubco or set forth in a legal opinion delivered by nationally recognized counsel to the Initiating Holder (collectively, the “</w:t>
      </w:r>
      <w:r>
        <w:rPr>
          <w:rFonts w:ascii="Arial" w:cs="Arial" w:eastAsia="Arial" w:hAnsi="Arial"/>
          <w:sz w:val="14"/>
          <w:szCs w:val="14"/>
          <w:u w:val="single" w:color="auto"/>
          <w:color w:val="auto"/>
        </w:rPr>
        <w:t>Unrestricted Conditions</w:t>
      </w:r>
      <w:r>
        <w:rPr>
          <w:rFonts w:ascii="Arial" w:cs="Arial" w:eastAsia="Arial" w:hAnsi="Arial"/>
          <w:sz w:val="14"/>
          <w:szCs w:val="14"/>
          <w:color w:val="auto"/>
        </w:rPr>
        <w:t>”). Pubco agrees that following the Registration Date or at such time as any of the Unrestricted Conditions is met or such legend is otherwise no longer required it will, no later than two (2) Business Days following the delivery by an Investor to Pubco or Pubco’s transfer agent of a certificate representing any Registrable Securities, issued with a restrictive legend, (or, in the case of Registrable Securities represented by book entries, delivery by an Investor to Pubco or Pubco’s transfer agent of a legend removal request) deliver or cause to be delivered to such Investor a certificate or, at the request of such Investor, deliver or cause to be delivered such Registrable Securities to such Investor by crediting the account of such Investor’s prime broker with DTC through its Deposit/Withdrawal at Custodian (DWAC) system, in each case, free from all restrictive and other legends and stop transfer or similar instructions or notations and without the requirement for any Investor to deliver any documentation affixed with a medallion guarantee. For purposes hereof, “</w:t>
      </w:r>
      <w:r>
        <w:rPr>
          <w:rFonts w:ascii="Arial" w:cs="Arial" w:eastAsia="Arial" w:hAnsi="Arial"/>
          <w:sz w:val="14"/>
          <w:szCs w:val="14"/>
          <w:u w:val="single" w:color="auto"/>
          <w:color w:val="auto"/>
        </w:rPr>
        <w:t>Registration Date</w:t>
      </w:r>
      <w:r>
        <w:rPr>
          <w:rFonts w:ascii="Arial" w:cs="Arial" w:eastAsia="Arial" w:hAnsi="Arial"/>
          <w:sz w:val="14"/>
          <w:szCs w:val="14"/>
          <w:color w:val="auto"/>
        </w:rPr>
        <w:t>” shall mean the date that the Resale Shelf Registration Statement covering the Registration Statement has been declared effective by the Commission. If any of the Unrestricted Conditions is met at the time of issuance of any Registrable Securities (e.g., upon exercise of warrants), then such securities shall be issued free of all legends. Each Investor shall have the right to pursue any remedies available to it hereunder, or otherwise at law or in equity, including a decree of specific performance and/or injunctive relief, with respect to Pubco’s failure to timely deliver shares of Common Stock without legend as required pursuant to the terms hereof.</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7" w:name="page288"/>
    <w:bookmarkEnd w:id="287"/>
    <w:p>
      <w:pPr>
        <w:ind w:left="804" w:hanging="231"/>
        <w:spacing w:after="0"/>
        <w:tabs>
          <w:tab w:leader="none" w:pos="804" w:val="left"/>
        </w:tabs>
        <w:numPr>
          <w:ilvl w:val="0"/>
          <w:numId w:val="294"/>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4" w:right="20" w:firstLine="1143"/>
        <w:spacing w:after="0" w:line="309" w:lineRule="auto"/>
        <w:tabs>
          <w:tab w:leader="none" w:pos="1380" w:val="left"/>
        </w:tabs>
        <w:numPr>
          <w:ilvl w:val="1"/>
          <w:numId w:val="29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Approving Party</w:t>
      </w:r>
      <w:r>
        <w:rPr>
          <w:rFonts w:ascii="Arial" w:cs="Arial" w:eastAsia="Arial" w:hAnsi="Arial"/>
          <w:sz w:val="15"/>
          <w:szCs w:val="15"/>
          <w:color w:val="auto"/>
        </w:rPr>
        <w:t xml:space="preserve">” means the holders of a majority of the Registrable Securities participating in the applicable offering or, in the case of a Short-Form Registration effected pursuant to </w:t>
      </w:r>
      <w:r>
        <w:rPr>
          <w:rFonts w:ascii="Arial" w:cs="Arial" w:eastAsia="Arial" w:hAnsi="Arial"/>
          <w:sz w:val="15"/>
          <w:szCs w:val="15"/>
          <w:u w:val="single" w:color="auto"/>
          <w:color w:val="auto"/>
        </w:rPr>
        <w:t>Section 2(c)</w:t>
      </w:r>
      <w:r>
        <w:rPr>
          <w:rFonts w:ascii="Arial" w:cs="Arial" w:eastAsia="Arial" w:hAnsi="Arial"/>
          <w:sz w:val="15"/>
          <w:szCs w:val="15"/>
          <w:color w:val="auto"/>
        </w:rPr>
        <w:t>, the holders of a majority of the type of Registrable Securities that initiated such Short-Form Registration.</w:t>
      </w:r>
    </w:p>
    <w:p>
      <w:pPr>
        <w:spacing w:after="0" w:line="129" w:lineRule="exact"/>
        <w:rPr>
          <w:rFonts w:ascii="Arial" w:cs="Arial" w:eastAsia="Arial" w:hAnsi="Arial"/>
          <w:sz w:val="15"/>
          <w:szCs w:val="15"/>
          <w:color w:val="auto"/>
        </w:rPr>
      </w:pPr>
    </w:p>
    <w:p>
      <w:pPr>
        <w:ind w:left="1364" w:hanging="217"/>
        <w:spacing w:after="0"/>
        <w:tabs>
          <w:tab w:leader="none" w:pos="1364" w:val="left"/>
        </w:tabs>
        <w:numPr>
          <w:ilvl w:val="1"/>
          <w:numId w:val="29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Block Trade</w:t>
      </w:r>
      <w:r>
        <w:rPr>
          <w:rFonts w:ascii="Arial" w:cs="Arial" w:eastAsia="Arial" w:hAnsi="Arial"/>
          <w:sz w:val="15"/>
          <w:szCs w:val="15"/>
          <w:color w:val="auto"/>
        </w:rPr>
        <w:t>” means any non-marketed underwritten takedown offering taking the form of a bought deal or block sale to a financial institution.</w:t>
      </w:r>
    </w:p>
    <w:p>
      <w:pPr>
        <w:spacing w:after="0" w:line="209" w:lineRule="exact"/>
        <w:rPr>
          <w:rFonts w:ascii="Arial" w:cs="Arial" w:eastAsia="Arial" w:hAnsi="Arial"/>
          <w:sz w:val="15"/>
          <w:szCs w:val="15"/>
          <w:color w:val="auto"/>
        </w:rPr>
      </w:pPr>
    </w:p>
    <w:p>
      <w:pPr>
        <w:ind w:left="1364" w:hanging="217"/>
        <w:spacing w:after="0"/>
        <w:tabs>
          <w:tab w:leader="none" w:pos="1364" w:val="left"/>
        </w:tabs>
        <w:numPr>
          <w:ilvl w:val="1"/>
          <w:numId w:val="29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that is not a Saturday or Sunday or a legal holiday in the state in which Pubco’s chief executive office is located or in New</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York, NY.</w:t>
      </w:r>
    </w:p>
    <w:p>
      <w:pPr>
        <w:spacing w:after="0" w:line="185" w:lineRule="exact"/>
        <w:rPr>
          <w:rFonts w:ascii="Arial" w:cs="Arial" w:eastAsia="Arial" w:hAnsi="Arial"/>
          <w:sz w:val="14"/>
          <w:szCs w:val="14"/>
          <w:color w:val="auto"/>
        </w:rPr>
      </w:pPr>
    </w:p>
    <w:p>
      <w:pPr>
        <w:ind w:left="1364" w:hanging="217"/>
        <w:spacing w:after="0"/>
        <w:tabs>
          <w:tab w:leader="none" w:pos="1364"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U.S. Securities and Exchange Commission.</w:t>
      </w:r>
    </w:p>
    <w:p>
      <w:pPr>
        <w:spacing w:after="0" w:line="198" w:lineRule="exact"/>
        <w:rPr>
          <w:rFonts w:ascii="Arial" w:cs="Arial" w:eastAsia="Arial" w:hAnsi="Arial"/>
          <w:sz w:val="16"/>
          <w:szCs w:val="16"/>
          <w:color w:val="auto"/>
        </w:rPr>
      </w:pPr>
    </w:p>
    <w:p>
      <w:pPr>
        <w:ind w:left="1364" w:hanging="217"/>
        <w:spacing w:after="0"/>
        <w:tabs>
          <w:tab w:leader="none" w:pos="1364"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Pubco, par value $0.0001 per share.</w:t>
      </w:r>
    </w:p>
    <w:p>
      <w:pPr>
        <w:spacing w:after="0" w:line="198" w:lineRule="exact"/>
        <w:rPr>
          <w:rFonts w:ascii="Arial" w:cs="Arial" w:eastAsia="Arial" w:hAnsi="Arial"/>
          <w:sz w:val="16"/>
          <w:szCs w:val="16"/>
          <w:color w:val="auto"/>
        </w:rPr>
      </w:pPr>
    </w:p>
    <w:p>
      <w:pPr>
        <w:ind w:left="4" w:firstLine="1143"/>
        <w:spacing w:after="0" w:line="275" w:lineRule="auto"/>
        <w:tabs>
          <w:tab w:leader="none" w:pos="1351"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 or any successor federal law then in force, together with all rules and regulations promulgated thereunder.</w:t>
      </w:r>
    </w:p>
    <w:p>
      <w:pPr>
        <w:spacing w:after="0" w:line="151" w:lineRule="exact"/>
        <w:rPr>
          <w:rFonts w:ascii="Arial" w:cs="Arial" w:eastAsia="Arial" w:hAnsi="Arial"/>
          <w:sz w:val="16"/>
          <w:szCs w:val="16"/>
          <w:color w:val="auto"/>
        </w:rPr>
      </w:pPr>
    </w:p>
    <w:p>
      <w:pPr>
        <w:ind w:left="1364" w:hanging="217"/>
        <w:spacing w:after="0"/>
        <w:tabs>
          <w:tab w:leader="none" w:pos="1364"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FINRA</w:t>
      </w:r>
      <w:r>
        <w:rPr>
          <w:rFonts w:ascii="Arial" w:cs="Arial" w:eastAsia="Arial" w:hAnsi="Arial"/>
          <w:sz w:val="16"/>
          <w:szCs w:val="16"/>
          <w:color w:val="auto"/>
        </w:rPr>
        <w:t>” means the Financial Industry Regulatory Authority or any successor thereto.</w:t>
      </w:r>
    </w:p>
    <w:p>
      <w:pPr>
        <w:spacing w:after="0" w:line="198" w:lineRule="exact"/>
        <w:rPr>
          <w:rFonts w:ascii="Arial" w:cs="Arial" w:eastAsia="Arial" w:hAnsi="Arial"/>
          <w:sz w:val="16"/>
          <w:szCs w:val="16"/>
          <w:color w:val="auto"/>
        </w:rPr>
      </w:pPr>
    </w:p>
    <w:p>
      <w:pPr>
        <w:ind w:left="1364" w:hanging="217"/>
        <w:spacing w:after="0"/>
        <w:tabs>
          <w:tab w:leader="none" w:pos="1364"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Free-Writing Prospectus</w:t>
      </w:r>
      <w:r>
        <w:rPr>
          <w:rFonts w:ascii="Arial" w:cs="Arial" w:eastAsia="Arial" w:hAnsi="Arial"/>
          <w:sz w:val="16"/>
          <w:szCs w:val="16"/>
          <w:color w:val="auto"/>
        </w:rPr>
        <w:t>” means a free-writing prospectus, as defined in Rule 405 of the Securities Act.</w:t>
      </w:r>
    </w:p>
    <w:p>
      <w:pPr>
        <w:spacing w:after="0" w:line="198" w:lineRule="exact"/>
        <w:rPr>
          <w:rFonts w:ascii="Arial" w:cs="Arial" w:eastAsia="Arial" w:hAnsi="Arial"/>
          <w:sz w:val="16"/>
          <w:szCs w:val="16"/>
          <w:color w:val="auto"/>
        </w:rPr>
      </w:pPr>
    </w:p>
    <w:p>
      <w:pPr>
        <w:jc w:val="both"/>
        <w:ind w:left="4" w:firstLine="1143"/>
        <w:spacing w:after="0" w:line="262" w:lineRule="auto"/>
        <w:tabs>
          <w:tab w:leader="none" w:pos="1354"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10 Disclosure Filing Date</w:t>
      </w:r>
      <w:r>
        <w:rPr>
          <w:rFonts w:ascii="Arial" w:cs="Arial" w:eastAsia="Arial" w:hAnsi="Arial"/>
          <w:sz w:val="16"/>
          <w:szCs w:val="16"/>
          <w:color w:val="auto"/>
        </w:rPr>
        <w:t>” means the date on which Pubco shall file with the Commission a Current Report on Form 8-K that includes current “Form 10 information” (within the meaning of Rule 144) reflecting Pubco’s status as an entity that is no longer an issuer described in paragraph (i)(1)(i) of Rule 144, which in no event shall occur later than four business days following the consummation of the Mergers.</w:t>
      </w:r>
    </w:p>
    <w:p>
      <w:pPr>
        <w:spacing w:after="0" w:line="162" w:lineRule="exact"/>
        <w:rPr>
          <w:rFonts w:ascii="Arial" w:cs="Arial" w:eastAsia="Arial" w:hAnsi="Arial"/>
          <w:sz w:val="16"/>
          <w:szCs w:val="16"/>
          <w:color w:val="auto"/>
        </w:rPr>
      </w:pPr>
    </w:p>
    <w:p>
      <w:pPr>
        <w:ind w:left="4" w:right="20" w:firstLine="1143"/>
        <w:spacing w:after="0" w:line="275" w:lineRule="auto"/>
        <w:tabs>
          <w:tab w:leader="none" w:pos="1342"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Presto Investors</w:t>
      </w:r>
      <w:r>
        <w:rPr>
          <w:rFonts w:ascii="Arial" w:cs="Arial" w:eastAsia="Arial" w:hAnsi="Arial"/>
          <w:sz w:val="16"/>
          <w:szCs w:val="16"/>
          <w:color w:val="auto"/>
        </w:rPr>
        <w:t>” means, as of any date of determination, the holders of a majority of the Registrable Securities held by the Presto Investors and their successors and assigns.</w:t>
      </w:r>
    </w:p>
    <w:p>
      <w:pPr>
        <w:spacing w:after="0" w:line="151" w:lineRule="exact"/>
        <w:rPr>
          <w:rFonts w:ascii="Arial" w:cs="Arial" w:eastAsia="Arial" w:hAnsi="Arial"/>
          <w:sz w:val="16"/>
          <w:szCs w:val="16"/>
          <w:color w:val="auto"/>
        </w:rPr>
      </w:pPr>
    </w:p>
    <w:p>
      <w:pPr>
        <w:ind w:left="1364" w:hanging="217"/>
        <w:spacing w:after="0"/>
        <w:tabs>
          <w:tab w:leader="none" w:pos="1364" w:val="left"/>
        </w:tabs>
        <w:numPr>
          <w:ilvl w:val="1"/>
          <w:numId w:val="29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Majority [***] Investors”</w:t>
      </w:r>
      <w:r>
        <w:rPr>
          <w:rFonts w:ascii="Arial" w:cs="Arial" w:eastAsia="Arial" w:hAnsi="Arial"/>
          <w:sz w:val="14"/>
          <w:szCs w:val="14"/>
          <w:color w:val="auto"/>
        </w:rPr>
        <w:t xml:space="preserve"> means, as of any date of determination, the holders of a majority of the Registrable Securities held by the [***] Investors as of</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such date.</w:t>
      </w:r>
    </w:p>
    <w:p>
      <w:pPr>
        <w:spacing w:after="0" w:line="185" w:lineRule="exact"/>
        <w:rPr>
          <w:rFonts w:ascii="Arial" w:cs="Arial" w:eastAsia="Arial" w:hAnsi="Arial"/>
          <w:sz w:val="14"/>
          <w:szCs w:val="14"/>
          <w:color w:val="auto"/>
        </w:rPr>
      </w:pPr>
    </w:p>
    <w:p>
      <w:pPr>
        <w:ind w:left="1344" w:hanging="197"/>
        <w:spacing w:after="0"/>
        <w:tabs>
          <w:tab w:leader="none" w:pos="1344" w:val="left"/>
        </w:tabs>
        <w:numPr>
          <w:ilvl w:val="1"/>
          <w:numId w:val="29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New Registration Statement Filing Deadline</w:t>
      </w:r>
      <w:r>
        <w:rPr>
          <w:rFonts w:ascii="Arial" w:cs="Arial" w:eastAsia="Arial" w:hAnsi="Arial"/>
          <w:sz w:val="14"/>
          <w:szCs w:val="14"/>
          <w:color w:val="auto"/>
        </w:rPr>
        <w:t>” means, with respect to any New Registration Statements that may be required pursuant to Section 1(b), (i)</w:t>
      </w:r>
    </w:p>
    <w:p>
      <w:pPr>
        <w:spacing w:after="0" w:line="43" w:lineRule="exact"/>
        <w:rPr>
          <w:sz w:val="20"/>
          <w:szCs w:val="20"/>
          <w:color w:val="auto"/>
        </w:rPr>
      </w:pPr>
    </w:p>
    <w:p>
      <w:pPr>
        <w:ind w:left="4"/>
        <w:spacing w:after="0" w:line="235" w:lineRule="auto"/>
        <w:rPr>
          <w:sz w:val="20"/>
          <w:szCs w:val="20"/>
          <w:color w:val="auto"/>
        </w:rPr>
      </w:pPr>
      <w:r>
        <w:rPr>
          <w:rFonts w:ascii="Arial" w:cs="Arial" w:eastAsia="Arial" w:hAnsi="Arial"/>
          <w:sz w:val="14"/>
          <w:szCs w:val="14"/>
          <w:color w:val="auto"/>
        </w:rPr>
        <w:t>the tenth (10</w:t>
      </w:r>
      <w:r>
        <w:rPr>
          <w:rFonts w:ascii="Arial" w:cs="Arial" w:eastAsia="Arial" w:hAnsi="Arial"/>
          <w:sz w:val="23"/>
          <w:szCs w:val="23"/>
          <w:color w:val="auto"/>
          <w:vertAlign w:val="superscript"/>
        </w:rPr>
        <w:t>th</w:t>
      </w:r>
      <w:r>
        <w:rPr>
          <w:rFonts w:ascii="Arial" w:cs="Arial" w:eastAsia="Arial" w:hAnsi="Arial"/>
          <w:sz w:val="14"/>
          <w:szCs w:val="14"/>
          <w:color w:val="auto"/>
        </w:rPr>
        <w:t>) day following the first date on which such Registrable Securities may then be included in a Registration Statement if such Registration Statement is required to be filed because the Commission shall have informed Pubco that certain Registrable Securities were not eligible for inclusion in a previously filed Registration Statement, or</w:t>
      </w:r>
    </w:p>
    <w:p>
      <w:pPr>
        <w:spacing w:after="0" w:line="2" w:lineRule="exact"/>
        <w:rPr>
          <w:sz w:val="20"/>
          <w:szCs w:val="20"/>
          <w:color w:val="auto"/>
        </w:rPr>
      </w:pPr>
    </w:p>
    <w:p>
      <w:pPr>
        <w:ind w:left="4" w:right="20" w:hanging="4"/>
        <w:spacing w:after="0" w:line="207" w:lineRule="auto"/>
        <w:tabs>
          <w:tab w:leader="none" w:pos="258" w:val="left"/>
        </w:tabs>
        <w:numPr>
          <w:ilvl w:val="0"/>
          <w:numId w:val="295"/>
        </w:numPr>
        <w:rPr>
          <w:rFonts w:ascii="Arial" w:cs="Arial" w:eastAsia="Arial" w:hAnsi="Arial"/>
          <w:sz w:val="16"/>
          <w:szCs w:val="16"/>
          <w:color w:val="auto"/>
        </w:rPr>
      </w:pPr>
      <w:r>
        <w:rPr>
          <w:rFonts w:ascii="Arial" w:cs="Arial" w:eastAsia="Arial" w:hAnsi="Arial"/>
          <w:sz w:val="16"/>
          <w:szCs w:val="16"/>
          <w:color w:val="auto"/>
        </w:rPr>
        <w:t>if such New Registration Statement is required for a reason other than as described in clause (i) of this definition,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date on which Pubco first knows that such New Registration Statement is required.</w:t>
      </w:r>
    </w:p>
    <w:p>
      <w:pPr>
        <w:spacing w:after="0" w:line="180" w:lineRule="exact"/>
        <w:rPr>
          <w:rFonts w:ascii="Arial" w:cs="Arial" w:eastAsia="Arial" w:hAnsi="Arial"/>
          <w:sz w:val="16"/>
          <w:szCs w:val="16"/>
          <w:color w:val="auto"/>
        </w:rPr>
      </w:pPr>
    </w:p>
    <w:p>
      <w:pPr>
        <w:jc w:val="both"/>
        <w:ind w:left="4" w:right="20" w:firstLine="1143"/>
        <w:spacing w:after="0" w:line="306" w:lineRule="auto"/>
        <w:tabs>
          <w:tab w:leader="none" w:pos="1421" w:val="left"/>
        </w:tabs>
        <w:numPr>
          <w:ilvl w:val="1"/>
          <w:numId w:val="29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Transferees</w:t>
      </w:r>
      <w:r>
        <w:rPr>
          <w:rFonts w:ascii="Arial" w:cs="Arial" w:eastAsia="Arial" w:hAnsi="Arial"/>
          <w:sz w:val="14"/>
          <w:szCs w:val="14"/>
          <w:color w:val="auto"/>
        </w:rPr>
        <w:t>” means any Person to whom an Investor transfers Registrable Securities; provided, however, that, with respect to any transfer of Registrable Securities that constitute Lock-up Shares (as defined in the Bylaws), during the applicable Lock-up Period (as defined in the Bylaws and the Support Agreements), the transferee thereof shall only constitute a Permitted Transferee if such transferee is a Person to whom such Registrable Securities are permitted to be transferred by the transferring Investor during the applicable Lock-up Period (as defined in per Bylaws and the Support Agreements) under the Bylaws and the Support Agreements.</w:t>
      </w: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88" w:name="page289"/>
    <w:bookmarkEnd w:id="288"/>
    <w:p>
      <w:pPr>
        <w:ind w:right="20" w:firstLine="1143"/>
        <w:spacing w:after="0" w:line="309" w:lineRule="auto"/>
        <w:tabs>
          <w:tab w:leader="none" w:pos="1373" w:val="left"/>
        </w:tabs>
        <w:numPr>
          <w:ilvl w:val="0"/>
          <w:numId w:val="2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 individual, a partnership, a corporation, a limited liability company, an association, a joint stock company, a trust, a joint venture, an unincorporated organization, any other legal entity or business organization and a governmental entity or any department, agency or political subdivision thereof.</w:t>
      </w:r>
    </w:p>
    <w:p>
      <w:pPr>
        <w:spacing w:after="0" w:line="129" w:lineRule="exact"/>
        <w:rPr>
          <w:rFonts w:ascii="Arial" w:cs="Arial" w:eastAsia="Arial" w:hAnsi="Arial"/>
          <w:sz w:val="15"/>
          <w:szCs w:val="15"/>
          <w:color w:val="auto"/>
        </w:rPr>
      </w:pPr>
    </w:p>
    <w:p>
      <w:pPr>
        <w:ind w:right="20" w:firstLine="1143"/>
        <w:spacing w:after="0" w:line="275" w:lineRule="auto"/>
        <w:tabs>
          <w:tab w:leader="none" w:pos="138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Presto Investors</w:t>
      </w:r>
      <w:r>
        <w:rPr>
          <w:rFonts w:ascii="Arial" w:cs="Arial" w:eastAsia="Arial" w:hAnsi="Arial"/>
          <w:sz w:val="16"/>
          <w:szCs w:val="16"/>
          <w:color w:val="auto"/>
        </w:rPr>
        <w:t xml:space="preserve">” means the Investors set forth on the Schedule of Investors as of the date hereof and their direct and indirect transferees, if any, who become a party to this Agreement pursuant to </w:t>
      </w:r>
      <w:r>
        <w:rPr>
          <w:rFonts w:ascii="Arial" w:cs="Arial" w:eastAsia="Arial" w:hAnsi="Arial"/>
          <w:sz w:val="16"/>
          <w:szCs w:val="16"/>
          <w:u w:val="single" w:color="auto"/>
          <w:color w:val="auto"/>
        </w:rPr>
        <w:t>Section 12(f)</w:t>
      </w:r>
      <w:r>
        <w:rPr>
          <w:rFonts w:ascii="Arial" w:cs="Arial" w:eastAsia="Arial" w:hAnsi="Arial"/>
          <w:sz w:val="16"/>
          <w:szCs w:val="16"/>
          <w:color w:val="auto"/>
        </w:rPr>
        <w:t xml:space="preserve"> of this Agreement.</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73" w:val="left"/>
        </w:tabs>
        <w:numPr>
          <w:ilvl w:val="0"/>
          <w:numId w:val="2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means (i) the prospectus included in any Registration Statement, as supplemented by any and all prospectus supplements and as amended by any and all post-effective amendments and including all material incorporated by reference in such prospectus and (ii) any free writing prospectus (within the meaning of Rule 405 under the Securities Act) relating to any offering of Registrable Securities pursuant to a Registration Statement.</w:t>
      </w:r>
    </w:p>
    <w:p>
      <w:pPr>
        <w:spacing w:after="0" w:line="162" w:lineRule="exact"/>
        <w:rPr>
          <w:rFonts w:ascii="Arial" w:cs="Arial" w:eastAsia="Arial" w:hAnsi="Arial"/>
          <w:sz w:val="16"/>
          <w:szCs w:val="16"/>
          <w:color w:val="auto"/>
        </w:rPr>
      </w:pPr>
    </w:p>
    <w:p>
      <w:pPr>
        <w:ind w:right="20" w:firstLine="1143"/>
        <w:spacing w:after="0" w:line="275" w:lineRule="auto"/>
        <w:tabs>
          <w:tab w:leader="none" w:pos="1373" w:val="left"/>
        </w:tabs>
        <w:numPr>
          <w:ilvl w:val="0"/>
          <w:numId w:val="2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Offering</w:t>
      </w:r>
      <w:r>
        <w:rPr>
          <w:rFonts w:ascii="Arial" w:cs="Arial" w:eastAsia="Arial" w:hAnsi="Arial"/>
          <w:sz w:val="16"/>
          <w:szCs w:val="16"/>
          <w:color w:val="auto"/>
        </w:rPr>
        <w:t>” means any sale or distribution by Pubco and/or holders of Registrable Securities to the public of Common Stock pursuant to an offering registered under the Securities Act.</w:t>
      </w:r>
    </w:p>
    <w:p>
      <w:pPr>
        <w:spacing w:after="0" w:line="151" w:lineRule="exact"/>
        <w:rPr>
          <w:rFonts w:ascii="Arial" w:cs="Arial" w:eastAsia="Arial" w:hAnsi="Arial"/>
          <w:sz w:val="16"/>
          <w:szCs w:val="16"/>
          <w:color w:val="auto"/>
        </w:rPr>
      </w:pPr>
    </w:p>
    <w:p>
      <w:pPr>
        <w:ind w:right="20" w:firstLine="1143"/>
        <w:spacing w:after="0" w:line="349" w:lineRule="auto"/>
        <w:tabs>
          <w:tab w:leader="none" w:pos="1382" w:val="left"/>
        </w:tabs>
        <w:numPr>
          <w:ilvl w:val="0"/>
          <w:numId w:val="29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Register</w:t>
      </w:r>
      <w:r>
        <w:rPr>
          <w:rFonts w:ascii="Arial" w:cs="Arial" w:eastAsia="Arial" w:hAnsi="Arial"/>
          <w:sz w:val="14"/>
          <w:szCs w:val="14"/>
          <w:color w:val="auto"/>
        </w:rPr>
        <w:t>,” “</w:t>
      </w:r>
      <w:r>
        <w:rPr>
          <w:rFonts w:ascii="Arial" w:cs="Arial" w:eastAsia="Arial" w:hAnsi="Arial"/>
          <w:sz w:val="14"/>
          <w:szCs w:val="14"/>
          <w:u w:val="single" w:color="auto"/>
          <w:color w:val="auto"/>
        </w:rPr>
        <w:t>Registered</w:t>
      </w:r>
      <w:r>
        <w:rPr>
          <w:rFonts w:ascii="Arial" w:cs="Arial" w:eastAsia="Arial" w:hAnsi="Arial"/>
          <w:sz w:val="14"/>
          <w:szCs w:val="14"/>
          <w:color w:val="auto"/>
        </w:rPr>
        <w:t>” and “</w:t>
      </w:r>
      <w:r>
        <w:rPr>
          <w:rFonts w:ascii="Arial" w:cs="Arial" w:eastAsia="Arial" w:hAnsi="Arial"/>
          <w:sz w:val="14"/>
          <w:szCs w:val="14"/>
          <w:u w:val="single" w:color="auto"/>
          <w:color w:val="auto"/>
        </w:rPr>
        <w:t>Registration</w:t>
      </w:r>
      <w:r>
        <w:rPr>
          <w:rFonts w:ascii="Arial" w:cs="Arial" w:eastAsia="Arial" w:hAnsi="Arial"/>
          <w:sz w:val="14"/>
          <w:szCs w:val="14"/>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05" w:lineRule="exact"/>
        <w:rPr>
          <w:rFonts w:ascii="Arial" w:cs="Arial" w:eastAsia="Arial" w:hAnsi="Arial"/>
          <w:sz w:val="14"/>
          <w:szCs w:val="14"/>
          <w:color w:val="auto"/>
        </w:rPr>
      </w:pPr>
    </w:p>
    <w:p>
      <w:pPr>
        <w:jc w:val="both"/>
        <w:ind w:firstLine="1143"/>
        <w:spacing w:after="0" w:line="269" w:lineRule="auto"/>
        <w:tabs>
          <w:tab w:leader="none" w:pos="1367" w:val="left"/>
        </w:tabs>
        <w:numPr>
          <w:ilvl w:val="0"/>
          <w:numId w:val="2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Registrable Securities</w:t>
      </w:r>
      <w:r>
        <w:rPr>
          <w:rFonts w:ascii="Arial" w:cs="Arial" w:eastAsia="Arial" w:hAnsi="Arial"/>
          <w:sz w:val="15"/>
          <w:szCs w:val="15"/>
          <w:color w:val="auto"/>
        </w:rPr>
        <w:t>” means (i) any Founder Shares held by the Investors, (ii) any shares of Common Stock issued to an Investor, or issuable upon exercise of warrants issued to an Investor, in Pubco’s initial public offering, (iii) any Private Placement Warrants (or underlying securities) held by the Investors, (iv) any shares of Common Stock issued to an Investor pursuant to the terms of the Merger Agreement, (v) any Subscribed Notes, Subscribed Shares, Subscribed Warrants and Underlying Securities (as defined in the Subscription Agreements), (vi) any other shares of Common Stock or warrants to purchase shares of Common Stock held or later acquired by an Investor, (vii) any shares of Common Stock issued or issuable upon the exercise, conversion or exchange of, or pursuant to anti-dilution provisions applicable to, securities hereafter issued in exchange or substitution for, or otherwise with respect to, securities referred to in clauses (i) through (v) by way of reclassification, exchange or otherwise, and (viii) any Common Stock issued or issuable with respect to the securities referred to in the preceding clauses (i) through (vii) by way of a stock dividend or stock split or in connection with a combination of shares, recapitalization, merger, consolidation or other reorganization. As to any particular Registrable Securities, such securities shall cease to be Registrable Securities when they have been sold or distributed to the public pursuant to an offering registered under the Securities Act or sold to the public through a broker, dealer or market maker in compliance with Rule 144 following the consummation of the Mergers or repurchased by Pubco or any of its subsidiaries.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 of Registrable Securities hereunder.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9" w:name="page290"/>
    <w:bookmarkEnd w:id="289"/>
    <w:p>
      <w:pPr>
        <w:jc w:val="both"/>
        <w:ind w:firstLine="1143"/>
        <w:spacing w:after="0" w:line="258" w:lineRule="auto"/>
        <w:tabs>
          <w:tab w:leader="none" w:pos="1349" w:val="left"/>
        </w:tabs>
        <w:numPr>
          <w:ilvl w:val="1"/>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any registration statement filed by Pubco with the Commission in compliance with the Securities Act and the rules and regulations promulgated thereunder for a public offering and sale of Common Stock or Registrable Securities,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4" w:lineRule="exact"/>
        <w:rPr>
          <w:rFonts w:ascii="Arial" w:cs="Arial" w:eastAsia="Arial" w:hAnsi="Arial"/>
          <w:sz w:val="16"/>
          <w:szCs w:val="16"/>
          <w:color w:val="auto"/>
        </w:rPr>
      </w:pPr>
    </w:p>
    <w:p>
      <w:pPr>
        <w:ind w:right="20" w:firstLine="1143"/>
        <w:spacing w:after="0" w:line="275" w:lineRule="auto"/>
        <w:tabs>
          <w:tab w:leader="none" w:pos="1397" w:val="left"/>
        </w:tabs>
        <w:numPr>
          <w:ilvl w:val="1"/>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w:t>
      </w:r>
      <w:r>
        <w:rPr>
          <w:rFonts w:ascii="Arial" w:cs="Arial" w:eastAsia="Arial" w:hAnsi="Arial"/>
          <w:sz w:val="16"/>
          <w:szCs w:val="16"/>
          <w:u w:val="single" w:color="auto"/>
          <w:color w:val="auto"/>
        </w:rPr>
        <w:t>Rule 405</w:t>
      </w:r>
      <w:r>
        <w:rPr>
          <w:rFonts w:ascii="Arial" w:cs="Arial" w:eastAsia="Arial" w:hAnsi="Arial"/>
          <w:sz w:val="16"/>
          <w:szCs w:val="16"/>
          <w:color w:val="auto"/>
        </w:rPr>
        <w:t>” and “</w:t>
      </w:r>
      <w:r>
        <w:rPr>
          <w:rFonts w:ascii="Arial" w:cs="Arial" w:eastAsia="Arial" w:hAnsi="Arial"/>
          <w:sz w:val="16"/>
          <w:szCs w:val="16"/>
          <w:u w:val="single" w:color="auto"/>
          <w:color w:val="auto"/>
        </w:rPr>
        <w:t>Rule 415</w:t>
      </w:r>
      <w:r>
        <w:rPr>
          <w:rFonts w:ascii="Arial" w:cs="Arial" w:eastAsia="Arial" w:hAnsi="Arial"/>
          <w:sz w:val="16"/>
          <w:szCs w:val="16"/>
          <w:color w:val="auto"/>
        </w:rPr>
        <w:t>” mean, in each case, such rule promulgated under the Securities Act (or any successor provision) by the Commission, as the same shall be amended from time to time, or any successor rule then in force.</w:t>
      </w:r>
    </w:p>
    <w:p>
      <w:pPr>
        <w:spacing w:after="0" w:line="151" w:lineRule="exact"/>
        <w:rPr>
          <w:rFonts w:ascii="Arial" w:cs="Arial" w:eastAsia="Arial" w:hAnsi="Arial"/>
          <w:sz w:val="16"/>
          <w:szCs w:val="16"/>
          <w:color w:val="auto"/>
        </w:rPr>
      </w:pPr>
    </w:p>
    <w:p>
      <w:pPr>
        <w:ind w:right="20" w:firstLine="1143"/>
        <w:spacing w:after="0" w:line="275" w:lineRule="auto"/>
        <w:tabs>
          <w:tab w:leader="none" w:pos="1373" w:val="left"/>
        </w:tabs>
        <w:numPr>
          <w:ilvl w:val="1"/>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from time to time, or any successor federal law then in force, together with all rules and regulations promulgated thereunder.</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408" w:val="left"/>
        </w:tabs>
        <w:numPr>
          <w:ilvl w:val="1"/>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Participant</w:t>
      </w:r>
      <w:r>
        <w:rPr>
          <w:rFonts w:ascii="Arial" w:cs="Arial" w:eastAsia="Arial" w:hAnsi="Arial"/>
          <w:sz w:val="16"/>
          <w:szCs w:val="16"/>
          <w:color w:val="auto"/>
        </w:rPr>
        <w:t>” means any holder of Registrable Securities listed as a potential selling stockholder in connection with the Resale Shelf Registration Statement or the Shelf Registration or any such holder that could be added to such Resale Shelf Registration Statement or Shelf Registration without the need for a post-effective amendment thereto or added by means of an automatic post-effective amendment thereto.</w:t>
      </w:r>
    </w:p>
    <w:p>
      <w:pPr>
        <w:spacing w:after="0" w:line="162" w:lineRule="exact"/>
        <w:rPr>
          <w:rFonts w:ascii="Arial" w:cs="Arial" w:eastAsia="Arial" w:hAnsi="Arial"/>
          <w:sz w:val="16"/>
          <w:szCs w:val="16"/>
          <w:color w:val="auto"/>
        </w:rPr>
      </w:pPr>
    </w:p>
    <w:p>
      <w:pPr>
        <w:ind w:left="1360" w:hanging="217"/>
        <w:spacing w:after="0"/>
        <w:tabs>
          <w:tab w:leader="none" w:pos="136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WKSI</w:t>
      </w:r>
      <w:r>
        <w:rPr>
          <w:rFonts w:ascii="Arial" w:cs="Arial" w:eastAsia="Arial" w:hAnsi="Arial"/>
          <w:sz w:val="16"/>
          <w:szCs w:val="16"/>
          <w:color w:val="auto"/>
        </w:rPr>
        <w:t>” means a “well-known seasoned issuer” as defined under Rule 405.</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right="20" w:firstLine="1143"/>
        <w:spacing w:after="0" w:line="275" w:lineRule="auto"/>
        <w:tabs>
          <w:tab w:leader="none" w:pos="1364"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t>No Inconsistent Agreements</w:t>
      </w:r>
      <w:r>
        <w:rPr>
          <w:rFonts w:ascii="Arial" w:cs="Arial" w:eastAsia="Arial" w:hAnsi="Arial"/>
          <w:sz w:val="16"/>
          <w:szCs w:val="16"/>
          <w:color w:val="auto"/>
        </w:rPr>
        <w:t>. Pubco shall not hereafter enter into any agreement with respect to its securities which is inconsistent with or violates or in any way impairs the rights granted to the Investors in this Agreement.</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73"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of the parties hereto with respect to the subject matter hereof and supersedes all prior agreements, understandings, negotiations and discussions among the parties hereto, written or oral, with respect to the subject matter hereof, and amends and restates the Prior Agreement its entirety.</w:t>
      </w:r>
    </w:p>
    <w:p>
      <w:pPr>
        <w:spacing w:after="0" w:line="162" w:lineRule="exact"/>
        <w:rPr>
          <w:rFonts w:ascii="Arial" w:cs="Arial" w:eastAsia="Arial" w:hAnsi="Arial"/>
          <w:sz w:val="16"/>
          <w:szCs w:val="16"/>
          <w:color w:val="auto"/>
        </w:rPr>
      </w:pPr>
    </w:p>
    <w:p>
      <w:pPr>
        <w:jc w:val="both"/>
        <w:ind w:right="20" w:firstLine="1143"/>
        <w:spacing w:after="0" w:line="276" w:lineRule="auto"/>
        <w:tabs>
          <w:tab w:leader="none" w:pos="1364" w:val="left"/>
        </w:tabs>
        <w:numPr>
          <w:ilvl w:val="1"/>
          <w:numId w:val="298"/>
        </w:numPr>
        <w:rPr>
          <w:rFonts w:ascii="Arial" w:cs="Arial" w:eastAsia="Arial" w:hAnsi="Arial"/>
          <w:sz w:val="15"/>
          <w:szCs w:val="15"/>
          <w:color w:val="auto"/>
        </w:rPr>
      </w:pPr>
      <w:r>
        <w:rPr>
          <w:rFonts w:ascii="Arial" w:cs="Arial" w:eastAsia="Arial" w:hAnsi="Arial"/>
          <w:sz w:val="15"/>
          <w:szCs w:val="15"/>
          <w:u w:val="single" w:color="auto"/>
          <w:color w:val="auto"/>
        </w:rPr>
        <w:t>Remedies</w:t>
      </w:r>
      <w:r>
        <w:rPr>
          <w:rFonts w:ascii="Arial" w:cs="Arial" w:eastAsia="Arial" w:hAnsi="Arial"/>
          <w:sz w:val="15"/>
          <w:szCs w:val="15"/>
          <w:color w:val="auto"/>
        </w:rPr>
        <w:t>. Any Person having rights under any provision of this Agreement shall be entitled to enforce such rights specifically (without posting a bond or other security), to recover damages caused by reason of any breach of any provision of this Agreement and to exercise all other rights granted by law. The parties hereto agree and acknowledge that money damages would not be an adequate remedy for any breach of the provisions of this Agreement and that, in addition to any other rights and remedies existing in its favor,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55" w:lineRule="exact"/>
        <w:rPr>
          <w:rFonts w:ascii="Arial" w:cs="Arial" w:eastAsia="Arial" w:hAnsi="Arial"/>
          <w:sz w:val="15"/>
          <w:szCs w:val="15"/>
          <w:color w:val="auto"/>
        </w:rPr>
      </w:pPr>
    </w:p>
    <w:p>
      <w:pPr>
        <w:jc w:val="both"/>
        <w:ind w:firstLine="1143"/>
        <w:spacing w:after="0" w:line="273" w:lineRule="auto"/>
        <w:tabs>
          <w:tab w:leader="none" w:pos="1373" w:val="left"/>
        </w:tabs>
        <w:numPr>
          <w:ilvl w:val="1"/>
          <w:numId w:val="298"/>
        </w:numPr>
        <w:rPr>
          <w:rFonts w:ascii="Arial" w:cs="Arial" w:eastAsia="Arial" w:hAnsi="Arial"/>
          <w:sz w:val="15"/>
          <w:szCs w:val="15"/>
          <w:color w:val="auto"/>
        </w:rPr>
      </w:pPr>
      <w:r>
        <w:rPr>
          <w:rFonts w:ascii="Arial" w:cs="Arial" w:eastAsia="Arial" w:hAnsi="Arial"/>
          <w:sz w:val="15"/>
          <w:szCs w:val="15"/>
          <w:u w:val="single" w:color="auto"/>
          <w:color w:val="auto"/>
        </w:rPr>
        <w:t>Amendments and Waivers</w:t>
      </w:r>
      <w:r>
        <w:rPr>
          <w:rFonts w:ascii="Arial" w:cs="Arial" w:eastAsia="Arial" w:hAnsi="Arial"/>
          <w:sz w:val="15"/>
          <w:szCs w:val="15"/>
          <w:color w:val="auto"/>
        </w:rPr>
        <w:t xml:space="preserve">. Except as otherwise provided herein, the provisions of this Agreement may be amended or waived only with the prior written consent of Pubco and the holders of a majority of the Registrable Securities then outstanding; provided, that such majority shall include the Majority Presto Investors for so long as the Presto Investors hold at least 5% of the outstanding Common Stock on the date of such amendment or waiver,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 amendment may materially and disproportionately adversely affect the rights of any holder of Registrable Securities compared to other holders of Registrable Securities without the consent of such adversely affected holder. Any amendment or waiver effected in accordance with this </w:t>
      </w:r>
      <w:r>
        <w:rPr>
          <w:rFonts w:ascii="Arial" w:cs="Arial" w:eastAsia="Arial" w:hAnsi="Arial"/>
          <w:sz w:val="15"/>
          <w:szCs w:val="15"/>
          <w:u w:val="single" w:color="auto"/>
          <w:color w:val="auto"/>
        </w:rPr>
        <w:t>Section 12(d)</w:t>
      </w:r>
      <w:r>
        <w:rPr>
          <w:rFonts w:ascii="Arial" w:cs="Arial" w:eastAsia="Arial" w:hAnsi="Arial"/>
          <w:sz w:val="15"/>
          <w:szCs w:val="15"/>
          <w:color w:val="auto"/>
        </w:rPr>
        <w:t xml:space="preserve"> shall be binding upon each Investor and Pubco.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90" w:name="page291"/>
    <w:bookmarkEnd w:id="290"/>
    <w:p>
      <w:pPr>
        <w:jc w:val="both"/>
        <w:ind w:firstLine="1143"/>
        <w:spacing w:after="0" w:line="276" w:lineRule="auto"/>
        <w:tabs>
          <w:tab w:leader="none" w:pos="1364" w:val="left"/>
        </w:tabs>
        <w:numPr>
          <w:ilvl w:val="0"/>
          <w:numId w:val="299"/>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All covenants and agreements in this Agreement by or on behalf of any of the parties hereto shall bind and inure to the benefit of the respective successors and permitted assigns of the parties hereto whether so expressed or not. In addition, whether or not any express assignment has been made, the provisions of this Agreement which are for the benefit of purchasers or holders of Registrable Securities are also for the benefit of, and enforceable by, any subsequent holder of Registrable Securities and any subsequent holder of securities that are convertible into, or exercisable or exchangeable for, Registrable Securities. Pubco shall not assign its obligations hereunder without the prior written consent of the holders of a majority of the Registrable Securities then outstanding.</w:t>
      </w:r>
    </w:p>
    <w:p>
      <w:pPr>
        <w:spacing w:after="0" w:line="155" w:lineRule="exact"/>
        <w:rPr>
          <w:rFonts w:ascii="Arial" w:cs="Arial" w:eastAsia="Arial" w:hAnsi="Arial"/>
          <w:sz w:val="15"/>
          <w:szCs w:val="15"/>
          <w:color w:val="auto"/>
        </w:rPr>
      </w:pPr>
    </w:p>
    <w:p>
      <w:pPr>
        <w:jc w:val="both"/>
        <w:ind w:firstLine="1143"/>
        <w:spacing w:after="0" w:line="291" w:lineRule="auto"/>
        <w:tabs>
          <w:tab w:leader="none" w:pos="1370" w:val="left"/>
        </w:tabs>
        <w:numPr>
          <w:ilvl w:val="0"/>
          <w:numId w:val="299"/>
        </w:numPr>
        <w:rPr>
          <w:rFonts w:ascii="Arial" w:cs="Arial" w:eastAsia="Arial" w:hAnsi="Arial"/>
          <w:sz w:val="14"/>
          <w:szCs w:val="14"/>
          <w:color w:val="auto"/>
        </w:rPr>
      </w:pPr>
      <w:r>
        <w:rPr>
          <w:rFonts w:ascii="Arial" w:cs="Arial" w:eastAsia="Arial" w:hAnsi="Arial"/>
          <w:sz w:val="14"/>
          <w:szCs w:val="14"/>
          <w:u w:val="single" w:color="auto"/>
          <w:color w:val="auto"/>
        </w:rPr>
        <w:t>Transfer of Rights</w:t>
      </w:r>
      <w:r>
        <w:rPr>
          <w:rFonts w:ascii="Arial" w:cs="Arial" w:eastAsia="Arial" w:hAnsi="Arial"/>
          <w:sz w:val="14"/>
          <w:szCs w:val="14"/>
          <w:color w:val="auto"/>
        </w:rPr>
        <w:t xml:space="preserve">. An Investor may transfer or assign, in whole or from time to time in part, to one or more Permitted Transferees, its rights and obligations under this Agreement and such rights will be transferred to such transferee effective upon receipt by Pubco of (A) written notice from such Investor stating the name and address of the transferee and identifying the number of Registrable Securities with respect to which rights under this Agreement are being transferred and the nature of the rights so transferred, and (B) except in the case of a transfer to an existing Investor, a written agreement from such transferee to be bound by the terms of this Agreement. A transferee of Registrable Securities who satisfies the conditions set forth in this </w:t>
      </w:r>
      <w:r>
        <w:rPr>
          <w:rFonts w:ascii="Arial" w:cs="Arial" w:eastAsia="Arial" w:hAnsi="Arial"/>
          <w:sz w:val="14"/>
          <w:szCs w:val="14"/>
          <w:u w:val="single" w:color="auto"/>
          <w:color w:val="auto"/>
        </w:rPr>
        <w:t>Section 12(f)</w:t>
      </w:r>
      <w:r>
        <w:rPr>
          <w:rFonts w:ascii="Arial" w:cs="Arial" w:eastAsia="Arial" w:hAnsi="Arial"/>
          <w:sz w:val="14"/>
          <w:szCs w:val="14"/>
          <w:color w:val="auto"/>
        </w:rPr>
        <w:t xml:space="preserve"> shall henceforth be an “Investor” for purposes of this Agreement and in the case of a transfer from a Presto Investor, [***] Investor or the Sponsors, a transferee shall be considered a Presto Investor, a [***] Investor or a Sponsor as shall be applicable. In the event a holder transfers Registrable Securities included on a Registration Statement and such Registrable Securities remain Registrable Securities following such transfer, at the request of such holder, Pubco shall use its reasonable best efforts to amend or supplement the Resale Shelf Registration Statement as may be necessary in order to enable such transferee to offer and sell such Registrable Securities pursuant to such Resale Shelf Registration Statement; provided that in no event shall Pubco be required to file a post-effective amendment to the Resale Shelf Registration Statement unless Pubco receives a written request from the subsequent transferee, requesting that its shares of Common Stock be included in the Resale Shelf Registration Statement, with all information reasonably requested by Pubco.</w:t>
      </w:r>
    </w:p>
    <w:p>
      <w:pPr>
        <w:spacing w:after="0" w:line="147" w:lineRule="exact"/>
        <w:rPr>
          <w:rFonts w:ascii="Arial" w:cs="Arial" w:eastAsia="Arial" w:hAnsi="Arial"/>
          <w:sz w:val="14"/>
          <w:szCs w:val="14"/>
          <w:color w:val="auto"/>
        </w:rPr>
      </w:pPr>
    </w:p>
    <w:p>
      <w:pPr>
        <w:jc w:val="both"/>
        <w:ind w:firstLine="1143"/>
        <w:spacing w:after="0" w:line="287" w:lineRule="auto"/>
        <w:tabs>
          <w:tab w:leader="none" w:pos="1373" w:val="left"/>
        </w:tabs>
        <w:numPr>
          <w:ilvl w:val="0"/>
          <w:numId w:val="299"/>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Whenever possible, each provision of this Agreement shall be interpreted in such manner as to be effective and valid under applicable law, but if any provision of this Agreement is held to be prohibited by or invalid, illegal or unenforceable in any respect under any applicable law, such provision shall be ineffective only to the extent of such prohibition, invalidity, illegality or unenforceability, without invalidating the remainder of this Agreement.</w:t>
      </w:r>
    </w:p>
    <w:p>
      <w:pPr>
        <w:spacing w:after="0" w:line="146" w:lineRule="exact"/>
        <w:rPr>
          <w:rFonts w:ascii="Arial" w:cs="Arial" w:eastAsia="Arial" w:hAnsi="Arial"/>
          <w:sz w:val="15"/>
          <w:szCs w:val="15"/>
          <w:color w:val="auto"/>
        </w:rPr>
      </w:pPr>
    </w:p>
    <w:p>
      <w:pPr>
        <w:jc w:val="both"/>
        <w:ind w:firstLine="1143"/>
        <w:spacing w:after="0" w:line="262" w:lineRule="auto"/>
        <w:tabs>
          <w:tab w:leader="none" w:pos="1385"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simultaneously in counterparts (including by means of facsimile, electronic mail, portable data format (PDF) or other electronic signature pages), any one of which need not contain the signatures of more than one party, but all such counterparts taken together shall constitute one and the same Agreement.</w:t>
      </w:r>
    </w:p>
    <w:p>
      <w:pPr>
        <w:spacing w:after="0" w:line="162" w:lineRule="exact"/>
        <w:rPr>
          <w:rFonts w:ascii="Arial" w:cs="Arial" w:eastAsia="Arial" w:hAnsi="Arial"/>
          <w:sz w:val="16"/>
          <w:szCs w:val="16"/>
          <w:color w:val="auto"/>
        </w:rPr>
      </w:pPr>
    </w:p>
    <w:p>
      <w:pPr>
        <w:jc w:val="both"/>
        <w:ind w:right="20" w:firstLine="1143"/>
        <w:spacing w:after="0" w:line="280" w:lineRule="auto"/>
        <w:tabs>
          <w:tab w:leader="none" w:pos="1349" w:val="left"/>
        </w:tabs>
        <w:numPr>
          <w:ilvl w:val="0"/>
          <w:numId w:val="299"/>
        </w:numPr>
        <w:rPr>
          <w:rFonts w:ascii="Arial" w:cs="Arial" w:eastAsia="Arial" w:hAnsi="Arial"/>
          <w:sz w:val="15"/>
          <w:szCs w:val="15"/>
          <w:color w:val="auto"/>
        </w:rPr>
      </w:pPr>
      <w:r>
        <w:rPr>
          <w:rFonts w:ascii="Arial" w:cs="Arial" w:eastAsia="Arial" w:hAnsi="Arial"/>
          <w:sz w:val="15"/>
          <w:szCs w:val="15"/>
          <w:u w:val="single" w:color="auto"/>
          <w:color w:val="auto"/>
        </w:rPr>
        <w:t>Descriptive Headings; Interpretation</w:t>
      </w:r>
      <w:r>
        <w:rPr>
          <w:rFonts w:ascii="Arial" w:cs="Arial" w:eastAsia="Arial" w:hAnsi="Arial"/>
          <w:sz w:val="15"/>
          <w:szCs w:val="15"/>
          <w:color w:val="auto"/>
        </w:rPr>
        <w:t>. The descriptive headings of this Agreement are inserted for convenience only and do not constitute a part of this Agreement. Unless the context otherwise required: (i) the use of the word “including” herein shall mean “including without limitation,” (ii) all references to Sections, Schedules or Exhibits are to Sections, Schedules or Exhibits contained in or attached to this Agreement, and (iii) words in the singular or plural include the singular and plural, and pronouns stated in either the masculine, the feminine or neuter gender shall include the masculine, feminine and neuter.</w:t>
      </w:r>
    </w:p>
    <w:p>
      <w:pPr>
        <w:spacing w:after="0" w:line="151" w:lineRule="exact"/>
        <w:rPr>
          <w:rFonts w:ascii="Arial" w:cs="Arial" w:eastAsia="Arial" w:hAnsi="Arial"/>
          <w:sz w:val="15"/>
          <w:szCs w:val="15"/>
          <w:color w:val="auto"/>
        </w:rPr>
      </w:pPr>
    </w:p>
    <w:p>
      <w:pPr>
        <w:jc w:val="both"/>
        <w:ind w:right="20" w:firstLine="1143"/>
        <w:spacing w:after="0" w:line="262" w:lineRule="auto"/>
        <w:tabs>
          <w:tab w:leader="none" w:pos="1337"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91" w:name="page292"/>
    <w:bookmarkEnd w:id="291"/>
    <w:p>
      <w:pPr>
        <w:jc w:val="both"/>
        <w:ind w:firstLine="1143"/>
        <w:spacing w:after="0" w:line="258" w:lineRule="auto"/>
        <w:tabs>
          <w:tab w:leader="none" w:pos="1373"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demands or other communications to be given or delivered under or by reason of the provisions of this Agreement shall be in writing and shall be given (and shall be deemed to have been duly given upon receipt) by delivery in person, by or email or by registered or certified mail (postage prepaid, return receipt requested) to each Investor at the address indicated on the Schedule of Investors attached hereto and to Pubco at the address indicated below (or at such other address as shall be specified in a notice given in accordance with this </w:t>
      </w:r>
      <w:r>
        <w:rPr>
          <w:rFonts w:ascii="Arial" w:cs="Arial" w:eastAsia="Arial" w:hAnsi="Arial"/>
          <w:sz w:val="16"/>
          <w:szCs w:val="16"/>
          <w:u w:val="single" w:color="auto"/>
          <w:color w:val="auto"/>
        </w:rPr>
        <w:t>Section 12(k)</w:t>
      </w:r>
      <w:r>
        <w:rPr>
          <w:rFonts w:ascii="Arial" w:cs="Arial" w:eastAsia="Arial" w:hAnsi="Arial"/>
          <w:sz w:val="16"/>
          <w:szCs w:val="16"/>
          <w:color w:val="auto"/>
        </w:rPr>
        <w:t>):</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 La Carte, Inc. d/b/a Presto</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810 Hamilton St.</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Redwood City, CA 94063</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raj@presto.com</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Rajat Suri</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with a copy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10020-1095</w:t>
      </w:r>
    </w:p>
    <w:p>
      <w:pPr>
        <w:spacing w:after="0" w:line="7"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cdiamond@whitecase.com</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laurakatherine.mann@whitecase.com</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emery.choi@whitecase.com</w:t>
      </w:r>
    </w:p>
    <w:p>
      <w:pPr>
        <w:spacing w:after="0" w:line="7"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Colin Diamond</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Laura Katherine Mann</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Emery Choi</w:t>
      </w:r>
    </w:p>
    <w:p>
      <w:pPr>
        <w:spacing w:after="0" w:line="186" w:lineRule="exact"/>
        <w:rPr>
          <w:sz w:val="20"/>
          <w:szCs w:val="20"/>
          <w:color w:val="auto"/>
        </w:rPr>
      </w:pPr>
    </w:p>
    <w:p>
      <w:pPr>
        <w:jc w:val="both"/>
        <w:ind w:firstLine="1143"/>
        <w:spacing w:after="0" w:line="258" w:lineRule="auto"/>
        <w:tabs>
          <w:tab w:leader="none" w:pos="1349"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Mutual Waiver of Jury Trial</w:t>
      </w:r>
      <w:r>
        <w:rPr>
          <w:rFonts w:ascii="Arial" w:cs="Arial" w:eastAsia="Arial" w:hAnsi="Arial"/>
          <w:sz w:val="16"/>
          <w:szCs w:val="16"/>
          <w:color w:val="auto"/>
        </w:rPr>
        <w:t>. As a specifically bargained inducement for each of the parties to enter into this Agreement (with each party having had opportunity to consult counsel), each party hereto expressly and irrevocably waives the right to trial by jury in any lawsuit or legal proceeding relating to or arising in any way from this Agreement or the transactions contemplated herein, and any lawsuit or legal proceeding relating to or arising in any way to this Agreement or the transactions contemplated herein shall be tried in a court of competent jurisdiction by a judge sitting without a jury.</w:t>
      </w:r>
    </w:p>
    <w:p>
      <w:pPr>
        <w:spacing w:after="0" w:line="164" w:lineRule="exact"/>
        <w:rPr>
          <w:rFonts w:ascii="Arial" w:cs="Arial" w:eastAsia="Arial" w:hAnsi="Arial"/>
          <w:sz w:val="16"/>
          <w:szCs w:val="16"/>
          <w:color w:val="auto"/>
        </w:rPr>
      </w:pPr>
    </w:p>
    <w:p>
      <w:pPr>
        <w:jc w:val="both"/>
        <w:ind w:firstLine="1143"/>
        <w:spacing w:after="0" w:line="262" w:lineRule="auto"/>
        <w:tabs>
          <w:tab w:leader="none" w:pos="1429"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No Strict Construction</w:t>
      </w:r>
      <w:r>
        <w:rPr>
          <w:rFonts w:ascii="Arial" w:cs="Arial" w:eastAsia="Arial" w:hAnsi="Arial"/>
          <w:sz w:val="16"/>
          <w:szCs w:val="16"/>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spacing w:after="0" w:line="162" w:lineRule="exact"/>
        <w:rPr>
          <w:rFonts w:ascii="Arial" w:cs="Arial" w:eastAsia="Arial" w:hAnsi="Arial"/>
          <w:sz w:val="16"/>
          <w:szCs w:val="16"/>
          <w:color w:val="auto"/>
        </w:rPr>
      </w:pPr>
    </w:p>
    <w:p>
      <w:pPr>
        <w:ind w:left="5340"/>
        <w:spacing w:after="0"/>
        <w:rPr>
          <w:rFonts w:ascii="Arial" w:cs="Arial" w:eastAsia="Arial" w:hAnsi="Arial"/>
          <w:sz w:val="16"/>
          <w:szCs w:val="16"/>
          <w:color w:val="auto"/>
        </w:rPr>
      </w:pPr>
      <w:r>
        <w:rPr>
          <w:rFonts w:ascii="Arial" w:cs="Arial" w:eastAsia="Arial" w:hAnsi="Arial"/>
          <w:sz w:val="16"/>
          <w:szCs w:val="16"/>
          <w:color w:val="auto"/>
        </w:rPr>
        <w:t>* * * * *</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92" w:name="page293"/>
    <w:bookmarkEnd w:id="292"/>
    <w:p>
      <w:pPr>
        <w:spacing w:after="0"/>
        <w:rPr>
          <w:sz w:val="20"/>
          <w:szCs w:val="20"/>
          <w:color w:val="auto"/>
        </w:rPr>
      </w:pPr>
      <w:r>
        <w:rPr>
          <w:rFonts w:ascii="Arial" w:cs="Arial" w:eastAsia="Arial" w:hAnsi="Arial"/>
          <w:sz w:val="14"/>
          <w:szCs w:val="14"/>
          <w:color w:val="auto"/>
        </w:rPr>
        <w:t>IN WITNESS WHEREOF, the parties hereto have executed this Amended and Restated Registration Rights Agreement as of the date first written above.</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VENTOUX CCM ACQUISITION CORP.</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INVESTORS:</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VENTOUX ACQUISITION HOLDINGS LLC</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CHARDAN INTERNATIONAL INVESTMENTS, LLC</w:t>
      </w:r>
    </w:p>
    <w:p>
      <w:pPr>
        <w:spacing w:after="0" w:line="210"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820"/>
          </w:cols>
          <w:pgMar w:left="880" w:top="820" w:right="1199" w:bottom="1440" w:gutter="0" w:footer="0" w:header="0"/>
        </w:sectPr>
      </w:pPr>
    </w:p>
    <w:bookmarkStart w:id="293" w:name="page294"/>
    <w:bookmarkEnd w:id="293"/>
    <w:p>
      <w:pPr>
        <w:ind w:left="5640"/>
        <w:spacing w:after="0"/>
        <w:rPr>
          <w:sz w:val="20"/>
          <w:szCs w:val="20"/>
          <w:color w:val="auto"/>
        </w:rPr>
      </w:pPr>
      <w:r>
        <w:rPr>
          <w:rFonts w:ascii="Arial" w:cs="Arial" w:eastAsia="Arial" w:hAnsi="Arial"/>
          <w:sz w:val="16"/>
          <w:szCs w:val="16"/>
          <w:color w:val="auto"/>
        </w:rPr>
        <w:t>CINDAT USA LLC</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BLIND 1212, LLC</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JULIE ATKINSON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CHRISTIAN AHRENS</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ROMULUS CAPITAL II, L.P.</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ROMULUS CAPITAL III, L.P.</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ROMULUS ELC B3 SPECIAL OPPORTUNITY, L.P.</w:t>
      </w:r>
    </w:p>
    <w:p>
      <w:pPr>
        <w:spacing w:after="0" w:line="3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4445</wp:posOffset>
            </wp:positionV>
            <wp:extent cx="2496820"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27305</wp:posOffset>
            </wp:positionV>
            <wp:extent cx="7148195"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120"/>
          </w:cols>
          <w:pgMar w:left="1440" w:top="1059" w:right="1339" w:bottom="1440" w:gutter="0" w:footer="0" w:header="0"/>
        </w:sectPr>
      </w:pPr>
    </w:p>
    <w:bookmarkStart w:id="294" w:name="page295"/>
    <w:bookmarkEnd w:id="294"/>
    <w:p>
      <w:pPr>
        <w:ind w:left="5640"/>
        <w:spacing w:after="0"/>
        <w:rPr>
          <w:sz w:val="20"/>
          <w:szCs w:val="20"/>
          <w:color w:val="auto"/>
        </w:rPr>
      </w:pPr>
      <w:r>
        <w:rPr>
          <w:rFonts w:ascii="Arial" w:cs="Arial" w:eastAsia="Arial" w:hAnsi="Arial"/>
          <w:sz w:val="16"/>
          <w:szCs w:val="16"/>
          <w:color w:val="auto"/>
        </w:rPr>
        <w:t>RAJAT SURI</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ASHISH GUPTA</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DANIEL DREYMAN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WILLIAM HEALEY</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DAN MOSHER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KRISHNA GUPTA</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ILYA GOLUBOVICH</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KIM AXEL LOPDRUP</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BLYTHE MCGARVIE</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ED SCHEETZ</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GAIL ZAUDER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27305</wp:posOffset>
            </wp:positionV>
            <wp:extent cx="7148195" cy="15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44" w:right="1440" w:bottom="1440" w:gutter="0" w:footer="0" w:header="0"/>
        </w:sectPr>
      </w:pPr>
    </w:p>
    <w:bookmarkStart w:id="295" w:name="page296"/>
    <w:bookmarkEnd w:id="295"/>
    <w:tbl>
      <w:tblPr>
        <w:tblLayout w:type="fixed"/>
        <w:tblInd w:w="14" w:type="dxa"/>
        <w:tblCellMar>
          <w:top w:w="0" w:type="dxa"/>
          <w:left w:w="0" w:type="dxa"/>
          <w:bottom w:w="0" w:type="dxa"/>
          <w:right w:w="0" w:type="dxa"/>
        </w:tblCellMar>
      </w:tblPr>
      <w:tr>
        <w:trPr>
          <w:trHeight w:val="350"/>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760" w:type="dxa"/>
            <w:vAlign w:val="bottom"/>
          </w:tcPr>
          <w:p>
            <w:pPr>
              <w:ind w:left="1040"/>
              <w:spacing w:after="0"/>
              <w:rPr>
                <w:sz w:val="20"/>
                <w:szCs w:val="20"/>
                <w:color w:val="auto"/>
              </w:rPr>
            </w:pPr>
            <w:r>
              <w:rPr>
                <w:rFonts w:ascii="Arial" w:cs="Arial" w:eastAsia="Arial" w:hAnsi="Arial"/>
                <w:sz w:val="16"/>
                <w:szCs w:val="16"/>
                <w:b w:val="1"/>
                <w:bCs w:val="1"/>
                <w:color w:val="auto"/>
              </w:rPr>
              <w:t>SCHEDULE OF INVESTORS</w:t>
            </w:r>
            <w:r>
              <w:rPr>
                <w:rFonts w:ascii="Arial" w:cs="Arial" w:eastAsia="Arial" w:hAnsi="Arial"/>
                <w:sz w:val="26"/>
                <w:szCs w:val="26"/>
                <w:b w:val="1"/>
                <w:bCs w:val="1"/>
                <w:color w:val="auto"/>
                <w:vertAlign w:val="superscript"/>
              </w:rPr>
              <w:t>1</w:t>
            </w:r>
          </w:p>
        </w:tc>
      </w:tr>
      <w:tr>
        <w:trPr>
          <w:trHeight w:val="81"/>
        </w:trPr>
        <w:tc>
          <w:tcPr>
            <w:tcW w:w="28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7760" w:type="dxa"/>
            <w:vAlign w:val="bottom"/>
            <w:tcBorders>
              <w:bottom w:val="single" w:sz="8" w:color="auto"/>
            </w:tcBorders>
          </w:tcPr>
          <w:p>
            <w:pPr>
              <w:spacing w:after="0"/>
              <w:rPr>
                <w:sz w:val="7"/>
                <w:szCs w:val="7"/>
                <w:color w:val="auto"/>
              </w:rPr>
            </w:pPr>
          </w:p>
        </w:tc>
      </w:tr>
      <w:tr>
        <w:trPr>
          <w:trHeight w:val="200"/>
        </w:trPr>
        <w:tc>
          <w:tcPr>
            <w:tcW w:w="350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Investor</w:t>
            </w: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Address</w:t>
            </w:r>
          </w:p>
        </w:tc>
      </w:tr>
      <w:tr>
        <w:trPr>
          <w:trHeight w:val="127"/>
        </w:trPr>
        <w:tc>
          <w:tcPr>
            <w:tcW w:w="2820" w:type="dxa"/>
            <w:vAlign w:val="bottom"/>
            <w:tcBorders>
              <w:left w:val="single" w:sz="8" w:color="auto"/>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7760" w:type="dxa"/>
            <w:vAlign w:val="bottom"/>
            <w:tcBorders>
              <w:bottom w:val="single" w:sz="8" w:color="auto"/>
              <w:right w:val="single" w:sz="8" w:color="auto"/>
            </w:tcBorders>
          </w:tcPr>
          <w:p>
            <w:pPr>
              <w:spacing w:after="0"/>
              <w:rPr>
                <w:sz w:val="11"/>
                <w:szCs w:val="11"/>
                <w:color w:val="auto"/>
              </w:rPr>
            </w:pPr>
          </w:p>
        </w:tc>
      </w:tr>
      <w:tr>
        <w:trPr>
          <w:trHeight w:val="171"/>
        </w:trPr>
        <w:tc>
          <w:tcPr>
            <w:tcW w:w="3500" w:type="dxa"/>
            <w:vAlign w:val="bottom"/>
            <w:tcBorders>
              <w:left w:val="single" w:sz="8" w:color="auto"/>
              <w:right w:val="single" w:sz="8" w:color="auto"/>
            </w:tcBorders>
            <w:gridSpan w:val="2"/>
          </w:tcPr>
          <w:p>
            <w:pPr>
              <w:ind w:left="100"/>
              <w:spacing w:after="0" w:line="171" w:lineRule="exact"/>
              <w:rPr>
                <w:sz w:val="20"/>
                <w:szCs w:val="20"/>
                <w:color w:val="auto"/>
              </w:rPr>
            </w:pPr>
            <w:r>
              <w:rPr>
                <w:rFonts w:ascii="Arial" w:cs="Arial" w:eastAsia="Arial" w:hAnsi="Arial"/>
                <w:sz w:val="16"/>
                <w:szCs w:val="16"/>
                <w:b w:val="1"/>
                <w:bCs w:val="1"/>
                <w:color w:val="auto"/>
              </w:rPr>
              <w:t>Ventoux Acquisition Holdings LLC</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Ventoux Acquisition Holdings LLC</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211 North Street</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Northampton, MA 01060</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Ed Scheetz</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ed@ventouxccm.com</w:t>
            </w:r>
          </w:p>
        </w:tc>
      </w:tr>
      <w:tr>
        <w:trPr>
          <w:trHeight w:val="382"/>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Dentons LLP</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1221 Avenue of the Americas</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New York, NY 10020</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Brian Lee</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brian.lee@dentons.com</w:t>
            </w:r>
          </w:p>
        </w:tc>
      </w:tr>
      <w:tr>
        <w:trPr>
          <w:trHeight w:val="382"/>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w:t>
            </w:r>
          </w:p>
        </w:tc>
      </w:tr>
      <w:tr>
        <w:trPr>
          <w:trHeight w:val="370"/>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Woolery &amp; Co.</w:t>
            </w:r>
          </w:p>
        </w:tc>
      </w:tr>
      <w:tr>
        <w:trPr>
          <w:trHeight w:val="195"/>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 Pier 76</w:t>
            </w:r>
          </w:p>
        </w:tc>
      </w:tr>
      <w:tr>
        <w:trPr>
          <w:trHeight w:val="223"/>
        </w:trPr>
        <w:tc>
          <w:tcPr>
            <w:tcW w:w="282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760" w:type="dxa"/>
            <w:vAlign w:val="bottom"/>
            <w:tcBorders>
              <w:right w:val="single" w:sz="8" w:color="auto"/>
            </w:tcBorders>
          </w:tcPr>
          <w:p>
            <w:pPr>
              <w:ind w:left="100"/>
              <w:spacing w:after="0" w:line="223" w:lineRule="exact"/>
              <w:rPr>
                <w:sz w:val="20"/>
                <w:szCs w:val="20"/>
                <w:color w:val="auto"/>
              </w:rPr>
            </w:pPr>
            <w:r>
              <w:rPr>
                <w:rFonts w:ascii="Arial" w:cs="Arial" w:eastAsia="Arial" w:hAnsi="Arial"/>
                <w:sz w:val="15"/>
                <w:szCs w:val="15"/>
                <w:color w:val="auto"/>
              </w:rPr>
              <w:t>408 12</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Ave</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New York, NY 10018</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Attn: Matthew J. Saur</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mathew@wooleryco.com</w:t>
            </w:r>
          </w:p>
        </w:tc>
      </w:tr>
      <w:tr>
        <w:trPr>
          <w:trHeight w:val="191"/>
        </w:trPr>
        <w:tc>
          <w:tcPr>
            <w:tcW w:w="2820" w:type="dxa"/>
            <w:vAlign w:val="bottom"/>
            <w:tcBorders>
              <w:left w:val="single" w:sz="8" w:color="auto"/>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4"/>
        </w:trPr>
        <w:tc>
          <w:tcPr>
            <w:tcW w:w="3500" w:type="dxa"/>
            <w:vAlign w:val="bottom"/>
            <w:tcBorders>
              <w:left w:val="single" w:sz="8" w:color="auto"/>
              <w:right w:val="single" w:sz="8" w:color="auto"/>
            </w:tcBorders>
            <w:gridSpan w:val="2"/>
          </w:tcPr>
          <w:p>
            <w:pPr>
              <w:ind w:left="100"/>
              <w:spacing w:after="0" w:line="175" w:lineRule="exact"/>
              <w:rPr>
                <w:sz w:val="20"/>
                <w:szCs w:val="20"/>
                <w:color w:val="auto"/>
              </w:rPr>
            </w:pPr>
            <w:r>
              <w:rPr>
                <w:rFonts w:ascii="Arial" w:cs="Arial" w:eastAsia="Arial" w:hAnsi="Arial"/>
                <w:sz w:val="16"/>
                <w:szCs w:val="16"/>
                <w:b w:val="1"/>
                <w:bCs w:val="1"/>
                <w:color w:val="auto"/>
              </w:rPr>
              <w:t>Chardan International Investments, LLC</w:t>
            </w:r>
          </w:p>
        </w:tc>
        <w:tc>
          <w:tcPr>
            <w:tcW w:w="77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Chardan International Investments LLC</w:t>
            </w:r>
          </w:p>
        </w:tc>
      </w:tr>
      <w:tr>
        <w:trPr>
          <w:trHeight w:val="223"/>
        </w:trPr>
        <w:tc>
          <w:tcPr>
            <w:tcW w:w="282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760" w:type="dxa"/>
            <w:vAlign w:val="bottom"/>
            <w:tcBorders>
              <w:right w:val="single" w:sz="8" w:color="auto"/>
            </w:tcBorders>
          </w:tcPr>
          <w:p>
            <w:pPr>
              <w:ind w:left="80"/>
              <w:spacing w:after="0" w:line="223" w:lineRule="exact"/>
              <w:rPr>
                <w:sz w:val="20"/>
                <w:szCs w:val="20"/>
                <w:color w:val="auto"/>
              </w:rPr>
            </w:pPr>
            <w:r>
              <w:rPr>
                <w:rFonts w:ascii="Arial" w:cs="Arial" w:eastAsia="Arial" w:hAnsi="Arial"/>
                <w:sz w:val="15"/>
                <w:szCs w:val="15"/>
                <w:color w:val="auto"/>
              </w:rPr>
              <w:t>17 State Street 21</w:t>
            </w:r>
            <w:r>
              <w:rPr>
                <w:rFonts w:ascii="Arial" w:cs="Arial" w:eastAsia="Arial" w:hAnsi="Arial"/>
                <w:sz w:val="25"/>
                <w:szCs w:val="25"/>
                <w:color w:val="auto"/>
                <w:vertAlign w:val="superscript"/>
              </w:rPr>
              <w:t>st</w:t>
            </w:r>
            <w:r>
              <w:rPr>
                <w:rFonts w:ascii="Arial" w:cs="Arial" w:eastAsia="Arial" w:hAnsi="Arial"/>
                <w:sz w:val="15"/>
                <w:szCs w:val="15"/>
                <w:color w:val="auto"/>
              </w:rPr>
              <w:t xml:space="preserve"> Floor</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New York, NY 10004</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Dentons LLP</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1221 Avenue of the Americas</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New York, NY 10020</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Brian Lee</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brian.lee@dentons.com</w:t>
            </w:r>
          </w:p>
        </w:tc>
      </w:tr>
      <w:tr>
        <w:trPr>
          <w:trHeight w:val="382"/>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w:t>
            </w:r>
          </w:p>
        </w:tc>
      </w:tr>
      <w:tr>
        <w:trPr>
          <w:trHeight w:val="370"/>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Woolery &amp; Co.</w:t>
            </w:r>
          </w:p>
        </w:tc>
      </w:tr>
      <w:tr>
        <w:trPr>
          <w:trHeight w:val="195"/>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 Pier 76</w:t>
            </w:r>
          </w:p>
        </w:tc>
      </w:tr>
      <w:tr>
        <w:trPr>
          <w:trHeight w:val="223"/>
        </w:trPr>
        <w:tc>
          <w:tcPr>
            <w:tcW w:w="282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760" w:type="dxa"/>
            <w:vAlign w:val="bottom"/>
            <w:tcBorders>
              <w:right w:val="single" w:sz="8" w:color="auto"/>
            </w:tcBorders>
          </w:tcPr>
          <w:p>
            <w:pPr>
              <w:ind w:left="100"/>
              <w:spacing w:after="0" w:line="223" w:lineRule="exact"/>
              <w:rPr>
                <w:sz w:val="20"/>
                <w:szCs w:val="20"/>
                <w:color w:val="auto"/>
              </w:rPr>
            </w:pPr>
            <w:r>
              <w:rPr>
                <w:rFonts w:ascii="Arial" w:cs="Arial" w:eastAsia="Arial" w:hAnsi="Arial"/>
                <w:sz w:val="15"/>
                <w:szCs w:val="15"/>
                <w:color w:val="auto"/>
              </w:rPr>
              <w:t>408 12</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Ave</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New York, NY 10018</w:t>
            </w:r>
          </w:p>
        </w:tc>
      </w:tr>
      <w:tr>
        <w:trPr>
          <w:trHeight w:val="370"/>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Attn: Matthew J. Saur</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mathew@wooleryco.com</w:t>
            </w:r>
          </w:p>
        </w:tc>
      </w:tr>
      <w:tr>
        <w:trPr>
          <w:trHeight w:val="191"/>
        </w:trPr>
        <w:tc>
          <w:tcPr>
            <w:tcW w:w="2820" w:type="dxa"/>
            <w:vAlign w:val="bottom"/>
            <w:tcBorders>
              <w:left w:val="single" w:sz="8" w:color="auto"/>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211"/>
        </w:trPr>
        <w:tc>
          <w:tcPr>
            <w:tcW w:w="28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760" w:type="dxa"/>
            <w:vAlign w:val="bottom"/>
          </w:tcPr>
          <w:p>
            <w:pPr>
              <w:spacing w:after="0"/>
              <w:rPr>
                <w:sz w:val="18"/>
                <w:szCs w:val="18"/>
                <w:color w:val="auto"/>
              </w:rPr>
            </w:pPr>
          </w:p>
        </w:tc>
      </w:tr>
    </w:tbl>
    <w:p>
      <w:pPr>
        <w:ind w:left="104" w:hanging="104"/>
        <w:spacing w:after="0" w:line="191" w:lineRule="auto"/>
        <w:tabs>
          <w:tab w:leader="none" w:pos="104" w:val="left"/>
        </w:tabs>
        <w:numPr>
          <w:ilvl w:val="0"/>
          <w:numId w:val="302"/>
        </w:numPr>
        <w:rPr>
          <w:rFonts w:ascii="Arial" w:cs="Arial" w:eastAsia="Arial" w:hAnsi="Arial"/>
          <w:sz w:val="27"/>
          <w:szCs w:val="27"/>
          <w:color w:val="auto"/>
          <w:vertAlign w:val="superscript"/>
        </w:rPr>
      </w:pPr>
      <w:r>
        <w:rPr>
          <w:rFonts w:ascii="Arial" w:cs="Arial" w:eastAsia="Arial" w:hAnsi="Arial"/>
          <w:sz w:val="19"/>
          <w:szCs w:val="19"/>
          <w:b w:val="1"/>
          <w:bCs w:val="1"/>
          <w:u w:val="single" w:color="auto"/>
          <w:color w:val="auto"/>
        </w:rPr>
        <w:t>Note to Draft:</w:t>
      </w:r>
      <w:r>
        <w:rPr>
          <w:rFonts w:ascii="Arial" w:cs="Arial" w:eastAsia="Arial" w:hAnsi="Arial"/>
          <w:sz w:val="19"/>
          <w:szCs w:val="19"/>
          <w:b w:val="1"/>
          <w:bCs w:val="1"/>
          <w:color w:val="auto"/>
        </w:rPr>
        <w:t xml:space="preserve"> </w:t>
      </w:r>
      <w:r>
        <w:rPr>
          <w:rFonts w:ascii="Arial" w:cs="Arial" w:eastAsia="Arial" w:hAnsi="Arial"/>
          <w:sz w:val="19"/>
          <w:szCs w:val="19"/>
          <w:color w:val="auto"/>
        </w:rPr>
        <w:t>W&amp;C to confirm Presto D&amp;O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389255</wp:posOffset>
            </wp:positionV>
            <wp:extent cx="7148195" cy="152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96" w:name="page297"/>
    <w:bookmarkEnd w:id="296"/>
    <w:tbl>
      <w:tblPr>
        <w:tblLayout w:type="fixed"/>
        <w:tblInd w:w="10" w:type="dxa"/>
        <w:tblCellMar>
          <w:top w:w="0" w:type="dxa"/>
          <w:left w:w="0" w:type="dxa"/>
          <w:bottom w:w="0" w:type="dxa"/>
          <w:right w:w="0" w:type="dxa"/>
        </w:tblCellMar>
      </w:tblPr>
      <w:tr>
        <w:trPr>
          <w:trHeight w:val="191"/>
        </w:trPr>
        <w:tc>
          <w:tcPr>
            <w:tcW w:w="3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Cindat USA LLC</w:t>
            </w:r>
          </w:p>
        </w:tc>
        <w:tc>
          <w:tcPr>
            <w:tcW w:w="7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Cindat USA LLC</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Seagram Building, 375 Park Avenue #3703</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New York, NY 10152</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Blind 1212, LLC</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Blind 1212, LLC</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Julie Atkinson</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Christian Ahrens</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593"/>
        </w:trPr>
        <w:tc>
          <w:tcPr>
            <w:tcW w:w="35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2</w:t>
            </w:r>
          </w:p>
        </w:tc>
      </w:tr>
    </w:tbl>
    <w:p>
      <w:pPr>
        <w:sectPr>
          <w:pgSz w:w="11900" w:h="16838" w:orient="portrait"/>
          <w:cols w:equalWidth="0" w:num="1">
            <w:col w:w="11260"/>
          </w:cols>
          <w:pgMar w:left="320" w:top="836" w:right="319" w:bottom="1440" w:gutter="0" w:footer="0" w:header="0"/>
        </w:sectPr>
      </w:pPr>
    </w:p>
    <w:bookmarkStart w:id="297" w:name="page298"/>
    <w:bookmarkEnd w:id="2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Romulus Capital II, L.P.</w:t>
            </w:r>
          </w:p>
        </w:tc>
        <w:tc>
          <w:tcPr>
            <w:tcW w:w="7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Krishna Gupta</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krishnakgupta20@gmail.com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Romulus Capital III, L.P.</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Krishna Gupta</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krishnakgupta20@gmail.com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Romulus ELC B3 Special Opportunity, L.P.</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Krishna Gupta</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krishnakgupta20@gmail.com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Rajat Suri</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Rajat Suri</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raj@presto.com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593"/>
        </w:trPr>
        <w:tc>
          <w:tcPr>
            <w:tcW w:w="35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260"/>
          </w:cols>
          <w:pgMar w:left="320" w:top="836" w:right="319" w:bottom="1440" w:gutter="0" w:footer="0" w:header="0"/>
        </w:sectPr>
      </w:pPr>
    </w:p>
    <w:bookmarkStart w:id="298" w:name="page299"/>
    <w:bookmarkEnd w:id="29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Ashish Gupta</w:t>
            </w:r>
          </w:p>
        </w:tc>
        <w:tc>
          <w:tcPr>
            <w:tcW w:w="7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Ashish Gupta</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ashish@presto.com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Daniel Dreyman</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William Healey</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Dan Mosher</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593"/>
        </w:trPr>
        <w:tc>
          <w:tcPr>
            <w:tcW w:w="35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4</w:t>
            </w:r>
          </w:p>
        </w:tc>
      </w:tr>
    </w:tbl>
    <w:p>
      <w:pPr>
        <w:sectPr>
          <w:pgSz w:w="11900" w:h="16838" w:orient="portrait"/>
          <w:cols w:equalWidth="0" w:num="1">
            <w:col w:w="11260"/>
          </w:cols>
          <w:pgMar w:left="320" w:top="836" w:right="319" w:bottom="1440" w:gutter="0" w:footer="0" w:header="0"/>
        </w:sectPr>
      </w:pPr>
    </w:p>
    <w:bookmarkStart w:id="299" w:name="page300"/>
    <w:bookmarkEnd w:id="2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Krishna Gupta</w:t>
            </w:r>
          </w:p>
        </w:tc>
        <w:tc>
          <w:tcPr>
            <w:tcW w:w="7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Ilya Golubovich</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Kim Axel Lopdrup</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Blythe McGarvie</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593"/>
        </w:trPr>
        <w:tc>
          <w:tcPr>
            <w:tcW w:w="35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5</w:t>
            </w:r>
          </w:p>
        </w:tc>
      </w:tr>
    </w:tbl>
    <w:p>
      <w:pPr>
        <w:sectPr>
          <w:pgSz w:w="11900" w:h="16838" w:orient="portrait"/>
          <w:cols w:equalWidth="0" w:num="1">
            <w:col w:w="11260"/>
          </w:cols>
          <w:pgMar w:left="320" w:top="837" w:right="319" w:bottom="1440" w:gutter="0" w:footer="0" w:header="0"/>
        </w:sectPr>
      </w:pPr>
    </w:p>
    <w:bookmarkStart w:id="300" w:name="page301"/>
    <w:bookmarkEnd w:id="30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Ed Scheetz</w:t>
            </w:r>
          </w:p>
        </w:tc>
        <w:tc>
          <w:tcPr>
            <w:tcW w:w="7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Ventoux Acquisition Holdings LLC</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211 North Street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Northampton, MA 01060</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Ed Scheetz</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ed@ventouxccm.com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Dentons LLP</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1221 Avenue of the Americas</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New York, NY 10020</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Brian Lee</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brian.lee@dentons.com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Woolery &amp; Co.</w:t>
            </w:r>
          </w:p>
        </w:tc>
      </w:tr>
      <w:tr>
        <w:trPr>
          <w:trHeight w:val="195"/>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 Pier 76</w:t>
            </w:r>
          </w:p>
        </w:tc>
      </w:tr>
      <w:tr>
        <w:trPr>
          <w:trHeight w:val="223"/>
        </w:trPr>
        <w:tc>
          <w:tcPr>
            <w:tcW w:w="3500" w:type="dxa"/>
            <w:vAlign w:val="bottom"/>
            <w:tcBorders>
              <w:left w:val="single" w:sz="8" w:color="auto"/>
              <w:right w:val="single" w:sz="8" w:color="auto"/>
            </w:tcBorders>
          </w:tcPr>
          <w:p>
            <w:pPr>
              <w:spacing w:after="0"/>
              <w:rPr>
                <w:sz w:val="19"/>
                <w:szCs w:val="19"/>
                <w:color w:val="auto"/>
              </w:rPr>
            </w:pPr>
          </w:p>
        </w:tc>
        <w:tc>
          <w:tcPr>
            <w:tcW w:w="7760" w:type="dxa"/>
            <w:vAlign w:val="bottom"/>
            <w:tcBorders>
              <w:right w:val="single" w:sz="8" w:color="auto"/>
            </w:tcBorders>
          </w:tcPr>
          <w:p>
            <w:pPr>
              <w:ind w:left="100"/>
              <w:spacing w:after="0" w:line="223" w:lineRule="exact"/>
              <w:rPr>
                <w:sz w:val="20"/>
                <w:szCs w:val="20"/>
                <w:color w:val="auto"/>
              </w:rPr>
            </w:pPr>
            <w:r>
              <w:rPr>
                <w:rFonts w:ascii="Arial" w:cs="Arial" w:eastAsia="Arial" w:hAnsi="Arial"/>
                <w:sz w:val="15"/>
                <w:szCs w:val="15"/>
                <w:color w:val="auto"/>
              </w:rPr>
              <w:t>408 12</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Ave</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New York, NY 10018</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Attn: Matthew J. Saur</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mathew@wooleryco.com</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Gail Zauder</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569"/>
        </w:trPr>
        <w:tc>
          <w:tcPr>
            <w:tcW w:w="35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6</w:t>
            </w:r>
          </w:p>
        </w:tc>
      </w:tr>
    </w:tbl>
    <w:p>
      <w:pPr>
        <w:sectPr>
          <w:pgSz w:w="11900" w:h="16838" w:orient="portrait"/>
          <w:cols w:equalWidth="0" w:num="1">
            <w:col w:w="11260"/>
          </w:cols>
          <w:pgMar w:left="320" w:top="836" w:right="319" w:bottom="1440" w:gutter="0" w:footer="0" w:header="0"/>
        </w:sectPr>
      </w:pPr>
    </w:p>
    <w:bookmarkStart w:id="301" w:name="page302"/>
    <w:bookmarkEnd w:id="301"/>
    <w:p>
      <w:pPr>
        <w:jc w:val="center"/>
        <w:ind w:right="20"/>
        <w:spacing w:after="0"/>
        <w:rPr>
          <w:sz w:val="20"/>
          <w:szCs w:val="20"/>
          <w:color w:val="auto"/>
        </w:rPr>
      </w:pPr>
      <w:r>
        <w:rPr>
          <w:rFonts w:ascii="Arial" w:cs="Arial" w:eastAsia="Arial" w:hAnsi="Arial"/>
          <w:sz w:val="16"/>
          <w:szCs w:val="16"/>
          <w:b w:val="1"/>
          <w:bCs w:val="1"/>
          <w:color w:val="auto"/>
        </w:rPr>
        <w:t>AMENDED AND RESTATED REGISTRATION RIGHTS AGREEMENT JOINDER</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undersigned is executing and delivering this Joinder pursuant to the Amended and Restated Registration Rights Agreement dated as of _______________ (as the</w:t>
      </w:r>
    </w:p>
    <w:p>
      <w:pPr>
        <w:spacing w:after="0" w:line="4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same may hereafter be amended,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among Ventoux CCM Acquisition Corp., a Delaware corporation (“</w:t>
      </w:r>
      <w:r>
        <w:rPr>
          <w:rFonts w:ascii="Arial" w:cs="Arial" w:eastAsia="Arial" w:hAnsi="Arial"/>
          <w:sz w:val="16"/>
          <w:szCs w:val="16"/>
          <w:u w:val="single" w:color="auto"/>
          <w:color w:val="auto"/>
        </w:rPr>
        <w:t>Pubco</w:t>
      </w:r>
      <w:r>
        <w:rPr>
          <w:rFonts w:ascii="Arial" w:cs="Arial" w:eastAsia="Arial" w:hAnsi="Arial"/>
          <w:sz w:val="16"/>
          <w:szCs w:val="16"/>
          <w:color w:val="auto"/>
        </w:rPr>
        <w:t>”), and the other persons named as parties therein.</w:t>
      </w:r>
    </w:p>
    <w:p>
      <w:pPr>
        <w:spacing w:after="0" w:line="165" w:lineRule="exact"/>
        <w:rPr>
          <w:sz w:val="20"/>
          <w:szCs w:val="20"/>
          <w:color w:val="auto"/>
        </w:rPr>
      </w:pPr>
    </w:p>
    <w:p>
      <w:pPr>
        <w:ind w:right="20" w:firstLine="574"/>
        <w:spacing w:after="0" w:line="349" w:lineRule="auto"/>
        <w:rPr>
          <w:sz w:val="20"/>
          <w:szCs w:val="20"/>
          <w:color w:val="auto"/>
        </w:rPr>
      </w:pPr>
      <w:r>
        <w:rPr>
          <w:rFonts w:ascii="Arial" w:cs="Arial" w:eastAsia="Arial" w:hAnsi="Arial"/>
          <w:sz w:val="14"/>
          <w:szCs w:val="14"/>
          <w:color w:val="auto"/>
        </w:rPr>
        <w:t>By executing and delivering this Joinder to Pubco,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Accordingly, the undersigned has executed and delivered this Joinder as of the ___ day of ________, 20__.</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INVESTOR:</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Its:</w:t>
      </w:r>
    </w:p>
    <w:p>
      <w:pPr>
        <w:spacing w:after="0" w:line="21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Address for Notices: [●]</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Agreed and Accepted as of_________________</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VENTOUX CCM ACQUISITION CORP.</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48195"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02" w:name="page303"/>
    <w:bookmarkEnd w:id="302"/>
    <w:p>
      <w:pPr>
        <w:jc w:val="right"/>
        <w:spacing w:after="0"/>
        <w:rPr>
          <w:sz w:val="20"/>
          <w:szCs w:val="20"/>
          <w:color w:val="auto"/>
        </w:rPr>
      </w:pPr>
      <w:r>
        <w:rPr>
          <w:rFonts w:ascii="Arial" w:cs="Arial" w:eastAsia="Arial" w:hAnsi="Arial"/>
          <w:sz w:val="16"/>
          <w:szCs w:val="16"/>
          <w:b w:val="1"/>
          <w:bCs w:val="1"/>
          <w:color w:val="auto"/>
        </w:rPr>
        <w:t>Exhibit 10.5</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SPONSOR SUPPORT AGREEMENT</w:t>
      </w:r>
    </w:p>
    <w:p>
      <w:pPr>
        <w:spacing w:after="0" w:line="202" w:lineRule="exact"/>
        <w:rPr>
          <w:sz w:val="20"/>
          <w:szCs w:val="20"/>
          <w:color w:val="auto"/>
        </w:rPr>
      </w:pPr>
    </w:p>
    <w:p>
      <w:pPr>
        <w:jc w:val="both"/>
        <w:ind w:firstLine="1147"/>
        <w:spacing w:after="0" w:line="254" w:lineRule="auto"/>
        <w:rPr>
          <w:sz w:val="20"/>
          <w:szCs w:val="20"/>
          <w:color w:val="auto"/>
        </w:rPr>
      </w:pPr>
      <w:r>
        <w:rPr>
          <w:rFonts w:ascii="Arial" w:cs="Arial" w:eastAsia="Arial" w:hAnsi="Arial"/>
          <w:sz w:val="16"/>
          <w:szCs w:val="16"/>
          <w:color w:val="auto"/>
        </w:rPr>
        <w:t>This Sponsor Support Agreement (this “</w:t>
      </w:r>
      <w:r>
        <w:rPr>
          <w:rFonts w:ascii="Arial" w:cs="Arial" w:eastAsia="Arial" w:hAnsi="Arial"/>
          <w:sz w:val="16"/>
          <w:szCs w:val="16"/>
          <w:u w:val="single" w:color="auto"/>
          <w:color w:val="auto"/>
        </w:rPr>
        <w:t>Sponsor Agreement</w:t>
      </w:r>
      <w:r>
        <w:rPr>
          <w:rFonts w:ascii="Arial" w:cs="Arial" w:eastAsia="Arial" w:hAnsi="Arial"/>
          <w:sz w:val="16"/>
          <w:szCs w:val="16"/>
          <w:color w:val="auto"/>
        </w:rPr>
        <w:t>”) is dated as of 10 November, 2021, by and among Ventoux Acquisition Holdings LLC, a Delaware limited liability company (“</w:t>
      </w:r>
      <w:r>
        <w:rPr>
          <w:rFonts w:ascii="Arial" w:cs="Arial" w:eastAsia="Arial" w:hAnsi="Arial"/>
          <w:sz w:val="16"/>
          <w:szCs w:val="16"/>
          <w:u w:val="single" w:color="auto"/>
          <w:color w:val="auto"/>
        </w:rPr>
        <w:t>Ventoux Acquisition</w:t>
      </w:r>
      <w:r>
        <w:rPr>
          <w:rFonts w:ascii="Arial" w:cs="Arial" w:eastAsia="Arial" w:hAnsi="Arial"/>
          <w:sz w:val="16"/>
          <w:szCs w:val="16"/>
          <w:color w:val="auto"/>
        </w:rPr>
        <w:t>”), Chardan International Investments, LLC, a Delaware limited liability company (together with Ventoux Acquisition, each, a “</w:t>
      </w:r>
      <w:r>
        <w:rPr>
          <w:rFonts w:ascii="Arial" w:cs="Arial" w:eastAsia="Arial" w:hAnsi="Arial"/>
          <w:sz w:val="16"/>
          <w:szCs w:val="16"/>
          <w:u w:val="single" w:color="auto"/>
          <w:color w:val="auto"/>
        </w:rPr>
        <w:t>Sponsor</w:t>
      </w:r>
      <w:r>
        <w:rPr>
          <w:rFonts w:ascii="Arial" w:cs="Arial" w:eastAsia="Arial" w:hAnsi="Arial"/>
          <w:sz w:val="16"/>
          <w:szCs w:val="16"/>
          <w:color w:val="auto"/>
        </w:rPr>
        <w:t>” and, together, the “</w:t>
      </w:r>
      <w:r>
        <w:rPr>
          <w:rFonts w:ascii="Arial" w:cs="Arial" w:eastAsia="Arial" w:hAnsi="Arial"/>
          <w:sz w:val="16"/>
          <w:szCs w:val="16"/>
          <w:u w:val="single" w:color="auto"/>
          <w:color w:val="auto"/>
        </w:rPr>
        <w:t>Sponsors</w:t>
      </w:r>
      <w:r>
        <w:rPr>
          <w:rFonts w:ascii="Arial" w:cs="Arial" w:eastAsia="Arial" w:hAnsi="Arial"/>
          <w:sz w:val="16"/>
          <w:szCs w:val="16"/>
          <w:color w:val="auto"/>
        </w:rPr>
        <w:t>”), Ventoux CCM Acquisition Corp., a Delaware corporation (“</w:t>
      </w:r>
      <w:r>
        <w:rPr>
          <w:rFonts w:ascii="Arial" w:cs="Arial" w:eastAsia="Arial" w:hAnsi="Arial"/>
          <w:sz w:val="16"/>
          <w:szCs w:val="16"/>
          <w:u w:val="single" w:color="auto"/>
          <w:color w:val="auto"/>
        </w:rPr>
        <w:t>Acquiror</w:t>
      </w:r>
      <w:r>
        <w:rPr>
          <w:rFonts w:ascii="Arial" w:cs="Arial" w:eastAsia="Arial" w:hAnsi="Arial"/>
          <w:sz w:val="16"/>
          <w:szCs w:val="16"/>
          <w:color w:val="auto"/>
        </w:rPr>
        <w:t>”), E La Carte,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directors, executive officers and affiliates of the Sponsors whose names appear on the signature pages of this Sponsor Agreement (such stockholders and affiliates, the “</w:t>
      </w:r>
      <w:r>
        <w:rPr>
          <w:rFonts w:ascii="Arial" w:cs="Arial" w:eastAsia="Arial" w:hAnsi="Arial"/>
          <w:sz w:val="16"/>
          <w:szCs w:val="16"/>
          <w:u w:val="single" w:color="auto"/>
          <w:color w:val="auto"/>
        </w:rPr>
        <w:t>Insiders</w:t>
      </w:r>
      <w:r>
        <w:rPr>
          <w:rFonts w:ascii="Arial" w:cs="Arial" w:eastAsia="Arial" w:hAnsi="Arial"/>
          <w:sz w:val="16"/>
          <w:szCs w:val="16"/>
          <w:color w:val="auto"/>
        </w:rPr>
        <w:t>”, and together with the “</w:t>
      </w:r>
      <w:r>
        <w:rPr>
          <w:rFonts w:ascii="Arial" w:cs="Arial" w:eastAsia="Arial" w:hAnsi="Arial"/>
          <w:sz w:val="16"/>
          <w:szCs w:val="16"/>
          <w:u w:val="single" w:color="auto"/>
          <w:color w:val="auto"/>
        </w:rPr>
        <w:t>Sponsors</w:t>
      </w:r>
      <w:r>
        <w:rPr>
          <w:rFonts w:ascii="Arial" w:cs="Arial" w:eastAsia="Arial" w:hAnsi="Arial"/>
          <w:sz w:val="16"/>
          <w:szCs w:val="16"/>
          <w:color w:val="auto"/>
        </w:rPr>
        <w:t>”, the “</w:t>
      </w:r>
      <w:r>
        <w:rPr>
          <w:rFonts w:ascii="Arial" w:cs="Arial" w:eastAsia="Arial" w:hAnsi="Arial"/>
          <w:sz w:val="16"/>
          <w:szCs w:val="16"/>
          <w:u w:val="single" w:color="auto"/>
          <w:color w:val="auto"/>
        </w:rPr>
        <w:t>Sponsor Parties</w:t>
      </w:r>
      <w:r>
        <w:rPr>
          <w:rFonts w:ascii="Arial" w:cs="Arial" w:eastAsia="Arial" w:hAnsi="Arial"/>
          <w:sz w:val="16"/>
          <w:szCs w:val="16"/>
          <w:color w:val="auto"/>
        </w:rPr>
        <w:t>” and individually, a “</w:t>
      </w:r>
      <w:r>
        <w:rPr>
          <w:rFonts w:ascii="Arial" w:cs="Arial" w:eastAsia="Arial" w:hAnsi="Arial"/>
          <w:sz w:val="16"/>
          <w:szCs w:val="16"/>
          <w:u w:val="single" w:color="auto"/>
          <w:color w:val="auto"/>
        </w:rPr>
        <w:t>Sponsor Party</w:t>
      </w:r>
      <w:r>
        <w:rPr>
          <w:rFonts w:ascii="Arial" w:cs="Arial" w:eastAsia="Arial" w:hAnsi="Arial"/>
          <w:sz w:val="16"/>
          <w:szCs w:val="16"/>
          <w:color w:val="auto"/>
        </w:rPr>
        <w:t>”). Capitalized terms used but not defined herein shall have the respective meanings ascribed to such terms in the Merger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98"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as of the date hereof, the Sponsor Parties are the holders of record and the “beneficial owners” (within the meaning of Rule 13d-3 under the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Act) of 4,312,500 shares of Acquiror Common Stock and 6,675,000 Acquiror Private Placement Warrants in the aggregate as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(collectively, the “</w:t>
      </w:r>
      <w:r>
        <w:rPr>
          <w:rFonts w:ascii="Arial" w:cs="Arial" w:eastAsia="Arial" w:hAnsi="Arial"/>
          <w:sz w:val="16"/>
          <w:szCs w:val="16"/>
          <w:u w:val="single" w:color="auto"/>
          <w:color w:val="auto"/>
        </w:rPr>
        <w:t>Subject Securities</w:t>
      </w:r>
      <w:r>
        <w:rPr>
          <w:rFonts w:ascii="Arial" w:cs="Arial" w:eastAsia="Arial" w:hAnsi="Arial"/>
          <w:sz w:val="16"/>
          <w:szCs w:val="16"/>
          <w:color w:val="auto"/>
        </w:rPr>
        <w:t>”);</w:t>
      </w:r>
    </w:p>
    <w:p>
      <w:pPr>
        <w:spacing w:after="0" w:line="155"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herewith, Acquiror, the Company, Ventoux Merger Sub I Inc., a Delaware corporation and wholly-owned subsidiary of Acquiror (“</w:t>
      </w:r>
      <w:r>
        <w:rPr>
          <w:rFonts w:ascii="Arial" w:cs="Arial" w:eastAsia="Arial" w:hAnsi="Arial"/>
          <w:sz w:val="16"/>
          <w:szCs w:val="16"/>
          <w:u w:val="single" w:color="auto"/>
          <w:color w:val="auto"/>
        </w:rPr>
        <w:t>First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Merger Sub</w:t>
      </w:r>
      <w:r>
        <w:rPr>
          <w:rFonts w:ascii="Arial" w:cs="Arial" w:eastAsia="Arial" w:hAnsi="Arial"/>
          <w:sz w:val="16"/>
          <w:szCs w:val="16"/>
          <w:color w:val="auto"/>
        </w:rPr>
        <w:t>”) and Ventoux Merger Sub II LLC, a Delaware limited liability company and wholly-owned subsidiary of Acquiror (“</w:t>
      </w:r>
      <w:r>
        <w:rPr>
          <w:rFonts w:ascii="Arial" w:cs="Arial" w:eastAsia="Arial" w:hAnsi="Arial"/>
          <w:sz w:val="16"/>
          <w:szCs w:val="16"/>
          <w:u w:val="single" w:color="auto"/>
          <w:color w:val="auto"/>
        </w:rPr>
        <w:t>Second Merger Sub</w:t>
      </w:r>
      <w:r>
        <w:rPr>
          <w:rFonts w:ascii="Arial" w:cs="Arial" w:eastAsia="Arial" w:hAnsi="Arial"/>
          <w:sz w:val="16"/>
          <w:szCs w:val="16"/>
          <w:color w:val="auto"/>
        </w:rPr>
        <w:t>”), are entering into an Agreement and Plan of Merger (as amended, supplemented, restated or otherwise modified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capitalized terms used but not otherwise defined in this Sponsor Agreement shall have the meanings ascribed to them in the Merger Agreement), pursuant to which (and subject to the terms and conditions set forth therein) First Merger Sub will merge with and into the Company (the “</w:t>
      </w:r>
      <w:r>
        <w:rPr>
          <w:rFonts w:ascii="Arial" w:cs="Arial" w:eastAsia="Arial" w:hAnsi="Arial"/>
          <w:sz w:val="16"/>
          <w:szCs w:val="16"/>
          <w:u w:val="single" w:color="auto"/>
          <w:color w:val="auto"/>
        </w:rPr>
        <w:t>First Merger</w:t>
      </w:r>
      <w:r>
        <w:rPr>
          <w:rFonts w:ascii="Arial" w:cs="Arial" w:eastAsia="Arial" w:hAnsi="Arial"/>
          <w:sz w:val="16"/>
          <w:szCs w:val="16"/>
          <w:color w:val="auto"/>
        </w:rPr>
        <w:t>”), and immediately following the First Merger, the Company will merge with and into Second Merger Sub, with Second Merger Sub continuing on as the surviving corporation and a wholly owned subsidiary of Acquiror (together with the First Merger, the “</w:t>
      </w:r>
      <w:r>
        <w:rPr>
          <w:rFonts w:ascii="Arial" w:cs="Arial" w:eastAsia="Arial" w:hAnsi="Arial"/>
          <w:sz w:val="16"/>
          <w:szCs w:val="16"/>
          <w:u w:val="single" w:color="auto"/>
          <w:color w:val="auto"/>
        </w:rPr>
        <w:t>Mergers</w:t>
      </w:r>
      <w:r>
        <w:rPr>
          <w:rFonts w:ascii="Arial" w:cs="Arial" w:eastAsia="Arial" w:hAnsi="Arial"/>
          <w:sz w:val="16"/>
          <w:szCs w:val="16"/>
          <w:color w:val="auto"/>
        </w:rPr>
        <w:t>”); and</w:t>
      </w:r>
    </w:p>
    <w:p>
      <w:pPr>
        <w:spacing w:after="0" w:line="167"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as an inducement to Acquiror and the Company to enter into the Merger Agreement and to consummate the transactions contemplated therein,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desire to agree to certain matters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6"/>
          <w:szCs w:val="16"/>
          <w:b w:val="1"/>
          <w:bCs w:val="1"/>
          <w:color w:val="auto"/>
        </w:rPr>
        <w:t>AGREEMENT</w:t>
      </w:r>
    </w:p>
    <w:p>
      <w:pPr>
        <w:spacing w:after="0" w:line="20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NOW, THEREFORE, in consideration of the foregoing and the mutual agreements contained herein, and intending to be legally bound hereby, the parties hereto hereby agree as follows:</w:t>
      </w:r>
    </w:p>
    <w:p>
      <w:pPr>
        <w:spacing w:after="0" w:line="148"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SPONSOR SUPPORT AGREEMENT; COVENANTS</w:t>
      </w:r>
    </w:p>
    <w:p>
      <w:pPr>
        <w:spacing w:after="0" w:line="186" w:lineRule="exact"/>
        <w:rPr>
          <w:sz w:val="20"/>
          <w:szCs w:val="20"/>
          <w:color w:val="auto"/>
        </w:rPr>
      </w:pPr>
    </w:p>
    <w:p>
      <w:pPr>
        <w:jc w:val="both"/>
        <w:ind w:right="20" w:firstLine="1721"/>
        <w:spacing w:after="0" w:line="25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Binding Effect of Merger Agreement</w:t>
      </w:r>
      <w:r>
        <w:rPr>
          <w:rFonts w:ascii="Arial" w:cs="Arial" w:eastAsia="Arial" w:hAnsi="Arial"/>
          <w:sz w:val="16"/>
          <w:szCs w:val="16"/>
          <w:color w:val="auto"/>
        </w:rPr>
        <w:t>. Each Sponsor Party hereby acknowledges that it has read the Merger Agreement and this Sponsor Agreement and has had the opportunity to consult with its tax and legal advisors. Each Sponsor Party shall be bound by and comply with Sections 7.11 (</w:t>
      </w:r>
      <w:r>
        <w:rPr>
          <w:rFonts w:ascii="Arial" w:cs="Arial" w:eastAsia="Arial" w:hAnsi="Arial"/>
          <w:sz w:val="16"/>
          <w:szCs w:val="16"/>
          <w:i w:val="1"/>
          <w:iCs w:val="1"/>
          <w:color w:val="auto"/>
        </w:rPr>
        <w:t>No Solicitation</w:t>
      </w:r>
      <w:r>
        <w:rPr>
          <w:rFonts w:ascii="Arial" w:cs="Arial" w:eastAsia="Arial" w:hAnsi="Arial"/>
          <w:sz w:val="16"/>
          <w:szCs w:val="16"/>
          <w:color w:val="auto"/>
        </w:rPr>
        <w:t>) and 8.05 (</w:t>
      </w:r>
      <w:r>
        <w:rPr>
          <w:rFonts w:ascii="Arial" w:cs="Arial" w:eastAsia="Arial" w:hAnsi="Arial"/>
          <w:sz w:val="16"/>
          <w:szCs w:val="16"/>
          <w:i w:val="1"/>
          <w:iCs w:val="1"/>
          <w:color w:val="auto"/>
        </w:rPr>
        <w:t>Confidentiality; Publicity</w:t>
      </w:r>
      <w:r>
        <w:rPr>
          <w:rFonts w:ascii="Arial" w:cs="Arial" w:eastAsia="Arial" w:hAnsi="Arial"/>
          <w:sz w:val="16"/>
          <w:szCs w:val="16"/>
          <w:color w:val="auto"/>
        </w:rPr>
        <w:t>) of the Merger Agreement (and any relevant definitions contained in any such Sections) as if such Sponsor Party was an original signatory to the Merger Agreement solely with respect to such provisions.</w:t>
      </w:r>
    </w:p>
    <w:p>
      <w:pPr>
        <w:spacing w:after="0" w:line="165" w:lineRule="exact"/>
        <w:rPr>
          <w:sz w:val="20"/>
          <w:szCs w:val="20"/>
          <w:color w:val="auto"/>
        </w:rPr>
      </w:pPr>
    </w:p>
    <w:p>
      <w:pPr>
        <w:jc w:val="both"/>
        <w:ind w:firstLine="1721"/>
        <w:spacing w:after="0" w:line="270"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No Transfer</w:t>
      </w:r>
      <w:r>
        <w:rPr>
          <w:rFonts w:ascii="Arial" w:cs="Arial" w:eastAsia="Arial" w:hAnsi="Arial"/>
          <w:sz w:val="15"/>
          <w:szCs w:val="15"/>
          <w:color w:val="auto"/>
        </w:rPr>
        <w:t>. During the period commencing on the date hereof and ending on the earliest of (a) the Effective Time, (b) such date and time as the Merger Agreement shall be terminated in accordance with Section 10.01 thereof (the earlier of (a) and (b), the “</w:t>
      </w:r>
      <w:r>
        <w:rPr>
          <w:rFonts w:ascii="Arial" w:cs="Arial" w:eastAsia="Arial" w:hAnsi="Arial"/>
          <w:sz w:val="15"/>
          <w:szCs w:val="15"/>
          <w:u w:val="single" w:color="auto"/>
          <w:color w:val="auto"/>
        </w:rPr>
        <w:t>Expiration Time</w:t>
      </w:r>
      <w:r>
        <w:rPr>
          <w:rFonts w:ascii="Arial" w:cs="Arial" w:eastAsia="Arial" w:hAnsi="Arial"/>
          <w:sz w:val="15"/>
          <w:szCs w:val="15"/>
          <w:color w:val="auto"/>
        </w:rPr>
        <w:t>”) and (c) the liquidation of Acquiror, each Sponsor Party shall not, without the prior written consent of the Company, (i) sell, publicly offer to sell, enter into contract or agree to sell, hypothecate, pledge, grant any option to purchase or otherwise dispose of or agree to dispose of, directly or indirectly, file (or participate in the filing of) a registration statement with the SEC (other than the Proxy Statement/Registration Statement) or establish or increase a put equivalent position or liquidate or decrease a call equivalent position within the meaning of Section 16 of the Exchange Act, with respect to any Subject Securities owned by such Sponsor Party (unless the transferee agrees to be bound by this Sponsor Agreement), (ii) enter into any swap or other arrangement that transfers to another, in whole or in part, any of the economic consequences of ownership of any Subject Securities owned by such Sponsor Party or (iii) publicly announce any intention to effect any transaction specified in clause (i) or (ii). The preceding sentence does not apply to the exercise by Cindat USA LLC of its rights under that certain letter agreement, dated December 13, 2020, among Cindat USA LLC, Ventoux Acquisition, and (with respect to certain provisions) Edward Scheetz.</w:t>
      </w:r>
    </w:p>
    <w:p>
      <w:pPr>
        <w:spacing w:after="0" w:line="163" w:lineRule="exact"/>
        <w:rPr>
          <w:sz w:val="20"/>
          <w:szCs w:val="20"/>
          <w:color w:val="auto"/>
        </w:rPr>
      </w:pPr>
    </w:p>
    <w:p>
      <w:pPr>
        <w:jc w:val="both"/>
        <w:ind w:firstLine="1721"/>
        <w:spacing w:after="0" w:line="271" w:lineRule="auto"/>
        <w:rPr>
          <w:sz w:val="20"/>
          <w:szCs w:val="20"/>
          <w:color w:val="auto"/>
        </w:rPr>
      </w:pPr>
      <w:r>
        <w:rPr>
          <w:rFonts w:ascii="Arial" w:cs="Arial" w:eastAsia="Arial" w:hAnsi="Arial"/>
          <w:sz w:val="15"/>
          <w:szCs w:val="15"/>
          <w:color w:val="auto"/>
        </w:rPr>
        <w:t xml:space="preserve">Section 1.3 </w:t>
      </w:r>
      <w:r>
        <w:rPr>
          <w:rFonts w:ascii="Arial" w:cs="Arial" w:eastAsia="Arial" w:hAnsi="Arial"/>
          <w:sz w:val="15"/>
          <w:szCs w:val="15"/>
          <w:u w:val="single" w:color="auto"/>
          <w:color w:val="auto"/>
        </w:rPr>
        <w:t>New Shares</w:t>
      </w:r>
      <w:r>
        <w:rPr>
          <w:rFonts w:ascii="Arial" w:cs="Arial" w:eastAsia="Arial" w:hAnsi="Arial"/>
          <w:sz w:val="15"/>
          <w:szCs w:val="15"/>
          <w:color w:val="auto"/>
        </w:rPr>
        <w:t>. In the event that (a) any Acquiror Common Stock, Acquiror Warrants, Acquiror Private Placement Warrants, Acquiror Rights or other equity securities of Acquiror are issued to a Sponsor Party after the date of this Sponsor Agreement pursuant to any stock dividend, stock split, recapitalization, reclassification, combination or exchange of Acquiror Common Stock, Acquiror Warrants or Acquiror Rights of, on or affecting the Acquiror Common Stock, Acquiror Warrants or Acquiror Rights owned by such Sponsor Party or otherwise, (b) a Sponsor Party purchases or otherwise acquires beneficial ownership of any Acquiror Common Stock, Acquiror Warrants, Acquiror Rights or other equity securities of Acquiror after the date of this Sponsor Agreement, or (c) a Sponsor Party acquires the right to vote or share in the voting of any Acquiror Common Stock or other equity securities of Acquiror after the date of this Sponsor Agreement (such Acquiror Common Stock, Acquiror Warrants or other equity securities of Acquiror, collectively the “</w:t>
      </w:r>
      <w:r>
        <w:rPr>
          <w:rFonts w:ascii="Arial" w:cs="Arial" w:eastAsia="Arial" w:hAnsi="Arial"/>
          <w:sz w:val="15"/>
          <w:szCs w:val="15"/>
          <w:u w:val="single" w:color="auto"/>
          <w:color w:val="auto"/>
        </w:rPr>
        <w:t>New Securities</w:t>
      </w:r>
      <w:r>
        <w:rPr>
          <w:rFonts w:ascii="Arial" w:cs="Arial" w:eastAsia="Arial" w:hAnsi="Arial"/>
          <w:sz w:val="15"/>
          <w:szCs w:val="15"/>
          <w:color w:val="auto"/>
        </w:rPr>
        <w:t>”), then, to the extent of such Sponsor Party’s control of such New Securities, such New Securities acquired or purchased by such Sponsor Party shall be subject to the terms of this Sponsor Agreement to the same extent as if they constituted the Subject Securities owned by such Sponsor Party as of the date hereof.</w:t>
      </w:r>
    </w:p>
    <w:p>
      <w:pPr>
        <w:spacing w:after="0" w:line="159" w:lineRule="exact"/>
        <w:rPr>
          <w:sz w:val="20"/>
          <w:szCs w:val="20"/>
          <w:color w:val="auto"/>
        </w:rPr>
      </w:pPr>
    </w:p>
    <w:p>
      <w:pPr>
        <w:jc w:val="both"/>
        <w:ind w:firstLine="1721"/>
        <w:spacing w:after="0" w:line="306" w:lineRule="auto"/>
        <w:rPr>
          <w:sz w:val="20"/>
          <w:szCs w:val="20"/>
          <w:color w:val="auto"/>
        </w:rPr>
      </w:pPr>
      <w:r>
        <w:rPr>
          <w:rFonts w:ascii="Arial" w:cs="Arial" w:eastAsia="Arial" w:hAnsi="Arial"/>
          <w:sz w:val="14"/>
          <w:szCs w:val="14"/>
          <w:color w:val="auto"/>
        </w:rPr>
        <w:t xml:space="preserve">Section 1.4 </w:t>
      </w:r>
      <w:r>
        <w:rPr>
          <w:rFonts w:ascii="Arial" w:cs="Arial" w:eastAsia="Arial" w:hAnsi="Arial"/>
          <w:sz w:val="14"/>
          <w:szCs w:val="14"/>
          <w:u w:val="single" w:color="auto"/>
          <w:color w:val="auto"/>
        </w:rPr>
        <w:t>Closing Date Deliverables</w:t>
      </w:r>
      <w:r>
        <w:rPr>
          <w:rFonts w:ascii="Arial" w:cs="Arial" w:eastAsia="Arial" w:hAnsi="Arial"/>
          <w:sz w:val="14"/>
          <w:szCs w:val="14"/>
          <w:color w:val="auto"/>
        </w:rPr>
        <w:t>. On the Closing Date, (a) Ventoux Acquisition shall deliver to Acquiror and the Company a duly executed copy of that certain Amended and Restated Registration Rights Agreement, by and among Acquiror, the Company, the Sponsor Parties, certain Affiliates of the Sponsor Parties and certain of the Company’s stockholders or their respective affiliates, as applicable, in substantially the form attached as Exhibit F to the Merger Agreement (the “</w:t>
      </w:r>
      <w:r>
        <w:rPr>
          <w:rFonts w:ascii="Arial" w:cs="Arial" w:eastAsia="Arial" w:hAnsi="Arial"/>
          <w:sz w:val="14"/>
          <w:szCs w:val="14"/>
          <w:u w:val="single" w:color="auto"/>
          <w:color w:val="auto"/>
        </w:rPr>
        <w:t>Registration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Rights Agreement</w:t>
      </w:r>
      <w:r>
        <w:rPr>
          <w:rFonts w:ascii="Arial" w:cs="Arial" w:eastAsia="Arial" w:hAnsi="Arial"/>
          <w:sz w:val="14"/>
          <w:szCs w:val="14"/>
          <w:color w:val="auto"/>
        </w:rPr>
        <w:t>”) and (b) Acquiror shall deliver to the Sponsors (and the Insiders, as applicable) a duly executed copy of the Registration Rights Agreement.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04" w:name="page305"/>
    <w:bookmarkEnd w:id="304"/>
    <w:p>
      <w:pPr>
        <w:ind w:left="1720"/>
        <w:spacing w:after="0"/>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Sponsor Party Agreements</w:t>
      </w:r>
      <w:r>
        <w:rPr>
          <w:rFonts w:ascii="Arial" w:cs="Arial" w:eastAsia="Arial" w:hAnsi="Arial"/>
          <w:sz w:val="16"/>
          <w:szCs w:val="16"/>
          <w:color w:val="auto"/>
        </w:rPr>
        <w:t>.</w:t>
      </w:r>
    </w:p>
    <w:p>
      <w:pPr>
        <w:spacing w:after="0" w:line="198" w:lineRule="exact"/>
        <w:rPr>
          <w:sz w:val="20"/>
          <w:szCs w:val="20"/>
          <w:color w:val="auto"/>
        </w:rPr>
      </w:pPr>
    </w:p>
    <w:p>
      <w:pPr>
        <w:jc w:val="both"/>
        <w:ind w:firstLine="1716"/>
        <w:spacing w:after="0" w:line="255" w:lineRule="auto"/>
        <w:tabs>
          <w:tab w:leader="none" w:pos="1949" w:val="left"/>
        </w:tabs>
        <w:numPr>
          <w:ilvl w:val="0"/>
          <w:numId w:val="303"/>
        </w:numPr>
        <w:rPr>
          <w:rFonts w:ascii="Arial" w:cs="Arial" w:eastAsia="Arial" w:hAnsi="Arial"/>
          <w:sz w:val="16"/>
          <w:szCs w:val="16"/>
          <w:color w:val="auto"/>
        </w:rPr>
      </w:pPr>
      <w:r>
        <w:rPr>
          <w:rFonts w:ascii="Arial" w:cs="Arial" w:eastAsia="Arial" w:hAnsi="Arial"/>
          <w:sz w:val="16"/>
          <w:szCs w:val="16"/>
          <w:color w:val="auto"/>
        </w:rPr>
        <w:t>Prior to the Expiration Time, at any meeting of the shareholders of Acquiror, however called, or at any adjournment thereof, or in any other circumstance in which the vote, consent or other approval of the shareholders of Acquiror is sought, each Sponsor Party shall, solely in its capacity as a record owner of common stock of Acquiror, (i) appear at each such meeting or otherwise cause all of its Acquiror Common Stock to be counted as present thereat for purposes of calculating a quorum and (ii) vote (or cause to be voted), or execute and deliver a written consent (or cause a written consent to be executed and delivered) covering, all of its Acquiror Common Stock:</w:t>
      </w:r>
    </w:p>
    <w:p>
      <w:pPr>
        <w:spacing w:after="0" w:line="169" w:lineRule="exact"/>
        <w:rPr>
          <w:rFonts w:ascii="Arial" w:cs="Arial" w:eastAsia="Arial" w:hAnsi="Arial"/>
          <w:sz w:val="16"/>
          <w:szCs w:val="16"/>
          <w:color w:val="auto"/>
        </w:rPr>
      </w:pPr>
    </w:p>
    <w:p>
      <w:pPr>
        <w:ind w:left="2760" w:hanging="183"/>
        <w:spacing w:after="0"/>
        <w:tabs>
          <w:tab w:leader="none" w:pos="276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in favor of each Proposal;</w:t>
      </w:r>
    </w:p>
    <w:p>
      <w:pPr>
        <w:spacing w:after="0" w:line="198" w:lineRule="exact"/>
        <w:rPr>
          <w:rFonts w:ascii="Arial" w:cs="Arial" w:eastAsia="Arial" w:hAnsi="Arial"/>
          <w:sz w:val="16"/>
          <w:szCs w:val="16"/>
          <w:color w:val="auto"/>
        </w:rPr>
      </w:pPr>
    </w:p>
    <w:p>
      <w:pPr>
        <w:ind w:left="2820" w:hanging="243"/>
        <w:spacing w:after="0"/>
        <w:tabs>
          <w:tab w:leader="none" w:pos="2820" w:val="left"/>
        </w:tabs>
        <w:numPr>
          <w:ilvl w:val="1"/>
          <w:numId w:val="303"/>
        </w:numPr>
        <w:rPr>
          <w:rFonts w:ascii="Arial" w:cs="Arial" w:eastAsia="Arial" w:hAnsi="Arial"/>
          <w:sz w:val="15"/>
          <w:szCs w:val="15"/>
          <w:color w:val="auto"/>
        </w:rPr>
      </w:pPr>
      <w:r>
        <w:rPr>
          <w:rFonts w:ascii="Arial" w:cs="Arial" w:eastAsia="Arial" w:hAnsi="Arial"/>
          <w:sz w:val="15"/>
          <w:szCs w:val="15"/>
          <w:color w:val="auto"/>
        </w:rPr>
        <w:t>against any Business Combination Proposal or any proposal relating to a Business Combination Proposal (in each case,</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than the Proposals);</w:t>
      </w:r>
    </w:p>
    <w:p>
      <w:pPr>
        <w:spacing w:after="0" w:line="186" w:lineRule="exact"/>
        <w:rPr>
          <w:sz w:val="20"/>
          <w:szCs w:val="20"/>
          <w:color w:val="auto"/>
        </w:rPr>
      </w:pPr>
    </w:p>
    <w:p>
      <w:pPr>
        <w:ind w:left="560" w:right="580" w:firstLine="2017"/>
        <w:spacing w:after="0" w:line="275" w:lineRule="auto"/>
        <w:tabs>
          <w:tab w:leader="none" w:pos="2846"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against any merger agreement or merger (other than the Merger Agreement and the Mergers), consolidation, combination, sale of substantial assets, reorganization, recapitalization, dissolution, liquidation or winding up of or by Acquiror;</w:t>
      </w:r>
    </w:p>
    <w:p>
      <w:pPr>
        <w:spacing w:after="0" w:line="151" w:lineRule="exact"/>
        <w:rPr>
          <w:rFonts w:ascii="Arial" w:cs="Arial" w:eastAsia="Arial" w:hAnsi="Arial"/>
          <w:sz w:val="16"/>
          <w:szCs w:val="16"/>
          <w:color w:val="auto"/>
        </w:rPr>
      </w:pPr>
    </w:p>
    <w:p>
      <w:pPr>
        <w:ind w:left="2860" w:hanging="283"/>
        <w:spacing w:after="0"/>
        <w:tabs>
          <w:tab w:leader="none" w:pos="286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against any change in the business, management or Board of Directors of Acquiror (other than in connection with the</w:t>
      </w:r>
    </w:p>
    <w:p>
      <w:pPr>
        <w:spacing w:after="0" w:line="19"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Proposals); and</w:t>
      </w:r>
    </w:p>
    <w:p>
      <w:pPr>
        <w:spacing w:after="0" w:line="185" w:lineRule="exact"/>
        <w:rPr>
          <w:rFonts w:ascii="Arial" w:cs="Arial" w:eastAsia="Arial" w:hAnsi="Arial"/>
          <w:sz w:val="16"/>
          <w:szCs w:val="16"/>
          <w:color w:val="auto"/>
        </w:rPr>
      </w:pPr>
    </w:p>
    <w:p>
      <w:pPr>
        <w:jc w:val="both"/>
        <w:ind w:left="560" w:right="580" w:firstLine="2017"/>
        <w:spacing w:after="0" w:line="255" w:lineRule="auto"/>
        <w:tabs>
          <w:tab w:leader="none" w:pos="2793"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against any proposal, action or agreement that would (A) impede, frustrate, prevent or nullify any provision of this Sponsor Agreement, the Merger Agreement or the Mergers, (B) result in a breach in any respect of any covenant, representation, warranty or any other obligation or agreement of Acquiror, First Merger Sub or Second Merger Sub under the Merger Agreement, (C) result in any of the conditions set forth in Article IX of the Merger Agreement not being fulfilled or (D) change in any manner the dividend policy or capitalization of, including the voting rights of any class of capital stock of, Acquiror.</w:t>
      </w:r>
    </w:p>
    <w:p>
      <w:pPr>
        <w:spacing w:after="0" w:line="170" w:lineRule="exact"/>
        <w:rPr>
          <w:sz w:val="20"/>
          <w:szCs w:val="20"/>
          <w:color w:val="auto"/>
        </w:rPr>
      </w:pPr>
    </w:p>
    <w:p>
      <w:pPr>
        <w:ind w:firstLine="574"/>
        <w:spacing w:after="0" w:line="309" w:lineRule="auto"/>
        <w:rPr>
          <w:sz w:val="20"/>
          <w:szCs w:val="20"/>
          <w:color w:val="auto"/>
        </w:rPr>
      </w:pPr>
      <w:r>
        <w:rPr>
          <w:rFonts w:ascii="Arial" w:cs="Arial" w:eastAsia="Arial" w:hAnsi="Arial"/>
          <w:sz w:val="15"/>
          <w:szCs w:val="15"/>
          <w:color w:val="auto"/>
        </w:rPr>
        <w:t xml:space="preserve">Each Sponsor Party hereby agrees, in such Person’s capacity as a record owner of, or owner of interests representing the economic benefits of, common stock of Acquiror, that such Sponsor Party shall not commit or agree to take any action inconsistent with the foregoing obligation set forth in </w:t>
      </w:r>
      <w:r>
        <w:rPr>
          <w:rFonts w:ascii="Arial" w:cs="Arial" w:eastAsia="Arial" w:hAnsi="Arial"/>
          <w:sz w:val="15"/>
          <w:szCs w:val="15"/>
          <w:u w:val="single" w:color="auto"/>
          <w:color w:val="auto"/>
        </w:rPr>
        <w:t>Section 1.5(a)</w:t>
      </w:r>
      <w:r>
        <w:rPr>
          <w:rFonts w:ascii="Arial" w:cs="Arial" w:eastAsia="Arial" w:hAnsi="Arial"/>
          <w:sz w:val="15"/>
          <w:szCs w:val="15"/>
          <w:color w:val="auto"/>
        </w:rPr>
        <w:t>.</w:t>
      </w:r>
    </w:p>
    <w:p>
      <w:pPr>
        <w:spacing w:after="0" w:line="129"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 Each Sponsor Party shall comply with, and fully perform all of its obligations, covenants and agreements set forth in, the Insider Letter (as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defined below).</w:t>
      </w:r>
    </w:p>
    <w:p>
      <w:pPr>
        <w:spacing w:after="0" w:line="186" w:lineRule="exact"/>
        <w:rPr>
          <w:sz w:val="20"/>
          <w:szCs w:val="20"/>
          <w:color w:val="auto"/>
        </w:rPr>
      </w:pPr>
    </w:p>
    <w:p>
      <w:pPr>
        <w:ind w:left="1940" w:hanging="224"/>
        <w:spacing w:after="0"/>
        <w:tabs>
          <w:tab w:leader="none" w:pos="19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Each Sponsor Party agrees not to redeem any of its, his or her shares of Acquiror Common Stock in connection with the Mergers.</w:t>
      </w:r>
    </w:p>
    <w:p>
      <w:pPr>
        <w:spacing w:after="0" w:line="198" w:lineRule="exact"/>
        <w:rPr>
          <w:rFonts w:ascii="Arial" w:cs="Arial" w:eastAsia="Arial" w:hAnsi="Arial"/>
          <w:sz w:val="16"/>
          <w:szCs w:val="16"/>
          <w:color w:val="auto"/>
        </w:rPr>
      </w:pPr>
    </w:p>
    <w:p>
      <w:pPr>
        <w:ind w:right="20" w:firstLine="1716"/>
        <w:spacing w:after="0" w:line="349" w:lineRule="auto"/>
        <w:tabs>
          <w:tab w:leader="none" w:pos="1954" w:val="left"/>
        </w:tabs>
        <w:numPr>
          <w:ilvl w:val="0"/>
          <w:numId w:val="305"/>
        </w:numPr>
        <w:rPr>
          <w:rFonts w:ascii="Arial" w:cs="Arial" w:eastAsia="Arial" w:hAnsi="Arial"/>
          <w:sz w:val="14"/>
          <w:szCs w:val="14"/>
          <w:color w:val="auto"/>
        </w:rPr>
      </w:pPr>
      <w:r>
        <w:rPr>
          <w:rFonts w:ascii="Arial" w:cs="Arial" w:eastAsia="Arial" w:hAnsi="Arial"/>
          <w:sz w:val="14"/>
          <w:szCs w:val="14"/>
          <w:color w:val="auto"/>
        </w:rPr>
        <w:t xml:space="preserve">During the period commencing on the date hereof and ending on the earlier of the Effective Date and the termination of the Merger Agreement pursuant to Section 10.01 thereof, without the prior written consent of the Company, each Sponsor Party shall not modify or amend any Contract listed on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05" w:name="page306"/>
    <w:bookmarkEnd w:id="305"/>
    <w:p>
      <w:pPr>
        <w:ind w:left="172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Lock-up.</w:t>
      </w:r>
    </w:p>
    <w:p>
      <w:pPr>
        <w:spacing w:after="0" w:line="198" w:lineRule="exact"/>
        <w:rPr>
          <w:sz w:val="20"/>
          <w:szCs w:val="20"/>
          <w:color w:val="auto"/>
        </w:rPr>
      </w:pPr>
    </w:p>
    <w:p>
      <w:pPr>
        <w:jc w:val="both"/>
        <w:ind w:firstLine="1716"/>
        <w:spacing w:after="0" w:line="295" w:lineRule="auto"/>
        <w:tabs>
          <w:tab w:leader="none" w:pos="1937" w:val="left"/>
        </w:tabs>
        <w:numPr>
          <w:ilvl w:val="0"/>
          <w:numId w:val="306"/>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1.6(c)</w:t>
      </w:r>
      <w:r>
        <w:rPr>
          <w:rFonts w:ascii="Arial" w:cs="Arial" w:eastAsia="Arial" w:hAnsi="Arial"/>
          <w:sz w:val="14"/>
          <w:szCs w:val="14"/>
          <w:color w:val="auto"/>
        </w:rPr>
        <w:t>, each Sponsor Party agrees that it shall not Transfer any of its, his or her shares of Acquiror Common Stock as set forth opposite such Sponsor Party’s name on Schedule I attached hereto (in respect of each Sponsor Party, the “</w:t>
      </w:r>
      <w:r>
        <w:rPr>
          <w:rFonts w:ascii="Arial" w:cs="Arial" w:eastAsia="Arial" w:hAnsi="Arial"/>
          <w:sz w:val="14"/>
          <w:szCs w:val="14"/>
          <w:u w:val="single" w:color="auto"/>
          <w:color w:val="auto"/>
        </w:rPr>
        <w:t>Founder Shares</w:t>
      </w:r>
      <w:r>
        <w:rPr>
          <w:rFonts w:ascii="Arial" w:cs="Arial" w:eastAsia="Arial" w:hAnsi="Arial"/>
          <w:sz w:val="14"/>
          <w:szCs w:val="14"/>
          <w:color w:val="auto"/>
        </w:rPr>
        <w:t>”) during the period beginning on the Closing Date until (i) in respect of 50% of its, his or her Founder Shares that are owned immediately after the Closing, the date that is six (6) months from and after the Closing Date, and (ii) in respect of the remaining 50% of its, his or her Founder Shares that are owned immediately after the Closing, the date that is one (1) year from and after the Closing Date (such period, the “</w:t>
      </w:r>
      <w:r>
        <w:rPr>
          <w:rFonts w:ascii="Arial" w:cs="Arial" w:eastAsia="Arial" w:hAnsi="Arial"/>
          <w:sz w:val="14"/>
          <w:szCs w:val="14"/>
          <w:u w:val="single" w:color="auto"/>
          <w:color w:val="auto"/>
        </w:rPr>
        <w:t>Lock-Up Period</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prohibition shall not apply to Transfers (x) permitted pursuant to </w:t>
      </w:r>
      <w:r>
        <w:rPr>
          <w:rFonts w:ascii="Arial" w:cs="Arial" w:eastAsia="Arial" w:hAnsi="Arial"/>
          <w:sz w:val="14"/>
          <w:szCs w:val="14"/>
          <w:u w:val="single" w:color="auto"/>
          <w:color w:val="auto"/>
        </w:rPr>
        <w:t>Section 1.6(c)</w:t>
      </w:r>
      <w:r>
        <w:rPr>
          <w:rFonts w:ascii="Arial" w:cs="Arial" w:eastAsia="Arial" w:hAnsi="Arial"/>
          <w:sz w:val="14"/>
          <w:szCs w:val="14"/>
          <w:color w:val="auto"/>
        </w:rPr>
        <w:t xml:space="preserve"> or (y) permitted pursuant to the organizational documents of Acquiror, as in effect on the Closing Date, as the same may be amended from time to time (the “</w:t>
      </w:r>
      <w:r>
        <w:rPr>
          <w:rFonts w:ascii="Arial" w:cs="Arial" w:eastAsia="Arial" w:hAnsi="Arial"/>
          <w:sz w:val="14"/>
          <w:szCs w:val="14"/>
          <w:u w:val="single" w:color="auto"/>
          <w:color w:val="auto"/>
        </w:rPr>
        <w:t>Governing Documents</w:t>
      </w:r>
      <w:r>
        <w:rPr>
          <w:rFonts w:ascii="Arial" w:cs="Arial" w:eastAsia="Arial" w:hAnsi="Arial"/>
          <w:sz w:val="14"/>
          <w:szCs w:val="14"/>
          <w:color w:val="auto"/>
        </w:rPr>
        <w:t xml:space="preserve">”). For clarity, Acquiror Common Stock issued in connection with a Subscription Agreement shall not constitute Founder Shares and shall not be subject to this </w:t>
      </w:r>
      <w:r>
        <w:rPr>
          <w:rFonts w:ascii="Arial" w:cs="Arial" w:eastAsia="Arial" w:hAnsi="Arial"/>
          <w:sz w:val="14"/>
          <w:szCs w:val="14"/>
          <w:u w:val="single" w:color="auto"/>
          <w:color w:val="auto"/>
        </w:rPr>
        <w:t>Section 1.6</w:t>
      </w:r>
      <w:r>
        <w:rPr>
          <w:rFonts w:ascii="Arial" w:cs="Arial" w:eastAsia="Arial" w:hAnsi="Arial"/>
          <w:sz w:val="14"/>
          <w:szCs w:val="14"/>
          <w:color w:val="auto"/>
        </w:rPr>
        <w:t>.</w:t>
      </w:r>
    </w:p>
    <w:p>
      <w:pPr>
        <w:spacing w:after="0" w:line="144" w:lineRule="exact"/>
        <w:rPr>
          <w:rFonts w:ascii="Arial" w:cs="Arial" w:eastAsia="Arial" w:hAnsi="Arial"/>
          <w:sz w:val="14"/>
          <w:szCs w:val="14"/>
          <w:color w:val="auto"/>
        </w:rPr>
      </w:pPr>
    </w:p>
    <w:p>
      <w:pPr>
        <w:ind w:right="20" w:firstLine="1716"/>
        <w:spacing w:after="0" w:line="275" w:lineRule="auto"/>
        <w:tabs>
          <w:tab w:leader="none" w:pos="194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Each Sponsor Party agrees that it shall not Transfer any Acquiror Warrants during the applicable Lock-Up Period (i.e., for 100% during the first six (6) months following the Closing Date and for 50% during the following six (6) months).</w:t>
      </w:r>
    </w:p>
    <w:p>
      <w:pPr>
        <w:spacing w:after="0" w:line="151" w:lineRule="exact"/>
        <w:rPr>
          <w:rFonts w:ascii="Arial" w:cs="Arial" w:eastAsia="Arial" w:hAnsi="Arial"/>
          <w:sz w:val="16"/>
          <w:szCs w:val="16"/>
          <w:color w:val="auto"/>
        </w:rPr>
      </w:pPr>
    </w:p>
    <w:p>
      <w:pPr>
        <w:jc w:val="both"/>
        <w:ind w:firstLine="1716"/>
        <w:spacing w:after="0" w:line="276" w:lineRule="auto"/>
        <w:tabs>
          <w:tab w:leader="none" w:pos="1937" w:val="left"/>
        </w:tabs>
        <w:numPr>
          <w:ilvl w:val="0"/>
          <w:numId w:val="306"/>
        </w:numPr>
        <w:rPr>
          <w:rFonts w:ascii="Arial" w:cs="Arial" w:eastAsia="Arial" w:hAnsi="Arial"/>
          <w:sz w:val="15"/>
          <w:szCs w:val="15"/>
          <w:color w:val="auto"/>
        </w:rPr>
      </w:pPr>
      <w:r>
        <w:rPr>
          <w:rFonts w:ascii="Arial" w:cs="Arial" w:eastAsia="Arial" w:hAnsi="Arial"/>
          <w:sz w:val="15"/>
          <w:szCs w:val="15"/>
          <w:color w:val="auto"/>
        </w:rPr>
        <w:t xml:space="preserve">Notwithstanding the provisions set forth in </w:t>
      </w:r>
      <w:r>
        <w:rPr>
          <w:rFonts w:ascii="Arial" w:cs="Arial" w:eastAsia="Arial" w:hAnsi="Arial"/>
          <w:sz w:val="15"/>
          <w:szCs w:val="15"/>
          <w:u w:val="single" w:color="auto"/>
          <w:color w:val="auto"/>
        </w:rPr>
        <w:t>Section 1.6(a)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Transfers of the Founder Shares and Acquiror Warrants that are that are held by a Sponsor Party or any of its permitted transferees (that have complied with this </w:t>
      </w:r>
      <w:r>
        <w:rPr>
          <w:rFonts w:ascii="Arial" w:cs="Arial" w:eastAsia="Arial" w:hAnsi="Arial"/>
          <w:sz w:val="15"/>
          <w:szCs w:val="15"/>
          <w:u w:val="single" w:color="auto"/>
          <w:color w:val="auto"/>
        </w:rPr>
        <w:t>Section 1.6(c)</w:t>
      </w:r>
      <w:r>
        <w:rPr>
          <w:rFonts w:ascii="Arial" w:cs="Arial" w:eastAsia="Arial" w:hAnsi="Arial"/>
          <w:sz w:val="15"/>
          <w:szCs w:val="15"/>
          <w:color w:val="auto"/>
        </w:rPr>
        <w:t xml:space="preserve">) are permitted in accordance with the Governing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such Transfer shall be permitted only if, as a precondition to such Transfer, the transferee agrees in a writing, reasonably satisfactory in form and substance to Acquiror, to assume all of the obligations of the Sponsor Party under, and be bound by all of the terms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Transfer permitted under this </w:t>
      </w:r>
      <w:r>
        <w:rPr>
          <w:rFonts w:ascii="Arial" w:cs="Arial" w:eastAsia="Arial" w:hAnsi="Arial"/>
          <w:sz w:val="15"/>
          <w:szCs w:val="15"/>
          <w:u w:val="single" w:color="auto"/>
          <w:color w:val="auto"/>
        </w:rPr>
        <w:t>Section 1.6(c)</w:t>
      </w:r>
      <w:r>
        <w:rPr>
          <w:rFonts w:ascii="Arial" w:cs="Arial" w:eastAsia="Arial" w:hAnsi="Arial"/>
          <w:sz w:val="15"/>
          <w:szCs w:val="15"/>
          <w:color w:val="auto"/>
        </w:rPr>
        <w:t xml:space="preserve"> shall not relieve the Sponsor Party of its obligations under this Sponsor Agreement.</w:t>
      </w:r>
    </w:p>
    <w:p>
      <w:pPr>
        <w:spacing w:after="0" w:line="155" w:lineRule="exact"/>
        <w:rPr>
          <w:rFonts w:ascii="Arial" w:cs="Arial" w:eastAsia="Arial" w:hAnsi="Arial"/>
          <w:sz w:val="15"/>
          <w:szCs w:val="15"/>
          <w:color w:val="auto"/>
        </w:rPr>
      </w:pPr>
    </w:p>
    <w:p>
      <w:pPr>
        <w:ind w:firstLine="1716"/>
        <w:spacing w:after="0" w:line="275" w:lineRule="auto"/>
        <w:tabs>
          <w:tab w:leader="none" w:pos="194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During the applicable Lock-Up Period for the respective Sponsor Parties, any purported Transfer of applicable Founder Shares not in accordance with this Sponsor Agreement shall be null and void, and Acquiror shall refuse to recognize any such Transfer for any purpose.</w:t>
      </w:r>
    </w:p>
    <w:p>
      <w:pPr>
        <w:spacing w:after="0" w:line="151" w:lineRule="exact"/>
        <w:rPr>
          <w:rFonts w:ascii="Arial" w:cs="Arial" w:eastAsia="Arial" w:hAnsi="Arial"/>
          <w:sz w:val="16"/>
          <w:szCs w:val="16"/>
          <w:color w:val="auto"/>
        </w:rPr>
      </w:pPr>
    </w:p>
    <w:p>
      <w:pPr>
        <w:jc w:val="both"/>
        <w:ind w:firstLine="1716"/>
        <w:spacing w:after="0" w:line="262" w:lineRule="auto"/>
        <w:tabs>
          <w:tab w:leader="none" w:pos="1949"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Sponsor Parties acknowledge and agree that, notwithstanding anything to the contrary contained in this Agreement, the Founder Shares beneficially owned or otherwise held by such Person shall remain subject to any restrictions on Transfer under applicable securities Laws of any Governmental Authority, including all applicable holding periods under the Securities Act and other rules of the SEC.</w:t>
      </w:r>
    </w:p>
    <w:p>
      <w:pPr>
        <w:spacing w:after="0" w:line="16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Vesting Provisions Applicable to Founder Shares.</w:t>
      </w:r>
    </w:p>
    <w:p>
      <w:pPr>
        <w:spacing w:after="0" w:line="198" w:lineRule="exact"/>
        <w:rPr>
          <w:sz w:val="20"/>
          <w:szCs w:val="20"/>
          <w:color w:val="auto"/>
        </w:rPr>
      </w:pPr>
    </w:p>
    <w:p>
      <w:pPr>
        <w:jc w:val="both"/>
        <w:ind w:firstLine="1716"/>
        <w:spacing w:after="0" w:line="271" w:lineRule="auto"/>
        <w:tabs>
          <w:tab w:leader="none" w:pos="1937" w:val="left"/>
        </w:tabs>
        <w:numPr>
          <w:ilvl w:val="0"/>
          <w:numId w:val="307"/>
        </w:numPr>
        <w:rPr>
          <w:rFonts w:ascii="Arial" w:cs="Arial" w:eastAsia="Arial" w:hAnsi="Arial"/>
          <w:sz w:val="15"/>
          <w:szCs w:val="15"/>
          <w:color w:val="auto"/>
        </w:rPr>
      </w:pPr>
      <w:r>
        <w:rPr>
          <w:rFonts w:ascii="Arial" w:cs="Arial" w:eastAsia="Arial" w:hAnsi="Arial"/>
          <w:sz w:val="15"/>
          <w:szCs w:val="15"/>
          <w:u w:val="single" w:color="auto"/>
          <w:color w:val="auto"/>
        </w:rPr>
        <w:t>Unvested Founder Shares</w:t>
      </w:r>
      <w:r>
        <w:rPr>
          <w:rFonts w:ascii="Arial" w:cs="Arial" w:eastAsia="Arial" w:hAnsi="Arial"/>
          <w:sz w:val="15"/>
          <w:szCs w:val="15"/>
          <w:color w:val="auto"/>
        </w:rPr>
        <w:t xml:space="preserve">. Each </w:t>
      </w:r>
      <w:r>
        <w:rPr>
          <w:rFonts w:ascii="Arial" w:cs="Arial" w:eastAsia="Arial" w:hAnsi="Arial"/>
          <w:sz w:val="15"/>
          <w:szCs w:val="15"/>
          <w:u w:val="single" w:color="auto"/>
          <w:color w:val="auto"/>
        </w:rPr>
        <w:t>Sponsor</w:t>
      </w:r>
      <w:r>
        <w:rPr>
          <w:rFonts w:ascii="Arial" w:cs="Arial" w:eastAsia="Arial" w:hAnsi="Arial"/>
          <w:sz w:val="15"/>
          <w:szCs w:val="15"/>
          <w:color w:val="auto"/>
        </w:rPr>
        <w:t xml:space="preserve"> agrees that, as of immediately prior to the Closing, the Applicable Percentage of its Founder Shares shall be unvested and shall be subject to the vesting and forfeiture provisions set forth in </w:t>
      </w:r>
      <w:r>
        <w:rPr>
          <w:rFonts w:ascii="Arial" w:cs="Arial" w:eastAsia="Arial" w:hAnsi="Arial"/>
          <w:sz w:val="15"/>
          <w:szCs w:val="15"/>
          <w:u w:val="single" w:color="auto"/>
          <w:color w:val="auto"/>
        </w:rPr>
        <w:t>Section 1.7(b)</w:t>
      </w:r>
      <w:r>
        <w:rPr>
          <w:rFonts w:ascii="Arial" w:cs="Arial" w:eastAsia="Arial" w:hAnsi="Arial"/>
          <w:sz w:val="15"/>
          <w:szCs w:val="15"/>
          <w:color w:val="auto"/>
        </w:rPr>
        <w:t xml:space="preserve">. The “Applicable Percentage” shall be calculated as follows: (A) in the event that 90% to 100% of Acquiror Common Stock is redeemed pursuant to the Offer, the “Applicable Percentage” will be 15% of the Founder Shares that are owned by the Sponsor immediately after the Closing, (B) in the event that 80-90% of Acquiror Common Stock is redeemed pursuant to the Offer, 10% of the Founder Shares that are owned by the Sponsor immediately after the Closing, (C) in the event that 70-80% of Acquiror Common Stock is redeemed pursuant to the Offer, 5% of the Founder Shares that are owned by the Sponsor immediately after the Closing, and (D) in the event that less than 70% of Acquiror Common Stock is redeemed pursuant to the Offer, 0%. Each Sponsor agrees that it shall not Transfer any unvested Founder Shares prior to the date such Founder Shares become vested pursuant to </w:t>
      </w:r>
      <w:r>
        <w:rPr>
          <w:rFonts w:ascii="Arial" w:cs="Arial" w:eastAsia="Arial" w:hAnsi="Arial"/>
          <w:sz w:val="15"/>
          <w:szCs w:val="15"/>
          <w:u w:val="single" w:color="auto"/>
          <w:color w:val="auto"/>
        </w:rPr>
        <w:t>Section 1.7(b)</w:t>
      </w:r>
      <w:r>
        <w:rPr>
          <w:rFonts w:ascii="Arial" w:cs="Arial" w:eastAsia="Arial" w:hAnsi="Arial"/>
          <w:sz w:val="15"/>
          <w:szCs w:val="15"/>
          <w:color w:val="auto"/>
        </w:rPr>
        <w:t xml:space="preserve">, except to the extent permitted by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1.6(c)</w:t>
      </w:r>
      <w:r>
        <w:rPr>
          <w:rFonts w:ascii="Arial" w:cs="Arial" w:eastAsia="Arial" w:hAnsi="Arial"/>
          <w:sz w:val="15"/>
          <w:szCs w:val="15"/>
          <w:color w:val="auto"/>
        </w:rPr>
        <w:t xml:space="preserve">. For the avoidance of doubt, the parties acknowledge that the remaining percentage (i.e. 100% </w:t>
      </w:r>
      <w:r>
        <w:rPr>
          <w:rFonts w:ascii="Arial" w:cs="Arial" w:eastAsia="Arial" w:hAnsi="Arial"/>
          <w:sz w:val="15"/>
          <w:szCs w:val="15"/>
          <w:i w:val="1"/>
          <w:iCs w:val="1"/>
          <w:color w:val="auto"/>
        </w:rPr>
        <w:t>minus</w:t>
      </w:r>
      <w:r>
        <w:rPr>
          <w:rFonts w:ascii="Arial" w:cs="Arial" w:eastAsia="Arial" w:hAnsi="Arial"/>
          <w:sz w:val="15"/>
          <w:szCs w:val="15"/>
          <w:color w:val="auto"/>
        </w:rPr>
        <w:t xml:space="preserve"> the Applicable Percentage) of the applicable Founder Shares will be fully vested as of the Closing.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6" w:name="page307"/>
    <w:bookmarkEnd w:id="306"/>
    <w:p>
      <w:pPr>
        <w:jc w:val="both"/>
        <w:ind w:right="20" w:firstLine="1716"/>
        <w:spacing w:after="0" w:line="258" w:lineRule="auto"/>
        <w:tabs>
          <w:tab w:leader="none" w:pos="1958"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Vesting; Forfeiture</w:t>
      </w:r>
      <w:r>
        <w:rPr>
          <w:rFonts w:ascii="Arial" w:cs="Arial" w:eastAsia="Arial" w:hAnsi="Arial"/>
          <w:sz w:val="16"/>
          <w:szCs w:val="16"/>
          <w:color w:val="auto"/>
        </w:rPr>
        <w:t>. 100% of the unvested Founder Shares owned by the Sponsors shall vest at such time as a $12.50 Stock Price Level (as defined below) is achieved on or before the date that is five (5) years after the Closing Date. For the avoidance of doubt, if a $12.50 Stock Price Level is not achieved on or prior to the date that is five (5) years after the Closing Date, the unvested Founder Shares shall not vest and shall be automatically forfeited and cancelled for no consideration. For clarity, the applicable Trading Day period for such Stock Price Level shall commence on the date hereof.</w:t>
      </w:r>
    </w:p>
    <w:p>
      <w:pPr>
        <w:spacing w:after="0" w:line="164" w:lineRule="exact"/>
        <w:rPr>
          <w:rFonts w:ascii="Arial" w:cs="Arial" w:eastAsia="Arial" w:hAnsi="Arial"/>
          <w:sz w:val="16"/>
          <w:szCs w:val="16"/>
          <w:color w:val="auto"/>
        </w:rPr>
      </w:pPr>
    </w:p>
    <w:p>
      <w:pPr>
        <w:jc w:val="both"/>
        <w:ind w:firstLine="1716"/>
        <w:spacing w:after="0" w:line="258" w:lineRule="auto"/>
        <w:tabs>
          <w:tab w:leader="none" w:pos="1937"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Stock Price Level</w:t>
      </w:r>
      <w:r>
        <w:rPr>
          <w:rFonts w:ascii="Arial" w:cs="Arial" w:eastAsia="Arial" w:hAnsi="Arial"/>
          <w:sz w:val="16"/>
          <w:szCs w:val="16"/>
          <w:color w:val="auto"/>
        </w:rPr>
        <w:t>. For purposes of this Sponsor Agreement, the applicable “Stock Price Level” will be considered achieved only when the VWAP of Acquiror Common Stock quoted on the NASDAQ is greater than or equal to the applicable threshold for any forty (40) Trading Days within any sixty (60) Trading Day period. The Stock Price Levels will be equitably adjusted for any stock dividend, subdivision, reclassification, recapitalization, split, combination or exchange of shares, or any similar event affecting the Acquiror Common Stock after the date of the Merger Agreement.</w:t>
      </w:r>
    </w:p>
    <w:p>
      <w:pPr>
        <w:spacing w:after="0" w:line="165" w:lineRule="exact"/>
        <w:rPr>
          <w:sz w:val="20"/>
          <w:szCs w:val="20"/>
          <w:color w:val="auto"/>
        </w:rPr>
      </w:pPr>
    </w:p>
    <w:p>
      <w:pPr>
        <w:jc w:val="both"/>
        <w:ind w:firstLine="1721"/>
        <w:spacing w:after="0" w:line="255"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Outstanding Acquiror Expenses</w:t>
      </w:r>
      <w:r>
        <w:rPr>
          <w:rFonts w:ascii="Arial" w:cs="Arial" w:eastAsia="Arial" w:hAnsi="Arial"/>
          <w:sz w:val="16"/>
          <w:szCs w:val="16"/>
          <w:color w:val="auto"/>
        </w:rPr>
        <w:t>. In accordance with Section 3.09(b) of the Merger Agreement, on the Closing Date following the Closing, Acquiror shall pay or cause to paid by wire transfer of immediately available funds all such Outstanding Acquiror Expenses. If the Outstanding Acquiror Expenses exceed $12,000,000, the Acquiror shall provide the Sponsors with a written report setting forth the list of Outstanding Acquiror Expenses, and each of the Sponsors, severally and not jointly and on a pro rata basis (i.e. Ventoux Acquisition: 67%; Chardan International Investments, LLC: 33%), shall reimburse Acquiror for such excess amounts, by wire transfer of immediately available funds, within 10 Business Days following the Closing Date.</w:t>
      </w:r>
    </w:p>
    <w:p>
      <w:pPr>
        <w:spacing w:after="0" w:line="170" w:lineRule="exact"/>
        <w:rPr>
          <w:sz w:val="20"/>
          <w:szCs w:val="20"/>
          <w:color w:val="auto"/>
        </w:rPr>
      </w:pPr>
    </w:p>
    <w:p>
      <w:pPr>
        <w:jc w:val="both"/>
        <w:ind w:firstLine="1721"/>
        <w:spacing w:after="0" w:line="254"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In addition to the obligations set forth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of this Sponsor Agreement, each Sponsor Party shall use its reasonable best efforts to take, or cause to be taken, all actions and do, or cause to be done, all things reasonably necessary under applicable Laws to consummate the Mergers and the other transactions contemplated by the Merger Agreement on the terms and subject to the conditions set forth therein and herein. Notwithstanding anything to the contrary in this Sponsor Agreement, no Sponsor Party shall be obligated to bear any expense, pay any amount or grant any concession in connection with any action required to be taken by this Sponsor Agreement, except for cash expenses incurred incidental to actions required to be taken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of this Sponsor Agreement.</w:t>
      </w:r>
    </w:p>
    <w:p>
      <w:pPr>
        <w:spacing w:after="0" w:line="170" w:lineRule="exact"/>
        <w:rPr>
          <w:sz w:val="20"/>
          <w:szCs w:val="20"/>
          <w:color w:val="auto"/>
        </w:rPr>
      </w:pPr>
    </w:p>
    <w:p>
      <w:pPr>
        <w:jc w:val="both"/>
        <w:ind w:right="20" w:firstLine="1721"/>
        <w:spacing w:after="0" w:line="275"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No Inconsistent Agreement</w:t>
      </w:r>
      <w:r>
        <w:rPr>
          <w:rFonts w:ascii="Arial" w:cs="Arial" w:eastAsia="Arial" w:hAnsi="Arial"/>
          <w:sz w:val="16"/>
          <w:szCs w:val="16"/>
          <w:color w:val="auto"/>
        </w:rPr>
        <w:t>. Each Sponsor Party hereby represents and covenants that such Sponsor Party has not entered into, and shall not enter into, any agreement that would restrict, limit or interfere with the performance of such Sponsor Party’s obligations hereunder.</w:t>
      </w:r>
    </w:p>
    <w:p>
      <w:pPr>
        <w:spacing w:after="0" w:line="152" w:lineRule="exact"/>
        <w:rPr>
          <w:sz w:val="20"/>
          <w:szCs w:val="20"/>
          <w:color w:val="auto"/>
        </w:rPr>
      </w:pPr>
    </w:p>
    <w:p>
      <w:pPr>
        <w:jc w:val="both"/>
        <w:ind w:right="20" w:firstLine="1721"/>
        <w:spacing w:after="0" w:line="309" w:lineRule="auto"/>
        <w:rPr>
          <w:sz w:val="20"/>
          <w:szCs w:val="20"/>
          <w:color w:val="auto"/>
        </w:rPr>
      </w:pPr>
      <w:r>
        <w:rPr>
          <w:rFonts w:ascii="Arial" w:cs="Arial" w:eastAsia="Arial" w:hAnsi="Arial"/>
          <w:sz w:val="15"/>
          <w:szCs w:val="15"/>
          <w:u w:val="single" w:color="auto"/>
          <w:color w:val="auto"/>
        </w:rPr>
        <w:t>Section 1.11 No Amendment to Insider Letter</w:t>
      </w:r>
      <w:r>
        <w:rPr>
          <w:rFonts w:ascii="Arial" w:cs="Arial" w:eastAsia="Arial" w:hAnsi="Arial"/>
          <w:sz w:val="15"/>
          <w:szCs w:val="15"/>
          <w:color w:val="auto"/>
        </w:rPr>
        <w:t>. Neither the Sponsor Parties nor Acquiror shall amend, terminate or otherwise modify that certain letter agreement, dated as of December 23, 2020, by and among the Acquiror and the Sponsor Parties (the “</w:t>
      </w:r>
      <w:r>
        <w:rPr>
          <w:rFonts w:ascii="Arial" w:cs="Arial" w:eastAsia="Arial" w:hAnsi="Arial"/>
          <w:sz w:val="15"/>
          <w:szCs w:val="15"/>
          <w:u w:val="single" w:color="auto"/>
          <w:color w:val="auto"/>
        </w:rPr>
        <w:t>Insider Letter</w:t>
      </w:r>
      <w:r>
        <w:rPr>
          <w:rFonts w:ascii="Arial" w:cs="Arial" w:eastAsia="Arial" w:hAnsi="Arial"/>
          <w:sz w:val="15"/>
          <w:szCs w:val="15"/>
          <w:color w:val="auto"/>
        </w:rPr>
        <w:t>”), without the Company’s prior written consent.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7" w:name="page308"/>
    <w:bookmarkEnd w:id="307"/>
    <w:p>
      <w:pPr>
        <w:jc w:val="center"/>
        <w:ind w:right="40"/>
        <w:spacing w:after="0"/>
        <w:rPr>
          <w:sz w:val="20"/>
          <w:szCs w:val="20"/>
          <w:color w:val="auto"/>
        </w:rPr>
      </w:pPr>
      <w:r>
        <w:rPr>
          <w:rFonts w:ascii="Arial" w:cs="Arial" w:eastAsia="Arial" w:hAnsi="Arial"/>
          <w:sz w:val="16"/>
          <w:szCs w:val="16"/>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REPRESENTATIONS AND WARRANTIES</w:t>
      </w:r>
    </w:p>
    <w:p>
      <w:pPr>
        <w:spacing w:after="0" w:line="186" w:lineRule="exact"/>
        <w:rPr>
          <w:sz w:val="20"/>
          <w:szCs w:val="20"/>
          <w:color w:val="auto"/>
        </w:rPr>
      </w:pPr>
    </w:p>
    <w:p>
      <w:pPr>
        <w:ind w:right="20" w:firstLine="1721"/>
        <w:spacing w:after="0" w:line="275"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Representations and Warranties of each Sponsor Party</w:t>
      </w:r>
      <w:r>
        <w:rPr>
          <w:rFonts w:ascii="Arial" w:cs="Arial" w:eastAsia="Arial" w:hAnsi="Arial"/>
          <w:sz w:val="16"/>
          <w:szCs w:val="16"/>
          <w:color w:val="auto"/>
        </w:rPr>
        <w:t>. Each Sponsor Party represents and warrants as of the date hereof to Acquiror and the Company (solely with respect to itself, himself or herself and not with respect to any other Sponsor Party) as follows:</w:t>
      </w:r>
    </w:p>
    <w:p>
      <w:pPr>
        <w:spacing w:after="0" w:line="152" w:lineRule="exact"/>
        <w:rPr>
          <w:sz w:val="20"/>
          <w:szCs w:val="20"/>
          <w:color w:val="auto"/>
        </w:rPr>
      </w:pPr>
    </w:p>
    <w:p>
      <w:pPr>
        <w:jc w:val="both"/>
        <w:ind w:firstLine="1716"/>
        <w:spacing w:after="0" w:line="270" w:lineRule="auto"/>
        <w:tabs>
          <w:tab w:leader="none" w:pos="1937" w:val="left"/>
        </w:tabs>
        <w:numPr>
          <w:ilvl w:val="0"/>
          <w:numId w:val="309"/>
        </w:numPr>
        <w:rPr>
          <w:rFonts w:ascii="Arial" w:cs="Arial" w:eastAsia="Arial" w:hAnsi="Arial"/>
          <w:sz w:val="15"/>
          <w:szCs w:val="15"/>
          <w:color w:val="auto"/>
        </w:rPr>
      </w:pPr>
      <w:r>
        <w:rPr>
          <w:rFonts w:ascii="Arial" w:cs="Arial" w:eastAsia="Arial" w:hAnsi="Arial"/>
          <w:sz w:val="15"/>
          <w:szCs w:val="15"/>
          <w:u w:val="single" w:color="auto"/>
          <w:color w:val="auto"/>
        </w:rPr>
        <w:t>Organization; Due Authorization</w:t>
      </w:r>
      <w:r>
        <w:rPr>
          <w:rFonts w:ascii="Arial" w:cs="Arial" w:eastAsia="Arial" w:hAnsi="Arial"/>
          <w:sz w:val="15"/>
          <w:szCs w:val="15"/>
          <w:color w:val="auto"/>
        </w:rPr>
        <w:t>. If such Sponsor Party is not an individual, it is duly organized, validly existing and in good standing under the Laws of the jurisdiction in which it is incorporated, formed, organized or constituted, and the execution, delivery and performance of this Sponsor Agreement and the consummation of the transactions contemplated hereby are within such Sponsor Party’s corporate, limited liability company or organizational powers and have been duly authorized by all necessary corporate, limited liability company or organizational actions on the part of such Sponsor Party. If such Sponsor Party is an individual, such Sponsor Party has full legal capacity, right and authority to execute and deliver this Sponsor Agreement and to perform his or her obligations hereunder. This Sponsor Agreement has been duly executed and delivered by such Sponsor Party and, assuming due authorization, execution and delivery by the other parties to this Sponsor Agreement, this Sponsor Agreement constitutes a legally valid and binding obligation of such Sponsor Party, enforceable against such Sponsor Party in accordance with the terms hereof (except as enforceability may be limited by bankruptcy Laws, other similar Laws affecting creditors’ rights and general principles of equity affecting the availability of specific performance and other equitable remedies). If this Sponsor Agreement is being executed in a representative or fiduciary capacity, the Person signing this Sponsor Agreement has full power and authority to enter into this Sponsor Agreement on behalf of the applicable Sponsor Party.</w:t>
      </w:r>
    </w:p>
    <w:p>
      <w:pPr>
        <w:spacing w:after="0" w:line="162" w:lineRule="exact"/>
        <w:rPr>
          <w:rFonts w:ascii="Arial" w:cs="Arial" w:eastAsia="Arial" w:hAnsi="Arial"/>
          <w:sz w:val="15"/>
          <w:szCs w:val="15"/>
          <w:color w:val="auto"/>
        </w:rPr>
      </w:pPr>
    </w:p>
    <w:p>
      <w:pPr>
        <w:jc w:val="both"/>
        <w:ind w:firstLine="1716"/>
        <w:spacing w:after="0" w:line="271" w:lineRule="auto"/>
        <w:tabs>
          <w:tab w:leader="none" w:pos="1958" w:val="left"/>
        </w:tabs>
        <w:numPr>
          <w:ilvl w:val="0"/>
          <w:numId w:val="309"/>
        </w:numPr>
        <w:rPr>
          <w:rFonts w:ascii="Arial" w:cs="Arial" w:eastAsia="Arial" w:hAnsi="Arial"/>
          <w:sz w:val="15"/>
          <w:szCs w:val="15"/>
          <w:color w:val="auto"/>
        </w:rPr>
      </w:pPr>
      <w:r>
        <w:rPr>
          <w:rFonts w:ascii="Arial" w:cs="Arial" w:eastAsia="Arial" w:hAnsi="Arial"/>
          <w:sz w:val="15"/>
          <w:szCs w:val="15"/>
          <w:u w:val="single" w:color="auto"/>
          <w:color w:val="auto"/>
        </w:rPr>
        <w:t>Ownership</w:t>
      </w:r>
      <w:r>
        <w:rPr>
          <w:rFonts w:ascii="Arial" w:cs="Arial" w:eastAsia="Arial" w:hAnsi="Arial"/>
          <w:sz w:val="15"/>
          <w:szCs w:val="15"/>
          <w:color w:val="auto"/>
        </w:rPr>
        <w:t xml:space="preserve">. The Sponsor Party is the record and beneficial owner of, and has good title to, all of the Sponsor Party’s Subject Securities listed across from the Sponsor Party’s name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and there exist no Liens or any other limitation or restriction (including any restriction on the right to vote, sell or otherwise dispose of such Subject Securities (other than transfer restrictions under the Securities Act)) affecting any such Subject Securities owned by the Sponsor Party, other than Liens pursuant to (i) this Sponsor Agreement, (ii) the Acquiror Organizational Documents, (iii) the Merger Agreement, (iv) the Insider Letter or (v) any applicable securities Laws. The Sponsor Party’s Subject Securities are the only equity securities in Acquiror owned of record or beneficially by the Sponsor Party on the date of this Sponsor Agreement, and none of the Sponsor Party’s Subject Securities are subject to any proxy, voting trust or other agreement or arrangement with respect to the voting of such Subject Securities, except as provided hereunder and under the Insider Letter. Other than the Acquiror Private Placement Warrants held by such Sponsor Party and the Subscription Agreement to which the Sponsor Party is a party, such Sponsor Party does not hold or own any rights to acquire (directly or indirectly) any equity securities of Acquiror or any equity securities convertible into, or which can be exchanged for, equity securities of Acquiror.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308" w:name="page309"/>
    <w:bookmarkEnd w:id="308"/>
    <w:p>
      <w:pPr>
        <w:jc w:val="both"/>
        <w:ind w:right="20" w:firstLine="1716"/>
        <w:spacing w:after="0" w:line="276" w:lineRule="auto"/>
        <w:tabs>
          <w:tab w:leader="none" w:pos="1937" w:val="left"/>
        </w:tabs>
        <w:numPr>
          <w:ilvl w:val="0"/>
          <w:numId w:val="310"/>
        </w:numPr>
        <w:rPr>
          <w:rFonts w:ascii="Arial" w:cs="Arial" w:eastAsia="Arial" w:hAnsi="Arial"/>
          <w:sz w:val="15"/>
          <w:szCs w:val="15"/>
          <w:color w:val="auto"/>
        </w:rPr>
      </w:pPr>
      <w:r>
        <w:rPr>
          <w:rFonts w:ascii="Arial" w:cs="Arial" w:eastAsia="Arial" w:hAnsi="Arial"/>
          <w:sz w:val="15"/>
          <w:szCs w:val="15"/>
          <w:u w:val="single" w:color="auto"/>
          <w:color w:val="auto"/>
        </w:rPr>
        <w:t>No Conflicts</w:t>
      </w:r>
      <w:r>
        <w:rPr>
          <w:rFonts w:ascii="Arial" w:cs="Arial" w:eastAsia="Arial" w:hAnsi="Arial"/>
          <w:sz w:val="15"/>
          <w:szCs w:val="15"/>
          <w:color w:val="auto"/>
        </w:rPr>
        <w:t>. The execution and delivery of this Sponsor Agreement by such Sponsor Party does not, and the performance by such Sponsor Party of his, her or its obligations hereunder will not, (i) if such Sponsor Party is not an individual, conflict with or result in a violation of the organizational documents of such Sponsor Party or (ii) require any consent or approval that has not been given or other action that has not been taken by any Person (including under any Contract binding upon such Sponsor Party or such Sponsor Party’s Subject Securities), in each case, to the extent such consent, approval or other action would prevent, enjoin or materially delay the performance by such Sponsor Party of its, his or her obligations under this Sponsor Agreement.</w:t>
      </w:r>
    </w:p>
    <w:p>
      <w:pPr>
        <w:spacing w:after="0" w:line="155" w:lineRule="exact"/>
        <w:rPr>
          <w:rFonts w:ascii="Arial" w:cs="Arial" w:eastAsia="Arial" w:hAnsi="Arial"/>
          <w:sz w:val="15"/>
          <w:szCs w:val="15"/>
          <w:color w:val="auto"/>
        </w:rPr>
      </w:pPr>
    </w:p>
    <w:p>
      <w:pPr>
        <w:jc w:val="both"/>
        <w:ind w:right="20" w:firstLine="1716"/>
        <w:spacing w:after="0" w:line="287" w:lineRule="auto"/>
        <w:tabs>
          <w:tab w:leader="none" w:pos="1946" w:val="left"/>
        </w:tabs>
        <w:numPr>
          <w:ilvl w:val="0"/>
          <w:numId w:val="310"/>
        </w:numPr>
        <w:rPr>
          <w:rFonts w:ascii="Arial" w:cs="Arial" w:eastAsia="Arial" w:hAnsi="Arial"/>
          <w:sz w:val="15"/>
          <w:szCs w:val="15"/>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There are no Actions pending against such Sponsor Party, or to the knowledge of such Sponsor Party threatened against such Sponsor Party, before (or, in the case of threatened Actions, that would be before) any arbitrator or any Governmental Authority, which in any manner challenges or seeks to prevent, enjoin or materially delay the performance by such Sponsor Party of its, his or her obligations under this Sponsor Agreement.</w:t>
      </w:r>
    </w:p>
    <w:p>
      <w:pPr>
        <w:spacing w:after="0" w:line="146" w:lineRule="exact"/>
        <w:rPr>
          <w:rFonts w:ascii="Arial" w:cs="Arial" w:eastAsia="Arial" w:hAnsi="Arial"/>
          <w:sz w:val="15"/>
          <w:szCs w:val="15"/>
          <w:color w:val="auto"/>
        </w:rPr>
      </w:pPr>
    </w:p>
    <w:p>
      <w:pPr>
        <w:jc w:val="both"/>
        <w:ind w:firstLine="1716"/>
        <w:spacing w:after="0" w:line="287" w:lineRule="auto"/>
        <w:tabs>
          <w:tab w:leader="none" w:pos="1949" w:val="left"/>
        </w:tabs>
        <w:numPr>
          <w:ilvl w:val="0"/>
          <w:numId w:val="310"/>
        </w:numPr>
        <w:rPr>
          <w:rFonts w:ascii="Arial" w:cs="Arial" w:eastAsia="Arial" w:hAnsi="Arial"/>
          <w:sz w:val="15"/>
          <w:szCs w:val="15"/>
          <w:color w:val="auto"/>
        </w:rPr>
      </w:pPr>
      <w:r>
        <w:rPr>
          <w:rFonts w:ascii="Arial" w:cs="Arial" w:eastAsia="Arial" w:hAnsi="Arial"/>
          <w:sz w:val="15"/>
          <w:szCs w:val="15"/>
          <w:u w:val="single" w:color="auto"/>
          <w:color w:val="auto"/>
        </w:rPr>
        <w:t>Brokerage Fees</w:t>
      </w:r>
      <w:r>
        <w:rPr>
          <w:rFonts w:ascii="Arial" w:cs="Arial" w:eastAsia="Arial" w:hAnsi="Arial"/>
          <w:sz w:val="15"/>
          <w:szCs w:val="15"/>
          <w:color w:val="auto"/>
        </w:rPr>
        <w:t>. Except as described in Section 5.09 of the Merger Agreement (or the corresponding section of the disclosure schedules), no broker, finder, investment banker or other Person is entitled to any brokerage fee, finders’ fee or other commission in connection with the transactions contemplated by the Merger Agreement based upon arrangements made by such Sponsor Party, for which Acquiror or any of its Subsidiaries may become liable.</w:t>
      </w:r>
    </w:p>
    <w:p>
      <w:pPr>
        <w:spacing w:after="0" w:line="146" w:lineRule="exact"/>
        <w:rPr>
          <w:rFonts w:ascii="Arial" w:cs="Arial" w:eastAsia="Arial" w:hAnsi="Arial"/>
          <w:sz w:val="15"/>
          <w:szCs w:val="15"/>
          <w:color w:val="auto"/>
        </w:rPr>
      </w:pPr>
    </w:p>
    <w:p>
      <w:pPr>
        <w:jc w:val="both"/>
        <w:ind w:firstLine="1716"/>
        <w:spacing w:after="0" w:line="254" w:lineRule="auto"/>
        <w:tabs>
          <w:tab w:leader="none" w:pos="1999"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Fees; Loan Repayments</w:t>
      </w:r>
      <w:r>
        <w:rPr>
          <w:rFonts w:ascii="Arial" w:cs="Arial" w:eastAsia="Arial" w:hAnsi="Arial"/>
          <w:sz w:val="16"/>
          <w:szCs w:val="16"/>
          <w:color w:val="auto"/>
        </w:rPr>
        <w:t>. Except as disclosed in the registration statement on Form S-1 and prospectus filed by Acquiror with the U.S. Securities and Exchange Commission in connection with the underwritten initial public offering of 15,000,000 of Acquiror’s units (plus 2,250,000 Acquiror’s units issued upon exercise of the over-allotment option), neither the Sponsor Parties nor any of their respective Affiliates, nor any of their respective directors or officers, shall receive from Acquiror any finder’s fee, reimbursement, consulting fee, non-cash payments, monies in respect of any repayment of a loan or other compensation prior to, or in connection with any services rendered in order to effectuate, the consummation of Acquiror’s initial Business Combination (regardless of the type of transaction that it is, but including, for the avoidance of doubt, the Mergers).</w:t>
      </w:r>
    </w:p>
    <w:p>
      <w:pPr>
        <w:spacing w:after="0" w:line="170" w:lineRule="exact"/>
        <w:rPr>
          <w:rFonts w:ascii="Arial" w:cs="Arial" w:eastAsia="Arial" w:hAnsi="Arial"/>
          <w:sz w:val="16"/>
          <w:szCs w:val="16"/>
          <w:color w:val="auto"/>
        </w:rPr>
      </w:pPr>
    </w:p>
    <w:p>
      <w:pPr>
        <w:jc w:val="both"/>
        <w:ind w:firstLine="1716"/>
        <w:spacing w:after="0" w:line="258" w:lineRule="auto"/>
        <w:tabs>
          <w:tab w:leader="none" w:pos="1958"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Affiliate Arrangements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hereto or any registration statements, reports, schedules, forms, statements and other documents filed or furnished with the SEC by Acquiror, neither such Sponsor Party nor any anyone related by blood, marriage or adoption to such Sponsor Party or, to the knowledge of such Sponsor Party, any Person in which such Sponsor Party has a direct or indirect legal, contractual or beneficial ownership of 5% or greater is party to, or has any rights with respect to or arising from, any Contract with Acquiror or its Subsidiaries.</w:t>
      </w:r>
    </w:p>
    <w:p>
      <w:pPr>
        <w:spacing w:after="0" w:line="164" w:lineRule="exact"/>
        <w:rPr>
          <w:rFonts w:ascii="Arial" w:cs="Arial" w:eastAsia="Arial" w:hAnsi="Arial"/>
          <w:sz w:val="16"/>
          <w:szCs w:val="16"/>
          <w:color w:val="auto"/>
        </w:rPr>
      </w:pPr>
    </w:p>
    <w:p>
      <w:pPr>
        <w:ind w:right="20" w:firstLine="1716"/>
        <w:spacing w:after="0" w:line="275" w:lineRule="auto"/>
        <w:tabs>
          <w:tab w:leader="none" w:pos="1970"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Acknowledgment</w:t>
      </w:r>
      <w:r>
        <w:rPr>
          <w:rFonts w:ascii="Arial" w:cs="Arial" w:eastAsia="Arial" w:hAnsi="Arial"/>
          <w:sz w:val="16"/>
          <w:szCs w:val="16"/>
          <w:color w:val="auto"/>
        </w:rPr>
        <w:t>. Such Sponsor Party understands and acknowledges that each of Acquiror and the Company is entering into the Merger Agreement in reliance upon such Sponsor Party’s execution and delivery of this Sponsor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9" w:name="page310"/>
    <w:bookmarkEnd w:id="309"/>
    <w:p>
      <w:pPr>
        <w:ind w:left="5140"/>
        <w:spacing w:after="0"/>
        <w:rPr>
          <w:sz w:val="20"/>
          <w:szCs w:val="20"/>
          <w:color w:val="auto"/>
        </w:rPr>
      </w:pPr>
      <w:r>
        <w:rPr>
          <w:rFonts w:ascii="Arial" w:cs="Arial" w:eastAsia="Arial" w:hAnsi="Arial"/>
          <w:sz w:val="16"/>
          <w:szCs w:val="16"/>
          <w:b w:val="1"/>
          <w:bCs w:val="1"/>
          <w:color w:val="auto"/>
        </w:rPr>
        <w:t>ARTICLE III</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16"/>
          <w:szCs w:val="16"/>
          <w:b w:val="1"/>
          <w:bCs w:val="1"/>
          <w:u w:val="single" w:color="auto"/>
          <w:color w:val="auto"/>
        </w:rPr>
        <w:t>MISCELLANEOUS</w:t>
      </w:r>
    </w:p>
    <w:p>
      <w:pPr>
        <w:spacing w:after="0" w:line="186" w:lineRule="exact"/>
        <w:rPr>
          <w:sz w:val="20"/>
          <w:szCs w:val="20"/>
          <w:color w:val="auto"/>
        </w:rPr>
      </w:pPr>
    </w:p>
    <w:p>
      <w:pPr>
        <w:jc w:val="both"/>
        <w:ind w:firstLine="1721"/>
        <w:spacing w:after="0" w:line="253"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Sponsor Agreement and all of its provisions (except for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Sponsor Agreement) shall terminate and be of no further force or effect upon the earliest of (a) the Expiration Time, (b) the liquidation of Acquiror and (c) the written agreement of each Sponsor, Acquiror, and the Company. Upon such termination of this Sponsor Agreement, all obligations of the parties under this Sponsor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termination of this Sponsor Agreement shall not relieve any party hereto from liability arising from any actual fraud in respect of this Sponsor Agreement occurring prior to such termination. Notwithstanding the foregoing,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survive the termination of this Sponsor Agreement.</w:t>
      </w:r>
    </w:p>
    <w:p>
      <w:pPr>
        <w:spacing w:after="0" w:line="169" w:lineRule="exact"/>
        <w:rPr>
          <w:sz w:val="20"/>
          <w:szCs w:val="20"/>
          <w:color w:val="auto"/>
        </w:rPr>
      </w:pPr>
    </w:p>
    <w:p>
      <w:pPr>
        <w:jc w:val="both"/>
        <w:ind w:firstLine="1721"/>
        <w:spacing w:after="0" w:line="271" w:lineRule="auto"/>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Governing Law; Jurisdiction; Jury Trial Waiver</w:t>
      </w:r>
      <w:r>
        <w:rPr>
          <w:rFonts w:ascii="Arial" w:cs="Arial" w:eastAsia="Arial" w:hAnsi="Arial"/>
          <w:sz w:val="15"/>
          <w:szCs w:val="15"/>
          <w:color w:val="auto"/>
        </w:rPr>
        <w:t xml:space="preserve">. Any Action based upon, arising out of or related to this Sponsor Agreement, or the transactions contemplated hereby, shall be brought in the Court of Chancery of the State of Delaware or, if such court declines to exercise jurisdiction, the District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Sponsor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EACH OF THE PARTIES HERETO HEREBY IRREVOCABLY WAIVES ANY AND ALL RIGHT TO TRIAL BY JURY IN ANY ACTION BASED UPON, ARISING OUT OF OR RELATED TO THIS SPONSOR AGREEMENT OR THE TRANSACTIONS CONTEMPLATED HEREBY.</w:t>
      </w:r>
    </w:p>
    <w:p>
      <w:pPr>
        <w:spacing w:after="0" w:line="159" w:lineRule="exact"/>
        <w:rPr>
          <w:sz w:val="20"/>
          <w:szCs w:val="20"/>
          <w:color w:val="auto"/>
        </w:rPr>
      </w:pPr>
    </w:p>
    <w:p>
      <w:pPr>
        <w:jc w:val="both"/>
        <w:ind w:right="20" w:firstLine="1721"/>
        <w:spacing w:after="0" w:line="317" w:lineRule="auto"/>
        <w:rPr>
          <w:sz w:val="20"/>
          <w:szCs w:val="20"/>
          <w:color w:val="auto"/>
        </w:rPr>
      </w:pPr>
      <w:r>
        <w:rPr>
          <w:rFonts w:ascii="Arial" w:cs="Arial" w:eastAsia="Arial" w:hAnsi="Arial"/>
          <w:sz w:val="14"/>
          <w:szCs w:val="14"/>
          <w:color w:val="auto"/>
        </w:rPr>
        <w:t xml:space="preserve">Section 3.3 </w:t>
      </w:r>
      <w:r>
        <w:rPr>
          <w:rFonts w:ascii="Arial" w:cs="Arial" w:eastAsia="Arial" w:hAnsi="Arial"/>
          <w:sz w:val="14"/>
          <w:szCs w:val="14"/>
          <w:u w:val="single" w:color="auto"/>
          <w:color w:val="auto"/>
        </w:rPr>
        <w:t>Assignment</w:t>
      </w:r>
      <w:r>
        <w:rPr>
          <w:rFonts w:ascii="Arial" w:cs="Arial" w:eastAsia="Arial" w:hAnsi="Arial"/>
          <w:sz w:val="14"/>
          <w:szCs w:val="14"/>
          <w:color w:val="auto"/>
        </w:rPr>
        <w:t xml:space="preserve">. This Sponsor Agreement and all of the provisions hereof will be binding upon and inure to the benefit of the parties hereto and their respective heirs, successors and permitted assigns. Neither this Sponsor Agreement nor any of the rights, interests or obligations hereunder will be assigned (including by operation of law) without the prior written consent of the parties hereto. Any purported assignment or delegation not permitted under this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shall be null and void.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10" w:name="page311"/>
    <w:bookmarkEnd w:id="310"/>
    <w:p>
      <w:pPr>
        <w:jc w:val="both"/>
        <w:ind w:left="4" w:firstLine="1721"/>
        <w:spacing w:after="0" w:line="306"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Specific Performance</w:t>
      </w:r>
      <w:r>
        <w:rPr>
          <w:rFonts w:ascii="Arial" w:cs="Arial" w:eastAsia="Arial" w:hAnsi="Arial"/>
          <w:sz w:val="14"/>
          <w:szCs w:val="14"/>
          <w:color w:val="auto"/>
        </w:rPr>
        <w:t>. The parties hereto agree that irreparable damage may occur in the event that any of the provisions of this Sponsor Agreement were not performed in accordance with their specific terms or were otherwise breached. It is accordingly agreed that the parties hereto shall be entitled to seek an injunction or injunctions to prevent breaches of this Sponsor Agreement and to enforce specifically the terms and provisions of this Sponsor Agreement in the chancery court or any other state or federal court within the State of Delaware, this being in addition to any other remedy to which such party is entitled at law or in equity.</w:t>
      </w:r>
    </w:p>
    <w:p>
      <w:pPr>
        <w:spacing w:after="0" w:line="135" w:lineRule="exact"/>
        <w:rPr>
          <w:sz w:val="20"/>
          <w:szCs w:val="20"/>
          <w:color w:val="auto"/>
        </w:rPr>
      </w:pPr>
    </w:p>
    <w:p>
      <w:pPr>
        <w:jc w:val="both"/>
        <w:ind w:left="4" w:firstLine="1721"/>
        <w:spacing w:after="0" w:line="275"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Amendment</w:t>
      </w:r>
      <w:r>
        <w:rPr>
          <w:rFonts w:ascii="Arial" w:cs="Arial" w:eastAsia="Arial" w:hAnsi="Arial"/>
          <w:sz w:val="16"/>
          <w:szCs w:val="16"/>
          <w:color w:val="auto"/>
        </w:rPr>
        <w:t>. This Sponsor Agreement may not be amended, changed, supplemented, waived or otherwise modified or terminated, except upon the execution and delivery of a written agreement executed by Acquiror, the Company and the Sponsors.</w:t>
      </w:r>
    </w:p>
    <w:p>
      <w:pPr>
        <w:spacing w:after="0" w:line="152" w:lineRule="exact"/>
        <w:rPr>
          <w:sz w:val="20"/>
          <w:szCs w:val="20"/>
          <w:color w:val="auto"/>
        </w:rPr>
      </w:pPr>
    </w:p>
    <w:p>
      <w:pPr>
        <w:jc w:val="both"/>
        <w:ind w:left="4" w:firstLine="1721"/>
        <w:spacing w:after="0" w:line="262"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Sponsor Agreement is held invalid or unenforceable by any court of competent jurisdiction, the other provisions of this Sponsor Agreement will remain in full force and effect. Any provision of this Sponsor Agreement held invalid or unenforceable only in part or degree will remain in full force and effect to the extent not held invalid or unenforceable.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among the parties hereto shall be in writing and shall be deemed to have been duly given</w:t>
      </w:r>
    </w:p>
    <w:p>
      <w:pPr>
        <w:spacing w:after="0" w:line="20" w:lineRule="exact"/>
        <w:rPr>
          <w:sz w:val="20"/>
          <w:szCs w:val="20"/>
          <w:color w:val="auto"/>
        </w:rPr>
      </w:pPr>
    </w:p>
    <w:p>
      <w:pPr>
        <w:ind w:left="224" w:hanging="224"/>
        <w:spacing w:after="0"/>
        <w:tabs>
          <w:tab w:leader="none" w:pos="224" w:val="left"/>
        </w:tabs>
        <w:numPr>
          <w:ilvl w:val="0"/>
          <w:numId w:val="311"/>
        </w:numPr>
        <w:rPr>
          <w:rFonts w:ascii="Arial" w:cs="Arial" w:eastAsia="Arial" w:hAnsi="Arial"/>
          <w:sz w:val="14"/>
          <w:szCs w:val="14"/>
          <w:color w:val="auto"/>
        </w:rPr>
      </w:pPr>
      <w:r>
        <w:rPr>
          <w:rFonts w:ascii="Arial" w:cs="Arial" w:eastAsia="Arial" w:hAnsi="Arial"/>
          <w:sz w:val="14"/>
          <w:szCs w:val="14"/>
          <w:color w:val="auto"/>
        </w:rPr>
        <w:t>when delivered in person, (b) when delivered after posting in the United States mail having been sent registered or certified mail return receipt requested, postage prepaid,</w:t>
      </w:r>
    </w:p>
    <w:p>
      <w:pPr>
        <w:spacing w:after="0" w:line="30" w:lineRule="exact"/>
        <w:rPr>
          <w:rFonts w:ascii="Arial" w:cs="Arial" w:eastAsia="Arial" w:hAnsi="Arial"/>
          <w:sz w:val="14"/>
          <w:szCs w:val="14"/>
          <w:color w:val="auto"/>
        </w:rPr>
      </w:pPr>
    </w:p>
    <w:p>
      <w:pPr>
        <w:ind w:left="4" w:hanging="4"/>
        <w:spacing w:after="0" w:line="258" w:lineRule="auto"/>
        <w:tabs>
          <w:tab w:leader="none" w:pos="223"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when delivered by FedEx or other nationally recognized overnight delivery service or (d) when e-mailed during normal business hours (and otherwise as of the immediately following Business Day), addressed as follows:</w:t>
      </w:r>
    </w:p>
    <w:p>
      <w:pPr>
        <w:spacing w:after="0" w:line="165" w:lineRule="exact"/>
        <w:rPr>
          <w:sz w:val="20"/>
          <w:szCs w:val="20"/>
          <w:color w:val="auto"/>
        </w:rPr>
      </w:pPr>
    </w:p>
    <w:p>
      <w:pPr>
        <w:ind w:left="1144"/>
        <w:spacing w:after="0"/>
        <w:rPr>
          <w:sz w:val="20"/>
          <w:szCs w:val="20"/>
          <w:color w:val="auto"/>
        </w:rPr>
      </w:pPr>
      <w:r>
        <w:rPr>
          <w:rFonts w:ascii="Arial" w:cs="Arial" w:eastAsia="Arial" w:hAnsi="Arial"/>
          <w:sz w:val="16"/>
          <w:szCs w:val="16"/>
          <w:u w:val="single" w:color="auto"/>
          <w:color w:val="auto"/>
        </w:rPr>
        <w:t>If to Acquiror</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Ventoux CCM Acquisition Corp.</w:t>
      </w:r>
    </w:p>
    <w:p>
      <w:pPr>
        <w:spacing w:after="0" w:line="2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1 East Putnam Avenue, Floor 4</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Greenwich, CT 06830</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Attention: Edward Scheetz</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Email: ed.scheetz@gmail.com</w:t>
      </w:r>
    </w:p>
    <w:p>
      <w:pPr>
        <w:spacing w:after="0" w:line="186"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with a copy to (which will not constitute notice):</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Woolery &amp; Co.</w:t>
      </w:r>
    </w:p>
    <w:p>
      <w:pPr>
        <w:spacing w:after="0" w:line="2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1 Pier 76</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408 12th Ave</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New York, NY 10018</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Attn: Mathew J. Saur</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E-mail: Mathew@wooleryco.com</w:t>
      </w:r>
    </w:p>
    <w:p>
      <w:pPr>
        <w:spacing w:after="0" w:line="186"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Dentons US LLP</w:t>
      </w:r>
    </w:p>
    <w:p>
      <w:pPr>
        <w:spacing w:after="0" w:line="2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New York, NY 10020</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Attention: Ilan Katz and Brian Lee</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Email: ilan.katz@dentons.com and brian.lee@dentons.com</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9" w:right="339" w:bottom="1440" w:gutter="0" w:footer="0" w:header="0"/>
        </w:sectPr>
      </w:pPr>
    </w:p>
    <w:bookmarkStart w:id="311" w:name="page312"/>
    <w:bookmarkEnd w:id="311"/>
    <w:p>
      <w:pPr>
        <w:ind w:left="20"/>
        <w:spacing w:after="0"/>
        <w:rPr>
          <w:sz w:val="20"/>
          <w:szCs w:val="20"/>
          <w:color w:val="auto"/>
        </w:rPr>
      </w:pPr>
      <w:r>
        <w:rPr>
          <w:rFonts w:ascii="Arial" w:cs="Arial" w:eastAsia="Arial" w:hAnsi="Arial"/>
          <w:sz w:val="16"/>
          <w:szCs w:val="16"/>
          <w:u w:val="single" w:color="auto"/>
          <w:color w:val="auto"/>
        </w:rPr>
        <w:t>If to the Company</w:t>
      </w:r>
      <w:r>
        <w:rPr>
          <w:rFonts w:ascii="Arial" w:cs="Arial" w:eastAsia="Arial" w:hAnsi="Arial"/>
          <w:sz w:val="16"/>
          <w:szCs w:val="16"/>
          <w:color w:val="auto"/>
        </w:rPr>
        <w: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E La Carte, Inc.</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816 Hamilton Street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Redwood City, CA 94063</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Attn: Rajat Suri and Ashish Gupta</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E-mail: raj@presto.com and ashish@presto.com</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with a copy (which shall not constitute notice) to:</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NY 10020-1095</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Attn: Colin Diamond</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E-mail: colin.diamond@whitecase.com</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3000 El Camino Real</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2 Palo Alto Square, Suite 900</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Palo Alto, California 94306-2109</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Attn: Tali Sealman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E-mail: tali.sealman@whitecase.com</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609 Main Street Suite 2900</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Houston, Tezas 77007</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Attn: Emery Choi</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E-mail: emery.choi@whitecase.com</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If to a Sponsor Party</w:t>
      </w:r>
      <w:r>
        <w:rPr>
          <w:rFonts w:ascii="Arial" w:cs="Arial" w:eastAsia="Arial" w:hAnsi="Arial"/>
          <w:sz w:val="16"/>
          <w:szCs w:val="16"/>
          <w:color w:val="auto"/>
        </w:rPr>
        <w: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To such Sponsor Party’s address set forth in </w:t>
      </w:r>
      <w:r>
        <w:rPr>
          <w:rFonts w:ascii="Arial" w:cs="Arial" w:eastAsia="Arial" w:hAnsi="Arial"/>
          <w:sz w:val="16"/>
          <w:szCs w:val="16"/>
          <w:u w:val="single" w:color="auto"/>
          <w:color w:val="auto"/>
        </w:rPr>
        <w:t>Schedule I</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with a copy to (which will not constitute notice):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Woolery &amp; Co.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Pier 76</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408 12th Ave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NY 10018</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Attn: Mathew J. Saur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E-mail: Mathew@wooleryco.com</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Dentons US LLP</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NY 10020</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Attention: Ilan Katz and Brian Lee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Email: ilan.katz@dentons.com and brian.lee@dentons.com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27305</wp:posOffset>
            </wp:positionV>
            <wp:extent cx="7148195"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312" w:name="page313"/>
    <w:bookmarkEnd w:id="312"/>
    <w:p>
      <w:pPr>
        <w:jc w:val="both"/>
        <w:ind w:right="20" w:firstLine="1721"/>
        <w:spacing w:after="0" w:line="275"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Counterparts</w:t>
      </w:r>
      <w:r>
        <w:rPr>
          <w:rFonts w:ascii="Arial" w:cs="Arial" w:eastAsia="Arial" w:hAnsi="Arial"/>
          <w:sz w:val="16"/>
          <w:szCs w:val="16"/>
          <w:color w:val="auto"/>
        </w:rPr>
        <w:t>. This Sponsor Agreement may be executed in two or more counterparts (any of which may be delivered by electronic transmission), each of which shall constitute an original, and all of which taken together shall constitute one and the same instrument.</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4"/>
          <w:szCs w:val="14"/>
          <w:u w:val="single" w:color="auto"/>
          <w:color w:val="auto"/>
        </w:rPr>
        <w:t>Section 3.9 Trust Account Waiver</w:t>
      </w:r>
      <w:r>
        <w:rPr>
          <w:rFonts w:ascii="Arial" w:cs="Arial" w:eastAsia="Arial" w:hAnsi="Arial"/>
          <w:sz w:val="14"/>
          <w:szCs w:val="14"/>
          <w:color w:val="auto"/>
        </w:rPr>
        <w:t xml:space="preserve">. Section 6.05 of the Merger Agreement is hereby incorporated into this Sponsor Agreement, </w:t>
      </w:r>
      <w:r>
        <w:rPr>
          <w:rFonts w:ascii="Arial" w:cs="Arial" w:eastAsia="Arial" w:hAnsi="Arial"/>
          <w:sz w:val="14"/>
          <w:szCs w:val="14"/>
          <w:i w:val="1"/>
          <w:iCs w:val="1"/>
          <w:color w:val="auto"/>
        </w:rPr>
        <w:t>mutatis mutandis</w:t>
      </w:r>
      <w:r>
        <w:rPr>
          <w:rFonts w:ascii="Arial" w:cs="Arial" w:eastAsia="Arial" w:hAnsi="Arial"/>
          <w:sz w:val="14"/>
          <w:szCs w:val="14"/>
          <w:color w:val="auto"/>
        </w:rPr>
        <w:t>.</w:t>
      </w:r>
    </w:p>
    <w:p>
      <w:pPr>
        <w:spacing w:after="0" w:line="221" w:lineRule="exact"/>
        <w:rPr>
          <w:sz w:val="20"/>
          <w:szCs w:val="20"/>
          <w:color w:val="auto"/>
        </w:rPr>
      </w:pPr>
    </w:p>
    <w:p>
      <w:pPr>
        <w:jc w:val="both"/>
        <w:ind w:firstLine="1721"/>
        <w:spacing w:after="0" w:line="262"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Sponsor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62" w:lineRule="exact"/>
        <w:rPr>
          <w:sz w:val="20"/>
          <w:szCs w:val="20"/>
          <w:color w:val="auto"/>
        </w:rPr>
      </w:pPr>
    </w:p>
    <w:p>
      <w:pPr>
        <w:jc w:val="both"/>
        <w:ind w:right="20" w:firstLine="1721"/>
        <w:spacing w:after="0" w:line="262" w:lineRule="auto"/>
        <w:rPr>
          <w:sz w:val="20"/>
          <w:szCs w:val="20"/>
          <w:color w:val="auto"/>
        </w:rPr>
      </w:pPr>
      <w:r>
        <w:rPr>
          <w:rFonts w:ascii="Arial" w:cs="Arial" w:eastAsia="Arial" w:hAnsi="Arial"/>
          <w:sz w:val="16"/>
          <w:szCs w:val="16"/>
          <w:u w:val="single" w:color="auto"/>
          <w:color w:val="auto"/>
        </w:rPr>
        <w:t>Section 3.11 Publicity</w:t>
      </w:r>
      <w:r>
        <w:rPr>
          <w:rFonts w:ascii="Arial" w:cs="Arial" w:eastAsia="Arial" w:hAnsi="Arial"/>
          <w:sz w:val="16"/>
          <w:szCs w:val="16"/>
          <w:color w:val="auto"/>
        </w:rPr>
        <w:t>. Except to the extent required by applicable Law or legal process, neither Acquiror nor the Company may disclose the identities of any direct or indirect members or investors of the Sponsor Parties or their direct or indirect interests in the Sponsor Parties without the relevant Sponsor Party’s prior written consent.</w:t>
      </w:r>
    </w:p>
    <w:p>
      <w:pPr>
        <w:spacing w:after="0" w:line="162" w:lineRule="exact"/>
        <w:rPr>
          <w:sz w:val="20"/>
          <w:szCs w:val="20"/>
          <w:color w:val="auto"/>
        </w:rPr>
      </w:pPr>
    </w:p>
    <w:p>
      <w:pPr>
        <w:jc w:val="both"/>
        <w:ind w:firstLine="1721"/>
        <w:spacing w:after="0" w:line="274" w:lineRule="auto"/>
        <w:rPr>
          <w:sz w:val="20"/>
          <w:szCs w:val="20"/>
          <w:color w:val="auto"/>
        </w:rPr>
      </w:pPr>
      <w:r>
        <w:rPr>
          <w:rFonts w:ascii="Arial" w:cs="Arial" w:eastAsia="Arial" w:hAnsi="Arial"/>
          <w:sz w:val="15"/>
          <w:szCs w:val="15"/>
          <w:u w:val="single" w:color="auto"/>
          <w:color w:val="auto"/>
        </w:rPr>
        <w:t>Section 3.12 Capacity as a Stockholder</w:t>
      </w:r>
      <w:r>
        <w:rPr>
          <w:rFonts w:ascii="Arial" w:cs="Arial" w:eastAsia="Arial" w:hAnsi="Arial"/>
          <w:sz w:val="15"/>
          <w:szCs w:val="15"/>
          <w:color w:val="auto"/>
        </w:rPr>
        <w:t>. Notwithstanding anything herein to the contrary, each Sponsor Party signs this Sponsor Agreement solely in such Person’s capacity as a record owner of, common stock of Acquiror, and not in any other capacity and this Sponsor Agreement shall not limit, prevent or otherwise affect the actions of any Sponsor Party or any Affiliate, employee or designee of the Sponsor Party, or any of their respective Affiliates in his or her capacity, if applicable, as an officer or director of Acquiror, First Merger Sub, Second Merger Sub or any other Person, including in the exercise of his or her fiduciary duties as a director or officer of Acquiror. No Sponsor Party shall be liable or responsible for any breach, default, or violation of any representation, warranty, covenant or agreement by any other Sponsor Party that is also a party hereto and each Sponsor Party shall solely be required to perform its obligations hereunder in its individual capacity.</w:t>
      </w:r>
    </w:p>
    <w:p>
      <w:pPr>
        <w:spacing w:after="0" w:line="153"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[THE REMAINDER OF THIS PAGE IS INTENTIONALLY BLANK]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13" w:name="page314"/>
    <w:bookmarkEnd w:id="313"/>
    <w:p>
      <w:pPr>
        <w:ind w:firstLine="574"/>
        <w:spacing w:after="0" w:line="275" w:lineRule="auto"/>
        <w:rPr>
          <w:sz w:val="20"/>
          <w:szCs w:val="20"/>
          <w:color w:val="auto"/>
        </w:rPr>
      </w:pPr>
      <w:r>
        <w:rPr>
          <w:rFonts w:ascii="Arial" w:cs="Arial" w:eastAsia="Arial" w:hAnsi="Arial"/>
          <w:sz w:val="16"/>
          <w:szCs w:val="16"/>
          <w:color w:val="auto"/>
        </w:rPr>
        <w:t>IN WITNESS WHEREOF, the Sponsor Parties, Acquiror, and the Company have each caused this Sponsor Support Agreement to be duly executed as of the date first written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SPONSORS:</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ACQUISITION HOLDINGS LLC</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CHARDAN INTERNATIONAL INVESTMENTS LLC</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3"/>
          <w:szCs w:val="13"/>
          <w:color w:val="auto"/>
        </w:rPr>
        <w:t>Jonas Grossman</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Managing Member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148195" cy="152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14" w:name="page315"/>
    <w:bookmarkEnd w:id="314"/>
    <w:p>
      <w:pPr>
        <w:ind w:left="5640"/>
        <w:spacing w:after="0"/>
        <w:rPr>
          <w:sz w:val="20"/>
          <w:szCs w:val="20"/>
          <w:color w:val="auto"/>
        </w:rPr>
      </w:pPr>
      <w:r>
        <w:rPr>
          <w:rFonts w:ascii="Arial" w:cs="Arial" w:eastAsia="Arial" w:hAnsi="Arial"/>
          <w:sz w:val="16"/>
          <w:szCs w:val="16"/>
          <w:b w:val="1"/>
          <w:bCs w:val="1"/>
          <w:color w:val="auto"/>
        </w:rPr>
        <w:t>INSIDERS:</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b w:val="1"/>
          <w:bCs w:val="1"/>
          <w:color w:val="auto"/>
        </w:rPr>
        <w:t>Christian Ahrens</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b w:val="1"/>
          <w:bCs w:val="1"/>
          <w:color w:val="auto"/>
        </w:rPr>
        <w:t>Woodrow H. Levin</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b w:val="1"/>
          <w:bCs w:val="1"/>
          <w:color w:val="auto"/>
        </w:rPr>
        <w:t>Julie Atkinson</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b w:val="1"/>
          <w:bCs w:val="1"/>
          <w:color w:val="auto"/>
        </w:rPr>
        <w:t>Edward Scheetz</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Cindat USA LLC</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Bernard Van der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jc w:val="right"/>
        <w:ind w:right="899"/>
        <w:spacing w:after="0"/>
        <w:tabs>
          <w:tab w:leader="none" w:pos="14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Bernard Van der Lande</w:t>
      </w:r>
    </w:p>
    <w:p>
      <w:pPr>
        <w:spacing w:after="0" w:line="20"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Managing Member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406400</wp:posOffset>
            </wp:positionV>
            <wp:extent cx="7148195" cy="152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315" w:name="page316"/>
    <w:bookmarkEnd w:id="315"/>
    <w:p>
      <w:pPr>
        <w:ind w:left="5640"/>
        <w:spacing w:after="0"/>
        <w:rPr>
          <w:sz w:val="20"/>
          <w:szCs w:val="20"/>
          <w:color w:val="auto"/>
        </w:rPr>
      </w:pPr>
      <w:r>
        <w:rPr>
          <w:rFonts w:ascii="Arial" w:cs="Arial" w:eastAsia="Arial" w:hAnsi="Arial"/>
          <w:sz w:val="16"/>
          <w:szCs w:val="16"/>
          <w:b w:val="1"/>
          <w:bCs w:val="1"/>
          <w:color w:val="auto"/>
        </w:rPr>
        <w:t>ACQUIROR: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Title:</w:t>
        <w:tab/>
        <w:t>Chief Executive Officer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406400</wp:posOffset>
            </wp:positionV>
            <wp:extent cx="7148195" cy="152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316" w:name="page317"/>
    <w:bookmarkEnd w:id="316"/>
    <w:p>
      <w:pPr>
        <w:ind w:left="5640"/>
        <w:spacing w:after="0"/>
        <w:rPr>
          <w:sz w:val="20"/>
          <w:szCs w:val="20"/>
          <w:color w:val="auto"/>
        </w:rPr>
      </w:pPr>
      <w:r>
        <w:rPr>
          <w:rFonts w:ascii="Arial" w:cs="Arial" w:eastAsia="Arial" w:hAnsi="Arial"/>
          <w:sz w:val="16"/>
          <w:szCs w:val="16"/>
          <w:b w:val="1"/>
          <w:bCs w:val="1"/>
          <w:color w:val="auto"/>
        </w:rPr>
        <w:t>COMPANY:</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E LA CARTE, INC.</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Rajat Suri</w:t>
      </w:r>
    </w:p>
    <w:p>
      <w:pPr>
        <w:spacing w:after="0" w:line="20" w:lineRule="exact"/>
        <w:rPr>
          <w:sz w:val="20"/>
          <w:szCs w:val="20"/>
          <w:color w:val="auto"/>
        </w:rPr>
      </w:pPr>
    </w:p>
    <w:p>
      <w:pPr>
        <w:jc w:val="both"/>
        <w:ind w:left="6080"/>
        <w:spacing w:after="0"/>
        <w:tabs>
          <w:tab w:leader="none" w:pos="6620" w:val="left"/>
        </w:tabs>
        <w:rPr>
          <w:sz w:val="20"/>
          <w:szCs w:val="20"/>
          <w:color w:val="auto"/>
        </w:rPr>
      </w:pPr>
      <w:r>
        <w:rPr>
          <w:rFonts w:ascii="Arial" w:cs="Arial" w:eastAsia="Arial" w:hAnsi="Arial"/>
          <w:sz w:val="16"/>
          <w:szCs w:val="16"/>
          <w:color w:val="auto"/>
        </w:rPr>
        <w:t>Title:</w:t>
        <w:tab/>
        <w:t>Chief Executive Officer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406400</wp:posOffset>
            </wp:positionV>
            <wp:extent cx="7148195" cy="152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317" w:name="page318"/>
    <w:bookmarkEnd w:id="317"/>
    <w:p>
      <w:pPr>
        <w:jc w:val="center"/>
        <w:ind w:right="20"/>
        <w:spacing w:after="0"/>
        <w:rPr>
          <w:sz w:val="20"/>
          <w:szCs w:val="20"/>
          <w:color w:val="auto"/>
        </w:rPr>
      </w:pPr>
      <w:r>
        <w:rPr>
          <w:rFonts w:ascii="Arial" w:cs="Arial" w:eastAsia="Arial" w:hAnsi="Arial"/>
          <w:sz w:val="16"/>
          <w:szCs w:val="16"/>
          <w:b w:val="1"/>
          <w:bCs w:val="1"/>
          <w:u w:val="single" w:color="auto"/>
          <w:color w:val="auto"/>
        </w:rPr>
        <w:t>Schedule I</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Sponsor Subject Securities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5300" w:type="dxa"/>
            <w:vAlign w:val="bottom"/>
            <w:tcBorders>
              <w:top w:val="single" w:sz="8" w:color="auto"/>
              <w:left w:val="single" w:sz="8" w:color="auto"/>
              <w:right w:val="single" w:sz="8" w:color="auto"/>
            </w:tcBorders>
            <w:gridSpan w:val="2"/>
          </w:tcPr>
          <w:p>
            <w:pPr>
              <w:spacing w:after="0" w:line="168" w:lineRule="exact"/>
              <w:rPr>
                <w:sz w:val="20"/>
                <w:szCs w:val="20"/>
                <w:color w:val="auto"/>
              </w:rPr>
            </w:pPr>
            <w:r>
              <w:rPr>
                <w:rFonts w:ascii="Arial" w:cs="Arial" w:eastAsia="Arial" w:hAnsi="Arial"/>
                <w:sz w:val="16"/>
                <w:szCs w:val="16"/>
                <w:b w:val="1"/>
                <w:bCs w:val="1"/>
                <w:color w:val="auto"/>
              </w:rPr>
              <w:t>Sponsor Party</w:t>
            </w:r>
          </w:p>
        </w:tc>
        <w:tc>
          <w:tcPr>
            <w:tcW w:w="380" w:type="dxa"/>
            <w:vAlign w:val="bottom"/>
            <w:tcBorders>
              <w:top w:val="single" w:sz="8" w:color="auto"/>
            </w:tcBorders>
          </w:tcPr>
          <w:p>
            <w:pPr>
              <w:spacing w:after="0"/>
              <w:rPr>
                <w:sz w:val="14"/>
                <w:szCs w:val="14"/>
                <w:color w:val="auto"/>
              </w:rPr>
            </w:pPr>
          </w:p>
        </w:tc>
        <w:tc>
          <w:tcPr>
            <w:tcW w:w="2100" w:type="dxa"/>
            <w:vAlign w:val="bottom"/>
            <w:tcBorders>
              <w:top w:val="single" w:sz="8" w:color="auto"/>
              <w:right w:val="single" w:sz="8" w:color="auto"/>
            </w:tcBorders>
            <w:gridSpan w:val="2"/>
          </w:tcPr>
          <w:p>
            <w:pPr>
              <w:spacing w:after="0" w:line="168" w:lineRule="exact"/>
              <w:rPr>
                <w:sz w:val="20"/>
                <w:szCs w:val="20"/>
                <w:color w:val="auto"/>
              </w:rPr>
            </w:pPr>
            <w:r>
              <w:rPr>
                <w:rFonts w:ascii="Arial" w:cs="Arial" w:eastAsia="Arial" w:hAnsi="Arial"/>
                <w:sz w:val="16"/>
                <w:szCs w:val="16"/>
                <w:b w:val="1"/>
                <w:bCs w:val="1"/>
                <w:color w:val="auto"/>
              </w:rPr>
              <w:t>Acquiror Common Stock</w:t>
            </w:r>
          </w:p>
        </w:tc>
        <w:tc>
          <w:tcPr>
            <w:tcW w:w="3480" w:type="dxa"/>
            <w:vAlign w:val="bottom"/>
            <w:tcBorders>
              <w:top w:val="single" w:sz="8" w:color="auto"/>
              <w:right w:val="single" w:sz="8" w:color="auto"/>
            </w:tcBorders>
            <w:gridSpan w:val="3"/>
          </w:tcPr>
          <w:p>
            <w:pPr>
              <w:ind w:left="420"/>
              <w:spacing w:after="0" w:line="168" w:lineRule="exact"/>
              <w:rPr>
                <w:sz w:val="20"/>
                <w:szCs w:val="20"/>
                <w:color w:val="auto"/>
              </w:rPr>
            </w:pPr>
            <w:r>
              <w:rPr>
                <w:rFonts w:ascii="Arial" w:cs="Arial" w:eastAsia="Arial" w:hAnsi="Arial"/>
                <w:sz w:val="16"/>
                <w:szCs w:val="16"/>
                <w:b w:val="1"/>
                <w:bCs w:val="1"/>
                <w:color w:val="auto"/>
              </w:rPr>
              <w:t>Acquiror Private Placement Warrants</w:t>
            </w:r>
          </w:p>
        </w:tc>
      </w:tr>
      <w:tr>
        <w:trPr>
          <w:trHeight w:val="20"/>
        </w:trPr>
        <w:tc>
          <w:tcPr>
            <w:tcW w:w="9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43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r>
      <w:tr>
        <w:trPr>
          <w:trHeight w:val="166"/>
        </w:trPr>
        <w:tc>
          <w:tcPr>
            <w:tcW w:w="5300" w:type="dxa"/>
            <w:vAlign w:val="bottom"/>
            <w:tcBorders>
              <w:left w:val="single" w:sz="8" w:color="auto"/>
              <w:right w:val="single" w:sz="8" w:color="auto"/>
            </w:tcBorders>
            <w:gridSpan w:val="2"/>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Ventoux Acquisition Holdings, LLC</w:t>
            </w:r>
          </w:p>
        </w:tc>
        <w:tc>
          <w:tcPr>
            <w:tcW w:w="2080" w:type="dxa"/>
            <w:vAlign w:val="bottom"/>
            <w:gridSpan w:val="2"/>
            <w:shd w:val="clear" w:color="auto" w:fill="CCEEFF"/>
          </w:tcPr>
          <w:p>
            <w:pPr>
              <w:jc w:val="center"/>
              <w:ind w:left="320"/>
              <w:spacing w:after="0" w:line="167" w:lineRule="exact"/>
              <w:rPr>
                <w:sz w:val="20"/>
                <w:szCs w:val="20"/>
                <w:color w:val="auto"/>
              </w:rPr>
            </w:pPr>
            <w:r>
              <w:rPr>
                <w:rFonts w:ascii="Arial" w:cs="Arial" w:eastAsia="Arial" w:hAnsi="Arial"/>
                <w:sz w:val="16"/>
                <w:szCs w:val="16"/>
                <w:color w:val="auto"/>
                <w:w w:val="89"/>
              </w:rPr>
              <w:t>2,728,875</w:t>
            </w:r>
          </w:p>
        </w:tc>
        <w:tc>
          <w:tcPr>
            <w:tcW w:w="400" w:type="dxa"/>
            <w:vAlign w:val="bottom"/>
            <w:tcBorders>
              <w:right w:val="single" w:sz="8" w:color="auto"/>
            </w:tcBorders>
            <w:shd w:val="clear" w:color="auto" w:fill="CCEEFF"/>
          </w:tcPr>
          <w:p>
            <w:pPr>
              <w:spacing w:after="0"/>
              <w:rPr>
                <w:sz w:val="14"/>
                <w:szCs w:val="14"/>
                <w:color w:val="auto"/>
              </w:rPr>
            </w:pPr>
          </w:p>
        </w:tc>
        <w:tc>
          <w:tcPr>
            <w:tcW w:w="3020" w:type="dxa"/>
            <w:vAlign w:val="bottom"/>
            <w:gridSpan w:val="2"/>
            <w:shd w:val="clear" w:color="auto" w:fill="CCEEFF"/>
          </w:tcPr>
          <w:p>
            <w:pPr>
              <w:jc w:val="center"/>
              <w:ind w:left="340"/>
              <w:spacing w:after="0" w:line="167" w:lineRule="exact"/>
              <w:rPr>
                <w:sz w:val="20"/>
                <w:szCs w:val="20"/>
                <w:color w:val="auto"/>
              </w:rPr>
            </w:pPr>
            <w:r>
              <w:rPr>
                <w:rFonts w:ascii="Arial" w:cs="Arial" w:eastAsia="Arial" w:hAnsi="Arial"/>
                <w:sz w:val="16"/>
                <w:szCs w:val="16"/>
                <w:color w:val="auto"/>
                <w:w w:val="89"/>
              </w:rPr>
              <w:t>4,450,000</w:t>
            </w:r>
          </w:p>
        </w:tc>
        <w:tc>
          <w:tcPr>
            <w:tcW w:w="460" w:type="dxa"/>
            <w:vAlign w:val="bottom"/>
            <w:tcBorders>
              <w:right w:val="single" w:sz="8" w:color="auto"/>
            </w:tcBorders>
            <w:shd w:val="clear" w:color="auto" w:fill="CCEEFF"/>
          </w:tcPr>
          <w:p>
            <w:pPr>
              <w:spacing w:after="0"/>
              <w:rPr>
                <w:sz w:val="14"/>
                <w:szCs w:val="14"/>
                <w:color w:val="auto"/>
              </w:rPr>
            </w:pPr>
          </w:p>
        </w:tc>
      </w:tr>
      <w:tr>
        <w:trPr>
          <w:trHeight w:val="191"/>
        </w:trPr>
        <w:tc>
          <w:tcPr>
            <w:tcW w:w="530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1 East Putnam Avenue</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r>
      <w:tr>
        <w:trPr>
          <w:trHeight w:val="191"/>
        </w:trPr>
        <w:tc>
          <w:tcPr>
            <w:tcW w:w="530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Floor 4, Greenwich, CT 06830</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r>
      <w:tr>
        <w:trPr>
          <w:trHeight w:val="191"/>
        </w:trPr>
        <w:tc>
          <w:tcPr>
            <w:tcW w:w="530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Attention: Edward Scheetz</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r>
      <w:tr>
        <w:trPr>
          <w:trHeight w:val="204"/>
        </w:trPr>
        <w:tc>
          <w:tcPr>
            <w:tcW w:w="5300" w:type="dxa"/>
            <w:vAlign w:val="bottom"/>
            <w:tcBorders>
              <w:left w:val="single" w:sz="8" w:color="auto"/>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Email: ed@ventouxccm.com</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right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74"/>
        </w:trPr>
        <w:tc>
          <w:tcPr>
            <w:tcW w:w="5300" w:type="dxa"/>
            <w:vAlign w:val="bottom"/>
            <w:tcBorders>
              <w:left w:val="single" w:sz="8" w:color="auto"/>
              <w:right w:val="single" w:sz="8" w:color="auto"/>
            </w:tcBorders>
            <w:gridSpan w:val="2"/>
          </w:tcPr>
          <w:p>
            <w:pPr>
              <w:spacing w:after="0" w:line="175" w:lineRule="exact"/>
              <w:rPr>
                <w:sz w:val="20"/>
                <w:szCs w:val="20"/>
                <w:color w:val="auto"/>
              </w:rPr>
            </w:pPr>
            <w:r>
              <w:rPr>
                <w:rFonts w:ascii="Arial" w:cs="Arial" w:eastAsia="Arial" w:hAnsi="Arial"/>
                <w:sz w:val="16"/>
                <w:szCs w:val="16"/>
                <w:b w:val="1"/>
                <w:bCs w:val="1"/>
                <w:color w:val="auto"/>
              </w:rPr>
              <w:t>Chardan International Investments, LLC</w:t>
            </w:r>
          </w:p>
        </w:tc>
        <w:tc>
          <w:tcPr>
            <w:tcW w:w="2080" w:type="dxa"/>
            <w:vAlign w:val="bottom"/>
            <w:gridSpan w:val="2"/>
          </w:tcPr>
          <w:p>
            <w:pPr>
              <w:jc w:val="center"/>
              <w:ind w:left="320"/>
              <w:spacing w:after="0" w:line="175" w:lineRule="exact"/>
              <w:rPr>
                <w:sz w:val="20"/>
                <w:szCs w:val="20"/>
                <w:color w:val="auto"/>
              </w:rPr>
            </w:pPr>
            <w:r>
              <w:rPr>
                <w:rFonts w:ascii="Arial" w:cs="Arial" w:eastAsia="Arial" w:hAnsi="Arial"/>
                <w:sz w:val="16"/>
                <w:szCs w:val="16"/>
                <w:color w:val="auto"/>
                <w:w w:val="89"/>
              </w:rPr>
              <w:t>1,493,625</w:t>
            </w:r>
          </w:p>
        </w:tc>
        <w:tc>
          <w:tcPr>
            <w:tcW w:w="400" w:type="dxa"/>
            <w:vAlign w:val="bottom"/>
            <w:tcBorders>
              <w:right w:val="single" w:sz="8" w:color="auto"/>
            </w:tcBorders>
          </w:tcPr>
          <w:p>
            <w:pPr>
              <w:spacing w:after="0"/>
              <w:rPr>
                <w:sz w:val="15"/>
                <w:szCs w:val="15"/>
                <w:color w:val="auto"/>
              </w:rPr>
            </w:pPr>
          </w:p>
        </w:tc>
        <w:tc>
          <w:tcPr>
            <w:tcW w:w="3020" w:type="dxa"/>
            <w:vAlign w:val="bottom"/>
            <w:gridSpan w:val="2"/>
          </w:tcPr>
          <w:p>
            <w:pPr>
              <w:jc w:val="center"/>
              <w:ind w:left="340"/>
              <w:spacing w:after="0" w:line="175" w:lineRule="exact"/>
              <w:rPr>
                <w:sz w:val="20"/>
                <w:szCs w:val="20"/>
                <w:color w:val="auto"/>
              </w:rPr>
            </w:pPr>
            <w:r>
              <w:rPr>
                <w:rFonts w:ascii="Arial" w:cs="Arial" w:eastAsia="Arial" w:hAnsi="Arial"/>
                <w:sz w:val="16"/>
                <w:szCs w:val="16"/>
                <w:color w:val="auto"/>
                <w:w w:val="89"/>
              </w:rPr>
              <w:t>2,225,000</w:t>
            </w:r>
          </w:p>
        </w:tc>
        <w:tc>
          <w:tcPr>
            <w:tcW w:w="460" w:type="dxa"/>
            <w:vAlign w:val="bottom"/>
            <w:tcBorders>
              <w:right w:val="single" w:sz="8" w:color="auto"/>
            </w:tcBorders>
          </w:tcPr>
          <w:p>
            <w:pPr>
              <w:spacing w:after="0"/>
              <w:rPr>
                <w:sz w:val="15"/>
                <w:szCs w:val="15"/>
                <w:color w:val="auto"/>
              </w:rPr>
            </w:pPr>
          </w:p>
        </w:tc>
      </w:tr>
      <w:tr>
        <w:trPr>
          <w:trHeight w:val="223"/>
        </w:trPr>
        <w:tc>
          <w:tcPr>
            <w:tcW w:w="5300" w:type="dxa"/>
            <w:vAlign w:val="bottom"/>
            <w:tcBorders>
              <w:left w:val="single" w:sz="8" w:color="auto"/>
              <w:right w:val="single" w:sz="8" w:color="auto"/>
            </w:tcBorders>
            <w:gridSpan w:val="2"/>
          </w:tcPr>
          <w:p>
            <w:pPr>
              <w:spacing w:after="0" w:line="223" w:lineRule="exact"/>
              <w:rPr>
                <w:sz w:val="20"/>
                <w:szCs w:val="20"/>
                <w:color w:val="auto"/>
              </w:rPr>
            </w:pPr>
            <w:r>
              <w:rPr>
                <w:rFonts w:ascii="Arial" w:cs="Arial" w:eastAsia="Arial" w:hAnsi="Arial"/>
                <w:sz w:val="15"/>
                <w:szCs w:val="15"/>
                <w:color w:val="auto"/>
              </w:rPr>
              <w:t>17 State Street 21</w:t>
            </w:r>
            <w:r>
              <w:rPr>
                <w:rFonts w:ascii="Arial" w:cs="Arial" w:eastAsia="Arial" w:hAnsi="Arial"/>
                <w:sz w:val="25"/>
                <w:szCs w:val="25"/>
                <w:color w:val="auto"/>
                <w:vertAlign w:val="superscript"/>
              </w:rPr>
              <w:t>st</w:t>
            </w:r>
            <w:r>
              <w:rPr>
                <w:rFonts w:ascii="Arial" w:cs="Arial" w:eastAsia="Arial" w:hAnsi="Arial"/>
                <w:sz w:val="15"/>
                <w:szCs w:val="15"/>
                <w:color w:val="auto"/>
              </w:rPr>
              <w:t xml:space="preserve"> Fl</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r>
      <w:tr>
        <w:trPr>
          <w:trHeight w:val="204"/>
        </w:trPr>
        <w:tc>
          <w:tcPr>
            <w:tcW w:w="530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New York, NY 10004</w:t>
            </w: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r>
      <w:tr>
        <w:trPr>
          <w:trHeight w:val="171"/>
        </w:trPr>
        <w:tc>
          <w:tcPr>
            <w:tcW w:w="5300" w:type="dxa"/>
            <w:vAlign w:val="bottom"/>
            <w:tcBorders>
              <w:left w:val="single" w:sz="8" w:color="auto"/>
              <w:right w:val="single" w:sz="8" w:color="auto"/>
            </w:tcBorders>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Christian Ahrens</w:t>
            </w:r>
          </w:p>
        </w:tc>
        <w:tc>
          <w:tcPr>
            <w:tcW w:w="2080" w:type="dxa"/>
            <w:vAlign w:val="bottom"/>
            <w:gridSpan w:val="2"/>
            <w:shd w:val="clear" w:color="auto" w:fill="CCEEFF"/>
          </w:tcPr>
          <w:p>
            <w:pPr>
              <w:jc w:val="center"/>
              <w:ind w:left="320"/>
              <w:spacing w:after="0" w:line="171" w:lineRule="exact"/>
              <w:rPr>
                <w:sz w:val="20"/>
                <w:szCs w:val="20"/>
                <w:color w:val="auto"/>
              </w:rPr>
            </w:pPr>
            <w:r>
              <w:rPr>
                <w:rFonts w:ascii="Arial" w:cs="Arial" w:eastAsia="Arial" w:hAnsi="Arial"/>
                <w:sz w:val="16"/>
                <w:szCs w:val="16"/>
                <w:color w:val="auto"/>
                <w:w w:val="89"/>
              </w:rPr>
              <w:t>22,500</w:t>
            </w:r>
          </w:p>
        </w:tc>
        <w:tc>
          <w:tcPr>
            <w:tcW w:w="400" w:type="dxa"/>
            <w:vAlign w:val="bottom"/>
            <w:tcBorders>
              <w:right w:val="single" w:sz="8" w:color="auto"/>
            </w:tcBorders>
            <w:shd w:val="clear" w:color="auto" w:fill="CCEEFF"/>
          </w:tcPr>
          <w:p>
            <w:pPr>
              <w:spacing w:after="0"/>
              <w:rPr>
                <w:sz w:val="14"/>
                <w:szCs w:val="14"/>
                <w:color w:val="auto"/>
              </w:rPr>
            </w:pPr>
          </w:p>
        </w:tc>
        <w:tc>
          <w:tcPr>
            <w:tcW w:w="3020" w:type="dxa"/>
            <w:vAlign w:val="bottom"/>
            <w:gridSpan w:val="2"/>
            <w:shd w:val="clear" w:color="auto" w:fill="CCEEFF"/>
          </w:tcPr>
          <w:p>
            <w:pPr>
              <w:jc w:val="center"/>
              <w:ind w:left="340"/>
              <w:spacing w:after="0" w:line="171" w:lineRule="exact"/>
              <w:rPr>
                <w:sz w:val="20"/>
                <w:szCs w:val="20"/>
                <w:color w:val="auto"/>
              </w:rPr>
            </w:pPr>
            <w:r>
              <w:rPr>
                <w:rFonts w:ascii="Arial" w:cs="Arial" w:eastAsia="Arial" w:hAnsi="Arial"/>
                <w:sz w:val="16"/>
                <w:szCs w:val="16"/>
                <w:color w:val="auto"/>
                <w:w w:val="89"/>
              </w:rPr>
              <w:t>0</w:t>
            </w:r>
          </w:p>
        </w:tc>
        <w:tc>
          <w:tcPr>
            <w:tcW w:w="460" w:type="dxa"/>
            <w:vAlign w:val="bottom"/>
            <w:tcBorders>
              <w:right w:val="single" w:sz="8" w:color="auto"/>
            </w:tcBorders>
            <w:shd w:val="clear" w:color="auto" w:fill="CCEEFF"/>
          </w:tcPr>
          <w:p>
            <w:pPr>
              <w:spacing w:after="0"/>
              <w:rPr>
                <w:sz w:val="14"/>
                <w:szCs w:val="14"/>
                <w:color w:val="auto"/>
              </w:rPr>
            </w:pPr>
          </w:p>
        </w:tc>
      </w:tr>
      <w:tr>
        <w:trPr>
          <w:trHeight w:val="191"/>
        </w:trPr>
        <w:tc>
          <w:tcPr>
            <w:tcW w:w="530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42 Garden Place</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r>
      <w:tr>
        <w:trPr>
          <w:trHeight w:val="204"/>
        </w:trPr>
        <w:tc>
          <w:tcPr>
            <w:tcW w:w="5300" w:type="dxa"/>
            <w:vAlign w:val="bottom"/>
            <w:tcBorders>
              <w:left w:val="single" w:sz="8" w:color="auto"/>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Brooklyn, NY 11201</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right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71"/>
        </w:trPr>
        <w:tc>
          <w:tcPr>
            <w:tcW w:w="5300" w:type="dxa"/>
            <w:vAlign w:val="bottom"/>
            <w:tcBorders>
              <w:left w:val="single" w:sz="8" w:color="auto"/>
              <w:right w:val="single" w:sz="8" w:color="auto"/>
            </w:tcBorders>
            <w:gridSpan w:val="2"/>
          </w:tcPr>
          <w:p>
            <w:pPr>
              <w:spacing w:after="0" w:line="171" w:lineRule="exact"/>
              <w:rPr>
                <w:sz w:val="20"/>
                <w:szCs w:val="20"/>
                <w:color w:val="auto"/>
              </w:rPr>
            </w:pPr>
            <w:r>
              <w:rPr>
                <w:rFonts w:ascii="Arial" w:cs="Arial" w:eastAsia="Arial" w:hAnsi="Arial"/>
                <w:sz w:val="16"/>
                <w:szCs w:val="16"/>
                <w:b w:val="1"/>
                <w:bCs w:val="1"/>
                <w:color w:val="auto"/>
              </w:rPr>
              <w:t>Woodrow H. Levin</w:t>
            </w:r>
          </w:p>
        </w:tc>
        <w:tc>
          <w:tcPr>
            <w:tcW w:w="2080" w:type="dxa"/>
            <w:vAlign w:val="bottom"/>
            <w:gridSpan w:val="2"/>
          </w:tcPr>
          <w:p>
            <w:pPr>
              <w:jc w:val="center"/>
              <w:ind w:left="320"/>
              <w:spacing w:after="0" w:line="171" w:lineRule="exact"/>
              <w:rPr>
                <w:sz w:val="20"/>
                <w:szCs w:val="20"/>
                <w:color w:val="auto"/>
              </w:rPr>
            </w:pPr>
            <w:r>
              <w:rPr>
                <w:rFonts w:ascii="Arial" w:cs="Arial" w:eastAsia="Arial" w:hAnsi="Arial"/>
                <w:sz w:val="16"/>
                <w:szCs w:val="16"/>
                <w:color w:val="auto"/>
                <w:w w:val="89"/>
              </w:rPr>
              <w:t>22,500</w:t>
            </w:r>
          </w:p>
        </w:tc>
        <w:tc>
          <w:tcPr>
            <w:tcW w:w="400" w:type="dxa"/>
            <w:vAlign w:val="bottom"/>
            <w:tcBorders>
              <w:right w:val="single" w:sz="8" w:color="auto"/>
            </w:tcBorders>
          </w:tcPr>
          <w:p>
            <w:pPr>
              <w:spacing w:after="0"/>
              <w:rPr>
                <w:sz w:val="14"/>
                <w:szCs w:val="14"/>
                <w:color w:val="auto"/>
              </w:rPr>
            </w:pPr>
          </w:p>
        </w:tc>
        <w:tc>
          <w:tcPr>
            <w:tcW w:w="3020" w:type="dxa"/>
            <w:vAlign w:val="bottom"/>
            <w:gridSpan w:val="2"/>
          </w:tcPr>
          <w:p>
            <w:pPr>
              <w:jc w:val="center"/>
              <w:ind w:left="340"/>
              <w:spacing w:after="0" w:line="171" w:lineRule="exact"/>
              <w:rPr>
                <w:sz w:val="20"/>
                <w:szCs w:val="20"/>
                <w:color w:val="auto"/>
              </w:rPr>
            </w:pPr>
            <w:r>
              <w:rPr>
                <w:rFonts w:ascii="Arial" w:cs="Arial" w:eastAsia="Arial" w:hAnsi="Arial"/>
                <w:sz w:val="16"/>
                <w:szCs w:val="16"/>
                <w:color w:val="auto"/>
                <w:w w:val="89"/>
              </w:rPr>
              <w:t>0</w:t>
            </w:r>
          </w:p>
        </w:tc>
        <w:tc>
          <w:tcPr>
            <w:tcW w:w="460" w:type="dxa"/>
            <w:vAlign w:val="bottom"/>
            <w:tcBorders>
              <w:right w:val="single" w:sz="8" w:color="auto"/>
            </w:tcBorders>
          </w:tcPr>
          <w:p>
            <w:pPr>
              <w:spacing w:after="0"/>
              <w:rPr>
                <w:sz w:val="14"/>
                <w:szCs w:val="14"/>
                <w:color w:val="auto"/>
              </w:rPr>
            </w:pPr>
          </w:p>
        </w:tc>
      </w:tr>
      <w:tr>
        <w:trPr>
          <w:trHeight w:val="191"/>
        </w:trPr>
        <w:tc>
          <w:tcPr>
            <w:tcW w:w="530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404 Sunset Lane</w:t>
            </w:r>
          </w:p>
        </w:tc>
        <w:tc>
          <w:tcPr>
            <w:tcW w:w="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04"/>
        </w:trPr>
        <w:tc>
          <w:tcPr>
            <w:tcW w:w="530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Glencoe, Il 60022</w:t>
            </w: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r>
      <w:tr>
        <w:trPr>
          <w:trHeight w:val="171"/>
        </w:trPr>
        <w:tc>
          <w:tcPr>
            <w:tcW w:w="5300" w:type="dxa"/>
            <w:vAlign w:val="bottom"/>
            <w:tcBorders>
              <w:left w:val="single" w:sz="8" w:color="auto"/>
              <w:right w:val="single" w:sz="8" w:color="auto"/>
            </w:tcBorders>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Cindat USA LLC</w:t>
            </w:r>
          </w:p>
        </w:tc>
        <w:tc>
          <w:tcPr>
            <w:tcW w:w="2080" w:type="dxa"/>
            <w:vAlign w:val="bottom"/>
            <w:gridSpan w:val="2"/>
            <w:shd w:val="clear" w:color="auto" w:fill="CCEEFF"/>
          </w:tcPr>
          <w:p>
            <w:pPr>
              <w:jc w:val="center"/>
              <w:ind w:left="320"/>
              <w:spacing w:after="0" w:line="171" w:lineRule="exact"/>
              <w:rPr>
                <w:sz w:val="20"/>
                <w:szCs w:val="20"/>
                <w:color w:val="auto"/>
              </w:rPr>
            </w:pPr>
            <w:r>
              <w:rPr>
                <w:rFonts w:ascii="Arial" w:cs="Arial" w:eastAsia="Arial" w:hAnsi="Arial"/>
                <w:sz w:val="16"/>
                <w:szCs w:val="16"/>
                <w:color w:val="auto"/>
                <w:w w:val="89"/>
              </w:rPr>
              <w:t>22,500</w:t>
            </w:r>
          </w:p>
        </w:tc>
        <w:tc>
          <w:tcPr>
            <w:tcW w:w="400" w:type="dxa"/>
            <w:vAlign w:val="bottom"/>
            <w:tcBorders>
              <w:right w:val="single" w:sz="8" w:color="auto"/>
            </w:tcBorders>
            <w:shd w:val="clear" w:color="auto" w:fill="CCEEFF"/>
          </w:tcPr>
          <w:p>
            <w:pPr>
              <w:spacing w:after="0"/>
              <w:rPr>
                <w:sz w:val="14"/>
                <w:szCs w:val="14"/>
                <w:color w:val="auto"/>
              </w:rPr>
            </w:pPr>
          </w:p>
        </w:tc>
        <w:tc>
          <w:tcPr>
            <w:tcW w:w="3020" w:type="dxa"/>
            <w:vAlign w:val="bottom"/>
            <w:gridSpan w:val="2"/>
            <w:shd w:val="clear" w:color="auto" w:fill="CCEEFF"/>
          </w:tcPr>
          <w:p>
            <w:pPr>
              <w:jc w:val="center"/>
              <w:ind w:left="340"/>
              <w:spacing w:after="0" w:line="171" w:lineRule="exact"/>
              <w:rPr>
                <w:sz w:val="20"/>
                <w:szCs w:val="20"/>
                <w:color w:val="auto"/>
              </w:rPr>
            </w:pPr>
            <w:r>
              <w:rPr>
                <w:rFonts w:ascii="Arial" w:cs="Arial" w:eastAsia="Arial" w:hAnsi="Arial"/>
                <w:sz w:val="16"/>
                <w:szCs w:val="16"/>
                <w:color w:val="auto"/>
                <w:w w:val="89"/>
              </w:rPr>
              <w:t>0</w:t>
            </w:r>
          </w:p>
        </w:tc>
        <w:tc>
          <w:tcPr>
            <w:tcW w:w="460" w:type="dxa"/>
            <w:vAlign w:val="bottom"/>
            <w:tcBorders>
              <w:right w:val="single" w:sz="8" w:color="auto"/>
            </w:tcBorders>
            <w:shd w:val="clear" w:color="auto" w:fill="CCEEFF"/>
          </w:tcPr>
          <w:p>
            <w:pPr>
              <w:spacing w:after="0"/>
              <w:rPr>
                <w:sz w:val="14"/>
                <w:szCs w:val="14"/>
                <w:color w:val="auto"/>
              </w:rPr>
            </w:pPr>
          </w:p>
        </w:tc>
      </w:tr>
      <w:tr>
        <w:trPr>
          <w:trHeight w:val="191"/>
        </w:trPr>
        <w:tc>
          <w:tcPr>
            <w:tcW w:w="530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375 Park Avenue #3703</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r>
      <w:tr>
        <w:trPr>
          <w:trHeight w:val="204"/>
        </w:trPr>
        <w:tc>
          <w:tcPr>
            <w:tcW w:w="5300" w:type="dxa"/>
            <w:vAlign w:val="bottom"/>
            <w:tcBorders>
              <w:left w:val="single" w:sz="8" w:color="auto"/>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New York, NY 10152</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right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71"/>
        </w:trPr>
        <w:tc>
          <w:tcPr>
            <w:tcW w:w="5300" w:type="dxa"/>
            <w:vAlign w:val="bottom"/>
            <w:tcBorders>
              <w:left w:val="single" w:sz="8" w:color="auto"/>
              <w:right w:val="single" w:sz="8" w:color="auto"/>
            </w:tcBorders>
            <w:gridSpan w:val="2"/>
          </w:tcPr>
          <w:p>
            <w:pPr>
              <w:spacing w:after="0" w:line="171" w:lineRule="exact"/>
              <w:rPr>
                <w:sz w:val="20"/>
                <w:szCs w:val="20"/>
                <w:color w:val="auto"/>
              </w:rPr>
            </w:pPr>
            <w:r>
              <w:rPr>
                <w:rFonts w:ascii="Arial" w:cs="Arial" w:eastAsia="Arial" w:hAnsi="Arial"/>
                <w:sz w:val="16"/>
                <w:szCs w:val="16"/>
                <w:b w:val="1"/>
                <w:bCs w:val="1"/>
                <w:color w:val="auto"/>
              </w:rPr>
              <w:t>Julie Atkinson</w:t>
            </w:r>
          </w:p>
        </w:tc>
        <w:tc>
          <w:tcPr>
            <w:tcW w:w="2080" w:type="dxa"/>
            <w:vAlign w:val="bottom"/>
            <w:gridSpan w:val="2"/>
          </w:tcPr>
          <w:p>
            <w:pPr>
              <w:jc w:val="center"/>
              <w:ind w:left="320"/>
              <w:spacing w:after="0" w:line="171" w:lineRule="exact"/>
              <w:rPr>
                <w:sz w:val="20"/>
                <w:szCs w:val="20"/>
                <w:color w:val="auto"/>
              </w:rPr>
            </w:pPr>
            <w:r>
              <w:rPr>
                <w:rFonts w:ascii="Arial" w:cs="Arial" w:eastAsia="Arial" w:hAnsi="Arial"/>
                <w:sz w:val="16"/>
                <w:szCs w:val="16"/>
                <w:color w:val="auto"/>
                <w:w w:val="89"/>
              </w:rPr>
              <w:t>22,500</w:t>
            </w:r>
          </w:p>
        </w:tc>
        <w:tc>
          <w:tcPr>
            <w:tcW w:w="400" w:type="dxa"/>
            <w:vAlign w:val="bottom"/>
            <w:tcBorders>
              <w:right w:val="single" w:sz="8" w:color="auto"/>
            </w:tcBorders>
          </w:tcPr>
          <w:p>
            <w:pPr>
              <w:spacing w:after="0"/>
              <w:rPr>
                <w:sz w:val="14"/>
                <w:szCs w:val="14"/>
                <w:color w:val="auto"/>
              </w:rPr>
            </w:pPr>
          </w:p>
        </w:tc>
        <w:tc>
          <w:tcPr>
            <w:tcW w:w="3020" w:type="dxa"/>
            <w:vAlign w:val="bottom"/>
            <w:gridSpan w:val="2"/>
          </w:tcPr>
          <w:p>
            <w:pPr>
              <w:jc w:val="center"/>
              <w:ind w:left="340"/>
              <w:spacing w:after="0" w:line="171" w:lineRule="exact"/>
              <w:rPr>
                <w:sz w:val="20"/>
                <w:szCs w:val="20"/>
                <w:color w:val="auto"/>
              </w:rPr>
            </w:pPr>
            <w:r>
              <w:rPr>
                <w:rFonts w:ascii="Arial" w:cs="Arial" w:eastAsia="Arial" w:hAnsi="Arial"/>
                <w:sz w:val="16"/>
                <w:szCs w:val="16"/>
                <w:color w:val="auto"/>
                <w:w w:val="89"/>
              </w:rPr>
              <w:t>0</w:t>
            </w:r>
          </w:p>
        </w:tc>
        <w:tc>
          <w:tcPr>
            <w:tcW w:w="460" w:type="dxa"/>
            <w:vAlign w:val="bottom"/>
            <w:tcBorders>
              <w:right w:val="single" w:sz="8" w:color="auto"/>
            </w:tcBorders>
          </w:tcPr>
          <w:p>
            <w:pPr>
              <w:spacing w:after="0"/>
              <w:rPr>
                <w:sz w:val="14"/>
                <w:szCs w:val="14"/>
                <w:color w:val="auto"/>
              </w:rPr>
            </w:pPr>
          </w:p>
        </w:tc>
      </w:tr>
      <w:tr>
        <w:trPr>
          <w:trHeight w:val="191"/>
        </w:trPr>
        <w:tc>
          <w:tcPr>
            <w:tcW w:w="530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11 Irvine Road</w:t>
            </w:r>
          </w:p>
        </w:tc>
        <w:tc>
          <w:tcPr>
            <w:tcW w:w="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04"/>
        </w:trPr>
        <w:tc>
          <w:tcPr>
            <w:tcW w:w="530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Old Greenwich, CT 06870</w:t>
            </w: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r>
      <w:tr>
        <w:trPr>
          <w:trHeight w:val="171"/>
        </w:trPr>
        <w:tc>
          <w:tcPr>
            <w:tcW w:w="5300" w:type="dxa"/>
            <w:vAlign w:val="bottom"/>
            <w:tcBorders>
              <w:left w:val="single" w:sz="8" w:color="auto"/>
              <w:right w:val="single" w:sz="8" w:color="auto"/>
            </w:tcBorders>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Edward Scheetz</w:t>
            </w:r>
          </w:p>
        </w:tc>
        <w:tc>
          <w:tcPr>
            <w:tcW w:w="2080" w:type="dxa"/>
            <w:vAlign w:val="bottom"/>
            <w:gridSpan w:val="2"/>
            <w:shd w:val="clear" w:color="auto" w:fill="CCEEFF"/>
          </w:tcPr>
          <w:p>
            <w:pPr>
              <w:jc w:val="center"/>
              <w:ind w:left="320"/>
              <w:spacing w:after="0" w:line="171" w:lineRule="exact"/>
              <w:rPr>
                <w:sz w:val="20"/>
                <w:szCs w:val="20"/>
                <w:color w:val="auto"/>
              </w:rPr>
            </w:pPr>
            <w:r>
              <w:rPr>
                <w:rFonts w:ascii="Arial" w:cs="Arial" w:eastAsia="Arial" w:hAnsi="Arial"/>
                <w:sz w:val="16"/>
                <w:szCs w:val="16"/>
                <w:color w:val="auto"/>
                <w:w w:val="89"/>
              </w:rPr>
              <w:t>0</w:t>
            </w:r>
          </w:p>
        </w:tc>
        <w:tc>
          <w:tcPr>
            <w:tcW w:w="400" w:type="dxa"/>
            <w:vAlign w:val="bottom"/>
            <w:tcBorders>
              <w:right w:val="single" w:sz="8" w:color="auto"/>
            </w:tcBorders>
            <w:shd w:val="clear" w:color="auto" w:fill="CCEEFF"/>
          </w:tcPr>
          <w:p>
            <w:pPr>
              <w:spacing w:after="0"/>
              <w:rPr>
                <w:sz w:val="14"/>
                <w:szCs w:val="14"/>
                <w:color w:val="auto"/>
              </w:rPr>
            </w:pPr>
          </w:p>
        </w:tc>
        <w:tc>
          <w:tcPr>
            <w:tcW w:w="3020" w:type="dxa"/>
            <w:vAlign w:val="bottom"/>
            <w:gridSpan w:val="2"/>
            <w:shd w:val="clear" w:color="auto" w:fill="CCEEFF"/>
          </w:tcPr>
          <w:p>
            <w:pPr>
              <w:jc w:val="center"/>
              <w:ind w:left="340"/>
              <w:spacing w:after="0" w:line="171" w:lineRule="exact"/>
              <w:rPr>
                <w:sz w:val="20"/>
                <w:szCs w:val="20"/>
                <w:color w:val="auto"/>
              </w:rPr>
            </w:pPr>
            <w:r>
              <w:rPr>
                <w:rFonts w:ascii="Arial" w:cs="Arial" w:eastAsia="Arial" w:hAnsi="Arial"/>
                <w:sz w:val="16"/>
                <w:szCs w:val="16"/>
                <w:color w:val="auto"/>
                <w:w w:val="89"/>
              </w:rPr>
              <w:t>0</w:t>
            </w:r>
          </w:p>
        </w:tc>
        <w:tc>
          <w:tcPr>
            <w:tcW w:w="460" w:type="dxa"/>
            <w:vAlign w:val="bottom"/>
            <w:tcBorders>
              <w:right w:val="single" w:sz="8" w:color="auto"/>
            </w:tcBorders>
            <w:shd w:val="clear" w:color="auto" w:fill="CCEEFF"/>
          </w:tcPr>
          <w:p>
            <w:pPr>
              <w:spacing w:after="0"/>
              <w:rPr>
                <w:sz w:val="14"/>
                <w:szCs w:val="14"/>
                <w:color w:val="auto"/>
              </w:rPr>
            </w:pPr>
          </w:p>
        </w:tc>
      </w:tr>
      <w:tr>
        <w:trPr>
          <w:trHeight w:val="191"/>
        </w:trPr>
        <w:tc>
          <w:tcPr>
            <w:tcW w:w="530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1 East Putnam Avenue</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r>
      <w:tr>
        <w:trPr>
          <w:trHeight w:val="204"/>
        </w:trPr>
        <w:tc>
          <w:tcPr>
            <w:tcW w:w="5300" w:type="dxa"/>
            <w:vAlign w:val="bottom"/>
            <w:tcBorders>
              <w:left w:val="single" w:sz="8" w:color="auto"/>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Floor 4, Greenwich, CT 06830</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right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83"/>
        </w:trPr>
        <w:tc>
          <w:tcPr>
            <w:tcW w:w="530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080" w:type="dxa"/>
            <w:vAlign w:val="bottom"/>
            <w:tcBorders>
              <w:bottom w:val="single" w:sz="8" w:color="auto"/>
            </w:tcBorders>
            <w:gridSpan w:val="2"/>
          </w:tcPr>
          <w:p>
            <w:pPr>
              <w:jc w:val="center"/>
              <w:ind w:left="320"/>
              <w:spacing w:after="0"/>
              <w:rPr>
                <w:sz w:val="20"/>
                <w:szCs w:val="20"/>
                <w:color w:val="auto"/>
              </w:rPr>
            </w:pPr>
            <w:r>
              <w:rPr>
                <w:rFonts w:ascii="Arial" w:cs="Arial" w:eastAsia="Arial" w:hAnsi="Arial"/>
                <w:sz w:val="16"/>
                <w:szCs w:val="16"/>
                <w:color w:val="auto"/>
                <w:w w:val="89"/>
              </w:rPr>
              <w:t>4,312,500</w:t>
            </w:r>
          </w:p>
        </w:tc>
        <w:tc>
          <w:tcPr>
            <w:tcW w:w="400" w:type="dxa"/>
            <w:vAlign w:val="bottom"/>
            <w:tcBorders>
              <w:bottom w:val="single" w:sz="8" w:color="auto"/>
              <w:right w:val="single" w:sz="8" w:color="auto"/>
            </w:tcBorders>
          </w:tcPr>
          <w:p>
            <w:pPr>
              <w:spacing w:after="0"/>
              <w:rPr>
                <w:sz w:val="15"/>
                <w:szCs w:val="15"/>
                <w:color w:val="auto"/>
              </w:rPr>
            </w:pPr>
          </w:p>
        </w:tc>
        <w:tc>
          <w:tcPr>
            <w:tcW w:w="3020" w:type="dxa"/>
            <w:vAlign w:val="bottom"/>
            <w:tcBorders>
              <w:bottom w:val="single" w:sz="8" w:color="auto"/>
            </w:tcBorders>
            <w:gridSpan w:val="2"/>
          </w:tcPr>
          <w:p>
            <w:pPr>
              <w:jc w:val="center"/>
              <w:ind w:left="340"/>
              <w:spacing w:after="0"/>
              <w:rPr>
                <w:sz w:val="20"/>
                <w:szCs w:val="20"/>
                <w:color w:val="auto"/>
              </w:rPr>
            </w:pPr>
            <w:r>
              <w:rPr>
                <w:rFonts w:ascii="Arial" w:cs="Arial" w:eastAsia="Arial" w:hAnsi="Arial"/>
                <w:sz w:val="16"/>
                <w:szCs w:val="16"/>
                <w:color w:val="auto"/>
                <w:w w:val="89"/>
              </w:rPr>
              <w:t>6,675,000</w:t>
            </w:r>
          </w:p>
        </w:tc>
        <w:tc>
          <w:tcPr>
            <w:tcW w:w="460" w:type="dxa"/>
            <w:vAlign w:val="bottom"/>
            <w:tcBorders>
              <w:bottom w:val="single" w:sz="8" w:color="auto"/>
              <w:right w:val="single" w:sz="8" w:color="auto"/>
            </w:tcBorders>
          </w:tcPr>
          <w:p>
            <w:pPr>
              <w:spacing w:after="0"/>
              <w:rPr>
                <w:sz w:val="15"/>
                <w:szCs w:val="15"/>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[Schedule I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148195" cy="152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318" w:name="page319"/>
    <w:bookmarkEnd w:id="318"/>
    <w:p>
      <w:pPr>
        <w:jc w:val="center"/>
        <w:ind w:right="-1120"/>
        <w:spacing w:after="0"/>
        <w:rPr>
          <w:sz w:val="20"/>
          <w:szCs w:val="20"/>
          <w:color w:val="auto"/>
        </w:rPr>
      </w:pPr>
      <w:r>
        <w:rPr>
          <w:rFonts w:ascii="Arial" w:cs="Arial" w:eastAsia="Arial" w:hAnsi="Arial"/>
          <w:sz w:val="16"/>
          <w:szCs w:val="16"/>
          <w:b w:val="1"/>
          <w:bCs w:val="1"/>
          <w:u w:val="single" w:color="auto"/>
          <w:color w:val="auto"/>
        </w:rPr>
        <w:t>Schedule II</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Affiliate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Underwriting Agreement, dated December 23, 2020, by and between the Company and Chardan Capital Markets, LLC.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Letter Agreements, dated December 23, 2020, by the Company’s officers, directors and initial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Registration Rights Agreement, dated December 23, 2020, by and among the Company and the initial stockholders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Indemnity Agreements, dated December 23, 2020, by and between the Company and the directors and officers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Subscription Agreement, dated December 23, 2020, by and between the Company and Ventoux Acquisition Holdings LLC.</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Subscription Agreement, dated December 23, 2020, by and between the Company and Chardan International Investments, LLC.</w:t>
      </w:r>
    </w:p>
    <w:p>
      <w:pPr>
        <w:spacing w:after="0" w:line="210" w:lineRule="exact"/>
        <w:rPr>
          <w:sz w:val="20"/>
          <w:szCs w:val="20"/>
          <w:color w:val="auto"/>
        </w:rPr>
      </w:pPr>
    </w:p>
    <w:p>
      <w:pPr>
        <w:ind w:right="1239"/>
        <w:spacing w:after="0" w:line="498" w:lineRule="auto"/>
        <w:rPr>
          <w:sz w:val="20"/>
          <w:szCs w:val="20"/>
          <w:color w:val="auto"/>
        </w:rPr>
      </w:pPr>
      <w:r>
        <w:rPr>
          <w:rFonts w:ascii="Arial" w:cs="Arial" w:eastAsia="Arial" w:hAnsi="Arial"/>
          <w:sz w:val="16"/>
          <w:szCs w:val="16"/>
          <w:color w:val="auto"/>
        </w:rPr>
        <w:t>Business Combination Marketing Agreement, dated December 23, 2020, by and between the Company and Chardan Capital Markets, LLC. Administrative Services Agreement, dated December 23, 2020, by and between the Company and Chardan Capital Markets, LLC. Engagement Letter dated August 9, 2021 with Chardan Capital Markets, LLC</w:t>
      </w:r>
    </w:p>
    <w:p>
      <w:pPr>
        <w:spacing w:after="0" w:line="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[Schedule II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376555</wp:posOffset>
            </wp:positionV>
            <wp:extent cx="7148195" cy="152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319" w:name="page320"/>
    <w:bookmarkEnd w:id="319"/>
    <w:p>
      <w:pPr>
        <w:ind w:left="10380"/>
        <w:spacing w:after="0"/>
        <w:rPr>
          <w:sz w:val="20"/>
          <w:szCs w:val="20"/>
          <w:color w:val="auto"/>
        </w:rPr>
      </w:pPr>
      <w:r>
        <w:rPr>
          <w:rFonts w:ascii="Arial" w:cs="Arial" w:eastAsia="Arial" w:hAnsi="Arial"/>
          <w:sz w:val="15"/>
          <w:szCs w:val="15"/>
          <w:b w:val="1"/>
          <w:bCs w:val="1"/>
          <w:color w:val="auto"/>
        </w:rPr>
        <w:t>Exhibit 10.6</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SUPPORT AGREEMENT</w:t>
      </w:r>
    </w:p>
    <w:p>
      <w:pPr>
        <w:spacing w:after="0" w:line="186"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This Support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10 November, 2021, is entered into by and among Ventoux CCM Acquisition Corp., a Delaware corporation (“</w:t>
      </w:r>
      <w:r>
        <w:rPr>
          <w:rFonts w:ascii="Arial" w:cs="Arial" w:eastAsia="Arial" w:hAnsi="Arial"/>
          <w:sz w:val="14"/>
          <w:szCs w:val="14"/>
          <w:u w:val="single" w:color="auto"/>
          <w:color w:val="auto"/>
        </w:rPr>
        <w:t>Acquiror</w:t>
      </w:r>
      <w:r>
        <w:rPr>
          <w:rFonts w:ascii="Arial" w:cs="Arial" w:eastAsia="Arial" w:hAnsi="Arial"/>
          <w:sz w:val="14"/>
          <w:szCs w:val="14"/>
          <w:color w:val="auto"/>
        </w:rPr>
        <w:t>”), E La Carte,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certain of the stockholders of the Company, whose names appear on the signature pages of this Agreement (such stockholders, the “</w:t>
      </w:r>
      <w:r>
        <w:rPr>
          <w:rFonts w:ascii="Arial" w:cs="Arial" w:eastAsia="Arial" w:hAnsi="Arial"/>
          <w:sz w:val="14"/>
          <w:szCs w:val="14"/>
          <w:u w:val="single" w:color="auto"/>
          <w:color w:val="auto"/>
        </w:rPr>
        <w:t>Stockholders</w:t>
      </w:r>
      <w:r>
        <w:rPr>
          <w:rFonts w:ascii="Arial" w:cs="Arial" w:eastAsia="Arial" w:hAnsi="Arial"/>
          <w:sz w:val="14"/>
          <w:szCs w:val="14"/>
          <w:color w:val="auto"/>
        </w:rPr>
        <w:t>”, and Acquiror, the Company and the Stockholders, each a “</w:t>
      </w:r>
      <w:r>
        <w:rPr>
          <w:rFonts w:ascii="Arial" w:cs="Arial" w:eastAsia="Arial" w:hAnsi="Arial"/>
          <w:sz w:val="14"/>
          <w:szCs w:val="14"/>
          <w:u w:val="single" w:color="auto"/>
          <w:color w:val="auto"/>
        </w:rPr>
        <w:t>Party</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98"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herewith, Acquiror, the Company, Ventoux Merger Sub I Inc., a Delaware corporation and wholly-owned subsidiary of Acquiror (“</w:t>
      </w:r>
      <w:r>
        <w:rPr>
          <w:rFonts w:ascii="Arial" w:cs="Arial" w:eastAsia="Arial" w:hAnsi="Arial"/>
          <w:sz w:val="16"/>
          <w:szCs w:val="16"/>
          <w:u w:val="single" w:color="auto"/>
          <w:color w:val="auto"/>
        </w:rPr>
        <w:t>First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Merger Sub</w:t>
      </w:r>
      <w:r>
        <w:rPr>
          <w:rFonts w:ascii="Arial" w:cs="Arial" w:eastAsia="Arial" w:hAnsi="Arial"/>
          <w:sz w:val="16"/>
          <w:szCs w:val="16"/>
          <w:color w:val="auto"/>
        </w:rPr>
        <w:t>”) and Ventoux Merger Sub II LLC, a Delaware limited liability company and wholly owned subsidiary of Acquiror (“</w:t>
      </w:r>
      <w:r>
        <w:rPr>
          <w:rFonts w:ascii="Arial" w:cs="Arial" w:eastAsia="Arial" w:hAnsi="Arial"/>
          <w:sz w:val="16"/>
          <w:szCs w:val="16"/>
          <w:u w:val="single" w:color="auto"/>
          <w:color w:val="auto"/>
        </w:rPr>
        <w:t>Second Merger Sub</w:t>
      </w:r>
      <w:r>
        <w:rPr>
          <w:rFonts w:ascii="Arial" w:cs="Arial" w:eastAsia="Arial" w:hAnsi="Arial"/>
          <w:sz w:val="16"/>
          <w:szCs w:val="16"/>
          <w:color w:val="auto"/>
        </w:rPr>
        <w:t>”), are entering into an Agreement and Plan of Merger (as amended, supplemented, restated or otherwise modified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capitalized terms used but not otherwise defined in this Agreement shall have the meanings ascribed to them in the Merger Agreement), pursuant to which (and subject to the terms and conditions set forth therein) First Merger Sub will merge with and into the Company (the “</w:t>
      </w:r>
      <w:r>
        <w:rPr>
          <w:rFonts w:ascii="Arial" w:cs="Arial" w:eastAsia="Arial" w:hAnsi="Arial"/>
          <w:sz w:val="16"/>
          <w:szCs w:val="16"/>
          <w:u w:val="single" w:color="auto"/>
          <w:color w:val="auto"/>
        </w:rPr>
        <w:t>First Merger</w:t>
      </w:r>
      <w:r>
        <w:rPr>
          <w:rFonts w:ascii="Arial" w:cs="Arial" w:eastAsia="Arial" w:hAnsi="Arial"/>
          <w:sz w:val="16"/>
          <w:szCs w:val="16"/>
          <w:color w:val="auto"/>
        </w:rPr>
        <w:t>”), and immediately following the First Merger, the Company will merge with and into Second Merger Sub, with Second Merger Sub continuing on as the surviving corporation and a wholly owned subsidiary of Acquiror (together with the First Merger, the “</w:t>
      </w:r>
      <w:r>
        <w:rPr>
          <w:rFonts w:ascii="Arial" w:cs="Arial" w:eastAsia="Arial" w:hAnsi="Arial"/>
          <w:sz w:val="16"/>
          <w:szCs w:val="16"/>
          <w:u w:val="single" w:color="auto"/>
          <w:color w:val="auto"/>
        </w:rPr>
        <w:t>Mergers</w:t>
      </w:r>
      <w:r>
        <w:rPr>
          <w:rFonts w:ascii="Arial" w:cs="Arial" w:eastAsia="Arial" w:hAnsi="Arial"/>
          <w:sz w:val="16"/>
          <w:szCs w:val="16"/>
          <w:color w:val="auto"/>
        </w:rPr>
        <w:t>”);</w:t>
      </w:r>
    </w:p>
    <w:p>
      <w:pPr>
        <w:spacing w:after="0" w:line="167"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as of the date hereof, each Stockholder is the sole record and “beneficial owner” (as such term is used herein, within the meaning of Rule 13d-3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Exchange Act of 1934, as amended (together with the rules and regulations promulgated thereunder, the “</w:t>
      </w:r>
      <w:r>
        <w:rPr>
          <w:rFonts w:ascii="Arial" w:cs="Arial" w:eastAsia="Arial" w:hAnsi="Arial"/>
          <w:sz w:val="15"/>
          <w:szCs w:val="15"/>
          <w:u w:val="single" w:color="auto"/>
          <w:color w:val="auto"/>
        </w:rPr>
        <w:t>Exchange Act</w:t>
      </w:r>
      <w:r>
        <w:rPr>
          <w:rFonts w:ascii="Arial" w:cs="Arial" w:eastAsia="Arial" w:hAnsi="Arial"/>
          <w:sz w:val="15"/>
          <w:szCs w:val="15"/>
          <w:color w:val="auto"/>
        </w:rPr>
        <w:t xml:space="preserve">”)) of, and is entitled to dispose of and vote, the number of shares of Company Common Stock and Company Preferred Stock set forth opposite such Stockholder’s name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of this Agreement (collectively, with respect to each Stockholder, such Stockholder’s “</w:t>
      </w:r>
      <w:r>
        <w:rPr>
          <w:rFonts w:ascii="Arial" w:cs="Arial" w:eastAsia="Arial" w:hAnsi="Arial"/>
          <w:sz w:val="15"/>
          <w:szCs w:val="15"/>
          <w:u w:val="single" w:color="auto"/>
          <w:color w:val="auto"/>
        </w:rPr>
        <w:t>Owned Shares</w:t>
      </w:r>
      <w:r>
        <w:rPr>
          <w:rFonts w:ascii="Arial" w:cs="Arial" w:eastAsia="Arial" w:hAnsi="Arial"/>
          <w:sz w:val="15"/>
          <w:szCs w:val="15"/>
          <w:color w:val="auto"/>
        </w:rPr>
        <w:t>”); and such Owned Shares, together with (1) any additional shares of Company Common Stock and Company Preferred Stock (or any securities convertible into or exercisable or exchangeable for Company Common Stock or Company Preferred Stock) in which such Stockholder acquires record and beneficial ownership after the date hereof, including by purchase, as a result of a stock dividend, stock split, recapitalization, combination, reclassification, exchange or change of such shares, or upon exercise or conversion of any securities and (2) any additional shares of Company Common Stock and Company Preferred Stock with respect to which such Stockholder has the right to vote through a proxy, the “</w:t>
      </w:r>
      <w:r>
        <w:rPr>
          <w:rFonts w:ascii="Arial" w:cs="Arial" w:eastAsia="Arial" w:hAnsi="Arial"/>
          <w:sz w:val="15"/>
          <w:szCs w:val="15"/>
          <w:u w:val="single" w:color="auto"/>
          <w:color w:val="auto"/>
        </w:rPr>
        <w:t>Covered Shares</w:t>
      </w:r>
      <w:r>
        <w:rPr>
          <w:rFonts w:ascii="Arial" w:cs="Arial" w:eastAsia="Arial" w:hAnsi="Arial"/>
          <w:sz w:val="15"/>
          <w:szCs w:val="15"/>
          <w:color w:val="auto"/>
        </w:rPr>
        <w:t>”);</w:t>
      </w:r>
    </w:p>
    <w:p>
      <w:pPr>
        <w:spacing w:after="0" w:line="151" w:lineRule="exact"/>
        <w:rPr>
          <w:sz w:val="20"/>
          <w:szCs w:val="20"/>
          <w:color w:val="auto"/>
        </w:rPr>
      </w:pPr>
    </w:p>
    <w:p>
      <w:pPr>
        <w:jc w:val="both"/>
        <w:ind w:right="20" w:firstLine="574"/>
        <w:spacing w:after="0" w:line="29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pursuant to their terms, upon consummation of the Mergers, each of the following agreements will automatically terminate without any further action on</w:t>
      </w:r>
      <w:r>
        <w:rPr>
          <w:rFonts w:ascii="Arial" w:cs="Arial" w:eastAsia="Arial" w:hAnsi="Arial"/>
          <w:sz w:val="14"/>
          <w:szCs w:val="14"/>
          <w:b w:val="1"/>
          <w:bCs w:val="1"/>
          <w:color w:val="auto"/>
        </w:rPr>
        <w:t xml:space="preserve"> </w:t>
      </w:r>
      <w:r>
        <w:rPr>
          <w:rFonts w:ascii="Arial" w:cs="Arial" w:eastAsia="Arial" w:hAnsi="Arial"/>
          <w:sz w:val="14"/>
          <w:szCs w:val="14"/>
          <w:color w:val="auto"/>
        </w:rPr>
        <w:t>the part of the parties thereto pursuant to their respective terms: (i) that certain Third Amended and Restated Investors’ Rights Agreement, dated as of January 6, 2020, by and among the Company and the Investors (as defined therein) (the “</w:t>
      </w:r>
      <w:r>
        <w:rPr>
          <w:rFonts w:ascii="Arial" w:cs="Arial" w:eastAsia="Arial" w:hAnsi="Arial"/>
          <w:sz w:val="14"/>
          <w:szCs w:val="14"/>
          <w:u w:val="single" w:color="auto"/>
          <w:color w:val="auto"/>
        </w:rPr>
        <w:t>Investors’ Rights Agreement</w:t>
      </w:r>
      <w:r>
        <w:rPr>
          <w:rFonts w:ascii="Arial" w:cs="Arial" w:eastAsia="Arial" w:hAnsi="Arial"/>
          <w:sz w:val="14"/>
          <w:szCs w:val="14"/>
          <w:color w:val="auto"/>
        </w:rPr>
        <w:t>”); (ii) that certain Third Amended and Restated Voting and Drag-Along Agreement, dated as of January 6, 2020, by and among the Company and the Stockholders (as defined therein) (the “</w:t>
      </w:r>
      <w:r>
        <w:rPr>
          <w:rFonts w:ascii="Arial" w:cs="Arial" w:eastAsia="Arial" w:hAnsi="Arial"/>
          <w:sz w:val="14"/>
          <w:szCs w:val="14"/>
          <w:u w:val="single" w:color="auto"/>
          <w:color w:val="auto"/>
        </w:rPr>
        <w:t>Voting Agreement</w:t>
      </w:r>
      <w:r>
        <w:rPr>
          <w:rFonts w:ascii="Arial" w:cs="Arial" w:eastAsia="Arial" w:hAnsi="Arial"/>
          <w:sz w:val="14"/>
          <w:szCs w:val="14"/>
          <w:color w:val="auto"/>
        </w:rPr>
        <w:t>”); and (iii) that certain Third Amended and Restated Right of First Refusal and Co-Sale Agreement, dated as of January 6, 2020 by and among the Company, the Key Holders (as defined therein) and the Investors (as defined therein) (the “</w:t>
      </w:r>
      <w:r>
        <w:rPr>
          <w:rFonts w:ascii="Arial" w:cs="Arial" w:eastAsia="Arial" w:hAnsi="Arial"/>
          <w:sz w:val="14"/>
          <w:szCs w:val="14"/>
          <w:u w:val="single" w:color="auto"/>
          <w:color w:val="auto"/>
        </w:rPr>
        <w:t>ROFR Agreement</w:t>
      </w:r>
      <w:r>
        <w:rPr>
          <w:rFonts w:ascii="Arial" w:cs="Arial" w:eastAsia="Arial" w:hAnsi="Arial"/>
          <w:sz w:val="14"/>
          <w:szCs w:val="14"/>
          <w:color w:val="auto"/>
        </w:rPr>
        <w:t>” and, together with the Investors’ Rights Agreement and the Voting Agreement, the “</w:t>
      </w:r>
      <w:r>
        <w:rPr>
          <w:rFonts w:ascii="Arial" w:cs="Arial" w:eastAsia="Arial" w:hAnsi="Arial"/>
          <w:sz w:val="14"/>
          <w:szCs w:val="14"/>
          <w:u w:val="single" w:color="auto"/>
          <w:color w:val="auto"/>
        </w:rPr>
        <w:t>Investment Agreements</w:t>
      </w:r>
      <w:r>
        <w:rPr>
          <w:rFonts w:ascii="Arial" w:cs="Arial" w:eastAsia="Arial" w:hAnsi="Arial"/>
          <w:sz w:val="14"/>
          <w:szCs w:val="14"/>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7148195" cy="152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20" w:name="page321"/>
    <w:bookmarkEnd w:id="320"/>
    <w:p>
      <w:pPr>
        <w:ind w:right="20" w:firstLine="574"/>
        <w:spacing w:after="0" w:line="28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as a condition and inducement to the willingness of Acquiror, First Merger Sub and Second Merger Sub to enter into the Merger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the Stockholders are entering into this Agreement.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foregoing and the mutual covenants and agreements herein contained, and intending to be legally bound hereby,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Acquiror, the Company and each Stockholder hereby agree as follows:</w:t>
      </w:r>
    </w:p>
    <w:p>
      <w:pPr>
        <w:spacing w:after="0" w:line="186" w:lineRule="exact"/>
        <w:rPr>
          <w:sz w:val="20"/>
          <w:szCs w:val="20"/>
          <w:color w:val="auto"/>
        </w:rPr>
      </w:pPr>
    </w:p>
    <w:p>
      <w:pPr>
        <w:jc w:val="both"/>
        <w:ind w:firstLine="569"/>
        <w:spacing w:after="0" w:line="270" w:lineRule="auto"/>
        <w:tabs>
          <w:tab w:leader="none" w:pos="733" w:val="left"/>
        </w:tabs>
        <w:numPr>
          <w:ilvl w:val="0"/>
          <w:numId w:val="313"/>
        </w:numPr>
        <w:rPr>
          <w:rFonts w:ascii="Arial" w:cs="Arial" w:eastAsia="Arial" w:hAnsi="Arial"/>
          <w:sz w:val="15"/>
          <w:szCs w:val="15"/>
          <w:color w:val="auto"/>
        </w:rPr>
      </w:pPr>
      <w:r>
        <w:rPr>
          <w:rFonts w:ascii="Arial" w:cs="Arial" w:eastAsia="Arial" w:hAnsi="Arial"/>
          <w:sz w:val="15"/>
          <w:szCs w:val="15"/>
          <w:u w:val="single" w:color="auto"/>
          <w:color w:val="auto"/>
        </w:rPr>
        <w:t>Agreement to Vote</w:t>
      </w:r>
      <w:r>
        <w:rPr>
          <w:rFonts w:ascii="Arial" w:cs="Arial" w:eastAsia="Arial" w:hAnsi="Arial"/>
          <w:sz w:val="15"/>
          <w:szCs w:val="15"/>
          <w:color w:val="auto"/>
        </w:rPr>
        <w:t xml:space="preserve">. Subject to the earlier termination of this Agreement in accordance with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and the last paragraph of this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the Stockholder, solely in his, her or its capacity as a stockholder or proxy holder of the Company, irrevocably and unconditionally agrees, and agrees to cause any other holder of record of any of the Stockholder’s Covered Shares, to validly execute and deliver to the Company in respect of all of the Stockholder’s Covered Shares, on (or effective as of) the second (2nd) Business Day following the date that the consent solicitation statement/prospectus included in the Registration Statement is disseminated to the Company’s stockholders (following the date the Registration Statement becomes effective), a written consent in a form to be reasonably agreed between the Company and Acquiror after the date hereof, as shall be revised if needed to address any comments from the SEC, with respect to all of the Stockholder’s Covered Shares. In addition, subject to the last paragraph of this </w:t>
      </w:r>
      <w:r>
        <w:rPr>
          <w:rFonts w:ascii="Arial" w:cs="Arial" w:eastAsia="Arial" w:hAnsi="Arial"/>
          <w:sz w:val="15"/>
          <w:szCs w:val="15"/>
          <w:u w:val="single" w:color="auto"/>
          <w:color w:val="auto"/>
        </w:rPr>
        <w:t>Section 1</w:t>
      </w:r>
      <w:r>
        <w:rPr>
          <w:rFonts w:ascii="Arial" w:cs="Arial" w:eastAsia="Arial" w:hAnsi="Arial"/>
          <w:sz w:val="15"/>
          <w:szCs w:val="15"/>
          <w:color w:val="auto"/>
        </w:rPr>
        <w:t>, prior to the Termination Date (as defined herein), the Stockholder, in his, her or its capacity as a stockholder or proxy holder of the Company, irrevocably and unconditionally agrees that, at any other meeting of the stockholders of the Company (whether annual or special and whether or not an adjourned or postponed meeting, however called and including any adjournment or postponement thereof) and in connection with any written consent of stockholders of the Company, such Stockholder shall, and shall cause any other holder of record of any of such Stockholder’s Covered Shares to:</w:t>
      </w:r>
    </w:p>
    <w:p>
      <w:pPr>
        <w:spacing w:after="0" w:line="162" w:lineRule="exact"/>
        <w:rPr>
          <w:rFonts w:ascii="Arial" w:cs="Arial" w:eastAsia="Arial" w:hAnsi="Arial"/>
          <w:sz w:val="15"/>
          <w:szCs w:val="15"/>
          <w:color w:val="auto"/>
        </w:rPr>
      </w:pPr>
    </w:p>
    <w:p>
      <w:pPr>
        <w:ind w:left="1360" w:hanging="217"/>
        <w:spacing w:after="0"/>
        <w:tabs>
          <w:tab w:leader="none" w:pos="136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waive any rights of first refusal set forth in Section 2 of the ROFR Agreement;</w:t>
      </w:r>
    </w:p>
    <w:p>
      <w:pPr>
        <w:spacing w:after="0" w:line="198" w:lineRule="exact"/>
        <w:rPr>
          <w:rFonts w:ascii="Arial" w:cs="Arial" w:eastAsia="Arial" w:hAnsi="Arial"/>
          <w:sz w:val="16"/>
          <w:szCs w:val="16"/>
          <w:color w:val="auto"/>
        </w:rPr>
      </w:pPr>
    </w:p>
    <w:p>
      <w:pPr>
        <w:ind w:right="20" w:firstLine="1143"/>
        <w:spacing w:after="0" w:line="275" w:lineRule="auto"/>
        <w:tabs>
          <w:tab w:leader="none" w:pos="1373" w:val="left"/>
        </w:tabs>
        <w:numPr>
          <w:ilvl w:val="1"/>
          <w:numId w:val="313"/>
        </w:numPr>
        <w:rPr>
          <w:rFonts w:ascii="Arial" w:cs="Arial" w:eastAsia="Arial" w:hAnsi="Arial"/>
          <w:sz w:val="16"/>
          <w:szCs w:val="16"/>
          <w:color w:val="auto"/>
        </w:rPr>
      </w:pPr>
      <w:r>
        <w:rPr>
          <w:rFonts w:ascii="Arial" w:cs="Arial" w:eastAsia="Arial" w:hAnsi="Arial"/>
          <w:sz w:val="16"/>
          <w:szCs w:val="16"/>
          <w:color w:val="auto"/>
        </w:rPr>
        <w:t>when such meeting is held, appear at such meeting or otherwise cause the Stockholder’s Covered Shares to be counted as present thereat for the purpose of establishing a quorum;</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367" w:val="left"/>
        </w:tabs>
        <w:numPr>
          <w:ilvl w:val="1"/>
          <w:numId w:val="313"/>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such meeting (or validly execute and return and cause such consent to be granted with respect to), all of such Stockholder’s Covered Shares owned as of the record date for such meeting (or the date that any written consent is executed by such Stockholder) in favor of the Mergers, the adoption of the Merger Agreement, and any other matters reasonably requested by the Company that are necessary for the consummation of the Mergers and the other transactions contemplated by the Merger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321" w:name="page322"/>
    <w:bookmarkEnd w:id="321"/>
    <w:p>
      <w:pPr>
        <w:jc w:val="both"/>
        <w:ind w:firstLine="1143"/>
        <w:spacing w:after="0" w:line="262" w:lineRule="auto"/>
        <w:tabs>
          <w:tab w:leader="none" w:pos="1379"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in any other circumstances upon which a consent or other approval is required under the Company’s governing documents or the Investment Agreements with respect to the Merger Agreement or the other transactions contemplated by the Merger Agreement, vote, consent or approve (or cause to be voted, consented or approved) all of such Stockholder’s Covered Shares held at such time in favor thereof;</w:t>
      </w:r>
    </w:p>
    <w:p>
      <w:pPr>
        <w:spacing w:after="0" w:line="162" w:lineRule="exact"/>
        <w:rPr>
          <w:rFonts w:ascii="Arial" w:cs="Arial" w:eastAsia="Arial" w:hAnsi="Arial"/>
          <w:sz w:val="16"/>
          <w:szCs w:val="16"/>
          <w:color w:val="auto"/>
        </w:rPr>
      </w:pPr>
    </w:p>
    <w:p>
      <w:pPr>
        <w:jc w:val="both"/>
        <w:ind w:firstLine="1143"/>
        <w:spacing w:after="0" w:line="254" w:lineRule="auto"/>
        <w:tabs>
          <w:tab w:leader="none" w:pos="1367" w:val="left"/>
        </w:tabs>
        <w:numPr>
          <w:ilvl w:val="0"/>
          <w:numId w:val="314"/>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such meeting (or validly execute and return and cause such consent to be granted with respect to), all of such Stockholder’s Covered Shares against (i) any Business Combination Proposal other than with the Acquiror, its stockholders and their respective Affiliates and Representatives and (ii) any other action that would reasonably be expected to (x) materially impede, interfere with, delay, postpone or adversely affect the Mergers or any of the other transactions contemplated by the Merger Agreement, (y) result in a breach of any covenant, representation or warranty or other obligation or agreement of the Company under the Merger Agreement or (z) result in a breach of any covenant, representation or warranty or other obligation or agreement of such Stockholder contained in this Agreement.</w:t>
      </w:r>
    </w:p>
    <w:p>
      <w:pPr>
        <w:spacing w:after="0" w:line="170"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The obligations of each Stockholder specified in this Section 1 shall apply whether or not the Mergers or any action described above is recommended by the Company Board or the Company Board has previously recommended the Mergers but changed such recommendation.</w:t>
      </w:r>
    </w:p>
    <w:p>
      <w:pPr>
        <w:spacing w:after="0" w:line="152" w:lineRule="exact"/>
        <w:rPr>
          <w:sz w:val="20"/>
          <w:szCs w:val="20"/>
          <w:color w:val="auto"/>
        </w:rPr>
      </w:pPr>
    </w:p>
    <w:p>
      <w:pPr>
        <w:ind w:left="720" w:hanging="151"/>
        <w:spacing w:after="0"/>
        <w:tabs>
          <w:tab w:leader="none" w:pos="720"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Lock-up</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71" w:lineRule="auto"/>
        <w:tabs>
          <w:tab w:leader="none" w:pos="1380" w:val="left"/>
        </w:tabs>
        <w:numPr>
          <w:ilvl w:val="1"/>
          <w:numId w:val="315"/>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2(b)</w:t>
      </w:r>
      <w:r>
        <w:rPr>
          <w:rFonts w:ascii="Arial" w:cs="Arial" w:eastAsia="Arial" w:hAnsi="Arial"/>
          <w:sz w:val="15"/>
          <w:szCs w:val="15"/>
          <w:color w:val="auto"/>
        </w:rPr>
        <w:t>, the Stockholder agrees that it shall not sell, publicly offer to sell, transfer, pledge, encumber, assign, hedge, swap, convert or otherwise dispose of (including by merger (including by conversion into securities or other consideration), by tendering into any tender or exchange offer, by testamentary disposition, by operation of Law or otherwise), either voluntarily or involuntarily (collectively, “</w:t>
      </w:r>
      <w:r>
        <w:rPr>
          <w:rFonts w:ascii="Arial" w:cs="Arial" w:eastAsia="Arial" w:hAnsi="Arial"/>
          <w:sz w:val="15"/>
          <w:szCs w:val="15"/>
          <w:u w:val="single" w:color="auto"/>
          <w:color w:val="auto"/>
        </w:rPr>
        <w:t>Transfer</w:t>
      </w:r>
      <w:r>
        <w:rPr>
          <w:rFonts w:ascii="Arial" w:cs="Arial" w:eastAsia="Arial" w:hAnsi="Arial"/>
          <w:sz w:val="15"/>
          <w:szCs w:val="15"/>
          <w:color w:val="auto"/>
        </w:rPr>
        <w:t>”) any issued and outstanding Acquiror Common Stock held by such Stockholder as of and immediately following the Closing Date (in respect of the Stockholder, the “</w:t>
      </w:r>
      <w:r>
        <w:rPr>
          <w:rFonts w:ascii="Arial" w:cs="Arial" w:eastAsia="Arial" w:hAnsi="Arial"/>
          <w:sz w:val="15"/>
          <w:szCs w:val="15"/>
          <w:u w:val="single" w:color="auto"/>
          <w:color w:val="auto"/>
        </w:rPr>
        <w:t>Lock-up Shares</w:t>
      </w:r>
      <w:r>
        <w:rPr>
          <w:rFonts w:ascii="Arial" w:cs="Arial" w:eastAsia="Arial" w:hAnsi="Arial"/>
          <w:sz w:val="15"/>
          <w:szCs w:val="15"/>
          <w:color w:val="auto"/>
        </w:rPr>
        <w:t>”) during the period beginning on the Closing Date until (i) in respect of 50% of its, his or her Lock-up Shares, the date that is six (6) months from and after the Closing Date, and (ii) in respect of the remaining 50% of its, his or her Lock-up Shares, the date that is one (1) year from and after the Closing Date (such period, the “</w:t>
      </w:r>
      <w:r>
        <w:rPr>
          <w:rFonts w:ascii="Arial" w:cs="Arial" w:eastAsia="Arial" w:hAnsi="Arial"/>
          <w:sz w:val="15"/>
          <w:szCs w:val="15"/>
          <w:u w:val="single" w:color="auto"/>
          <w:color w:val="auto"/>
        </w:rPr>
        <w:t>Lock-up Period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prohibition shall not apply to Transfers (x) permitted pursuant to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or (y) permitted pursuant to the organizational documents of Acquiror, as in effect on the Closing Date, as the same may be amended from time to time (the “</w:t>
      </w:r>
      <w:r>
        <w:rPr>
          <w:rFonts w:ascii="Arial" w:cs="Arial" w:eastAsia="Arial" w:hAnsi="Arial"/>
          <w:sz w:val="15"/>
          <w:szCs w:val="15"/>
          <w:u w:val="single" w:color="auto"/>
          <w:color w:val="auto"/>
        </w:rPr>
        <w:t>Governing Documents</w:t>
      </w:r>
      <w:r>
        <w:rPr>
          <w:rFonts w:ascii="Arial" w:cs="Arial" w:eastAsia="Arial" w:hAnsi="Arial"/>
          <w:sz w:val="15"/>
          <w:szCs w:val="15"/>
          <w:color w:val="auto"/>
        </w:rPr>
        <w:t xml:space="preserve">”). For clarity, Acquiror Common Stock issued in connection with a Subscription Agreement shall not constitute Lock-up Shares and shall not be subject to this </w:t>
      </w:r>
      <w:r>
        <w:rPr>
          <w:rFonts w:ascii="Arial" w:cs="Arial" w:eastAsia="Arial" w:hAnsi="Arial"/>
          <w:sz w:val="15"/>
          <w:szCs w:val="15"/>
          <w:u w:val="single" w:color="auto"/>
          <w:color w:val="auto"/>
        </w:rPr>
        <w:t>Section 2</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jc w:val="both"/>
        <w:ind w:firstLine="1143"/>
        <w:spacing w:after="0" w:line="255" w:lineRule="auto"/>
        <w:tabs>
          <w:tab w:leader="none" w:pos="1395" w:val="left"/>
        </w:tabs>
        <w:numPr>
          <w:ilvl w:val="1"/>
          <w:numId w:val="315"/>
        </w:numPr>
        <w:rPr>
          <w:rFonts w:ascii="Arial" w:cs="Arial" w:eastAsia="Arial" w:hAnsi="Arial"/>
          <w:sz w:val="16"/>
          <w:szCs w:val="16"/>
          <w:color w:val="auto"/>
        </w:rPr>
      </w:pPr>
      <w:r>
        <w:rPr>
          <w:rFonts w:ascii="Arial" w:cs="Arial" w:eastAsia="Arial" w:hAnsi="Arial"/>
          <w:sz w:val="16"/>
          <w:szCs w:val="16"/>
          <w:color w:val="auto"/>
        </w:rPr>
        <w:t xml:space="preserve">Notwithstanding the provision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Transfers of Lock-up Shares that are that are held by a Stockholder or any of its permitted transferees (that have complied with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are permitted in accordance with the Governing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Transfer shall be permitted only if, as a precondition to such Transfer, the transferee agrees in a writing, reasonably satisfactory in form and substance to Acquiror, to assume all of the obligations of the Stockholder under, and be bound by all of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Transfer permitted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shall not relieve the Stockholder of its obligations under this Agreement.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22" w:name="page323"/>
    <w:bookmarkEnd w:id="322"/>
    <w:p>
      <w:pPr>
        <w:ind w:left="4" w:right="20" w:firstLine="1143"/>
        <w:spacing w:after="0" w:line="275" w:lineRule="auto"/>
        <w:tabs>
          <w:tab w:leader="none" w:pos="1377" w:val="left"/>
        </w:tabs>
        <w:numPr>
          <w:ilvl w:val="2"/>
          <w:numId w:val="316"/>
        </w:numPr>
        <w:rPr>
          <w:rFonts w:ascii="Arial" w:cs="Arial" w:eastAsia="Arial" w:hAnsi="Arial"/>
          <w:sz w:val="16"/>
          <w:szCs w:val="16"/>
          <w:color w:val="auto"/>
        </w:rPr>
      </w:pPr>
      <w:r>
        <w:rPr>
          <w:rFonts w:ascii="Arial" w:cs="Arial" w:eastAsia="Arial" w:hAnsi="Arial"/>
          <w:sz w:val="16"/>
          <w:szCs w:val="16"/>
          <w:color w:val="auto"/>
        </w:rPr>
        <w:t>During the applicable Lock-Up Period for the respective Stockholders, any purported Transfer of applicable Lock-Up Shares not in accordance with this Agreement shall be null and void, and Acquiror shall refuse to recognize any such Transfer for any purpose.</w:t>
      </w:r>
    </w:p>
    <w:p>
      <w:pPr>
        <w:spacing w:after="0" w:line="151" w:lineRule="exact"/>
        <w:rPr>
          <w:rFonts w:ascii="Arial" w:cs="Arial" w:eastAsia="Arial" w:hAnsi="Arial"/>
          <w:sz w:val="16"/>
          <w:szCs w:val="16"/>
          <w:color w:val="auto"/>
        </w:rPr>
      </w:pPr>
    </w:p>
    <w:p>
      <w:pPr>
        <w:jc w:val="both"/>
        <w:ind w:left="4" w:right="20" w:firstLine="1143"/>
        <w:spacing w:after="0" w:line="262" w:lineRule="auto"/>
        <w:tabs>
          <w:tab w:leader="none" w:pos="1392" w:val="left"/>
        </w:tabs>
        <w:numPr>
          <w:ilvl w:val="2"/>
          <w:numId w:val="316"/>
        </w:numPr>
        <w:rPr>
          <w:rFonts w:ascii="Arial" w:cs="Arial" w:eastAsia="Arial" w:hAnsi="Arial"/>
          <w:sz w:val="16"/>
          <w:szCs w:val="16"/>
          <w:color w:val="auto"/>
        </w:rPr>
      </w:pPr>
      <w:r>
        <w:rPr>
          <w:rFonts w:ascii="Arial" w:cs="Arial" w:eastAsia="Arial" w:hAnsi="Arial"/>
          <w:sz w:val="16"/>
          <w:szCs w:val="16"/>
          <w:color w:val="auto"/>
        </w:rPr>
        <w:t>The Stockholders acknowledge and agree that, notwithstanding anything to the contrary contained in this Agreement, the Lock-Up Shares beneficially owned or otherwise held by such Person shall remain subject to any restrictions on Transfer under applicable securities Laws of any Governmental Entity, including all applicable holding periods under the Securities Act and other rules of the SEC.</w:t>
      </w:r>
    </w:p>
    <w:p>
      <w:pPr>
        <w:spacing w:after="0" w:line="162" w:lineRule="exact"/>
        <w:rPr>
          <w:rFonts w:ascii="Arial" w:cs="Arial" w:eastAsia="Arial" w:hAnsi="Arial"/>
          <w:sz w:val="16"/>
          <w:szCs w:val="16"/>
          <w:color w:val="auto"/>
        </w:rPr>
      </w:pPr>
    </w:p>
    <w:p>
      <w:pPr>
        <w:jc w:val="both"/>
        <w:ind w:left="4" w:right="20" w:firstLine="569"/>
        <w:spacing w:after="0" w:line="262" w:lineRule="auto"/>
        <w:tabs>
          <w:tab w:leader="none" w:pos="745" w:val="left"/>
        </w:tabs>
        <w:numPr>
          <w:ilvl w:val="1"/>
          <w:numId w:val="31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Closing Date Deliverables</w:t>
      </w:r>
      <w:r>
        <w:rPr>
          <w:rFonts w:ascii="Arial" w:cs="Arial" w:eastAsia="Arial" w:hAnsi="Arial"/>
          <w:sz w:val="16"/>
          <w:szCs w:val="16"/>
          <w:color w:val="auto"/>
        </w:rPr>
        <w:t>. On the Closing Date, each Stockholder shall deliver to Acquiror and the Company a duly executed copy of that certain Amended and Restated Registration Rights Agreement, by and among Acquiror, the Company, the Sponsor, and certain of the Company’s stockholders or their respective affiliates, as applicable, in substantially the form attached as Exhibit C to the Merger Agreement.</w:t>
      </w:r>
    </w:p>
    <w:p>
      <w:pPr>
        <w:spacing w:after="0" w:line="162" w:lineRule="exact"/>
        <w:rPr>
          <w:rFonts w:ascii="Arial" w:cs="Arial" w:eastAsia="Arial" w:hAnsi="Arial"/>
          <w:sz w:val="16"/>
          <w:szCs w:val="16"/>
          <w:u w:val="single" w:color="auto"/>
          <w:color w:val="auto"/>
        </w:rPr>
      </w:pPr>
    </w:p>
    <w:p>
      <w:pPr>
        <w:jc w:val="both"/>
        <w:ind w:left="4" w:right="20" w:firstLine="569"/>
        <w:spacing w:after="0" w:line="306" w:lineRule="auto"/>
        <w:tabs>
          <w:tab w:leader="none" w:pos="737" w:val="left"/>
        </w:tabs>
        <w:numPr>
          <w:ilvl w:val="1"/>
          <w:numId w:val="317"/>
        </w:numPr>
        <w:rPr>
          <w:rFonts w:ascii="Arial" w:cs="Arial" w:eastAsia="Arial" w:hAnsi="Arial"/>
          <w:sz w:val="14"/>
          <w:szCs w:val="14"/>
          <w:color w:val="auto"/>
        </w:rPr>
      </w:pPr>
      <w:r>
        <w:rPr>
          <w:rFonts w:ascii="Arial" w:cs="Arial" w:eastAsia="Arial" w:hAnsi="Arial"/>
          <w:sz w:val="14"/>
          <w:szCs w:val="14"/>
          <w:u w:val="single" w:color="auto"/>
          <w:color w:val="auto"/>
        </w:rPr>
        <w:t>No Inconsistent Agreements</w:t>
      </w:r>
      <w:r>
        <w:rPr>
          <w:rFonts w:ascii="Arial" w:cs="Arial" w:eastAsia="Arial" w:hAnsi="Arial"/>
          <w:sz w:val="14"/>
          <w:szCs w:val="14"/>
          <w:color w:val="auto"/>
        </w:rPr>
        <w:t>. Each Stockholder hereby covenants and agrees that such Stockholder shall not (i) enter into any voting agreement or voting trust with respect to any of such Stockholder’s Covered Shares that is inconsistent with such Stockholder’s obligations pursuant to this Agreement, (ii) grant a proxy or power of attorney with respect to any of such Stockholder’s Covered Shares that is inconsistent with such Stockholder’s obligations pursuant to this Agreement, or (iii) enter into any agreement or undertaking that is otherwise inconsistent with, or would interfere with, or prohibit or prevent it from satisfying, its obligations pursuant to this Agreement.</w:t>
      </w:r>
    </w:p>
    <w:p>
      <w:pPr>
        <w:spacing w:after="0" w:line="134" w:lineRule="exact"/>
        <w:rPr>
          <w:rFonts w:ascii="Arial" w:cs="Arial" w:eastAsia="Arial" w:hAnsi="Arial"/>
          <w:sz w:val="14"/>
          <w:szCs w:val="14"/>
          <w:color w:val="auto"/>
        </w:rPr>
      </w:pPr>
    </w:p>
    <w:p>
      <w:pPr>
        <w:ind w:left="724" w:hanging="151"/>
        <w:spacing w:after="0"/>
        <w:tabs>
          <w:tab w:leader="none" w:pos="724" w:val="left"/>
        </w:tabs>
        <w:numPr>
          <w:ilvl w:val="1"/>
          <w:numId w:val="317"/>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This Agreement shall terminate upon the earliest of (i) the Effective Time, (ii) the termination of the Merger Agreement in accordance with its terms,</w:t>
      </w:r>
    </w:p>
    <w:p>
      <w:pPr>
        <w:spacing w:after="0" w:line="42" w:lineRule="exact"/>
        <w:rPr>
          <w:rFonts w:ascii="Arial" w:cs="Arial" w:eastAsia="Arial" w:hAnsi="Arial"/>
          <w:sz w:val="14"/>
          <w:szCs w:val="14"/>
          <w:color w:val="auto"/>
        </w:rPr>
      </w:pPr>
    </w:p>
    <w:p>
      <w:pPr>
        <w:jc w:val="both"/>
        <w:ind w:left="4" w:right="20" w:hanging="4"/>
        <w:spacing w:after="0" w:line="250" w:lineRule="auto"/>
        <w:tabs>
          <w:tab w:leader="none" w:pos="30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such time that the Merger Agreement (including any exhibits, schedules or agreements referred to therein) shall be amended, modified or supplemented such that a Stockholder is disproportionately and adversely impacted relative to the other stockholders holding the same class of Company Capital Stock without the prior written consent of the applicable Stockholder, (iv) such time that a provision in the Merger Agreement shall be waived by the Company such that a Stockholder is disproportionately and adversely impacted relative to the other stockholders holding the same class of Company Stock; and (v) the time this Agreement is terminated upon the mutual written agreement of the Company, Acquiror and the Stockholder (the earliest such date under clause (i), (ii), (iii), (iv), and (v) being referred to herein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and the representations, warranties, covenants and agreements contained in this Agreement and in any certificate or other writing delivered pursuant hereto shall not survive the Closing or the termination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shall survive the termination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termination of this Agreement shall not relieve any Party from liability arising from any actual fraud in respect of this Agreement prior to such termination.</w:t>
      </w:r>
    </w:p>
    <w:p>
      <w:pPr>
        <w:spacing w:after="0" w:line="174" w:lineRule="exact"/>
        <w:rPr>
          <w:rFonts w:ascii="Arial" w:cs="Arial" w:eastAsia="Arial" w:hAnsi="Arial"/>
          <w:sz w:val="16"/>
          <w:szCs w:val="16"/>
          <w:color w:val="auto"/>
        </w:rPr>
      </w:pPr>
    </w:p>
    <w:p>
      <w:pPr>
        <w:ind w:left="724" w:hanging="151"/>
        <w:spacing w:after="0"/>
        <w:tabs>
          <w:tab w:leader="none" w:pos="724" w:val="left"/>
        </w:tabs>
        <w:numPr>
          <w:ilvl w:val="1"/>
          <w:numId w:val="318"/>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the Stockholders</w:t>
      </w:r>
      <w:r>
        <w:rPr>
          <w:rFonts w:ascii="Arial" w:cs="Arial" w:eastAsia="Arial" w:hAnsi="Arial"/>
          <w:sz w:val="14"/>
          <w:szCs w:val="14"/>
          <w:color w:val="auto"/>
        </w:rPr>
        <w:t>. Each Stockholder hereby represents and warrants (severally, and not jointly, as to itself only) to the Acquiror as</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follows:</w:t>
      </w:r>
    </w:p>
    <w:p>
      <w:pPr>
        <w:spacing w:after="0" w:line="185" w:lineRule="exact"/>
        <w:rPr>
          <w:rFonts w:ascii="Arial" w:cs="Arial" w:eastAsia="Arial" w:hAnsi="Arial"/>
          <w:sz w:val="14"/>
          <w:szCs w:val="14"/>
          <w:color w:val="auto"/>
        </w:rPr>
      </w:pPr>
    </w:p>
    <w:p>
      <w:pPr>
        <w:jc w:val="both"/>
        <w:ind w:left="4" w:right="20" w:firstLine="1143"/>
        <w:spacing w:after="0" w:line="276" w:lineRule="auto"/>
        <w:tabs>
          <w:tab w:leader="none" w:pos="1374" w:val="left"/>
        </w:tabs>
        <w:numPr>
          <w:ilvl w:val="2"/>
          <w:numId w:val="318"/>
        </w:numPr>
        <w:rPr>
          <w:rFonts w:ascii="Arial" w:cs="Arial" w:eastAsia="Arial" w:hAnsi="Arial"/>
          <w:sz w:val="15"/>
          <w:szCs w:val="15"/>
          <w:color w:val="auto"/>
        </w:rPr>
      </w:pPr>
      <w:r>
        <w:rPr>
          <w:rFonts w:ascii="Arial" w:cs="Arial" w:eastAsia="Arial" w:hAnsi="Arial"/>
          <w:sz w:val="15"/>
          <w:szCs w:val="15"/>
          <w:color w:val="auto"/>
        </w:rPr>
        <w:t>Such Stockholder is the sole beneficial owner (within the meaning of Rule 13d-3 under the Exchange Act) of, and has good, valid and marketable title to or has a valid proxy to vote such Stockholder’s Covered Shares, free and clear of any Liens (other than as created by this Agreement or the organizational documents of the Company (including, for the purposes hereof, any agreements between or among stockholders of the Company). As of the date hereof, other than the Owned Shares set forth opposite such Stockholder’s name on Schedule 1, such Stockholder does not own beneficially or of record any shares of Company Common Stock or Company Preferred Stock (or any securities convertible into shares of Company Common Stock or Company Preferred Stock) or any interest therein.</w:t>
      </w: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23" w:name="page324"/>
    <w:bookmarkEnd w:id="323"/>
    <w:p>
      <w:pPr>
        <w:jc w:val="both"/>
        <w:ind w:left="4" w:firstLine="1143"/>
        <w:spacing w:after="0" w:line="289" w:lineRule="auto"/>
        <w:tabs>
          <w:tab w:leader="none" w:pos="1379" w:val="left"/>
        </w:tabs>
        <w:numPr>
          <w:ilvl w:val="1"/>
          <w:numId w:val="319"/>
        </w:numPr>
        <w:rPr>
          <w:rFonts w:ascii="Arial" w:cs="Arial" w:eastAsia="Arial" w:hAnsi="Arial"/>
          <w:sz w:val="14"/>
          <w:szCs w:val="14"/>
          <w:color w:val="auto"/>
        </w:rPr>
      </w:pPr>
      <w:r>
        <w:rPr>
          <w:rFonts w:ascii="Arial" w:cs="Arial" w:eastAsia="Arial" w:hAnsi="Arial"/>
          <w:sz w:val="14"/>
          <w:szCs w:val="14"/>
          <w:color w:val="auto"/>
        </w:rPr>
        <w:t>Such Stockholder, in each case except as provided in this Agreement, the Investment Agreements or the governing documents of the Company, (i) has full voting power, full power of disposition and full power to issue instructions with respect to the matters set forth herein whether by ownership or by proxy, in each case, with respect to such Stockholder’s Covered Shares, (ii) has not entered into any voting agreement or voting trust, and has no knowledge and is not aware of any such voting agreement or voting trust in effect with respect to any of such Stockholder’s Covered Shares that is inconsistent with such Stockholder’s obligations pursuant to this Agreement,</w:t>
      </w:r>
    </w:p>
    <w:p>
      <w:pPr>
        <w:spacing w:after="0" w:line="2" w:lineRule="exact"/>
        <w:rPr>
          <w:rFonts w:ascii="Arial" w:cs="Arial" w:eastAsia="Arial" w:hAnsi="Arial"/>
          <w:sz w:val="14"/>
          <w:szCs w:val="14"/>
          <w:color w:val="auto"/>
        </w:rPr>
      </w:pPr>
    </w:p>
    <w:p>
      <w:pPr>
        <w:jc w:val="both"/>
        <w:ind w:left="4" w:hanging="4"/>
        <w:spacing w:after="0" w:line="252" w:lineRule="auto"/>
        <w:tabs>
          <w:tab w:leader="none" w:pos="287" w:val="left"/>
        </w:tabs>
        <w:numPr>
          <w:ilvl w:val="0"/>
          <w:numId w:val="320"/>
        </w:numPr>
        <w:rPr>
          <w:rFonts w:ascii="Arial" w:cs="Arial" w:eastAsia="Arial" w:hAnsi="Arial"/>
          <w:sz w:val="16"/>
          <w:szCs w:val="16"/>
          <w:color w:val="auto"/>
        </w:rPr>
      </w:pPr>
      <w:r>
        <w:rPr>
          <w:rFonts w:ascii="Arial" w:cs="Arial" w:eastAsia="Arial" w:hAnsi="Arial"/>
          <w:sz w:val="16"/>
          <w:szCs w:val="16"/>
          <w:color w:val="auto"/>
        </w:rPr>
        <w:t>has not granted a proxy or power of attorney with respect to any of such Stockholder’s Covered Shares that is inconsistent with such Stockholder’s obligations pursuant to this Agreement, and has no knowledge and is not aware of any such proxy or power of attorney in effect, and (iv) has not entered into any agreement or undertaking that is otherwise inconsistent with, or would interfere with, or prohibit or prevent it from satisfying, its obligations pursuant to this Agreement, and has no knowledge and is not aware of any such agreement or undertaking.</w:t>
      </w:r>
    </w:p>
    <w:p>
      <w:pPr>
        <w:spacing w:after="0" w:line="170" w:lineRule="exact"/>
        <w:rPr>
          <w:rFonts w:ascii="Arial" w:cs="Arial" w:eastAsia="Arial" w:hAnsi="Arial"/>
          <w:sz w:val="16"/>
          <w:szCs w:val="16"/>
          <w:color w:val="auto"/>
        </w:rPr>
      </w:pPr>
    </w:p>
    <w:p>
      <w:pPr>
        <w:jc w:val="both"/>
        <w:ind w:left="4" w:firstLine="1143"/>
        <w:spacing w:after="0" w:line="272" w:lineRule="auto"/>
        <w:tabs>
          <w:tab w:leader="none" w:pos="1391" w:val="left"/>
        </w:tabs>
        <w:numPr>
          <w:ilvl w:val="1"/>
          <w:numId w:val="320"/>
        </w:numPr>
        <w:rPr>
          <w:rFonts w:ascii="Arial" w:cs="Arial" w:eastAsia="Arial" w:hAnsi="Arial"/>
          <w:sz w:val="15"/>
          <w:szCs w:val="15"/>
          <w:color w:val="auto"/>
        </w:rPr>
      </w:pPr>
      <w:r>
        <w:rPr>
          <w:rFonts w:ascii="Arial" w:cs="Arial" w:eastAsia="Arial" w:hAnsi="Arial"/>
          <w:sz w:val="15"/>
          <w:szCs w:val="15"/>
          <w:color w:val="auto"/>
        </w:rPr>
        <w:t>Such Stockholder affirms that (i) if the Stockholder is a natural person, he or she has all the requisite power and authority and has taken all action necessary in order to execute and deliver this Agreement, to perform his or her obligations hereunder and to consummate the transaction contemplated hereby, and (ii) if the Stockholder is not a natural person, (A) is a legal entity duly organized, validly existing and, to the extent such concept is applicable, in good standing under the Laws of the jurisdiction of its organization, and (B) has all requisite corporate or other power and authority and has taken all corporate or other action necessary in order to, execute, deliver and perform its obligations under this Agreement and to consummate the transactions contemplated hereby. This Agreement has been duly executed and delivered by such Stockholder and, subject to the due execution and delivery of this Agreement by each other Party hereto, constitutes a legally valid and binding agreement of such Stockholder enforceable against the Stockholder in accordance with the terms hereof (except as enforceability may be limited by bankruptcy Laws or other similar Laws affecting creditors’ rights and general principles of equity affecting the availability of specific performance and other equitable remedies).</w:t>
      </w:r>
    </w:p>
    <w:p>
      <w:pPr>
        <w:spacing w:after="0" w:line="156" w:lineRule="exact"/>
        <w:rPr>
          <w:rFonts w:ascii="Arial" w:cs="Arial" w:eastAsia="Arial" w:hAnsi="Arial"/>
          <w:sz w:val="15"/>
          <w:szCs w:val="15"/>
          <w:color w:val="auto"/>
        </w:rPr>
      </w:pPr>
    </w:p>
    <w:p>
      <w:pPr>
        <w:jc w:val="both"/>
        <w:ind w:left="4" w:right="20" w:firstLine="1143"/>
        <w:spacing w:after="0" w:line="306" w:lineRule="auto"/>
        <w:tabs>
          <w:tab w:leader="none" w:pos="1391" w:val="left"/>
        </w:tabs>
        <w:numPr>
          <w:ilvl w:val="1"/>
          <w:numId w:val="320"/>
        </w:numPr>
        <w:rPr>
          <w:rFonts w:ascii="Arial" w:cs="Arial" w:eastAsia="Arial" w:hAnsi="Arial"/>
          <w:sz w:val="14"/>
          <w:szCs w:val="14"/>
          <w:color w:val="auto"/>
        </w:rPr>
      </w:pPr>
      <w:r>
        <w:rPr>
          <w:rFonts w:ascii="Arial" w:cs="Arial" w:eastAsia="Arial" w:hAnsi="Arial"/>
          <w:sz w:val="14"/>
          <w:szCs w:val="14"/>
          <w:color w:val="auto"/>
        </w:rPr>
        <w:t>Other than the filings, notices and reports pursuant to, in compliance with or required to be made under the Exchange Act, no filings, notices, reports, consents, registrations, approvals, permits, waivers, expirations of waiting periods or authorizations are required to be obtained by such Stockholder from, or to be given by such Stockholder to, or be made by such Stockholder with, any Governmental Authority in connection with the execution, delivery and performance by such Stockholder of this Agreement, the consummation of the transactions contemplated hereby or the Mergers or the other transactions contemplated by the Merger Agreement.</w:t>
      </w: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24" w:name="page325"/>
    <w:bookmarkEnd w:id="324"/>
    <w:p>
      <w:pPr>
        <w:jc w:val="both"/>
        <w:ind w:firstLine="1143"/>
        <w:spacing w:after="0" w:line="270" w:lineRule="auto"/>
        <w:tabs>
          <w:tab w:leader="none" w:pos="1367" w:val="left"/>
        </w:tabs>
        <w:numPr>
          <w:ilvl w:val="0"/>
          <w:numId w:val="321"/>
        </w:numPr>
        <w:rPr>
          <w:rFonts w:ascii="Arial" w:cs="Arial" w:eastAsia="Arial" w:hAnsi="Arial"/>
          <w:sz w:val="15"/>
          <w:szCs w:val="15"/>
          <w:color w:val="auto"/>
        </w:rPr>
      </w:pPr>
      <w:r>
        <w:rPr>
          <w:rFonts w:ascii="Arial" w:cs="Arial" w:eastAsia="Arial" w:hAnsi="Arial"/>
          <w:sz w:val="15"/>
          <w:szCs w:val="15"/>
          <w:color w:val="auto"/>
        </w:rPr>
        <w:t xml:space="preserve">The execution, delivery and performance of this Agreement by such Stockholder does not, and the consummation of the transactions contemplated hereby and the Mergers and the other transactions contemplated by the Merger Agreement will not, constitute or result in (i) a breach or violation of, or a default under, the governing documents of such Stockholder (if such Stockholder is not a natural person), (ii) with or without notice, lapse of time or both, a breach or violation of, a termination (or right of termination) of or a default under, the loss of any benefit under, the creation, modification or acceleration of any obligations under or the creation of a Lien on any of the properties, rights or assets of such Stockholder pursuant to any Contract binding upon such Stockholder or, assuming (solely with respect to performance of this Agreement and the transactions contemplated hereby) compliance with the matters referred to in </w:t>
      </w:r>
      <w:r>
        <w:rPr>
          <w:rFonts w:ascii="Arial" w:cs="Arial" w:eastAsia="Arial" w:hAnsi="Arial"/>
          <w:sz w:val="15"/>
          <w:szCs w:val="15"/>
          <w:u w:val="single" w:color="auto"/>
          <w:color w:val="auto"/>
        </w:rPr>
        <w:t>Section 6(d)</w:t>
      </w:r>
      <w:r>
        <w:rPr>
          <w:rFonts w:ascii="Arial" w:cs="Arial" w:eastAsia="Arial" w:hAnsi="Arial"/>
          <w:sz w:val="15"/>
          <w:szCs w:val="15"/>
          <w:color w:val="auto"/>
        </w:rPr>
        <w:t>, under any applicable Law to which such Stockholder is subject or (iii) any change in the rights or obligations of any party under any Contract legally binding upon such Stockholder, except, in the case of clause (ii) or (iii) directly above, for any such breach, violation, termination, default, creation, acceleration or change that would not, individually or in the aggregate, reasonably be expected to prevent or materially delay or impair such Stockholder’s ability to perform its obligations hereunder or to consummate the transactions contemplated hereby, the consummation of the Mergers or the other transactions contemplated by the Merger Agreement.</w:t>
      </w:r>
    </w:p>
    <w:p>
      <w:pPr>
        <w:spacing w:after="0" w:line="162" w:lineRule="exact"/>
        <w:rPr>
          <w:rFonts w:ascii="Arial" w:cs="Arial" w:eastAsia="Arial" w:hAnsi="Arial"/>
          <w:sz w:val="15"/>
          <w:szCs w:val="15"/>
          <w:color w:val="auto"/>
        </w:rPr>
      </w:pPr>
    </w:p>
    <w:p>
      <w:pPr>
        <w:jc w:val="both"/>
        <w:ind w:right="20" w:firstLine="1143"/>
        <w:spacing w:after="0" w:line="287" w:lineRule="auto"/>
        <w:tabs>
          <w:tab w:leader="none" w:pos="1379" w:val="left"/>
        </w:tabs>
        <w:numPr>
          <w:ilvl w:val="0"/>
          <w:numId w:val="321"/>
        </w:numPr>
        <w:rPr>
          <w:rFonts w:ascii="Arial" w:cs="Arial" w:eastAsia="Arial" w:hAnsi="Arial"/>
          <w:sz w:val="15"/>
          <w:szCs w:val="15"/>
          <w:color w:val="auto"/>
        </w:rPr>
      </w:pPr>
      <w:r>
        <w:rPr>
          <w:rFonts w:ascii="Arial" w:cs="Arial" w:eastAsia="Arial" w:hAnsi="Arial"/>
          <w:sz w:val="15"/>
          <w:szCs w:val="15"/>
          <w:color w:val="auto"/>
        </w:rPr>
        <w:t>As of the date of this Agreement, there is no action, proceeding or investigation pending against such Stockholder or, to the knowledge of such Stockholder, threatened against such Stockholder that, in any manner, questions the beneficial or record ownership of the Stockholder’s Covered Shares or the validity of this Agreement, or challenges or seeks to prevent, enjoin or materially delay the performance by such Stockholder of its obligations under this Agreement.</w:t>
      </w:r>
    </w:p>
    <w:p>
      <w:pPr>
        <w:spacing w:after="0" w:line="146" w:lineRule="exact"/>
        <w:rPr>
          <w:rFonts w:ascii="Arial" w:cs="Arial" w:eastAsia="Arial" w:hAnsi="Arial"/>
          <w:sz w:val="15"/>
          <w:szCs w:val="15"/>
          <w:color w:val="auto"/>
        </w:rPr>
      </w:pPr>
    </w:p>
    <w:p>
      <w:pPr>
        <w:jc w:val="both"/>
        <w:ind w:firstLine="1143"/>
        <w:spacing w:after="0" w:line="254" w:lineRule="auto"/>
        <w:tabs>
          <w:tab w:leader="none" w:pos="1404"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Stockholder is a sophisticated stockholder and has adequate information concerning the business and financial condition of Acquiror and the Company to make an informed decision regarding this Agreement and the other transactions contemplated by the Merger Agreement and has independently, based on such information as the Stockholder has deemed appropriate, made its own analysis and decision to enter into this Agreement. The Stockholder acknowledges that Acquiror and the Company have not made and do not make any representation or warranty, whether express or implied, of any kind or character except as expressly set forth in this Agreement. The Stockholder acknowledges receipt and review of a copy of the Merger Agreement and that the agreements contained herein with respect to the Covered Shares held by the Stockholder are irrevocable.</w:t>
      </w:r>
    </w:p>
    <w:p>
      <w:pPr>
        <w:spacing w:after="0" w:line="170" w:lineRule="exact"/>
        <w:rPr>
          <w:rFonts w:ascii="Arial" w:cs="Arial" w:eastAsia="Arial" w:hAnsi="Arial"/>
          <w:sz w:val="16"/>
          <w:szCs w:val="16"/>
          <w:color w:val="auto"/>
        </w:rPr>
      </w:pPr>
    </w:p>
    <w:p>
      <w:pPr>
        <w:ind w:firstLine="1143"/>
        <w:spacing w:after="0" w:line="275" w:lineRule="auto"/>
        <w:tabs>
          <w:tab w:leader="none" w:pos="137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Such Stockholder understands and acknowledges that Acquiror is entering into the Merger Agreement in reliance upon such Stockholder’s execution and delivery of this Agreement and the representations, warranties, covenants and other agreements of such Stockholder contained herein.</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347" w:val="left"/>
        </w:tabs>
        <w:numPr>
          <w:ilvl w:val="0"/>
          <w:numId w:val="321"/>
        </w:numPr>
        <w:rPr>
          <w:rFonts w:ascii="Arial" w:cs="Arial" w:eastAsia="Arial" w:hAnsi="Arial"/>
          <w:sz w:val="16"/>
          <w:szCs w:val="16"/>
          <w:color w:val="auto"/>
        </w:rPr>
      </w:pPr>
      <w:r>
        <w:rPr>
          <w:rFonts w:ascii="Arial" w:cs="Arial" w:eastAsia="Arial" w:hAnsi="Arial"/>
          <w:sz w:val="16"/>
          <w:szCs w:val="16"/>
          <w:color w:val="auto"/>
        </w:rPr>
        <w:t>No investment banker, broker, finder or other intermediary is entitled to any broker’s, finder’s, financial advisor’s or other similar fee or commission for which Acquiror or the Company is or could be liable in connection with the Merger Agreement or this Agreement or any of the respective transactions contemplated hereby or thereby, in each case based upon arrangements made by such Stockholder in his, her or its capacity as a stockholder or, to the knowledge of such Stockholder, on behalf of such Stockholder in his, her or its capacity as a stockholder.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25" w:name="page326"/>
    <w:bookmarkEnd w:id="325"/>
    <w:p>
      <w:pPr>
        <w:ind w:right="20" w:firstLine="569"/>
        <w:spacing w:after="0" w:line="275" w:lineRule="auto"/>
        <w:tabs>
          <w:tab w:leader="none" w:pos="757"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Certain Covenants of the Stockholders</w:t>
      </w:r>
      <w:r>
        <w:rPr>
          <w:rFonts w:ascii="Arial" w:cs="Arial" w:eastAsia="Arial" w:hAnsi="Arial"/>
          <w:sz w:val="16"/>
          <w:szCs w:val="16"/>
          <w:color w:val="auto"/>
        </w:rPr>
        <w:t>. Other than in accordance with the other terms of this Agreement, each Stockholder severally and not jointly, hereby covenants and agrees as follows:</w:t>
      </w:r>
    </w:p>
    <w:p>
      <w:pPr>
        <w:spacing w:after="0" w:line="151" w:lineRule="exact"/>
        <w:rPr>
          <w:rFonts w:ascii="Arial" w:cs="Arial" w:eastAsia="Arial" w:hAnsi="Arial"/>
          <w:sz w:val="16"/>
          <w:szCs w:val="16"/>
          <w:color w:val="auto"/>
        </w:rPr>
      </w:pPr>
    </w:p>
    <w:p>
      <w:pPr>
        <w:jc w:val="both"/>
        <w:ind w:right="20" w:firstLine="1143"/>
        <w:spacing w:after="0" w:line="272" w:lineRule="auto"/>
        <w:tabs>
          <w:tab w:leader="none" w:pos="1372" w:val="left"/>
        </w:tabs>
        <w:numPr>
          <w:ilvl w:val="1"/>
          <w:numId w:val="322"/>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hereof, prior to the Termination Date, the Stockholder shall not, directly or indirectly, (i) initiate, solicit or knowingly encourage or knowingly facilitate any inquiries or requests for information with respect to, or the making of, any inquiry regarding, or any proposal or offer that constitutes, or could reasonably be expected to result in or lead to, any Company Acquisition Proposal, (ii) engage in, continue or otherwise participate in any negotiations or discussions concerning, or provide access to its properties, books and records or any confidential information or data to, any Person relating to any proposal, offer, inquiry or request for information that constitutes, or could reasonably be expected to result in or lead to, any Company Acquisition Proposal, (iii) approve, endorse or recommend, or propose publicly to approve, endorse or recommend, any Company Acquisition Proposal or (iv) execute or enter into, any letter of intent, memorandum of understanding, agreement in principle, confidentiality agreement, merger agreement, acquisition agreement, exchange agreement, joint venture agreement, partnership agreement, option agreement or other similar agreement for or relating to any Company Acquisition Proposal.</w:t>
      </w:r>
    </w:p>
    <w:p>
      <w:pPr>
        <w:spacing w:after="0" w:line="157"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Notwithstanding anything in this Agreement to the contrary, (i) such Stockholder shall not be responsible for the actions of the Company or the Board of Directors of the Company (or any committee thereof), any subsidiary of the Company, or any officers, directors (in their capacity as such), employees and professional advisors of any of the foregoing (collectively, the “</w:t>
      </w:r>
      <w:r>
        <w:rPr>
          <w:rFonts w:ascii="Arial" w:cs="Arial" w:eastAsia="Arial" w:hAnsi="Arial"/>
          <w:sz w:val="15"/>
          <w:szCs w:val="15"/>
          <w:u w:val="single" w:color="auto"/>
          <w:color w:val="auto"/>
        </w:rPr>
        <w:t>Company Related Parties</w:t>
      </w:r>
      <w:r>
        <w:rPr>
          <w:rFonts w:ascii="Arial" w:cs="Arial" w:eastAsia="Arial" w:hAnsi="Arial"/>
          <w:sz w:val="15"/>
          <w:szCs w:val="15"/>
          <w:color w:val="auto"/>
        </w:rPr>
        <w:t xml:space="preserve">”), (ii) such Stockholder makes no representations or warranties with respect to the actions of any of the Company Related Parties, and (iii) any breach by the Company of its obligations under Section 6.06 of the Merger Agreement shall not be considered a breach of this </w:t>
      </w:r>
      <w:r>
        <w:rPr>
          <w:rFonts w:ascii="Arial" w:cs="Arial" w:eastAsia="Arial" w:hAnsi="Arial"/>
          <w:sz w:val="15"/>
          <w:szCs w:val="15"/>
          <w:u w:val="single" w:color="auto"/>
          <w:color w:val="auto"/>
        </w:rPr>
        <w:t>Section 7(a)</w:t>
      </w:r>
      <w:r>
        <w:rPr>
          <w:rFonts w:ascii="Arial" w:cs="Arial" w:eastAsia="Arial" w:hAnsi="Arial"/>
          <w:sz w:val="15"/>
          <w:szCs w:val="15"/>
          <w:color w:val="auto"/>
        </w:rPr>
        <w:t xml:space="preserve"> (it being understood that, for the avoidance of doubt, such Stockholder or his, her or its representatives (other than any such representative that is a Company Related Party) shall remain responsible for any breach by such Stockholder or his, her or its representatives of this </w:t>
      </w:r>
      <w:r>
        <w:rPr>
          <w:rFonts w:ascii="Arial" w:cs="Arial" w:eastAsia="Arial" w:hAnsi="Arial"/>
          <w:sz w:val="15"/>
          <w:szCs w:val="15"/>
          <w:u w:val="single" w:color="auto"/>
          <w:color w:val="auto"/>
        </w:rPr>
        <w:t>Section 7(a)</w:t>
      </w:r>
      <w:r>
        <w:rPr>
          <w:rFonts w:ascii="Arial" w:cs="Arial" w:eastAsia="Arial" w:hAnsi="Arial"/>
          <w:sz w:val="15"/>
          <w:szCs w:val="15"/>
          <w:color w:val="auto"/>
        </w:rPr>
        <w:t>).</w:t>
      </w:r>
    </w:p>
    <w:p>
      <w:pPr>
        <w:spacing w:after="0" w:line="157" w:lineRule="exact"/>
        <w:rPr>
          <w:sz w:val="20"/>
          <w:szCs w:val="20"/>
          <w:color w:val="auto"/>
        </w:rPr>
      </w:pPr>
    </w:p>
    <w:p>
      <w:pPr>
        <w:jc w:val="both"/>
        <w:ind w:firstLine="1143"/>
        <w:spacing w:after="0" w:line="271" w:lineRule="auto"/>
        <w:tabs>
          <w:tab w:leader="none" w:pos="1398" w:val="left"/>
        </w:tabs>
        <w:numPr>
          <w:ilvl w:val="0"/>
          <w:numId w:val="323"/>
        </w:numPr>
        <w:rPr>
          <w:rFonts w:ascii="Arial" w:cs="Arial" w:eastAsia="Arial" w:hAnsi="Arial"/>
          <w:sz w:val="15"/>
          <w:szCs w:val="15"/>
          <w:color w:val="auto"/>
        </w:rPr>
      </w:pPr>
      <w:r>
        <w:rPr>
          <w:rFonts w:ascii="Arial" w:cs="Arial" w:eastAsia="Arial" w:hAnsi="Arial"/>
          <w:sz w:val="15"/>
          <w:szCs w:val="15"/>
          <w:color w:val="auto"/>
        </w:rPr>
        <w:t xml:space="preserve">Each Stockholder hereby irrevocably and unconditionally agrees, prior to the Termination Date, not to (except in each case pursuant to the Merger Agreement), (i) directly or indirectly, (A) Transfer, or (B) enter into any Contract or option with respect to the Transfer of, any of such Stockholder’s Covered Shares, or (ii) publicly announce any intention to effect any transaction specified in clause (A) or (B), or (iii) take any action that would make any representation or warranty of such Stockholder contained herein untrue or incorrect or have the effect of preventing or disabling such Stockholder from performing its obligations under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nothing herein shall prohibit a Transfer to an Affiliate of the Stockholder or to another Stockholder of the Company that becomes a party to this Agreement and bound by the terms and obligations hereof (a “</w:t>
      </w:r>
      <w:r>
        <w:rPr>
          <w:rFonts w:ascii="Arial" w:cs="Arial" w:eastAsia="Arial" w:hAnsi="Arial"/>
          <w:sz w:val="15"/>
          <w:szCs w:val="15"/>
          <w:u w:val="single" w:color="auto"/>
          <w:color w:val="auto"/>
        </w:rPr>
        <w:t>Permitted Transfer</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Permitted Transfer shall be permitted only if, as a precondition to such Transfer, the transferee agrees in a writing, reasonably satisfactory in form and substance to Acquiror, to assume all of the obligations of the Stockholder under, and be bound by all of the terms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Transfer permitted under this </w:t>
      </w:r>
      <w:r>
        <w:rPr>
          <w:rFonts w:ascii="Arial" w:cs="Arial" w:eastAsia="Arial" w:hAnsi="Arial"/>
          <w:sz w:val="15"/>
          <w:szCs w:val="15"/>
          <w:u w:val="single" w:color="auto"/>
          <w:color w:val="auto"/>
        </w:rPr>
        <w:t>Section 7(b)</w:t>
      </w:r>
      <w:r>
        <w:rPr>
          <w:rFonts w:ascii="Arial" w:cs="Arial" w:eastAsia="Arial" w:hAnsi="Arial"/>
          <w:sz w:val="15"/>
          <w:szCs w:val="15"/>
          <w:color w:val="auto"/>
        </w:rPr>
        <w:t xml:space="preserve"> shall not relieve the Stockholder of its obligations under this Agreement. Any Transfer in violation of this </w:t>
      </w:r>
      <w:r>
        <w:rPr>
          <w:rFonts w:ascii="Arial" w:cs="Arial" w:eastAsia="Arial" w:hAnsi="Arial"/>
          <w:sz w:val="15"/>
          <w:szCs w:val="15"/>
          <w:u w:val="single" w:color="auto"/>
          <w:color w:val="auto"/>
        </w:rPr>
        <w:t>Section 7(b)</w:t>
      </w:r>
      <w:r>
        <w:rPr>
          <w:rFonts w:ascii="Arial" w:cs="Arial" w:eastAsia="Arial" w:hAnsi="Arial"/>
          <w:sz w:val="15"/>
          <w:szCs w:val="15"/>
          <w:color w:val="auto"/>
        </w:rPr>
        <w:t xml:space="preserve"> with respect to the Stockholder’s Covered Shares shall be null and void.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26" w:name="page327"/>
    <w:bookmarkEnd w:id="326"/>
    <w:p>
      <w:pPr>
        <w:ind w:left="1140"/>
        <w:spacing w:after="0"/>
        <w:rPr>
          <w:sz w:val="20"/>
          <w:szCs w:val="20"/>
          <w:color w:val="auto"/>
        </w:rPr>
      </w:pPr>
      <w:r>
        <w:rPr>
          <w:rFonts w:ascii="Arial" w:cs="Arial" w:eastAsia="Arial" w:hAnsi="Arial"/>
          <w:sz w:val="15"/>
          <w:szCs w:val="15"/>
          <w:color w:val="auto"/>
        </w:rPr>
        <w:t>(c) Each Stockholder hereby authorizes the Company to maintain a copy of this Agreement at either the executive office or the registered office of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186" w:lineRule="exact"/>
        <w:rPr>
          <w:sz w:val="20"/>
          <w:szCs w:val="20"/>
          <w:color w:val="auto"/>
        </w:rPr>
      </w:pPr>
    </w:p>
    <w:p>
      <w:pPr>
        <w:jc w:val="both"/>
        <w:ind w:firstLine="569"/>
        <w:spacing w:after="0" w:line="272" w:lineRule="auto"/>
        <w:tabs>
          <w:tab w:leader="none" w:pos="733" w:val="left"/>
        </w:tabs>
        <w:numPr>
          <w:ilvl w:val="0"/>
          <w:numId w:val="324"/>
        </w:numPr>
        <w:rPr>
          <w:rFonts w:ascii="Arial" w:cs="Arial" w:eastAsia="Arial" w:hAnsi="Arial"/>
          <w:sz w:val="15"/>
          <w:szCs w:val="15"/>
          <w:color w:val="auto"/>
        </w:rPr>
      </w:pPr>
      <w:r>
        <w:rPr>
          <w:rFonts w:ascii="Arial" w:cs="Arial" w:eastAsia="Arial" w:hAnsi="Arial"/>
          <w:sz w:val="15"/>
          <w:szCs w:val="15"/>
          <w:u w:val="single" w:color="auto"/>
          <w:color w:val="auto"/>
        </w:rPr>
        <w:t>Further Assurances</w:t>
      </w:r>
      <w:r>
        <w:rPr>
          <w:rFonts w:ascii="Arial" w:cs="Arial" w:eastAsia="Arial" w:hAnsi="Arial"/>
          <w:sz w:val="15"/>
          <w:szCs w:val="15"/>
          <w:color w:val="auto"/>
        </w:rPr>
        <w:t>. Hereafter until the Termination Date, at Acquiror’s request and without further consideration, each Stockholder shall execute and deliver such additional documents and take all such further action as may be reasonably necessary or reasonably requested to consummate the transactions contemplated by the Merger Agreement and the Ancillary Agreements. Each Stockholder further agrees not to commence or participate in, and to take all actions necessary to opt out of any class in any class action with respect to, any action or claim, derivative or otherwise, against Acquiror, Acquiror’s Affiliates, the Sponsor, the Company or any of their respective successors and assigns relating to the negotiation, execution or delivery of this Agreement, the Merger Agreement or the consummation of the transactions contemplated hereby and thereby and hereby waives its appraisal or dissenter’s right. Notwithstanding the foregoing, nothing herein shall be deemed to prohibit the Stockholders from enforcing the Stockholders’ rights under this Agreement and the other Agreements entered into by a Stockholder in connection herewith, including the Stockholder’s right to receive the consideration as provided in the Merger Agreement.</w:t>
      </w:r>
    </w:p>
    <w:p>
      <w:pPr>
        <w:spacing w:after="0" w:line="156" w:lineRule="exact"/>
        <w:rPr>
          <w:rFonts w:ascii="Arial" w:cs="Arial" w:eastAsia="Arial" w:hAnsi="Arial"/>
          <w:sz w:val="15"/>
          <w:szCs w:val="15"/>
          <w:color w:val="auto"/>
        </w:rPr>
      </w:pPr>
    </w:p>
    <w:p>
      <w:pPr>
        <w:jc w:val="both"/>
        <w:ind w:right="20" w:firstLine="569"/>
        <w:spacing w:after="0" w:line="262" w:lineRule="auto"/>
        <w:tabs>
          <w:tab w:leader="none" w:pos="745"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Such Stockholder hereby authorizes the Company and Acquiror to publish and disclose in any announcement or disclosure required by the SEC (but only to the extent such disclosure is required under applicable Law) such Stockholder’s identity and ownership of the Covered Shares and the nature of such Stockholder’s obligations under this Agreement.</w:t>
      </w:r>
    </w:p>
    <w:p>
      <w:pPr>
        <w:spacing w:after="0" w:line="162" w:lineRule="exact"/>
        <w:rPr>
          <w:rFonts w:ascii="Arial" w:cs="Arial" w:eastAsia="Arial" w:hAnsi="Arial"/>
          <w:sz w:val="16"/>
          <w:szCs w:val="16"/>
          <w:color w:val="auto"/>
        </w:rPr>
      </w:pPr>
    </w:p>
    <w:p>
      <w:pPr>
        <w:jc w:val="both"/>
        <w:ind w:firstLine="569"/>
        <w:spacing w:after="0" w:line="254" w:lineRule="auto"/>
        <w:tabs>
          <w:tab w:leader="none" w:pos="824"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Changes in Company Capital Stock</w:t>
      </w:r>
      <w:r>
        <w:rPr>
          <w:rFonts w:ascii="Arial" w:cs="Arial" w:eastAsia="Arial" w:hAnsi="Arial"/>
          <w:sz w:val="16"/>
          <w:szCs w:val="16"/>
          <w:color w:val="auto"/>
        </w:rPr>
        <w:t>. In the event (i) of a stock split, stock dividend or distribution, or any change in Company Common Stock or Company Preferred Stock by reason of any split-up, reverse stock split, recapitalization, combination, reclassification, exchange of shares or the like, (ii) the Stockholder purchases or otherwise acquires beneficial ownership of any Company Common Stock or Company Preferred Stock or (iii) the Stockholder acquires the right to vote or share in the voting of any Company Common Stock or Company Preferred Stock, the terms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70" w:lineRule="exact"/>
        <w:rPr>
          <w:rFonts w:ascii="Arial" w:cs="Arial" w:eastAsia="Arial" w:hAnsi="Arial"/>
          <w:sz w:val="16"/>
          <w:szCs w:val="16"/>
          <w:color w:val="auto"/>
        </w:rPr>
      </w:pPr>
    </w:p>
    <w:p>
      <w:pPr>
        <w:ind w:right="20" w:firstLine="569"/>
        <w:spacing w:after="0" w:line="275" w:lineRule="auto"/>
        <w:tabs>
          <w:tab w:leader="none" w:pos="806"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Amendment and Modification</w:t>
      </w:r>
      <w:r>
        <w:rPr>
          <w:rFonts w:ascii="Arial" w:cs="Arial" w:eastAsia="Arial" w:hAnsi="Arial"/>
          <w:sz w:val="16"/>
          <w:szCs w:val="16"/>
          <w:color w:val="auto"/>
        </w:rPr>
        <w:t>. This Agreement may not be amended, modified or supplemented in any manner, whether by course of conduct or otherwise, except by an instrument in writing signed by Acquiror, the Company and the applicable Stockholder.</w:t>
      </w:r>
    </w:p>
    <w:p>
      <w:pPr>
        <w:spacing w:after="0" w:line="151" w:lineRule="exact"/>
        <w:rPr>
          <w:rFonts w:ascii="Arial" w:cs="Arial" w:eastAsia="Arial" w:hAnsi="Arial"/>
          <w:sz w:val="16"/>
          <w:szCs w:val="16"/>
          <w:color w:val="auto"/>
        </w:rPr>
      </w:pPr>
    </w:p>
    <w:p>
      <w:pPr>
        <w:jc w:val="both"/>
        <w:ind w:firstLine="569"/>
        <w:spacing w:after="0" w:line="258" w:lineRule="auto"/>
        <w:tabs>
          <w:tab w:leader="none" w:pos="812"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No failure or delay by any Party exercising any right, power or privilege hereunder shall operate as a waiver thereof nor shall any single or partial exercise thereof preclude any other or further exercise thereof or the exercise of any other right, power or privilege. The rights and remedies of the Parties hereto hereunder are cumulative and are not exclusive of any rights or remedies which they would otherwise have hereunder. Any agreement on the part of a Party hereto to any such waiver shall be valid only if set forth in a written instrument executed and delivered by such Party.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27" w:name="page328"/>
    <w:bookmarkEnd w:id="327"/>
    <w:p>
      <w:pPr>
        <w:jc w:val="both"/>
        <w:ind w:firstLine="569"/>
        <w:spacing w:after="0" w:line="262" w:lineRule="auto"/>
        <w:tabs>
          <w:tab w:leader="none" w:pos="824"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hereunder shall be in writing and shall be deemed given if delivered personally, by email (with confirmation of receipt) or sent by a nationally recognized overnight courier service, such as Federal Express, to the Parties hereto at the following addresses (or at such other address for a Party as shall be specified by like notice made pursuant to this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162" w:lineRule="exact"/>
        <w:rPr>
          <w:sz w:val="20"/>
          <w:szCs w:val="20"/>
          <w:color w:val="auto"/>
        </w:rPr>
      </w:pPr>
    </w:p>
    <w:p>
      <w:pPr>
        <w:ind w:left="1720" w:right="140"/>
        <w:spacing w:after="0" w:line="309" w:lineRule="auto"/>
        <w:rPr>
          <w:sz w:val="20"/>
          <w:szCs w:val="20"/>
          <w:color w:val="auto"/>
        </w:rPr>
      </w:pPr>
      <w:r>
        <w:rPr>
          <w:rFonts w:ascii="Arial" w:cs="Arial" w:eastAsia="Arial" w:hAnsi="Arial"/>
          <w:sz w:val="15"/>
          <w:szCs w:val="15"/>
          <w:color w:val="auto"/>
        </w:rPr>
        <w:t>if to the Stockholder, to the address or email address set forth opposite such Stockholder’s name on Schedule 1, or in the absence of such address or email address being set forth on Schedule 1, the address (including email) set forth in the Company’s books and records.</w:t>
      </w:r>
    </w:p>
    <w:p>
      <w:pPr>
        <w:spacing w:after="0" w:line="12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if to the Company, to it at:</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 La Carte, Inc.</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816 Hamilton Street</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Redwood City, CA 94063</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Rajat Suri and Ashish Gupta</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raj@presto.com and ashish@presto.com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copy (which shall not constitute notice) to:</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New York, NY 10020-1095</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Colin Diamond</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colin.diamond@whitecase.com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3000 El Camino Real</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2 Palo Alto Square, Suite 900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Palo Alto, California 94306-2109</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Tali Sealman</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tali.sealman@whitecase.com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609 Main Street Suite 2900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Houston, Texas 77002</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Emery Choi and Laura Katherine Mann</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emery.choi@whitecase.com;</w:t>
      </w:r>
    </w:p>
    <w:p>
      <w:pPr>
        <w:spacing w:after="0" w:line="7"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laurakatherine.mann@whitecase.com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28" w:name="page329"/>
    <w:bookmarkEnd w:id="328"/>
    <w:p>
      <w:pPr>
        <w:ind w:left="1720"/>
        <w:spacing w:after="0"/>
        <w:rPr>
          <w:sz w:val="20"/>
          <w:szCs w:val="20"/>
          <w:color w:val="auto"/>
        </w:rPr>
      </w:pPr>
      <w:r>
        <w:rPr>
          <w:rFonts w:ascii="Arial" w:cs="Arial" w:eastAsia="Arial" w:hAnsi="Arial"/>
          <w:sz w:val="16"/>
          <w:szCs w:val="16"/>
          <w:color w:val="auto"/>
        </w:rPr>
        <w:t>if to Acquiror, to it at:</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Ventoux CCM Acquisition Corp.</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 East Putnam Avenue, Floor 4</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Greenwich, CT 06830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Edward Scheetz</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ed.scheetz@gmail.com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copy (which shall not constitute notice) to:</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Woolery &amp; Co.</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 Pier 76</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408 12th Ave</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New York, NY 10018</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Mathew J. Saur</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Mathew@wooleryco.com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Dentons US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New York, NY 10020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Attention: Ilan Katz and Brian Lee</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ilan.katz@dentons.com and brian.lee@dentons.com</w:t>
      </w:r>
    </w:p>
    <w:p>
      <w:pPr>
        <w:spacing w:after="0" w:line="186" w:lineRule="exact"/>
        <w:rPr>
          <w:sz w:val="20"/>
          <w:szCs w:val="20"/>
          <w:color w:val="auto"/>
        </w:rPr>
      </w:pPr>
    </w:p>
    <w:p>
      <w:pPr>
        <w:jc w:val="both"/>
        <w:ind w:right="20" w:firstLine="569"/>
        <w:spacing w:after="0" w:line="258" w:lineRule="auto"/>
        <w:tabs>
          <w:tab w:leader="none" w:pos="812"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No Ownership Interest</w:t>
      </w:r>
      <w:r>
        <w:rPr>
          <w:rFonts w:ascii="Arial" w:cs="Arial" w:eastAsia="Arial" w:hAnsi="Arial"/>
          <w:sz w:val="16"/>
          <w:szCs w:val="16"/>
          <w:color w:val="auto"/>
        </w:rPr>
        <w:t>. Nothing contained in this Agreement shall be deemed to vest in Acquiror any direct or indirect ownership or incidence of ownership of or with respect to the Covered Shares of the Stockholder. During the term of this Agreement, all rights, ownership and economic benefits of and relating to the Covered Shares of the Stockholder shall remain vested in and belong to the Stockholder, and Acquiror shall have no authority to direct the Stockholder in the voting or disposition of any of the Stockholder’s Covered Shares, except as otherwise provided herein.</w:t>
      </w:r>
    </w:p>
    <w:p>
      <w:pPr>
        <w:spacing w:after="0" w:line="164" w:lineRule="exact"/>
        <w:rPr>
          <w:rFonts w:ascii="Arial" w:cs="Arial" w:eastAsia="Arial" w:hAnsi="Arial"/>
          <w:sz w:val="16"/>
          <w:szCs w:val="16"/>
          <w:color w:val="auto"/>
        </w:rPr>
      </w:pPr>
    </w:p>
    <w:p>
      <w:pPr>
        <w:jc w:val="both"/>
        <w:ind w:right="20" w:firstLine="569"/>
        <w:spacing w:after="0" w:line="262" w:lineRule="auto"/>
        <w:tabs>
          <w:tab w:leader="none" w:pos="824"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Entire Agreement; Time of Effectiveness</w:t>
      </w:r>
      <w:r>
        <w:rPr>
          <w:rFonts w:ascii="Arial" w:cs="Arial" w:eastAsia="Arial" w:hAnsi="Arial"/>
          <w:sz w:val="16"/>
          <w:szCs w:val="16"/>
          <w:color w:val="auto"/>
        </w:rPr>
        <w:t>. This Agreement and the Merger Agreement constitute the entire agreement and supersede all prior agreements and understandings, both written and oral, between the parties hereto with respect to the subject matter hereof and thereof. This Agreement shall not be effective or binding upon the Stockholder until after such time as the Merger Agreement is executed and delivered by the Company and Acquiror.</w:t>
      </w:r>
    </w:p>
    <w:p>
      <w:pPr>
        <w:spacing w:after="0" w:line="162" w:lineRule="exact"/>
        <w:rPr>
          <w:rFonts w:ascii="Arial" w:cs="Arial" w:eastAsia="Arial" w:hAnsi="Arial"/>
          <w:sz w:val="16"/>
          <w:szCs w:val="16"/>
          <w:color w:val="auto"/>
        </w:rPr>
      </w:pPr>
    </w:p>
    <w:p>
      <w:pPr>
        <w:jc w:val="both"/>
        <w:ind w:firstLine="569"/>
        <w:spacing w:after="0" w:line="255" w:lineRule="auto"/>
        <w:tabs>
          <w:tab w:leader="none" w:pos="836"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The Stockholder hereby agrees that its representations, warranties and covenants set forth herein are solely for the benefit of Acquiror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and the parties hereto hereby further agree that this Agreement may only be enforced against, and any Action that may be based upon, arise out of or relate to this Agreement, or the negotiation, execution or performance of this Agreement may only be made against, the Persons expressly named as parties hereto.</w:t>
      </w:r>
    </w:p>
    <w:p>
      <w:pPr>
        <w:spacing w:after="0" w:line="169" w:lineRule="exact"/>
        <w:rPr>
          <w:rFonts w:ascii="Arial" w:cs="Arial" w:eastAsia="Arial" w:hAnsi="Arial"/>
          <w:sz w:val="16"/>
          <w:szCs w:val="16"/>
          <w:color w:val="auto"/>
        </w:rPr>
      </w:pPr>
    </w:p>
    <w:p>
      <w:pPr>
        <w:jc w:val="both"/>
        <w:ind w:firstLine="569"/>
        <w:spacing w:after="0" w:line="252" w:lineRule="auto"/>
        <w:tabs>
          <w:tab w:leader="none" w:pos="824"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Governing Law and Venue; Service of Process; Waiver of Jury Trial</w:t>
      </w:r>
      <w:r>
        <w:rPr>
          <w:rFonts w:ascii="Arial" w:cs="Arial" w:eastAsia="Arial" w:hAnsi="Arial"/>
          <w:sz w:val="16"/>
          <w:szCs w:val="16"/>
          <w:color w:val="auto"/>
        </w:rPr>
        <w:t xml:space="preserve">. Any Action based upon, arising out of or related to this Agreement, or the transactions contemplated hereby, shall be brought in the Court of Chancery of the State of Delaware or, if such court declines to exercise jurisdiction, the District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Arial" w:cs="Arial" w:eastAsia="Arial" w:hAnsi="Arial"/>
          <w:sz w:val="16"/>
          <w:szCs w:val="16"/>
          <w:u w:val="single" w:color="auto"/>
          <w:color w:val="auto"/>
        </w:rPr>
        <w:t>Section 17</w:t>
      </w:r>
      <w:r>
        <w:rPr>
          <w:rFonts w:ascii="Arial" w:cs="Arial" w:eastAsia="Arial" w:hAnsi="Arial"/>
          <w:sz w:val="16"/>
          <w:szCs w:val="16"/>
          <w:color w:val="auto"/>
        </w:rPr>
        <w:t>. EACH OF THE PARTIES HERETO HEREBY IRREVOCABLY WAIVES ANY AND ALL RIGHT TO TRIAL BY JURY IN ANY ACTION BASED UPON, ARISING OUT OF OR RELATED TO THIS AGREEMENT OR THE TRANSACTIONS CONTEMPLATED HEREBY.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29" w:name="page330"/>
    <w:bookmarkEnd w:id="329"/>
    <w:p>
      <w:pPr>
        <w:jc w:val="both"/>
        <w:ind w:firstLine="569"/>
        <w:spacing w:after="0" w:line="255" w:lineRule="auto"/>
        <w:tabs>
          <w:tab w:leader="none" w:pos="812"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Assignment; Successors</w:t>
      </w:r>
      <w:r>
        <w:rPr>
          <w:rFonts w:ascii="Arial" w:cs="Arial" w:eastAsia="Arial" w:hAnsi="Arial"/>
          <w:sz w:val="16"/>
          <w:szCs w:val="16"/>
          <w:color w:val="auto"/>
        </w:rPr>
        <w:t>. Neither this Agreement nor any of the rights, interests or obligations hereunder shall (a) be assigned by any of the Stockholders in whole or in part (whether by operation of Law or otherwise) without the prior written consent of Acquiror and the Company or (b) be assigned by Acquiror or the Company in whole or in part (whether by operation of law or otherwise) without the prior written consent of (i) the Company or Acquiror, respectively, and (ii) the applicable Stockholder. Any such assignment without such consent shall be null and void. This Agreement shall be binding upon, inure to the benefit of and be enforceable by the parties hereto and their respective successors and permitted assigns.</w:t>
      </w:r>
    </w:p>
    <w:p>
      <w:pPr>
        <w:spacing w:after="0" w:line="169" w:lineRule="exact"/>
        <w:rPr>
          <w:rFonts w:ascii="Arial" w:cs="Arial" w:eastAsia="Arial" w:hAnsi="Arial"/>
          <w:sz w:val="16"/>
          <w:szCs w:val="16"/>
          <w:color w:val="auto"/>
        </w:rPr>
      </w:pPr>
    </w:p>
    <w:p>
      <w:pPr>
        <w:jc w:val="both"/>
        <w:ind w:right="20" w:firstLine="569"/>
        <w:spacing w:after="0" w:line="295" w:lineRule="auto"/>
        <w:tabs>
          <w:tab w:leader="none" w:pos="824" w:val="left"/>
        </w:tabs>
        <w:numPr>
          <w:ilvl w:val="0"/>
          <w:numId w:val="327"/>
        </w:numPr>
        <w:rPr>
          <w:rFonts w:ascii="Arial" w:cs="Arial" w:eastAsia="Arial" w:hAnsi="Arial"/>
          <w:sz w:val="14"/>
          <w:szCs w:val="14"/>
          <w:color w:val="auto"/>
        </w:rPr>
      </w:pPr>
      <w:r>
        <w:rPr>
          <w:rFonts w:ascii="Arial" w:cs="Arial" w:eastAsia="Arial" w:hAnsi="Arial"/>
          <w:sz w:val="14"/>
          <w:szCs w:val="14"/>
          <w:u w:val="single" w:color="auto"/>
          <w:color w:val="auto"/>
        </w:rPr>
        <w:t>Enforcement</w:t>
      </w:r>
      <w:r>
        <w:rPr>
          <w:rFonts w:ascii="Arial" w:cs="Arial" w:eastAsia="Arial" w:hAnsi="Arial"/>
          <w:sz w:val="14"/>
          <w:szCs w:val="14"/>
          <w:color w:val="auto"/>
        </w:rPr>
        <w:t>. The rights and remedies of the parties shall be cumulative with and not exclusive of any other remedy conferred hereby.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including each Stockholder’s obligations to vote its Covered Shares as provided in this Agreement, in the Court of Chancery of the State of Delaware or, if under applicable law exclusive jurisdiction over such matter is vested in the federal courts, any state or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w:t>
      </w:r>
    </w:p>
    <w:p>
      <w:pPr>
        <w:spacing w:after="0" w:line="144" w:lineRule="exact"/>
        <w:rPr>
          <w:rFonts w:ascii="Arial" w:cs="Arial" w:eastAsia="Arial" w:hAnsi="Arial"/>
          <w:sz w:val="14"/>
          <w:szCs w:val="14"/>
          <w:color w:val="auto"/>
        </w:rPr>
      </w:pPr>
    </w:p>
    <w:p>
      <w:pPr>
        <w:jc w:val="both"/>
        <w:ind w:right="20" w:firstLine="569"/>
        <w:spacing w:after="0" w:line="301" w:lineRule="auto"/>
        <w:tabs>
          <w:tab w:leader="none" w:pos="812" w:val="left"/>
        </w:tabs>
        <w:numPr>
          <w:ilvl w:val="0"/>
          <w:numId w:val="327"/>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If any term or other provision of this Agreement is held by a court of competent jurisdiction or other authority to be invalid, void, unenforceable or against its regulatory policy, the remainder of the terms and provisions of this Agreement shall remain in full force and effect and shall in no way be affected, impaired or invalidated, so long as the economic and legal substance of the transactions contemplated hereby, taken as a whole, are not affected in a manner materially adverse to any Party hereto. Upon such a determination, the parties hereto shall negotiate in good faith to modify this Agreement so as to effect the original intent of the parties hereto as closely as possible in an acceptable manner in order that the transactions contemplated hereby be consummated as originally contemplated to the fullest extent possible.</w:t>
      </w:r>
    </w:p>
    <w:p>
      <w:pPr>
        <w:spacing w:after="0" w:line="137" w:lineRule="exact"/>
        <w:rPr>
          <w:rFonts w:ascii="Arial" w:cs="Arial" w:eastAsia="Arial" w:hAnsi="Arial"/>
          <w:sz w:val="14"/>
          <w:szCs w:val="14"/>
          <w:color w:val="auto"/>
        </w:rPr>
      </w:pPr>
    </w:p>
    <w:p>
      <w:pPr>
        <w:jc w:val="both"/>
        <w:ind w:firstLine="569"/>
        <w:spacing w:after="0" w:line="262" w:lineRule="auto"/>
        <w:tabs>
          <w:tab w:leader="none" w:pos="812"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shall be considered one and the same agreement, it being understood that each Party need not sign the same counterpart. This Agreement shall become effective when each Party shall have received a counterpart hereof signed by all of the other parties. Signatures delivered electronically or by facsimile shall be deemed to be original signatures.</w:t>
      </w:r>
    </w:p>
    <w:p>
      <w:pPr>
        <w:spacing w:after="0" w:line="162" w:lineRule="exact"/>
        <w:rPr>
          <w:rFonts w:ascii="Arial" w:cs="Arial" w:eastAsia="Arial" w:hAnsi="Arial"/>
          <w:sz w:val="16"/>
          <w:szCs w:val="16"/>
          <w:color w:val="auto"/>
        </w:rPr>
      </w:pPr>
    </w:p>
    <w:p>
      <w:pPr>
        <w:jc w:val="both"/>
        <w:ind w:firstLine="569"/>
        <w:spacing w:after="0" w:line="270" w:lineRule="auto"/>
        <w:tabs>
          <w:tab w:leader="none" w:pos="812" w:val="left"/>
        </w:tabs>
        <w:numPr>
          <w:ilvl w:val="0"/>
          <w:numId w:val="327"/>
        </w:numPr>
        <w:rPr>
          <w:rFonts w:ascii="Arial" w:cs="Arial" w:eastAsia="Arial" w:hAnsi="Arial"/>
          <w:sz w:val="15"/>
          <w:szCs w:val="15"/>
          <w:color w:val="auto"/>
        </w:rPr>
      </w:pPr>
      <w:r>
        <w:rPr>
          <w:rFonts w:ascii="Arial" w:cs="Arial" w:eastAsia="Arial" w:hAnsi="Arial"/>
          <w:sz w:val="15"/>
          <w:szCs w:val="15"/>
          <w:u w:val="single" w:color="auto"/>
          <w:color w:val="auto"/>
        </w:rPr>
        <w:t>Interpretation and Construction</w:t>
      </w:r>
      <w:r>
        <w:rPr>
          <w:rFonts w:ascii="Arial" w:cs="Arial" w:eastAsia="Arial" w:hAnsi="Arial"/>
          <w:sz w:val="15"/>
          <w:szCs w:val="15"/>
          <w:color w:val="auto"/>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Sections are to Sections of this Agreement unless otherwise specified.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30" w:name="page331"/>
    <w:bookmarkEnd w:id="330"/>
    <w:p>
      <w:pPr>
        <w:jc w:val="both"/>
        <w:ind w:firstLine="569"/>
        <w:spacing w:after="0" w:line="273" w:lineRule="auto"/>
        <w:tabs>
          <w:tab w:leader="none" w:pos="824" w:val="left"/>
        </w:tabs>
        <w:numPr>
          <w:ilvl w:val="0"/>
          <w:numId w:val="328"/>
        </w:numPr>
        <w:rPr>
          <w:rFonts w:ascii="Arial" w:cs="Arial" w:eastAsia="Arial" w:hAnsi="Arial"/>
          <w:sz w:val="15"/>
          <w:szCs w:val="15"/>
          <w:color w:val="auto"/>
        </w:rPr>
      </w:pPr>
      <w:r>
        <w:rPr>
          <w:rFonts w:ascii="Arial" w:cs="Arial" w:eastAsia="Arial" w:hAnsi="Arial"/>
          <w:sz w:val="15"/>
          <w:szCs w:val="15"/>
          <w:u w:val="single" w:color="auto"/>
          <w:color w:val="auto"/>
        </w:rPr>
        <w:t>Capacity as a Stockholder or Proxy holder</w:t>
      </w:r>
      <w:r>
        <w:rPr>
          <w:rFonts w:ascii="Arial" w:cs="Arial" w:eastAsia="Arial" w:hAnsi="Arial"/>
          <w:sz w:val="15"/>
          <w:szCs w:val="15"/>
          <w:color w:val="auto"/>
        </w:rPr>
        <w:t>. Notwithstanding anything herein to the contrary, the Stockholder or proxy holder signs this Agreement solely in the Stockholder’s or Proxy holder’s capacity as a stockholder or proxy holder of the Company, and not in any other capacity and this Agreement shall not limit, prevent or otherwise affect the actions of the Stockholder, proxy holder or any Affiliate, employee or designee of the Stockholder or proxyholder, or any of their respective Affiliates in his or her capacity, if applicable, as an officer or director of the Company (or any Subsidiary of the Company) or any other Person, including in the exercise of his or her fiduciary duties as a director or officer of the Company or any Subsidiary of the Company. No Stockholder shall be liable or responsible for any action undertaken by or any breach, default, or violation of any representation, warranty, covenant or agreement by any other Stockholder that is also a Party hereto or the Company and each Stockholder shall solely be required to perform its obligations hereunder in its individual capacity.</w:t>
      </w:r>
    </w:p>
    <w:p>
      <w:pPr>
        <w:spacing w:after="0" w:line="156" w:lineRule="exact"/>
        <w:rPr>
          <w:rFonts w:ascii="Arial" w:cs="Arial" w:eastAsia="Arial" w:hAnsi="Arial"/>
          <w:sz w:val="15"/>
          <w:szCs w:val="15"/>
          <w:color w:val="auto"/>
        </w:rPr>
      </w:pPr>
    </w:p>
    <w:p>
      <w:pPr>
        <w:jc w:val="both"/>
        <w:ind w:right="20" w:firstLine="569"/>
        <w:spacing w:after="0" w:line="262" w:lineRule="auto"/>
        <w:tabs>
          <w:tab w:leader="none" w:pos="824"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Affiliate Agreements</w:t>
      </w:r>
      <w:r>
        <w:rPr>
          <w:rFonts w:ascii="Arial" w:cs="Arial" w:eastAsia="Arial" w:hAnsi="Arial"/>
          <w:sz w:val="16"/>
          <w:szCs w:val="16"/>
          <w:color w:val="auto"/>
        </w:rPr>
        <w:t>. The Stockholder irrevocably and unconditionally hereby agrees and consents to the termination of all affiliate arrangements indicated for termination as set forth in Schedule 2 hereto, to which the Stockholder is party, effective as of the Effective Time without any liability or obligation to the Company, the Company’s Subsidiaries or Acquiror.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remainder of this page is intentionally left blank.]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31" w:name="page332"/>
    <w:bookmarkEnd w:id="331"/>
    <w:p>
      <w:pPr>
        <w:ind w:right="20" w:firstLine="574"/>
        <w:spacing w:after="0" w:line="275" w:lineRule="auto"/>
        <w:rPr>
          <w:sz w:val="20"/>
          <w:szCs w:val="20"/>
          <w:color w:val="auto"/>
        </w:rPr>
      </w:pPr>
      <w:r>
        <w:rPr>
          <w:rFonts w:ascii="Arial" w:cs="Arial" w:eastAsia="Arial" w:hAnsi="Arial"/>
          <w:sz w:val="16"/>
          <w:szCs w:val="16"/>
          <w:color w:val="auto"/>
        </w:rPr>
        <w:t>IN WITNESS WHEREOF, the parties hereto have caused this Support Agreement to be executed (where applicable, by their respective officers or other authorized Persons thereunto duly authorized) as of the date first written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tbl>
      <w:tblPr>
        <w:tblLayout w:type="fixed"/>
        <w:tblInd w:w="676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Edward Scheetz</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Edward Scheetz</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382"/>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E LA CARTE, INC.</w:t>
            </w:r>
          </w:p>
        </w:tc>
      </w:tr>
      <w:tr>
        <w:trPr>
          <w:trHeight w:val="386"/>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Rajat Suri</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Rajat Suri</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148195" cy="152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32" w:name="page333"/>
    <w:bookmarkEnd w:id="332"/>
    <w:p>
      <w:pPr>
        <w:ind w:left="5640"/>
        <w:spacing w:after="0"/>
        <w:rPr>
          <w:sz w:val="20"/>
          <w:szCs w:val="20"/>
          <w:color w:val="auto"/>
        </w:rPr>
      </w:pPr>
      <w:r>
        <w:rPr>
          <w:rFonts w:ascii="Arial" w:cs="Arial" w:eastAsia="Arial" w:hAnsi="Arial"/>
          <w:sz w:val="16"/>
          <w:szCs w:val="16"/>
          <w:b w:val="1"/>
          <w:bCs w:val="1"/>
          <w:u w:val="single" w:color="auto"/>
          <w:color w:val="auto"/>
        </w:rPr>
        <w:t>STOCKHOLDERS</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RAJAT SURI</w:t>
      </w:r>
    </w:p>
    <w:p>
      <w:pPr>
        <w:spacing w:after="0" w:line="202" w:lineRule="exact"/>
        <w:rPr>
          <w:sz w:val="20"/>
          <w:szCs w:val="20"/>
          <w:color w:val="auto"/>
        </w:rPr>
      </w:pPr>
    </w:p>
    <w:tbl>
      <w:tblPr>
        <w:tblLayout w:type="fixed"/>
        <w:tblInd w:w="564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Rajat Suri</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Rajat Suri</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174"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CAPITAL III, L.P.</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Krishna Gupta</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CAPITAL II, L.P.</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Krishna Gupta</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KKG ENTERPRISES LLC</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Krishna Gupta</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CAPITAL I, L.P.</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Krishna Gupta</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513080</wp:posOffset>
            </wp:positionV>
            <wp:extent cx="7148195" cy="152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333" w:name="page334"/>
    <w:bookmarkEnd w:id="333"/>
    <w:p>
      <w:pPr>
        <w:ind w:left="5640"/>
        <w:spacing w:after="0"/>
        <w:rPr>
          <w:sz w:val="20"/>
          <w:szCs w:val="20"/>
          <w:color w:val="auto"/>
        </w:rPr>
      </w:pPr>
      <w:r>
        <w:rPr>
          <w:rFonts w:ascii="Arial" w:cs="Arial" w:eastAsia="Arial" w:hAnsi="Arial"/>
          <w:sz w:val="15"/>
          <w:szCs w:val="15"/>
          <w:b w:val="1"/>
          <w:bCs w:val="1"/>
          <w:color w:val="auto"/>
        </w:rPr>
        <w:t>ROMULUS ELC B3 SPECIAL OPPORTUNITY, L.P.</w:t>
      </w:r>
    </w:p>
    <w:p>
      <w:pPr>
        <w:spacing w:after="0" w:line="214"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Krishna Gupta</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ZAFFRAN SPECIAL OPPORTUNITIES LLC</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Krishna Gupta</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I2BF GLOBAL INVESTEMNTS LTD.</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Ilya Golubovich</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6"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406400</wp:posOffset>
            </wp:positionV>
            <wp:extent cx="7148195" cy="152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320"/>
          </w:cols>
          <w:pgMar w:left="1440" w:top="815" w:right="113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08"/>
        </w:trPr>
        <w:tc>
          <w:tcPr>
            <w:tcW w:w="4480" w:type="dxa"/>
            <w:vAlign w:val="bottom"/>
          </w:tcPr>
          <w:p>
            <w:pPr>
              <w:spacing w:after="0"/>
              <w:rPr>
                <w:sz w:val="18"/>
                <w:szCs w:val="18"/>
                <w:color w:val="auto"/>
              </w:rPr>
            </w:pPr>
          </w:p>
        </w:tc>
        <w:tc>
          <w:tcPr>
            <w:tcW w:w="3480" w:type="dxa"/>
            <w:vAlign w:val="bottom"/>
          </w:tcPr>
          <w:p>
            <w:pPr>
              <w:ind w:left="780"/>
              <w:spacing w:after="0"/>
              <w:rPr>
                <w:sz w:val="20"/>
                <w:szCs w:val="20"/>
                <w:color w:val="auto"/>
              </w:rPr>
            </w:pPr>
            <w:r>
              <w:rPr>
                <w:rFonts w:ascii="Arial" w:cs="Arial" w:eastAsia="Arial" w:hAnsi="Arial"/>
                <w:sz w:val="16"/>
                <w:szCs w:val="16"/>
                <w:b w:val="1"/>
                <w:bCs w:val="1"/>
                <w:color w:val="auto"/>
              </w:rPr>
              <w:t>Schedule 1</w:t>
            </w:r>
          </w:p>
        </w:tc>
        <w:tc>
          <w:tcPr>
            <w:tcW w:w="3300" w:type="dxa"/>
            <w:vAlign w:val="bottom"/>
          </w:tcPr>
          <w:p>
            <w:pPr>
              <w:spacing w:after="0"/>
              <w:rPr>
                <w:sz w:val="18"/>
                <w:szCs w:val="18"/>
                <w:color w:val="auto"/>
              </w:rPr>
            </w:pPr>
          </w:p>
        </w:tc>
      </w:tr>
      <w:tr>
        <w:trPr>
          <w:trHeight w:val="366"/>
        </w:trPr>
        <w:tc>
          <w:tcPr>
            <w:tcW w:w="44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00" w:type="dxa"/>
            <w:vAlign w:val="bottom"/>
          </w:tcPr>
          <w:p>
            <w:pPr>
              <w:jc w:val="center"/>
              <w:ind w:left="280"/>
              <w:spacing w:after="0"/>
              <w:rPr>
                <w:sz w:val="20"/>
                <w:szCs w:val="20"/>
                <w:color w:val="auto"/>
              </w:rPr>
            </w:pPr>
            <w:r>
              <w:rPr>
                <w:rFonts w:ascii="Arial" w:cs="Arial" w:eastAsia="Arial" w:hAnsi="Arial"/>
                <w:sz w:val="16"/>
                <w:szCs w:val="16"/>
                <w:b w:val="1"/>
                <w:bCs w:val="1"/>
                <w:color w:val="auto"/>
                <w:w w:val="90"/>
              </w:rPr>
              <w:t>Number of Common Shares (Fully</w:t>
            </w:r>
          </w:p>
        </w:tc>
      </w:tr>
      <w:tr>
        <w:trPr>
          <w:trHeight w:val="212"/>
        </w:trPr>
        <w:tc>
          <w:tcPr>
            <w:tcW w:w="448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b w:val="1"/>
                <w:bCs w:val="1"/>
                <w:color w:val="auto"/>
                <w:w w:val="89"/>
              </w:rPr>
              <w:t>Stockholder Name</w:t>
            </w:r>
          </w:p>
        </w:tc>
        <w:tc>
          <w:tcPr>
            <w:tcW w:w="3480" w:type="dxa"/>
            <w:vAlign w:val="bottom"/>
            <w:tcBorders>
              <w:bottom w:val="single" w:sz="8" w:color="auto"/>
            </w:tcBorders>
          </w:tcPr>
          <w:p>
            <w:pPr>
              <w:jc w:val="center"/>
              <w:ind w:left="440"/>
              <w:spacing w:after="0"/>
              <w:rPr>
                <w:sz w:val="20"/>
                <w:szCs w:val="20"/>
                <w:color w:val="auto"/>
              </w:rPr>
            </w:pPr>
            <w:r>
              <w:rPr>
                <w:rFonts w:ascii="Arial" w:cs="Arial" w:eastAsia="Arial" w:hAnsi="Arial"/>
                <w:sz w:val="16"/>
                <w:szCs w:val="16"/>
                <w:b w:val="1"/>
                <w:bCs w:val="1"/>
                <w:color w:val="auto"/>
                <w:w w:val="89"/>
              </w:rPr>
              <w:t>Address / Email Address</w:t>
            </w:r>
          </w:p>
        </w:tc>
        <w:tc>
          <w:tcPr>
            <w:tcW w:w="3300" w:type="dxa"/>
            <w:vAlign w:val="bottom"/>
            <w:tcBorders>
              <w:bottom w:val="single" w:sz="8" w:color="auto"/>
            </w:tcBorders>
          </w:tcPr>
          <w:p>
            <w:pPr>
              <w:jc w:val="center"/>
              <w:ind w:left="300"/>
              <w:spacing w:after="0"/>
              <w:rPr>
                <w:sz w:val="20"/>
                <w:szCs w:val="20"/>
                <w:color w:val="auto"/>
              </w:rPr>
            </w:pPr>
            <w:r>
              <w:rPr>
                <w:rFonts w:ascii="Arial" w:cs="Arial" w:eastAsia="Arial" w:hAnsi="Arial"/>
                <w:sz w:val="16"/>
                <w:szCs w:val="16"/>
                <w:b w:val="1"/>
                <w:bCs w:val="1"/>
                <w:color w:val="auto"/>
                <w:w w:val="93"/>
              </w:rPr>
              <w:t>Diluted)</w:t>
            </w:r>
          </w:p>
        </w:tc>
      </w:tr>
      <w:tr>
        <w:trPr>
          <w:trHeight w:val="191"/>
        </w:trPr>
        <w:tc>
          <w:tcPr>
            <w:tcW w:w="448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91"/>
              </w:rPr>
              <w:t>Rajat Suri</w:t>
            </w:r>
          </w:p>
        </w:tc>
        <w:tc>
          <w:tcPr>
            <w:tcW w:w="348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90"/>
              </w:rPr>
              <w:t>raj@presto.com</w:t>
            </w:r>
          </w:p>
        </w:tc>
        <w:tc>
          <w:tcPr>
            <w:tcW w:w="330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9"/>
              </w:rPr>
              <w:t>9,288,829</w:t>
            </w:r>
          </w:p>
        </w:tc>
      </w:tr>
      <w:tr>
        <w:trPr>
          <w:trHeight w:val="191"/>
        </w:trPr>
        <w:tc>
          <w:tcPr>
            <w:tcW w:w="4480" w:type="dxa"/>
            <w:vAlign w:val="bottom"/>
          </w:tcPr>
          <w:p>
            <w:pPr>
              <w:jc w:val="center"/>
              <w:ind w:left="40"/>
              <w:spacing w:after="0"/>
              <w:rPr>
                <w:sz w:val="20"/>
                <w:szCs w:val="20"/>
                <w:color w:val="auto"/>
              </w:rPr>
            </w:pPr>
            <w:r>
              <w:rPr>
                <w:rFonts w:ascii="Arial" w:cs="Arial" w:eastAsia="Arial" w:hAnsi="Arial"/>
                <w:sz w:val="16"/>
                <w:szCs w:val="16"/>
                <w:color w:val="auto"/>
                <w:w w:val="92"/>
              </w:rPr>
              <w:t>Romulus Capital III, L.P.</w:t>
            </w:r>
          </w:p>
        </w:tc>
        <w:tc>
          <w:tcPr>
            <w:tcW w:w="3480" w:type="dxa"/>
            <w:vAlign w:val="bottom"/>
          </w:tcPr>
          <w:p>
            <w:pPr>
              <w:jc w:val="center"/>
              <w:ind w:left="440"/>
              <w:spacing w:after="0"/>
              <w:rPr>
                <w:sz w:val="20"/>
                <w:szCs w:val="20"/>
                <w:color w:val="auto"/>
              </w:rPr>
            </w:pPr>
            <w:r>
              <w:rPr>
                <w:rFonts w:ascii="Arial" w:cs="Arial" w:eastAsia="Arial" w:hAnsi="Arial"/>
                <w:sz w:val="16"/>
                <w:szCs w:val="16"/>
                <w:color w:val="auto"/>
                <w:w w:val="92"/>
              </w:rPr>
              <w:t>kkg@romulusgroup.com</w:t>
            </w:r>
          </w:p>
        </w:tc>
        <w:tc>
          <w:tcPr>
            <w:tcW w:w="3300" w:type="dxa"/>
            <w:vAlign w:val="bottom"/>
          </w:tcPr>
          <w:p>
            <w:pPr>
              <w:jc w:val="center"/>
              <w:ind w:left="300"/>
              <w:spacing w:after="0"/>
              <w:rPr>
                <w:sz w:val="20"/>
                <w:szCs w:val="20"/>
                <w:color w:val="auto"/>
              </w:rPr>
            </w:pPr>
            <w:r>
              <w:rPr>
                <w:rFonts w:ascii="Arial" w:cs="Arial" w:eastAsia="Arial" w:hAnsi="Arial"/>
                <w:sz w:val="16"/>
                <w:szCs w:val="16"/>
                <w:color w:val="auto"/>
                <w:w w:val="89"/>
              </w:rPr>
              <w:t>9,639,866</w:t>
            </w:r>
          </w:p>
        </w:tc>
      </w:tr>
      <w:tr>
        <w:trPr>
          <w:trHeight w:val="191"/>
        </w:trPr>
        <w:tc>
          <w:tcPr>
            <w:tcW w:w="448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91"/>
              </w:rPr>
              <w:t>Romulus Capital II, L.P.</w:t>
            </w:r>
          </w:p>
        </w:tc>
        <w:tc>
          <w:tcPr>
            <w:tcW w:w="3480" w:type="dxa"/>
            <w:vAlign w:val="bottom"/>
            <w:shd w:val="clear" w:color="auto" w:fill="CCEEFF"/>
          </w:tcPr>
          <w:p>
            <w:pPr>
              <w:jc w:val="center"/>
              <w:ind w:left="440"/>
              <w:spacing w:after="0"/>
              <w:rPr>
                <w:sz w:val="20"/>
                <w:szCs w:val="20"/>
                <w:color w:val="auto"/>
              </w:rPr>
            </w:pPr>
            <w:r>
              <w:rPr>
                <w:rFonts w:ascii="Arial" w:cs="Arial" w:eastAsia="Arial" w:hAnsi="Arial"/>
                <w:sz w:val="16"/>
                <w:szCs w:val="16"/>
                <w:color w:val="auto"/>
                <w:w w:val="92"/>
              </w:rPr>
              <w:t>kkg@romulusgroup.com</w:t>
            </w:r>
          </w:p>
        </w:tc>
        <w:tc>
          <w:tcPr>
            <w:tcW w:w="330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9"/>
              </w:rPr>
              <w:t>4,388,880</w:t>
            </w:r>
          </w:p>
        </w:tc>
      </w:tr>
      <w:tr>
        <w:trPr>
          <w:trHeight w:val="191"/>
        </w:trPr>
        <w:tc>
          <w:tcPr>
            <w:tcW w:w="4480" w:type="dxa"/>
            <w:vAlign w:val="bottom"/>
          </w:tcPr>
          <w:p>
            <w:pPr>
              <w:jc w:val="center"/>
              <w:ind w:left="60"/>
              <w:spacing w:after="0"/>
              <w:rPr>
                <w:sz w:val="20"/>
                <w:szCs w:val="20"/>
                <w:color w:val="auto"/>
              </w:rPr>
            </w:pPr>
            <w:r>
              <w:rPr>
                <w:rFonts w:ascii="Arial" w:cs="Arial" w:eastAsia="Arial" w:hAnsi="Arial"/>
                <w:sz w:val="16"/>
                <w:szCs w:val="16"/>
                <w:color w:val="auto"/>
                <w:w w:val="91"/>
              </w:rPr>
              <w:t>Romulus Capital I, L.P.</w:t>
            </w:r>
          </w:p>
        </w:tc>
        <w:tc>
          <w:tcPr>
            <w:tcW w:w="3480" w:type="dxa"/>
            <w:vAlign w:val="bottom"/>
          </w:tcPr>
          <w:p>
            <w:pPr>
              <w:jc w:val="center"/>
              <w:ind w:left="440"/>
              <w:spacing w:after="0"/>
              <w:rPr>
                <w:sz w:val="20"/>
                <w:szCs w:val="20"/>
                <w:color w:val="auto"/>
              </w:rPr>
            </w:pPr>
            <w:r>
              <w:rPr>
                <w:rFonts w:ascii="Arial" w:cs="Arial" w:eastAsia="Arial" w:hAnsi="Arial"/>
                <w:sz w:val="16"/>
                <w:szCs w:val="16"/>
                <w:color w:val="auto"/>
                <w:w w:val="92"/>
              </w:rPr>
              <w:t>kkg@romulusgroup.com</w:t>
            </w:r>
          </w:p>
        </w:tc>
        <w:tc>
          <w:tcPr>
            <w:tcW w:w="3300" w:type="dxa"/>
            <w:vAlign w:val="bottom"/>
          </w:tcPr>
          <w:p>
            <w:pPr>
              <w:jc w:val="center"/>
              <w:ind w:left="300"/>
              <w:spacing w:after="0"/>
              <w:rPr>
                <w:sz w:val="20"/>
                <w:szCs w:val="20"/>
                <w:color w:val="auto"/>
              </w:rPr>
            </w:pPr>
            <w:r>
              <w:rPr>
                <w:rFonts w:ascii="Arial" w:cs="Arial" w:eastAsia="Arial" w:hAnsi="Arial"/>
                <w:sz w:val="16"/>
                <w:szCs w:val="16"/>
                <w:color w:val="auto"/>
                <w:w w:val="89"/>
              </w:rPr>
              <w:t>291,183</w:t>
            </w:r>
          </w:p>
        </w:tc>
      </w:tr>
      <w:tr>
        <w:trPr>
          <w:trHeight w:val="191"/>
        </w:trPr>
        <w:tc>
          <w:tcPr>
            <w:tcW w:w="448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91"/>
              </w:rPr>
              <w:t>Romulus ELC B3 Special Opportunity, L.P.</w:t>
            </w:r>
          </w:p>
        </w:tc>
        <w:tc>
          <w:tcPr>
            <w:tcW w:w="3480" w:type="dxa"/>
            <w:vAlign w:val="bottom"/>
            <w:shd w:val="clear" w:color="auto" w:fill="CCEEFF"/>
          </w:tcPr>
          <w:p>
            <w:pPr>
              <w:jc w:val="center"/>
              <w:ind w:left="440"/>
              <w:spacing w:after="0"/>
              <w:rPr>
                <w:sz w:val="20"/>
                <w:szCs w:val="20"/>
                <w:color w:val="auto"/>
              </w:rPr>
            </w:pPr>
            <w:r>
              <w:rPr>
                <w:rFonts w:ascii="Arial" w:cs="Arial" w:eastAsia="Arial" w:hAnsi="Arial"/>
                <w:sz w:val="16"/>
                <w:szCs w:val="16"/>
                <w:color w:val="auto"/>
                <w:w w:val="92"/>
              </w:rPr>
              <w:t>kkg@romulusgroup.com</w:t>
            </w:r>
          </w:p>
        </w:tc>
        <w:tc>
          <w:tcPr>
            <w:tcW w:w="330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9"/>
              </w:rPr>
              <w:t>193,648</w:t>
            </w:r>
          </w:p>
        </w:tc>
      </w:tr>
      <w:tr>
        <w:trPr>
          <w:trHeight w:val="191"/>
        </w:trPr>
        <w:tc>
          <w:tcPr>
            <w:tcW w:w="4480" w:type="dxa"/>
            <w:vAlign w:val="bottom"/>
          </w:tcPr>
          <w:p>
            <w:pPr>
              <w:jc w:val="center"/>
              <w:ind w:left="40"/>
              <w:spacing w:after="0"/>
              <w:rPr>
                <w:sz w:val="20"/>
                <w:szCs w:val="20"/>
                <w:color w:val="auto"/>
              </w:rPr>
            </w:pPr>
            <w:r>
              <w:rPr>
                <w:rFonts w:ascii="Arial" w:cs="Arial" w:eastAsia="Arial" w:hAnsi="Arial"/>
                <w:sz w:val="16"/>
                <w:szCs w:val="16"/>
                <w:color w:val="auto"/>
                <w:w w:val="92"/>
              </w:rPr>
              <w:t>Zaffran Special Opportunities LLC</w:t>
            </w:r>
          </w:p>
        </w:tc>
        <w:tc>
          <w:tcPr>
            <w:tcW w:w="3480" w:type="dxa"/>
            <w:vAlign w:val="bottom"/>
          </w:tcPr>
          <w:p>
            <w:pPr>
              <w:jc w:val="center"/>
              <w:ind w:left="440"/>
              <w:spacing w:after="0"/>
              <w:rPr>
                <w:sz w:val="20"/>
                <w:szCs w:val="20"/>
                <w:color w:val="auto"/>
              </w:rPr>
            </w:pPr>
            <w:r>
              <w:rPr>
                <w:rFonts w:ascii="Arial" w:cs="Arial" w:eastAsia="Arial" w:hAnsi="Arial"/>
                <w:sz w:val="16"/>
                <w:szCs w:val="16"/>
                <w:color w:val="auto"/>
                <w:w w:val="92"/>
              </w:rPr>
              <w:t>kkg@romulusgroup.com</w:t>
            </w:r>
          </w:p>
        </w:tc>
        <w:tc>
          <w:tcPr>
            <w:tcW w:w="3300" w:type="dxa"/>
            <w:vAlign w:val="bottom"/>
          </w:tcPr>
          <w:p>
            <w:pPr>
              <w:jc w:val="center"/>
              <w:ind w:left="300"/>
              <w:spacing w:after="0"/>
              <w:rPr>
                <w:sz w:val="20"/>
                <w:szCs w:val="20"/>
                <w:color w:val="auto"/>
              </w:rPr>
            </w:pPr>
            <w:r>
              <w:rPr>
                <w:rFonts w:ascii="Arial" w:cs="Arial" w:eastAsia="Arial" w:hAnsi="Arial"/>
                <w:sz w:val="16"/>
                <w:szCs w:val="16"/>
                <w:color w:val="auto"/>
                <w:w w:val="89"/>
              </w:rPr>
              <w:t>776,092</w:t>
            </w:r>
          </w:p>
        </w:tc>
      </w:tr>
      <w:tr>
        <w:trPr>
          <w:trHeight w:val="191"/>
        </w:trPr>
        <w:tc>
          <w:tcPr>
            <w:tcW w:w="448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94"/>
              </w:rPr>
              <w:t>KKG Enterprises LLC</w:t>
            </w:r>
          </w:p>
        </w:tc>
        <w:tc>
          <w:tcPr>
            <w:tcW w:w="3480" w:type="dxa"/>
            <w:vAlign w:val="bottom"/>
            <w:shd w:val="clear" w:color="auto" w:fill="CCEEFF"/>
          </w:tcPr>
          <w:p>
            <w:pPr>
              <w:jc w:val="center"/>
              <w:ind w:left="440"/>
              <w:spacing w:after="0"/>
              <w:rPr>
                <w:sz w:val="20"/>
                <w:szCs w:val="20"/>
                <w:color w:val="auto"/>
              </w:rPr>
            </w:pPr>
            <w:r>
              <w:rPr>
                <w:rFonts w:ascii="Arial" w:cs="Arial" w:eastAsia="Arial" w:hAnsi="Arial"/>
                <w:sz w:val="16"/>
                <w:szCs w:val="16"/>
                <w:color w:val="auto"/>
                <w:w w:val="92"/>
              </w:rPr>
              <w:t>kkg@romulusgroup.com</w:t>
            </w:r>
          </w:p>
        </w:tc>
        <w:tc>
          <w:tcPr>
            <w:tcW w:w="330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9"/>
              </w:rPr>
              <w:t>345,318</w:t>
            </w:r>
          </w:p>
        </w:tc>
      </w:tr>
      <w:tr>
        <w:trPr>
          <w:trHeight w:val="204"/>
        </w:trPr>
        <w:tc>
          <w:tcPr>
            <w:tcW w:w="4480" w:type="dxa"/>
            <w:vAlign w:val="bottom"/>
          </w:tcPr>
          <w:p>
            <w:pPr>
              <w:jc w:val="center"/>
              <w:ind w:left="60"/>
              <w:spacing w:after="0"/>
              <w:rPr>
                <w:sz w:val="20"/>
                <w:szCs w:val="20"/>
                <w:color w:val="auto"/>
              </w:rPr>
            </w:pPr>
            <w:r>
              <w:rPr>
                <w:rFonts w:ascii="Arial" w:cs="Arial" w:eastAsia="Arial" w:hAnsi="Arial"/>
                <w:sz w:val="16"/>
                <w:szCs w:val="16"/>
                <w:color w:val="auto"/>
                <w:w w:val="92"/>
              </w:rPr>
              <w:t>I2BF Global Investments Ltd.</w:t>
            </w:r>
          </w:p>
        </w:tc>
        <w:tc>
          <w:tcPr>
            <w:tcW w:w="3480" w:type="dxa"/>
            <w:vAlign w:val="bottom"/>
          </w:tcPr>
          <w:p>
            <w:pPr>
              <w:jc w:val="center"/>
              <w:ind w:left="440"/>
              <w:spacing w:after="0"/>
              <w:rPr>
                <w:sz w:val="20"/>
                <w:szCs w:val="20"/>
                <w:color w:val="auto"/>
              </w:rPr>
            </w:pPr>
            <w:r>
              <w:rPr>
                <w:rFonts w:ascii="Arial" w:cs="Arial" w:eastAsia="Arial" w:hAnsi="Arial"/>
                <w:sz w:val="16"/>
                <w:szCs w:val="16"/>
                <w:color w:val="auto"/>
                <w:w w:val="94"/>
              </w:rPr>
              <w:t>ilyag@i2bf.com</w:t>
            </w:r>
          </w:p>
        </w:tc>
        <w:tc>
          <w:tcPr>
            <w:tcW w:w="3300" w:type="dxa"/>
            <w:vAlign w:val="bottom"/>
          </w:tcPr>
          <w:p>
            <w:pPr>
              <w:jc w:val="center"/>
              <w:ind w:left="300"/>
              <w:spacing w:after="0"/>
              <w:rPr>
                <w:sz w:val="20"/>
                <w:szCs w:val="20"/>
                <w:color w:val="auto"/>
              </w:rPr>
            </w:pPr>
            <w:r>
              <w:rPr>
                <w:rFonts w:ascii="Arial" w:cs="Arial" w:eastAsia="Arial" w:hAnsi="Arial"/>
                <w:sz w:val="16"/>
                <w:szCs w:val="16"/>
                <w:color w:val="auto"/>
                <w:w w:val="89"/>
              </w:rPr>
              <w:t>4,536,237</w:t>
            </w:r>
          </w:p>
        </w:tc>
      </w:tr>
      <w:tr>
        <w:trPr>
          <w:trHeight w:val="613"/>
        </w:trPr>
        <w:tc>
          <w:tcPr>
            <w:tcW w:w="44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335" w:name="page336"/>
    <w:bookmarkEnd w:id="335"/>
    <w:p>
      <w:pPr>
        <w:jc w:val="center"/>
        <w:ind w:right="-3"/>
        <w:spacing w:after="0"/>
        <w:rPr>
          <w:sz w:val="20"/>
          <w:szCs w:val="20"/>
          <w:color w:val="auto"/>
        </w:rPr>
      </w:pPr>
      <w:r>
        <w:rPr>
          <w:rFonts w:ascii="Arial" w:cs="Arial" w:eastAsia="Arial" w:hAnsi="Arial"/>
          <w:sz w:val="16"/>
          <w:szCs w:val="16"/>
          <w:b w:val="1"/>
          <w:bCs w:val="1"/>
          <w:color w:val="auto"/>
        </w:rPr>
        <w:t>Schedule 2</w:t>
      </w:r>
    </w:p>
    <w:p>
      <w:pPr>
        <w:spacing w:after="0" w:line="190" w:lineRule="exact"/>
        <w:rPr>
          <w:sz w:val="20"/>
          <w:szCs w:val="20"/>
          <w:color w:val="auto"/>
        </w:rPr>
      </w:pPr>
    </w:p>
    <w:p>
      <w:pPr>
        <w:ind w:left="164" w:hanging="164"/>
        <w:spacing w:after="0"/>
        <w:tabs>
          <w:tab w:leader="none" w:pos="164"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Third Amended and Restated Investors’ Rights Agreement, dated as of January 6, 2020, by and among the Company and the Investors (as defined therein)</w:t>
      </w:r>
    </w:p>
    <w:p>
      <w:pPr>
        <w:spacing w:after="0" w:line="198" w:lineRule="exact"/>
        <w:rPr>
          <w:rFonts w:ascii="Arial" w:cs="Arial" w:eastAsia="Arial" w:hAnsi="Arial"/>
          <w:sz w:val="16"/>
          <w:szCs w:val="16"/>
          <w:color w:val="auto"/>
        </w:rPr>
      </w:pPr>
    </w:p>
    <w:p>
      <w:pPr>
        <w:ind w:left="164" w:hanging="164"/>
        <w:spacing w:after="0"/>
        <w:tabs>
          <w:tab w:leader="none" w:pos="164" w:val="left"/>
        </w:tabs>
        <w:numPr>
          <w:ilvl w:val="0"/>
          <w:numId w:val="329"/>
        </w:numPr>
        <w:rPr>
          <w:rFonts w:ascii="Arial" w:cs="Arial" w:eastAsia="Arial" w:hAnsi="Arial"/>
          <w:sz w:val="15"/>
          <w:szCs w:val="15"/>
          <w:color w:val="auto"/>
        </w:rPr>
      </w:pPr>
      <w:r>
        <w:rPr>
          <w:rFonts w:ascii="Arial" w:cs="Arial" w:eastAsia="Arial" w:hAnsi="Arial"/>
          <w:sz w:val="15"/>
          <w:szCs w:val="15"/>
          <w:color w:val="auto"/>
        </w:rPr>
        <w:t>Third Amended and Restated Voting and Drag-Along Agreement, dated as of January 6, 2020, by and among the Company and the Stockholders (as defined therein)</w:t>
      </w:r>
    </w:p>
    <w:p>
      <w:pPr>
        <w:spacing w:after="0" w:line="209" w:lineRule="exact"/>
        <w:rPr>
          <w:rFonts w:ascii="Arial" w:cs="Arial" w:eastAsia="Arial" w:hAnsi="Arial"/>
          <w:sz w:val="15"/>
          <w:szCs w:val="15"/>
          <w:color w:val="auto"/>
        </w:rPr>
      </w:pPr>
    </w:p>
    <w:p>
      <w:pPr>
        <w:ind w:left="4" w:hanging="4"/>
        <w:spacing w:after="0" w:line="275" w:lineRule="auto"/>
        <w:tabs>
          <w:tab w:leader="none" w:pos="16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Third Amended and Restated Right of First Refusal and Co-Sale Agreement, dated as of January 6, 2020 by and among the Company, the Key Holders (as defined therein) and the Investors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7148195" cy="152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6" w:right="3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6"/>
          <w:szCs w:val="16"/>
          <w:b w:val="1"/>
          <w:bCs w:val="1"/>
          <w:color w:val="auto"/>
        </w:rPr>
        <w:t>Exhibit 10.7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GOVERNANCE AGREEMENT</w:t>
      </w:r>
    </w:p>
    <w:p>
      <w:pPr>
        <w:spacing w:after="0" w:line="198" w:lineRule="exact"/>
        <w:rPr>
          <w:sz w:val="20"/>
          <w:szCs w:val="20"/>
          <w:color w:val="auto"/>
        </w:rPr>
      </w:pPr>
    </w:p>
    <w:p>
      <w:pPr>
        <w:jc w:val="both"/>
        <w:ind w:firstLine="574"/>
        <w:spacing w:after="0" w:line="282" w:lineRule="auto"/>
        <w:rPr>
          <w:sz w:val="20"/>
          <w:szCs w:val="20"/>
          <w:color w:val="auto"/>
        </w:rPr>
      </w:pPr>
      <w:r>
        <w:rPr>
          <w:rFonts w:ascii="Arial" w:cs="Arial" w:eastAsia="Arial" w:hAnsi="Arial"/>
          <w:sz w:val="15"/>
          <w:szCs w:val="15"/>
          <w:b w:val="1"/>
          <w:bCs w:val="1"/>
          <w:color w:val="auto"/>
        </w:rPr>
        <w:t>THIS GOVERNANCE AGREEMENT</w:t>
      </w:r>
      <w:r>
        <w:rPr>
          <w:rFonts w:ascii="Arial" w:cs="Arial" w:eastAsia="Arial" w:hAnsi="Arial"/>
          <w:sz w:val="15"/>
          <w:szCs w:val="15"/>
          <w:color w:val="auto"/>
        </w:rPr>
        <w:t>, dated as of [ ● ], 2022, is entered into by and among (i) [</w:t>
      </w:r>
      <w:r>
        <w:rPr>
          <w:rFonts w:ascii="Arial" w:cs="Arial" w:eastAsia="Arial" w:hAnsi="Arial"/>
          <w:sz w:val="15"/>
          <w:szCs w:val="15"/>
          <w:i w:val="1"/>
          <w:iCs w:val="1"/>
          <w:color w:val="auto"/>
        </w:rPr>
        <w:t>Name of Combined Company</w:t>
      </w:r>
      <w:r>
        <w:rPr>
          <w:rFonts w:ascii="Arial" w:cs="Arial" w:eastAsia="Arial" w:hAnsi="Arial"/>
          <w:sz w:val="15"/>
          <w:szCs w:val="15"/>
          <w:color w:val="auto"/>
        </w:rPr>
        <w:t>], a Delaware corporation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(ii) the REMUS Stockholders (as defined herein), (iii) Rajat Suri (“</w:t>
      </w:r>
      <w:r>
        <w:rPr>
          <w:rFonts w:ascii="Arial" w:cs="Arial" w:eastAsia="Arial" w:hAnsi="Arial"/>
          <w:sz w:val="15"/>
          <w:szCs w:val="15"/>
          <w:u w:val="single" w:color="auto"/>
          <w:color w:val="auto"/>
        </w:rPr>
        <w:t>Chief Executive Officer</w:t>
      </w:r>
      <w:r>
        <w:rPr>
          <w:rFonts w:ascii="Arial" w:cs="Arial" w:eastAsia="Arial" w:hAnsi="Arial"/>
          <w:sz w:val="15"/>
          <w:szCs w:val="15"/>
          <w:color w:val="auto"/>
        </w:rPr>
        <w:t>,” together with the REMUS Stockholders, collectively, the “</w:t>
      </w:r>
      <w:r>
        <w:rPr>
          <w:rFonts w:ascii="Arial" w:cs="Arial" w:eastAsia="Arial" w:hAnsi="Arial"/>
          <w:sz w:val="15"/>
          <w:szCs w:val="15"/>
          <w:u w:val="single" w:color="auto"/>
          <w:color w:val="auto"/>
        </w:rPr>
        <w:t>Principal</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Stockholders</w:t>
      </w:r>
      <w:r>
        <w:rPr>
          <w:rFonts w:ascii="Arial" w:cs="Arial" w:eastAsia="Arial" w:hAnsi="Arial"/>
          <w:sz w:val="15"/>
          <w:szCs w:val="15"/>
          <w:color w:val="auto"/>
        </w:rPr>
        <w:t>” and each a “</w:t>
      </w:r>
      <w:r>
        <w:rPr>
          <w:rFonts w:ascii="Arial" w:cs="Arial" w:eastAsia="Arial" w:hAnsi="Arial"/>
          <w:sz w:val="15"/>
          <w:szCs w:val="15"/>
          <w:u w:val="single" w:color="auto"/>
          <w:color w:val="auto"/>
        </w:rPr>
        <w:t>Principal Stockholder</w:t>
      </w:r>
      <w:r>
        <w:rPr>
          <w:rFonts w:ascii="Arial" w:cs="Arial" w:eastAsia="Arial" w:hAnsi="Arial"/>
          <w:sz w:val="15"/>
          <w:szCs w:val="15"/>
          <w:color w:val="auto"/>
        </w:rPr>
        <w:t xml:space="preserve">”) and (iv) solely for purposes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III</w:t>
      </w:r>
      <w:r>
        <w:rPr>
          <w:rFonts w:ascii="Arial" w:cs="Arial" w:eastAsia="Arial" w:hAnsi="Arial"/>
          <w:sz w:val="15"/>
          <w:szCs w:val="15"/>
          <w:color w:val="auto"/>
        </w:rPr>
        <w:t>, I2BF Global Investments Ltd., a Cayman Islands exempted company (“</w:t>
      </w:r>
      <w:r>
        <w:rPr>
          <w:rFonts w:ascii="Arial" w:cs="Arial" w:eastAsia="Arial" w:hAnsi="Arial"/>
          <w:sz w:val="15"/>
          <w:szCs w:val="15"/>
          <w:u w:val="single" w:color="auto"/>
          <w:color w:val="auto"/>
        </w:rPr>
        <w:t>I2BF</w:t>
      </w:r>
      <w:r>
        <w:rPr>
          <w:rFonts w:ascii="Arial" w:cs="Arial" w:eastAsia="Arial" w:hAnsi="Arial"/>
          <w:sz w:val="15"/>
          <w:szCs w:val="15"/>
          <w:color w:val="auto"/>
        </w:rPr>
        <w:t xml:space="preserve">”). Capitalized terms used herein without definition shall have the meanings set forth in </w:t>
      </w:r>
      <w:r>
        <w:rPr>
          <w:rFonts w:ascii="Arial" w:cs="Arial" w:eastAsia="Arial" w:hAnsi="Arial"/>
          <w:sz w:val="15"/>
          <w:szCs w:val="15"/>
          <w:u w:val="single" w:color="auto"/>
          <w:color w:val="auto"/>
        </w:rPr>
        <w:t>Section 1.1</w:t>
      </w:r>
      <w:r>
        <w:rPr>
          <w:rFonts w:ascii="Arial" w:cs="Arial" w:eastAsia="Arial" w:hAnsi="Arial"/>
          <w:sz w:val="15"/>
          <w:szCs w:val="15"/>
          <w:color w:val="auto"/>
        </w:rPr>
        <w:t>.</w:t>
      </w:r>
    </w:p>
    <w:p>
      <w:pPr>
        <w:spacing w:after="0" w:line="145" w:lineRule="exact"/>
        <w:rPr>
          <w:sz w:val="20"/>
          <w:szCs w:val="20"/>
          <w:color w:val="auto"/>
        </w:rPr>
      </w:pPr>
    </w:p>
    <w:p>
      <w:pPr>
        <w:jc w:val="center"/>
        <w:ind w:left="560"/>
        <w:spacing w:after="0"/>
        <w:rPr>
          <w:sz w:val="20"/>
          <w:szCs w:val="20"/>
          <w:color w:val="auto"/>
        </w:rPr>
      </w:pPr>
      <w:r>
        <w:rPr>
          <w:rFonts w:ascii="Arial" w:cs="Arial" w:eastAsia="Arial" w:hAnsi="Arial"/>
          <w:sz w:val="16"/>
          <w:szCs w:val="16"/>
          <w:b w:val="1"/>
          <w:bCs w:val="1"/>
          <w:color w:val="auto"/>
        </w:rPr>
        <w:t>WITNESSETH:</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WHEREAS, E La Carte, Inc. entered into that certain Agreement and Plan of Merger, dated as of 10, 2021 (as amended or supplemented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with Ventoux CCM Acquisition Corp. (“</w:t>
      </w:r>
      <w:r>
        <w:rPr>
          <w:rFonts w:ascii="Arial" w:cs="Arial" w:eastAsia="Arial" w:hAnsi="Arial"/>
          <w:sz w:val="16"/>
          <w:szCs w:val="16"/>
          <w:u w:val="single" w:color="auto"/>
          <w:color w:val="auto"/>
        </w:rPr>
        <w:t>Ventoux</w:t>
      </w:r>
      <w:r>
        <w:rPr>
          <w:rFonts w:ascii="Arial" w:cs="Arial" w:eastAsia="Arial" w:hAnsi="Arial"/>
          <w:sz w:val="16"/>
          <w:szCs w:val="16"/>
          <w:color w:val="auto"/>
        </w:rPr>
        <w:t>”), Ventoux Merger Sub Inc., a Delaware corporation and a direct, wholly-owned subsidiary of Ventoux, and Ventoux Merger Sub II LLC, a Delaware limited liability company and a direct, wholly-owned subsidiary of Ventoux;</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on the date hereof, the parties to the Merger Agreement consummated the transactions contemplated by the Merger Agreement (the “</w:t>
      </w:r>
      <w:r>
        <w:rPr>
          <w:rFonts w:ascii="Arial" w:cs="Arial" w:eastAsia="Arial" w:hAnsi="Arial"/>
          <w:sz w:val="16"/>
          <w:szCs w:val="16"/>
          <w:u w:val="single" w:color="auto"/>
          <w:color w:val="auto"/>
        </w:rPr>
        <w:t>Merger</w:t>
      </w:r>
      <w:r>
        <w:rPr>
          <w:rFonts w:ascii="Arial" w:cs="Arial" w:eastAsia="Arial" w:hAnsi="Arial"/>
          <w:sz w:val="16"/>
          <w:szCs w:val="16"/>
          <w:color w:val="auto"/>
        </w:rPr>
        <w:t>”), and the Principal Stockholders received shares of common stock, par value $0.0001 per share, of the Company (“</w:t>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immediately after the completion of the Merger, the Principal Stockholders will own approximately [●]% of the issued and outstanding Company Shares (as defined below); and</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WHEREAS, the parties hereto desire to provide for certain governance rights and other matters for the period on and after the effective time of the Merger.</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NOW, THEREFORE, in consideration of the mutual agreements and understandings set forth herein, the parties hereto hereby agree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DEFINITIONS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shall have the following respective meanings:</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any Person, any Person directly or indirectly controlling, controlled by or under common control with such first Person. For these purposes, (i) “control” means the possession, direct or indirect, of the power to direct or cause the direction of the management and policies of such Person, whether through ownership of voting securities, by contract or otherwise, and (ii) a Person shall be deemed to be an Affiliate of another Person if such Person has formed a “group” (within the meaning of Section 13(d) of the Securities Exchange Act of 1934, as amended) for the purpose of acquiring, holding, voting or disposing of voting securities of the Company.</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shall mean this Governance Agreement as in effect on the date hereof and as hereafter from time to time amended, modified or supplemented in accordance with the terms hereof.</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Designees</w:t>
      </w:r>
      <w:r>
        <w:rPr>
          <w:rFonts w:ascii="Arial" w:cs="Arial" w:eastAsia="Arial" w:hAnsi="Arial"/>
          <w:sz w:val="16"/>
          <w:szCs w:val="16"/>
          <w:color w:val="auto"/>
        </w:rPr>
        <w:t xml:space="preserve">” shall mean the directors designated by the Principal Stockholders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shall mean the Board of Directors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148195" cy="152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37" w:name="page338"/>
    <w:bookmarkEnd w:id="337"/>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Chief Executive Officer Designee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2.1(c)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shall have the meaning set forth in the recitals.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have the meaning set forth in the preamble.</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Shares</w:t>
      </w:r>
      <w:r>
        <w:rPr>
          <w:rFonts w:ascii="Arial" w:cs="Arial" w:eastAsia="Arial" w:hAnsi="Arial"/>
          <w:sz w:val="16"/>
          <w:szCs w:val="16"/>
          <w:color w:val="auto"/>
        </w:rPr>
        <w:t>” means (i) all shares of Common Stock that are not then subject to vesting (including shares that were at one time subject to vesting to the extent they have vested), (ii) all shares of Common Stock issuable upon exercise, conversion or exchange of any option, warrant or convertible security that are not then subject to vesting (including shares that were at one time subject to vesting to the extent they have vested) and (iii) all shares of Common Stock directly or indirectly issued or issuable with respect to the securities referred to in clauses (i) or (ii) above by way of unit or stock dividend or unit or stock split, or in connection with a combination of units or shares, recapitalization, merger, consolidation or other reorganization.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w:t>
      </w:r>
      <w:r>
        <w:rPr>
          <w:rFonts w:ascii="Arial" w:cs="Arial" w:eastAsia="Arial" w:hAnsi="Arial"/>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Agreement</w:t>
      </w:r>
      <w:r>
        <w:rPr>
          <w:rFonts w:ascii="Arial" w:cs="Arial" w:eastAsia="Arial" w:hAnsi="Arial"/>
          <w:sz w:val="16"/>
          <w:szCs w:val="16"/>
          <w:color w:val="auto"/>
        </w:rPr>
        <w:t>” shall have the meaning set forth in the preamble.</w:t>
      </w:r>
    </w:p>
    <w:p>
      <w:pPr>
        <w:spacing w:after="0" w:line="198"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Necessary Action</w:t>
      </w:r>
      <w:r>
        <w:rPr>
          <w:rFonts w:ascii="Arial" w:cs="Arial" w:eastAsia="Arial" w:hAnsi="Arial"/>
          <w:sz w:val="14"/>
          <w:szCs w:val="14"/>
          <w:color w:val="auto"/>
        </w:rPr>
        <w:t xml:space="preserve">” means, with respect to a specified result, all commercially reasonable actions required to cause such result that are within the power of a specified Person, including (i) voting or providing a written consent or proxy with respect to the Company Shares, (ii) causing the adoption of stockholders’ resolutions and amendments to the organizational documents of the Company, (iii) executing agreements and instruments, (iv) making, or causing to be made, with governmental, administrative or regulatory authorities, all filings, registrations or similar actions that are required to achieve such result and (v) causing members of the Board of Directors, subject to any fiduciary duties that such members may have as directors of the Company (including pursuant to </w:t>
      </w:r>
      <w:r>
        <w:rPr>
          <w:rFonts w:ascii="Arial" w:cs="Arial" w:eastAsia="Arial" w:hAnsi="Arial"/>
          <w:sz w:val="14"/>
          <w:szCs w:val="14"/>
          <w:u w:val="single" w:color="auto"/>
          <w:color w:val="auto"/>
        </w:rPr>
        <w:t>Section 2.1(e)</w:t>
      </w:r>
      <w:r>
        <w:rPr>
          <w:rFonts w:ascii="Arial" w:cs="Arial" w:eastAsia="Arial" w:hAnsi="Arial"/>
          <w:sz w:val="14"/>
          <w:szCs w:val="14"/>
          <w:color w:val="auto"/>
        </w:rPr>
        <w:t>), to act in a certain manner, including causing members of the Board of Directors or any nominating or similar committee of the Board of Directors to recommend the appointment of any Board Designees as provided by this Agreement.</w:t>
      </w:r>
    </w:p>
    <w:p>
      <w:pPr>
        <w:spacing w:after="0" w:line="143"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corporation, company, limited liability company, association, partnership, joint venture, organization, business, trust or any other entity or organization, including a government or any subdivision or agency thereof.</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Stockholders</w:t>
      </w:r>
      <w:r>
        <w:rPr>
          <w:rFonts w:ascii="Arial" w:cs="Arial" w:eastAsia="Arial" w:hAnsi="Arial"/>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REMUS Designee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2.1(b)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REMUS Stockholders</w:t>
      </w:r>
      <w:r>
        <w:rPr>
          <w:rFonts w:ascii="Arial" w:cs="Arial" w:eastAsia="Arial" w:hAnsi="Arial"/>
          <w:sz w:val="16"/>
          <w:szCs w:val="16"/>
          <w:color w:val="auto"/>
        </w:rPr>
        <w:t>” means, collectively, those entities set forth under the heading “REMUS Stockholders” on the signature pages hereto.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CORPORATE GOVERNANCE</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3" w:lineRule="auto"/>
        <w:tabs>
          <w:tab w:leader="none" w:pos="1387"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Composition of Initial Board</w:t>
      </w:r>
      <w:r>
        <w:rPr>
          <w:rFonts w:ascii="Arial" w:cs="Arial" w:eastAsia="Arial" w:hAnsi="Arial"/>
          <w:sz w:val="16"/>
          <w:szCs w:val="16"/>
          <w:color w:val="auto"/>
        </w:rPr>
        <w:t>. The Company and the Principal Stockholders shall take all Necessary Action to cause the Board of Directors to be comprised of seven directors. The initial members of the Board of Directors shall be (i) Krishna Gupta, whom shall be deemed to have been designated by the REMUS Stockholders, (ii) Rajat Suri, whom shall be deemed to have been designated by the Chief Executive Officer, and (iii) Ed Scheetz, Gail Zauder, Ilya Golubovich, Kim Axel Lopdrup and Blythe McGarvie. Krishna Gupta shall initially serve as the Chairperson of the Board of Directors and shall continue in such role after the 2022 annual meeting of stockholders until the earlier of (1) such time as he is no longer a director of the Company, and (2) the succeeding annual meeting of stockholders of the Company at which the class of directors of which he is a member is subject to reelection. The foregoing directors shall be divided into three classes of directors, each of whose members shall serve for staggered three-year terms as follows:</w:t>
      </w:r>
    </w:p>
    <w:p>
      <w:pPr>
        <w:spacing w:after="0" w:line="171" w:lineRule="exact"/>
        <w:rPr>
          <w:rFonts w:ascii="Arial" w:cs="Arial" w:eastAsia="Arial" w:hAnsi="Arial"/>
          <w:sz w:val="16"/>
          <w:szCs w:val="16"/>
          <w:color w:val="auto"/>
        </w:rPr>
      </w:pPr>
    </w:p>
    <w:p>
      <w:pPr>
        <w:ind w:left="1900" w:hanging="184"/>
        <w:spacing w:after="0"/>
        <w:tabs>
          <w:tab w:leader="none" w:pos="1900" w:val="left"/>
        </w:tabs>
        <w:numPr>
          <w:ilvl w:val="1"/>
          <w:numId w:val="330"/>
        </w:numPr>
        <w:rPr>
          <w:rFonts w:ascii="Arial" w:cs="Arial" w:eastAsia="Arial" w:hAnsi="Arial"/>
          <w:sz w:val="16"/>
          <w:szCs w:val="16"/>
          <w:color w:val="auto"/>
        </w:rPr>
      </w:pPr>
      <w:r>
        <w:rPr>
          <w:rFonts w:ascii="Arial" w:cs="Arial" w:eastAsia="Arial" w:hAnsi="Arial"/>
          <w:sz w:val="16"/>
          <w:szCs w:val="16"/>
          <w:color w:val="auto"/>
        </w:rPr>
        <w:t>the Class I directors shall initially be Krishna Gupta, Ed Scheetz and Gail Zauder;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38" w:name="page339"/>
    <w:bookmarkEnd w:id="338"/>
    <w:p>
      <w:pPr>
        <w:ind w:left="1960" w:hanging="244"/>
        <w:spacing w:after="0"/>
        <w:tabs>
          <w:tab w:leader="none" w:pos="196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Class II directors shall initially be Ilya Golubovich and the Chief Executive Officer; and</w:t>
      </w:r>
    </w:p>
    <w:p>
      <w:pPr>
        <w:spacing w:after="0" w:line="198" w:lineRule="exact"/>
        <w:rPr>
          <w:rFonts w:ascii="Arial" w:cs="Arial" w:eastAsia="Arial" w:hAnsi="Arial"/>
          <w:sz w:val="16"/>
          <w:szCs w:val="16"/>
          <w:color w:val="auto"/>
        </w:rPr>
      </w:pPr>
    </w:p>
    <w:p>
      <w:pPr>
        <w:ind w:left="2000" w:hanging="284"/>
        <w:spacing w:after="0"/>
        <w:tabs>
          <w:tab w:leader="none" w:pos="200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Class III directors shall initially be Kim Axel Lopdrup and Blythe McGarvie.</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332"/>
        </w:numPr>
        <w:rPr>
          <w:rFonts w:ascii="Arial" w:cs="Arial" w:eastAsia="Arial" w:hAnsi="Arial"/>
          <w:sz w:val="15"/>
          <w:szCs w:val="15"/>
          <w:color w:val="auto"/>
        </w:rPr>
      </w:pPr>
      <w:r>
        <w:rPr>
          <w:rFonts w:ascii="Arial" w:cs="Arial" w:eastAsia="Arial" w:hAnsi="Arial"/>
          <w:sz w:val="15"/>
          <w:szCs w:val="15"/>
          <w:u w:val="single" w:color="auto"/>
          <w:color w:val="auto"/>
        </w:rPr>
        <w:t>Board Size</w:t>
      </w:r>
      <w:r>
        <w:rPr>
          <w:rFonts w:ascii="Arial" w:cs="Arial" w:eastAsia="Arial" w:hAnsi="Arial"/>
          <w:sz w:val="15"/>
          <w:szCs w:val="15"/>
          <w:color w:val="auto"/>
        </w:rPr>
        <w:t>. Any change to the size of the Board of Directors must be authorized by the affirmative vote of a majority of the entire Board of Directors.</w:t>
      </w:r>
    </w:p>
    <w:p>
      <w:pPr>
        <w:spacing w:after="0" w:line="209" w:lineRule="exact"/>
        <w:rPr>
          <w:rFonts w:ascii="Arial" w:cs="Arial" w:eastAsia="Arial" w:hAnsi="Arial"/>
          <w:sz w:val="15"/>
          <w:szCs w:val="15"/>
          <w:color w:val="auto"/>
        </w:rPr>
      </w:pPr>
    </w:p>
    <w:p>
      <w:pPr>
        <w:jc w:val="both"/>
        <w:ind w:right="20" w:firstLine="1143"/>
        <w:spacing w:after="0" w:line="255" w:lineRule="auto"/>
        <w:tabs>
          <w:tab w:leader="none" w:pos="1372"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2(b)(i)</w:t>
      </w:r>
      <w:r>
        <w:rPr>
          <w:rFonts w:ascii="Arial" w:cs="Arial" w:eastAsia="Arial" w:hAnsi="Arial"/>
          <w:sz w:val="16"/>
          <w:szCs w:val="16"/>
          <w:color w:val="auto"/>
        </w:rPr>
        <w:t>, Class I directors shall be nominated for reelection by stockholders at the 2022 annual meeting of stockholders and shall hold office until the annual meeting of stockholders in 2025 or until their earlier resignation, removal or death. Class II directors shall be nominated for reelection by the stockholders at the 2023 annual meeting of stockholders and shall hold office until the annual meeting of stockholders in 2026 or until their earlier resignation, removal or death. Class III directors shall be nominated for reelection by the stockholders at the 2024 annual meeting of stockholders and shall and shall hold office until the annual meeting of stockholders in 2027 or until their earlier resignation, removal or death.</w:t>
      </w:r>
    </w:p>
    <w:p>
      <w:pPr>
        <w:spacing w:after="0" w:line="169" w:lineRule="exact"/>
        <w:rPr>
          <w:rFonts w:ascii="Arial" w:cs="Arial" w:eastAsia="Arial" w:hAnsi="Arial"/>
          <w:sz w:val="16"/>
          <w:szCs w:val="16"/>
          <w:color w:val="auto"/>
        </w:rPr>
      </w:pPr>
    </w:p>
    <w:p>
      <w:pPr>
        <w:ind w:left="1360" w:hanging="217"/>
        <w:spacing w:after="0"/>
        <w:tabs>
          <w:tab w:leader="none" w:pos="1360"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REMUS Representation</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716"/>
        <w:spacing w:after="0" w:line="276" w:lineRule="auto"/>
        <w:tabs>
          <w:tab w:leader="none" w:pos="1921" w:val="left"/>
        </w:tabs>
        <w:numPr>
          <w:ilvl w:val="1"/>
          <w:numId w:val="332"/>
        </w:numPr>
        <w:rPr>
          <w:rFonts w:ascii="Arial" w:cs="Arial" w:eastAsia="Arial" w:hAnsi="Arial"/>
          <w:sz w:val="15"/>
          <w:szCs w:val="15"/>
          <w:color w:val="auto"/>
        </w:rPr>
      </w:pPr>
      <w:r>
        <w:rPr>
          <w:rFonts w:ascii="Arial" w:cs="Arial" w:eastAsia="Arial" w:hAnsi="Arial"/>
          <w:sz w:val="15"/>
          <w:szCs w:val="15"/>
          <w:color w:val="auto"/>
        </w:rPr>
        <w:t xml:space="preserve">In the event that any of the initial Class I directors resign or are removed within the 12 months following the consummation of the Merger, the REMUS Stockholders shall have the exclusive right to designate a successor for appointment. Thereafter, successors to the initial Class I directors shall be determined and designated for election or appointment by the Company’s Nominating and Governance Committee with approval by the Board of Directors, subject to the right of the REMUS Stockholders to nominate a single Class I director pursuant to </w:t>
      </w:r>
      <w:r>
        <w:rPr>
          <w:rFonts w:ascii="Arial" w:cs="Arial" w:eastAsia="Arial" w:hAnsi="Arial"/>
          <w:sz w:val="15"/>
          <w:szCs w:val="15"/>
          <w:u w:val="single" w:color="auto"/>
          <w:color w:val="auto"/>
        </w:rPr>
        <w:t>Section 2.1(b)(ii)</w:t>
      </w:r>
      <w:r>
        <w:rPr>
          <w:rFonts w:ascii="Arial" w:cs="Arial" w:eastAsia="Arial" w:hAnsi="Arial"/>
          <w:sz w:val="15"/>
          <w:szCs w:val="15"/>
          <w:color w:val="auto"/>
        </w:rPr>
        <w:t xml:space="preserve">. For the avoidance of doubt, any successor director designated by the REMUS Stockholders pursuant to this </w:t>
      </w:r>
      <w:r>
        <w:rPr>
          <w:rFonts w:ascii="Arial" w:cs="Arial" w:eastAsia="Arial" w:hAnsi="Arial"/>
          <w:sz w:val="15"/>
          <w:szCs w:val="15"/>
          <w:u w:val="single" w:color="auto"/>
          <w:color w:val="auto"/>
        </w:rPr>
        <w:t>Section 2.1(b)(i)</w:t>
      </w:r>
      <w:r>
        <w:rPr>
          <w:rFonts w:ascii="Arial" w:cs="Arial" w:eastAsia="Arial" w:hAnsi="Arial"/>
          <w:sz w:val="15"/>
          <w:szCs w:val="15"/>
          <w:color w:val="auto"/>
        </w:rPr>
        <w:t xml:space="preserve"> shall not be considered a REMUS Designee for purposes of this Agreement.</w:t>
      </w:r>
    </w:p>
    <w:p>
      <w:pPr>
        <w:spacing w:after="0" w:line="155" w:lineRule="exact"/>
        <w:rPr>
          <w:rFonts w:ascii="Arial" w:cs="Arial" w:eastAsia="Arial" w:hAnsi="Arial"/>
          <w:sz w:val="15"/>
          <w:szCs w:val="15"/>
          <w:color w:val="auto"/>
        </w:rPr>
      </w:pPr>
    </w:p>
    <w:p>
      <w:pPr>
        <w:jc w:val="both"/>
        <w:ind w:right="20" w:firstLine="1716"/>
        <w:spacing w:after="0" w:line="258" w:lineRule="auto"/>
        <w:tabs>
          <w:tab w:leader="none" w:pos="1958" w:val="left"/>
        </w:tabs>
        <w:numPr>
          <w:ilvl w:val="1"/>
          <w:numId w:val="332"/>
        </w:numPr>
        <w:rPr>
          <w:rFonts w:ascii="Arial" w:cs="Arial" w:eastAsia="Arial" w:hAnsi="Arial"/>
          <w:sz w:val="16"/>
          <w:szCs w:val="16"/>
          <w:color w:val="auto"/>
        </w:rPr>
      </w:pPr>
      <w:r>
        <w:rPr>
          <w:rFonts w:ascii="Arial" w:cs="Arial" w:eastAsia="Arial" w:hAnsi="Arial"/>
          <w:sz w:val="16"/>
          <w:szCs w:val="16"/>
          <w:color w:val="auto"/>
        </w:rPr>
        <w:t>For so long as the REMUS Stockholders and any of their respective Affiliates hold, in the aggregate, not less than five percent of the Company’s outstanding voting securities, the REMUS Stockholders shall be entitled (but not obligated) to nominate for election and require the Company and the Principal Stockholders to take Necessary Action to include a single Class I director (a “</w:t>
      </w:r>
      <w:r>
        <w:rPr>
          <w:rFonts w:ascii="Arial" w:cs="Arial" w:eastAsia="Arial" w:hAnsi="Arial"/>
          <w:sz w:val="16"/>
          <w:szCs w:val="16"/>
          <w:u w:val="single" w:color="auto"/>
          <w:color w:val="auto"/>
        </w:rPr>
        <w:t>REMUS Designee</w:t>
      </w:r>
      <w:r>
        <w:rPr>
          <w:rFonts w:ascii="Arial" w:cs="Arial" w:eastAsia="Arial" w:hAnsi="Arial"/>
          <w:sz w:val="16"/>
          <w:szCs w:val="16"/>
          <w:color w:val="auto"/>
        </w:rPr>
        <w:t>”) in the slate of nominees recommended by the Board of Directors for election as directors at each applicable annual or special meeting of stockholders at which directors are to be elected.</w:t>
      </w:r>
    </w:p>
    <w:p>
      <w:pPr>
        <w:spacing w:after="0" w:line="164" w:lineRule="exact"/>
        <w:rPr>
          <w:rFonts w:ascii="Arial" w:cs="Arial" w:eastAsia="Arial" w:hAnsi="Arial"/>
          <w:sz w:val="16"/>
          <w:szCs w:val="16"/>
          <w:color w:val="auto"/>
        </w:rPr>
      </w:pPr>
    </w:p>
    <w:p>
      <w:pPr>
        <w:jc w:val="both"/>
        <w:ind w:firstLine="1143"/>
        <w:spacing w:after="0" w:line="280" w:lineRule="auto"/>
        <w:tabs>
          <w:tab w:leader="none" w:pos="1364" w:val="left"/>
        </w:tabs>
        <w:numPr>
          <w:ilvl w:val="0"/>
          <w:numId w:val="332"/>
        </w:numPr>
        <w:rPr>
          <w:rFonts w:ascii="Arial" w:cs="Arial" w:eastAsia="Arial" w:hAnsi="Arial"/>
          <w:sz w:val="15"/>
          <w:szCs w:val="15"/>
          <w:color w:val="auto"/>
        </w:rPr>
      </w:pPr>
      <w:r>
        <w:rPr>
          <w:rFonts w:ascii="Arial" w:cs="Arial" w:eastAsia="Arial" w:hAnsi="Arial"/>
          <w:sz w:val="15"/>
          <w:szCs w:val="15"/>
          <w:u w:val="single" w:color="auto"/>
          <w:color w:val="auto"/>
        </w:rPr>
        <w:t>Chief Executive Officer Representation</w:t>
      </w:r>
      <w:r>
        <w:rPr>
          <w:rFonts w:ascii="Arial" w:cs="Arial" w:eastAsia="Arial" w:hAnsi="Arial"/>
          <w:sz w:val="15"/>
          <w:szCs w:val="15"/>
          <w:color w:val="auto"/>
        </w:rPr>
        <w:t>. For so long as the Chief Executive Officer and his Affiliates hold, in the aggregate, not less than five percent of the Company’s outstanding voting securities, the Chief Executive Officer shall be entitled (but not obligated) to nominate for election and require the Company and the Principal Stockholders to take Necessary Action to include a single Class II director (a “</w:t>
      </w:r>
      <w:r>
        <w:rPr>
          <w:rFonts w:ascii="Arial" w:cs="Arial" w:eastAsia="Arial" w:hAnsi="Arial"/>
          <w:sz w:val="15"/>
          <w:szCs w:val="15"/>
          <w:u w:val="single" w:color="auto"/>
          <w:color w:val="auto"/>
        </w:rPr>
        <w:t>Chief Executive Officer Designee</w:t>
      </w:r>
      <w:r>
        <w:rPr>
          <w:rFonts w:ascii="Arial" w:cs="Arial" w:eastAsia="Arial" w:hAnsi="Arial"/>
          <w:sz w:val="15"/>
          <w:szCs w:val="15"/>
          <w:color w:val="auto"/>
        </w:rPr>
        <w:t>”) in the slate of nominees recommended by the Board of Directors for election as directors at each applicable annual or special meeting of stockholders at which directors are to be elected.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39" w:name="page340"/>
    <w:bookmarkEnd w:id="339"/>
    <w:p>
      <w:pPr>
        <w:jc w:val="both"/>
        <w:ind w:firstLine="1143"/>
        <w:spacing w:after="0" w:line="270" w:lineRule="auto"/>
        <w:tabs>
          <w:tab w:leader="none" w:pos="1346" w:val="left"/>
        </w:tabs>
        <w:numPr>
          <w:ilvl w:val="0"/>
          <w:numId w:val="333"/>
        </w:numPr>
        <w:rPr>
          <w:rFonts w:ascii="Arial" w:cs="Arial" w:eastAsia="Arial" w:hAnsi="Arial"/>
          <w:sz w:val="15"/>
          <w:szCs w:val="15"/>
          <w:color w:val="auto"/>
        </w:rPr>
      </w:pPr>
      <w:r>
        <w:rPr>
          <w:rFonts w:ascii="Arial" w:cs="Arial" w:eastAsia="Arial" w:hAnsi="Arial"/>
          <w:sz w:val="15"/>
          <w:szCs w:val="15"/>
          <w:u w:val="single" w:color="auto"/>
          <w:color w:val="auto"/>
        </w:rPr>
        <w:t>Additional Obligations</w:t>
      </w:r>
      <w:r>
        <w:rPr>
          <w:rFonts w:ascii="Arial" w:cs="Arial" w:eastAsia="Arial" w:hAnsi="Arial"/>
          <w:sz w:val="15"/>
          <w:szCs w:val="15"/>
          <w:color w:val="auto"/>
        </w:rPr>
        <w:t xml:space="preserve">. An individual designated by a Principal Stockholder for election (including pursuant to </w:t>
      </w:r>
      <w:r>
        <w:rPr>
          <w:rFonts w:ascii="Arial" w:cs="Arial" w:eastAsia="Arial" w:hAnsi="Arial"/>
          <w:sz w:val="15"/>
          <w:szCs w:val="15"/>
          <w:u w:val="single" w:color="auto"/>
          <w:color w:val="auto"/>
        </w:rPr>
        <w:t>Sections 2.1(b)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2.1(c)</w:t>
      </w:r>
      <w:r>
        <w:rPr>
          <w:rFonts w:ascii="Arial" w:cs="Arial" w:eastAsia="Arial" w:hAnsi="Arial"/>
          <w:sz w:val="15"/>
          <w:szCs w:val="15"/>
          <w:color w:val="auto"/>
        </w:rPr>
        <w:t xml:space="preserve">) as a director shall comply with the requirements of the charter for, and related guidelines of, the Company’s Nominating and Governance Committee. Notwithstanding anything to the contrary in this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in the event that the Board of Directors determines in good faith, after consultation with outside legal counsel, that its nomination, appointment or election of a particular Board Designee pursuant to this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would constitute a breach of its fiduciary duties to the Company’s stockholders or does not otherwise comply with any requirements of the charter for, or related guidelines of, the Nominating and Governance Committee, then the Board of Directors shall inform such Principal Stockholder of such determination in writing and explain in reasonable detail the basis for such determination and shall designate another individual designated for nomination, election or appointment to the Board of Directors by such Principal Stockholder (subject in each case to this </w:t>
      </w:r>
      <w:r>
        <w:rPr>
          <w:rFonts w:ascii="Arial" w:cs="Arial" w:eastAsia="Arial" w:hAnsi="Arial"/>
          <w:sz w:val="15"/>
          <w:szCs w:val="15"/>
          <w:u w:val="single" w:color="auto"/>
          <w:color w:val="auto"/>
        </w:rPr>
        <w:t>Section 2.1(d)</w:t>
      </w:r>
      <w:r>
        <w:rPr>
          <w:rFonts w:ascii="Arial" w:cs="Arial" w:eastAsia="Arial" w:hAnsi="Arial"/>
          <w:sz w:val="15"/>
          <w:szCs w:val="15"/>
          <w:color w:val="auto"/>
        </w:rPr>
        <w:t xml:space="preserve">), and the Board of Directors and the Company shall take all of the actions required by this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with respect to the election of such substitute Board Designee. It is hereby acknowledged and agreed that the fact that a particular Board Designee is an Affiliate, director, professional, partner, member, manager, employee or agent of a Principal Stockholder or is not an independent director shall not in and of itself constitute an acceptable basis for such determination by the Board of Directors.</w:t>
      </w:r>
    </w:p>
    <w:p>
      <w:pPr>
        <w:spacing w:after="0" w:line="162" w:lineRule="exact"/>
        <w:rPr>
          <w:rFonts w:ascii="Arial" w:cs="Arial" w:eastAsia="Arial" w:hAnsi="Arial"/>
          <w:sz w:val="15"/>
          <w:szCs w:val="15"/>
          <w:color w:val="auto"/>
        </w:rPr>
      </w:pPr>
    </w:p>
    <w:p>
      <w:pPr>
        <w:jc w:val="both"/>
        <w:ind w:firstLine="1143"/>
        <w:spacing w:after="0" w:line="273" w:lineRule="auto"/>
        <w:tabs>
          <w:tab w:leader="none" w:pos="1373" w:val="left"/>
        </w:tabs>
        <w:numPr>
          <w:ilvl w:val="0"/>
          <w:numId w:val="333"/>
        </w:numPr>
        <w:rPr>
          <w:rFonts w:ascii="Arial" w:cs="Arial" w:eastAsia="Arial" w:hAnsi="Arial"/>
          <w:sz w:val="15"/>
          <w:szCs w:val="15"/>
          <w:color w:val="auto"/>
        </w:rPr>
      </w:pPr>
      <w:r>
        <w:rPr>
          <w:rFonts w:ascii="Arial" w:cs="Arial" w:eastAsia="Arial" w:hAnsi="Arial"/>
          <w:sz w:val="15"/>
          <w:szCs w:val="15"/>
          <w:u w:val="single" w:color="auto"/>
          <w:color w:val="auto"/>
        </w:rPr>
        <w:t>Vacancies</w:t>
      </w:r>
      <w:r>
        <w:rPr>
          <w:rFonts w:ascii="Arial" w:cs="Arial" w:eastAsia="Arial" w:hAnsi="Arial"/>
          <w:sz w:val="15"/>
          <w:szCs w:val="15"/>
          <w:color w:val="auto"/>
        </w:rPr>
        <w:t xml:space="preserve">. Except as provided in </w:t>
      </w:r>
      <w:r>
        <w:rPr>
          <w:rFonts w:ascii="Arial" w:cs="Arial" w:eastAsia="Arial" w:hAnsi="Arial"/>
          <w:sz w:val="15"/>
          <w:szCs w:val="15"/>
          <w:u w:val="single" w:color="auto"/>
          <w:color w:val="auto"/>
        </w:rPr>
        <w:t>Sections 2.1(b)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2.1(c)</w:t>
      </w:r>
      <w:r>
        <w:rPr>
          <w:rFonts w:ascii="Arial" w:cs="Arial" w:eastAsia="Arial" w:hAnsi="Arial"/>
          <w:sz w:val="15"/>
          <w:szCs w:val="15"/>
          <w:color w:val="auto"/>
        </w:rPr>
        <w:t>, as applicable, with respect to decreases in ownership of the Principal Stockholders, (i) each Principal Stockholder shall have the exclusive right to request the removal of its Board Designees from the Board of Directors in accordance with the bylaws of the Company then in effect, and the Company and the Principal Stockholders shall take all Necessary Action to cause the removal (whether with or without cause) of any such Board Designee at the request of the designating Principal Stockholder and (ii) each Principal Stockholder shall have the exclusive right to designate directors for election to the Board of Directors to fill vacancies (for the remainder of the then current term) created by reason of death, disability, removal or resignation of its Board Designees to the Board of Directors, and the Company and the Principal Stockholders shall take all Necessary Action to cause any such vacancies to be filled by replacement directors designated by such designating Principal Stockholder as promptly as reasonably practicable.</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Committees of the Board of Directors</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80" w:lineRule="auto"/>
        <w:tabs>
          <w:tab w:leader="none" w:pos="1368" w:val="left"/>
        </w:tabs>
        <w:numPr>
          <w:ilvl w:val="0"/>
          <w:numId w:val="334"/>
        </w:numPr>
        <w:rPr>
          <w:rFonts w:ascii="Arial" w:cs="Arial" w:eastAsia="Arial" w:hAnsi="Arial"/>
          <w:sz w:val="15"/>
          <w:szCs w:val="15"/>
          <w:color w:val="auto"/>
        </w:rPr>
      </w:pPr>
      <w:r>
        <w:rPr>
          <w:rFonts w:ascii="Arial" w:cs="Arial" w:eastAsia="Arial" w:hAnsi="Arial"/>
          <w:sz w:val="15"/>
          <w:szCs w:val="15"/>
          <w:color w:val="auto"/>
        </w:rPr>
        <w:t>The Company and the Principal Stockholders acknowledge and agree that the Board of Directors may, by resolution, designate from among the directors one or more committees, each of which shall be comprised of one or more directors. Any such committee, to the extent provided in the resolution forming such committee, shall have and may exercise the authority of the Board of Directors, subject to the limitations set forth in the charter, bylaws (as they may be amended from time to time, the “</w:t>
      </w:r>
      <w:r>
        <w:rPr>
          <w:rFonts w:ascii="Arial" w:cs="Arial" w:eastAsia="Arial" w:hAnsi="Arial"/>
          <w:sz w:val="15"/>
          <w:szCs w:val="15"/>
          <w:u w:val="single" w:color="auto"/>
          <w:color w:val="auto"/>
        </w:rPr>
        <w:t>Bylaws</w:t>
      </w:r>
      <w:r>
        <w:rPr>
          <w:rFonts w:ascii="Arial" w:cs="Arial" w:eastAsia="Arial" w:hAnsi="Arial"/>
          <w:sz w:val="15"/>
          <w:szCs w:val="15"/>
          <w:color w:val="auto"/>
        </w:rPr>
        <w:t>”) and applicable law. The Board of Directors may dissolve any committee or remove any member of a committee at any time.</w:t>
      </w:r>
    </w:p>
    <w:p>
      <w:pPr>
        <w:spacing w:after="0" w:line="151" w:lineRule="exact"/>
        <w:rPr>
          <w:rFonts w:ascii="Arial" w:cs="Arial" w:eastAsia="Arial" w:hAnsi="Arial"/>
          <w:sz w:val="15"/>
          <w:szCs w:val="15"/>
          <w:color w:val="auto"/>
        </w:rPr>
      </w:pPr>
    </w:p>
    <w:p>
      <w:pPr>
        <w:ind w:firstLine="1143"/>
        <w:spacing w:after="0" w:line="275" w:lineRule="auto"/>
        <w:tabs>
          <w:tab w:leader="none" w:pos="139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Board of Directors shall constitute and charter an Audit Committee, a Compensation Committee and a Nominating and Governance Committee, comprised solely of independent directors and with an initial constitution as follows:</w:t>
      </w:r>
    </w:p>
    <w:p>
      <w:pPr>
        <w:spacing w:after="0" w:line="151" w:lineRule="exact"/>
        <w:rPr>
          <w:rFonts w:ascii="Arial" w:cs="Arial" w:eastAsia="Arial" w:hAnsi="Arial"/>
          <w:sz w:val="16"/>
          <w:szCs w:val="16"/>
          <w:color w:val="auto"/>
        </w:rPr>
      </w:pPr>
    </w:p>
    <w:p>
      <w:pPr>
        <w:ind w:left="1900" w:hanging="184"/>
        <w:spacing w:after="0"/>
        <w:tabs>
          <w:tab w:leader="none" w:pos="190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members of the Audit Committee shall initially be Blythe McGarvie (Chair), Ilya Golubovich and Gail Zauder;</w:t>
      </w:r>
    </w:p>
    <w:p>
      <w:pPr>
        <w:spacing w:after="0" w:line="198" w:lineRule="exact"/>
        <w:rPr>
          <w:rFonts w:ascii="Arial" w:cs="Arial" w:eastAsia="Arial" w:hAnsi="Arial"/>
          <w:sz w:val="16"/>
          <w:szCs w:val="16"/>
          <w:color w:val="auto"/>
        </w:rPr>
      </w:pPr>
    </w:p>
    <w:p>
      <w:pPr>
        <w:ind w:left="1960" w:hanging="244"/>
        <w:spacing w:after="0"/>
        <w:tabs>
          <w:tab w:leader="none" w:pos="196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members of the Compensation Committee shall initially be Kim Axel Lopdrup (Chair), Ilya Golubovich and Gail Zauder; and</w:t>
      </w:r>
    </w:p>
    <w:p>
      <w:pPr>
        <w:spacing w:after="0" w:line="198" w:lineRule="exact"/>
        <w:rPr>
          <w:rFonts w:ascii="Arial" w:cs="Arial" w:eastAsia="Arial" w:hAnsi="Arial"/>
          <w:sz w:val="16"/>
          <w:szCs w:val="16"/>
          <w:color w:val="auto"/>
        </w:rPr>
      </w:pPr>
    </w:p>
    <w:p>
      <w:pPr>
        <w:ind w:left="2000" w:hanging="284"/>
        <w:spacing w:after="0"/>
        <w:tabs>
          <w:tab w:leader="none" w:pos="2000" w:val="left"/>
        </w:tabs>
        <w:numPr>
          <w:ilvl w:val="1"/>
          <w:numId w:val="334"/>
        </w:numPr>
        <w:rPr>
          <w:rFonts w:ascii="Arial" w:cs="Arial" w:eastAsia="Arial" w:hAnsi="Arial"/>
          <w:sz w:val="15"/>
          <w:szCs w:val="15"/>
          <w:color w:val="auto"/>
        </w:rPr>
      </w:pPr>
      <w:r>
        <w:rPr>
          <w:rFonts w:ascii="Arial" w:cs="Arial" w:eastAsia="Arial" w:hAnsi="Arial"/>
          <w:sz w:val="15"/>
          <w:szCs w:val="15"/>
          <w:color w:val="auto"/>
        </w:rPr>
        <w:t>the members of the Nominating and Governance Committee shall initially be Ilya Golubovich (Chair), Krishna Gupta and Blythe McGarvie.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40" w:name="page341"/>
    <w:bookmarkEnd w:id="340"/>
    <w:p>
      <w:pPr>
        <w:jc w:val="both"/>
        <w:ind w:right="20" w:firstLine="1143"/>
        <w:spacing w:after="0" w:line="276" w:lineRule="auto"/>
        <w:tabs>
          <w:tab w:leader="none" w:pos="1386" w:val="left"/>
        </w:tabs>
        <w:numPr>
          <w:ilvl w:val="0"/>
          <w:numId w:val="335"/>
        </w:numPr>
        <w:rPr>
          <w:rFonts w:ascii="Arial" w:cs="Arial" w:eastAsia="Arial" w:hAnsi="Arial"/>
          <w:sz w:val="15"/>
          <w:szCs w:val="15"/>
          <w:color w:val="auto"/>
        </w:rPr>
      </w:pPr>
      <w:r>
        <w:rPr>
          <w:rFonts w:ascii="Arial" w:cs="Arial" w:eastAsia="Arial" w:hAnsi="Arial"/>
          <w:sz w:val="15"/>
          <w:szCs w:val="15"/>
          <w:color w:val="auto"/>
        </w:rPr>
        <w:t>The members of each committee shall be appointed by the Board of Directors in accordance with the Bylaws based on recommendations from the Nominating and Governance Committee of the Board of Directors, and shall serve at the discretion of the Board of Directors. The Board of Directors may remove any member of any committee at any time with or without cause, and vacancies occurring on the committee shall be filled by the Board of Directors. The Board of Directors shall appoint a Chairperson of each committee to preside at all meetings of such committee. If a Chairperson is not designated or present at a meeting of a committee, the members of the committee may designate a Chairperson by majority vote of the committee membership.</w:t>
      </w:r>
    </w:p>
    <w:p>
      <w:pPr>
        <w:spacing w:after="0" w:line="15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Voting Agreement</w:t>
      </w:r>
      <w:r>
        <w:rPr>
          <w:rFonts w:ascii="Arial" w:cs="Arial" w:eastAsia="Arial" w:hAnsi="Arial"/>
          <w:sz w:val="16"/>
          <w:szCs w:val="16"/>
          <w:color w:val="auto"/>
        </w:rPr>
        <w:t xml:space="preserve">. Each Principal Stockholder agrees, in person or by proxy, to cast all votes to which such Principal Stockholder is entitled in respect of its Company Shares, whether at any annual or special meeting, by written consent or otherwise, so as to cause to be elected to the Board of Directors those individuals designated in accordance with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and to otherwise effect the intent of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Agreement of Company</w:t>
      </w:r>
      <w:r>
        <w:rPr>
          <w:rFonts w:ascii="Arial" w:cs="Arial" w:eastAsia="Arial" w:hAnsi="Arial"/>
          <w:sz w:val="16"/>
          <w:szCs w:val="16"/>
          <w:color w:val="auto"/>
        </w:rPr>
        <w:t xml:space="preserve">. The Company hereby agrees that it will take all Necessary Actions to cause the matters addressed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to be carried out in accordance with the provisions thereof. Without limiting the foregoing, the Secretary of the Company or such other officer or employee of the Company who may be fulfilling the duties of the Secretary, shall not record any vote or consent or other action contrary to the terms of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6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Restrictions on Other Agreements</w:t>
      </w:r>
      <w:r>
        <w:rPr>
          <w:rFonts w:ascii="Arial" w:cs="Arial" w:eastAsia="Arial" w:hAnsi="Arial"/>
          <w:sz w:val="16"/>
          <w:szCs w:val="16"/>
          <w:color w:val="auto"/>
        </w:rPr>
        <w:t>. No Principal Stockholder shall grant any proxy or enter into or agree to be bound by any voting trust, agreement or arrangement of any kind with any Person with respect to its Company Shares if and to the extent the terms thereof conflict with the provisions of this Agreement (whether or not such proxy, voting trust, agreements or arrangements are with other Principal Stockholders, I2BF, holders of Company Shares that are not parties to this Agreement or otherwise).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w:t>
      </w:r>
    </w:p>
    <w:p>
      <w:pPr>
        <w:spacing w:after="0" w:line="186"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Each of the parties to this Agreement hereby represents and warrants to each other party to this Agreement, severally on behalf of itself and not jointly, that as of the date such party executes this Agreement:</w:t>
      </w:r>
    </w:p>
    <w:p>
      <w:pPr>
        <w:spacing w:after="0" w:line="152"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color w:val="auto"/>
        </w:rPr>
        <w:t xml:space="preserve">Section 3.1 </w:t>
      </w:r>
      <w:r>
        <w:rPr>
          <w:rFonts w:ascii="Arial" w:cs="Arial" w:eastAsia="Arial" w:hAnsi="Arial"/>
          <w:sz w:val="14"/>
          <w:szCs w:val="14"/>
          <w:u w:val="single" w:color="auto"/>
          <w:color w:val="auto"/>
        </w:rPr>
        <w:t>Existence; Authority; Enforceability</w:t>
      </w:r>
      <w:r>
        <w:rPr>
          <w:rFonts w:ascii="Arial" w:cs="Arial" w:eastAsia="Arial" w:hAnsi="Arial"/>
          <w:sz w:val="14"/>
          <w:szCs w:val="14"/>
          <w:color w:val="auto"/>
        </w:rPr>
        <w:t>. Such party has the power and authority to enter into this Agreement and to carry out its obligations hereunder. If such party is an entity, it is duly organized and validly existing under the laws of its jurisdiction of organization, and the execution of this Agreement, and the consummation of the transactions contemplated herein, have been authorized by all necessary action, and no other act or proceeding on its part is necessary to authorize the execution of this Agreement or the consummation of any of the transactions contemplated hereby. If such party is a natural person, such person has full capacity to contract. This Agreement has been duly executed by each of the parties hereto and constitutes his or its legal, valid and binding obligation, enforceable against him or it in accordance with its terms, except as enforcement may be limited by applicable bankruptcy, insolvency, reorganization, moratorium, fraudulent transfer and similar laws relating to or affecting creditors’ rights generally, or by the general principles of equity. No representation is made by any party with respect to the regulatory effect of this Agreement, and each of the parties has had an opportunity to consult with counsel as to his or its rights and responsibilities under this Agreement. No party makes any representation to any other party as to future law or regulation or the future interpretation of existing laws or regulations by any governmental authority or self-regulatory organization.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41" w:name="page342"/>
    <w:bookmarkEnd w:id="341"/>
    <w:p>
      <w:pPr>
        <w:ind w:left="564"/>
        <w:spacing w:after="0"/>
        <w:rPr>
          <w:sz w:val="20"/>
          <w:szCs w:val="20"/>
          <w:color w:val="auto"/>
        </w:rPr>
      </w:pPr>
      <w:r>
        <w:rPr>
          <w:rFonts w:ascii="Arial" w:cs="Arial" w:eastAsia="Arial" w:hAnsi="Arial"/>
          <w:sz w:val="14"/>
          <w:szCs w:val="14"/>
          <w:color w:val="auto"/>
        </w:rPr>
        <w:t xml:space="preserve">Section 3.2 </w:t>
      </w:r>
      <w:r>
        <w:rPr>
          <w:rFonts w:ascii="Arial" w:cs="Arial" w:eastAsia="Arial" w:hAnsi="Arial"/>
          <w:sz w:val="14"/>
          <w:szCs w:val="14"/>
          <w:u w:val="single" w:color="auto"/>
          <w:color w:val="auto"/>
        </w:rPr>
        <w:t>Absence of Conflicts</w:t>
      </w:r>
      <w:r>
        <w:rPr>
          <w:rFonts w:ascii="Arial" w:cs="Arial" w:eastAsia="Arial" w:hAnsi="Arial"/>
          <w:sz w:val="14"/>
          <w:szCs w:val="14"/>
          <w:color w:val="auto"/>
        </w:rPr>
        <w:t>. The execution and delivery by such party of this Agreement and the performance of its obligations hereunder does not and will not</w:t>
      </w:r>
    </w:p>
    <w:p>
      <w:pPr>
        <w:spacing w:after="0" w:line="43" w:lineRule="exact"/>
        <w:rPr>
          <w:sz w:val="20"/>
          <w:szCs w:val="20"/>
          <w:color w:val="auto"/>
        </w:rPr>
      </w:pPr>
    </w:p>
    <w:p>
      <w:pPr>
        <w:jc w:val="both"/>
        <w:ind w:left="4" w:right="20" w:hanging="4"/>
        <w:spacing w:after="0" w:line="252" w:lineRule="auto"/>
        <w:tabs>
          <w:tab w:leader="none" w:pos="208" w:val="left"/>
        </w:tabs>
        <w:numPr>
          <w:ilvl w:val="0"/>
          <w:numId w:val="336"/>
        </w:numPr>
        <w:rPr>
          <w:rFonts w:ascii="Arial" w:cs="Arial" w:eastAsia="Arial" w:hAnsi="Arial"/>
          <w:sz w:val="16"/>
          <w:szCs w:val="16"/>
          <w:color w:val="auto"/>
        </w:rPr>
      </w:pPr>
      <w:r>
        <w:rPr>
          <w:rFonts w:ascii="Arial" w:cs="Arial" w:eastAsia="Arial" w:hAnsi="Arial"/>
          <w:sz w:val="16"/>
          <w:szCs w:val="16"/>
          <w:color w:val="auto"/>
        </w:rPr>
        <w:t>conflict with, or result in the breach of, any provision of the constitutive documents of such party, if any;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contract, agreement or permit to which such party is a party or by which such party’s assets or operations are bound or affected; or (iii) violate any law applicable to such party.</w:t>
      </w:r>
    </w:p>
    <w:p>
      <w:pPr>
        <w:spacing w:after="0" w:line="171" w:lineRule="exact"/>
        <w:rPr>
          <w:sz w:val="20"/>
          <w:szCs w:val="20"/>
          <w:color w:val="auto"/>
        </w:rPr>
      </w:pPr>
    </w:p>
    <w:p>
      <w:pPr>
        <w:jc w:val="both"/>
        <w:ind w:left="4" w:firstLine="574"/>
        <w:spacing w:after="0" w:line="309"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Consents</w:t>
      </w:r>
      <w:r>
        <w:rPr>
          <w:rFonts w:ascii="Arial" w:cs="Arial" w:eastAsia="Arial" w:hAnsi="Arial"/>
          <w:sz w:val="15"/>
          <w:szCs w:val="15"/>
          <w:color w:val="auto"/>
        </w:rPr>
        <w:t>. Other than any consents which have already been obtained, no consent, waiver, approval, authorization, exemption, registration, license or declaration is required to be made or obtained by such party in connection with the execution, delivery or performance of this Agreement.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IV</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MISCELLAENOUS</w:t>
      </w:r>
    </w:p>
    <w:p>
      <w:pPr>
        <w:spacing w:after="0" w:line="186" w:lineRule="exact"/>
        <w:rPr>
          <w:sz w:val="20"/>
          <w:szCs w:val="20"/>
          <w:color w:val="auto"/>
        </w:rPr>
      </w:pPr>
    </w:p>
    <w:p>
      <w:pPr>
        <w:jc w:val="both"/>
        <w:ind w:left="4" w:right="20" w:firstLine="574"/>
        <w:spacing w:after="0" w:line="274"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This Agreement shall terminate and be of no further force and effect (a) solely with respect to a party hereto, in the event that such party ceases to own any shares of Common Stock, (b) upon the written agreement of the Principal Stockholders to terminate this Agreement or (c) subject to the final sentence of </w:t>
      </w:r>
      <w:r>
        <w:rPr>
          <w:rFonts w:ascii="Arial" w:cs="Arial" w:eastAsia="Arial" w:hAnsi="Arial"/>
          <w:sz w:val="15"/>
          <w:szCs w:val="15"/>
          <w:u w:val="single" w:color="auto"/>
          <w:color w:val="auto"/>
        </w:rPr>
        <w:t>Section 4.7</w:t>
      </w:r>
      <w:r>
        <w:rPr>
          <w:rFonts w:ascii="Arial" w:cs="Arial" w:eastAsia="Arial" w:hAnsi="Arial"/>
          <w:sz w:val="15"/>
          <w:szCs w:val="15"/>
          <w:color w:val="auto"/>
        </w:rPr>
        <w:t xml:space="preserve"> of this Agreement, if its provisions become illegal or are interpreted by any governmental authority to be illegal, or any exchange on which the Common Stock are traded asserts in writing that its existence will threaten the continued listing of the Common Stock on such exchange. In the event of a circumstance contemplated by clause (a) of this </w:t>
      </w:r>
      <w:r>
        <w:rPr>
          <w:rFonts w:ascii="Arial" w:cs="Arial" w:eastAsia="Arial" w:hAnsi="Arial"/>
          <w:sz w:val="15"/>
          <w:szCs w:val="15"/>
          <w:u w:val="single" w:color="auto"/>
          <w:color w:val="auto"/>
        </w:rPr>
        <w:t>Section 4.1</w:t>
      </w:r>
      <w:r>
        <w:rPr>
          <w:rFonts w:ascii="Arial" w:cs="Arial" w:eastAsia="Arial" w:hAnsi="Arial"/>
          <w:sz w:val="15"/>
          <w:szCs w:val="15"/>
          <w:color w:val="auto"/>
        </w:rPr>
        <w:t>, this Agreement shall remain in full force and effect with respect to the remaining parties hereto, and for purposes of this Agreement, the party ceasing to own any shares of Common Stock shall have no further rights or benefits hereunder.</w:t>
      </w:r>
    </w:p>
    <w:p>
      <w:pPr>
        <w:spacing w:after="0" w:line="157" w:lineRule="exact"/>
        <w:rPr>
          <w:sz w:val="20"/>
          <w:szCs w:val="20"/>
          <w:color w:val="auto"/>
        </w:rPr>
      </w:pPr>
    </w:p>
    <w:p>
      <w:pPr>
        <w:jc w:val="both"/>
        <w:ind w:left="4" w:firstLine="574"/>
        <w:spacing w:after="0" w:line="276"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Successors and Assigns; Beneficiaries</w:t>
      </w:r>
      <w:r>
        <w:rPr>
          <w:rFonts w:ascii="Arial" w:cs="Arial" w:eastAsia="Arial" w:hAnsi="Arial"/>
          <w:sz w:val="15"/>
          <w:szCs w:val="15"/>
          <w:color w:val="auto"/>
        </w:rPr>
        <w:t xml:space="preserve">. Except as otherwise provided herein, all of the terms and provisions of this Agreement shall be binding upon, shall inure to the benefit of and shall be enforceable by the respective successors and permitted assigns of the parties hereto. This Agreement may not be assigned without the express prior written consent of the other parties hereto, and any attempted assignment, without such consents, will be null and void;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Principal Stockholder (from time to time party hereto) shall be entitled to assign (solely in connection with a transfer of Common Stock) to any of its Affiliates, without such prior written consent, any of its rights and obligations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such Affiliate agrees be bound by the obligations hereunder.</w:t>
      </w:r>
    </w:p>
    <w:p>
      <w:pPr>
        <w:spacing w:after="0" w:line="15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Amendment and Modification; Waiver of Compliance</w:t>
      </w:r>
      <w:r>
        <w:rPr>
          <w:rFonts w:ascii="Arial" w:cs="Arial" w:eastAsia="Arial" w:hAnsi="Arial"/>
          <w:sz w:val="16"/>
          <w:szCs w:val="16"/>
          <w:color w:val="auto"/>
        </w:rPr>
        <w:t>.</w:t>
      </w:r>
    </w:p>
    <w:p>
      <w:pPr>
        <w:spacing w:after="0" w:line="198" w:lineRule="exact"/>
        <w:rPr>
          <w:sz w:val="20"/>
          <w:szCs w:val="20"/>
          <w:color w:val="auto"/>
        </w:rPr>
      </w:pPr>
    </w:p>
    <w:p>
      <w:pPr>
        <w:ind w:left="1364" w:hanging="217"/>
        <w:spacing w:after="0"/>
        <w:tabs>
          <w:tab w:leader="none" w:pos="136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This Agreement may be amended only by a written instrument duly executed by the Company and the Principal Stockholders.</w:t>
      </w:r>
    </w:p>
    <w:p>
      <w:pPr>
        <w:spacing w:after="0" w:line="198" w:lineRule="exact"/>
        <w:rPr>
          <w:rFonts w:ascii="Arial" w:cs="Arial" w:eastAsia="Arial" w:hAnsi="Arial"/>
          <w:sz w:val="16"/>
          <w:szCs w:val="16"/>
          <w:color w:val="auto"/>
        </w:rPr>
      </w:pPr>
    </w:p>
    <w:p>
      <w:pPr>
        <w:jc w:val="both"/>
        <w:ind w:left="4" w:right="20" w:firstLine="1143"/>
        <w:spacing w:after="0" w:line="317" w:lineRule="auto"/>
        <w:tabs>
          <w:tab w:leader="none" w:pos="1383" w:val="left"/>
        </w:tabs>
        <w:numPr>
          <w:ilvl w:val="0"/>
          <w:numId w:val="337"/>
        </w:numPr>
        <w:rPr>
          <w:rFonts w:ascii="Arial" w:cs="Arial" w:eastAsia="Arial" w:hAnsi="Arial"/>
          <w:sz w:val="14"/>
          <w:szCs w:val="14"/>
          <w:color w:val="auto"/>
        </w:rPr>
      </w:pPr>
      <w:r>
        <w:rPr>
          <w:rFonts w:ascii="Arial" w:cs="Arial" w:eastAsia="Arial" w:hAnsi="Arial"/>
          <w:sz w:val="14"/>
          <w:szCs w:val="14"/>
          <w:color w:val="auto"/>
        </w:rPr>
        <w:t>Except as otherwise provided in this Agreement, any failure of any of the parties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42" w:name="page343"/>
    <w:bookmarkEnd w:id="342"/>
    <w:p>
      <w:pPr>
        <w:jc w:val="both"/>
        <w:ind w:firstLine="574"/>
        <w:spacing w:after="0" w:line="262"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claim, demand, document and other communication hereunder to any party shall be effective upon receipt (or refusal of receipt) and shall be in writing and delivered personally or sent by electronic mail, facsimile, or first class mail, or by Federal Express, United Parcel Service or other similar courier or other similar means of communication, as follows:</w:t>
      </w:r>
    </w:p>
    <w:p>
      <w:pPr>
        <w:spacing w:after="0" w:line="162" w:lineRule="exact"/>
        <w:rPr>
          <w:sz w:val="20"/>
          <w:szCs w:val="20"/>
          <w:color w:val="auto"/>
        </w:rPr>
      </w:pPr>
    </w:p>
    <w:p>
      <w:pPr>
        <w:ind w:left="1360" w:hanging="217"/>
        <w:spacing w:after="0"/>
        <w:tabs>
          <w:tab w:leader="none" w:pos="136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If to the REMUS Stockholders, addressed to [●];</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If to I2BF, addressed to [●]; and</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If to the Chief Executive Officer, addressed to [●];</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or, in each case, to such other address or electronic mail address as such party may designate in writing to each Principal Stockholder by written notice given in the manner specified herein.</w:t>
      </w:r>
    </w:p>
    <w:p>
      <w:pPr>
        <w:spacing w:after="0" w:line="15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All such communications shall be deemed to have been given, delivered or made when so delivered by hand or sent by electronic mail or facsimile (with confirmed receipt or transmission), on the next business day if sent by overnight courier service (with confirmed delivery) or when received if sent by first class mail.</w:t>
      </w:r>
    </w:p>
    <w:p>
      <w:pPr>
        <w:spacing w:after="0" w:line="129"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bond.</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provisions of this Agreement and the other writings referred to herein or delivered pursuant hereto which form a part hereof contain the entire agreement among the parties hereto with respect to the subject matter hereof and supersede all prior oral and written agreements and memoranda and undertakings among the parties hereto with regard to such subject matter.</w:t>
      </w:r>
    </w:p>
    <w:p>
      <w:pPr>
        <w:spacing w:after="0" w:line="16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4.7 </w:t>
      </w:r>
      <w:r>
        <w:rPr>
          <w:rFonts w:ascii="Arial" w:cs="Arial" w:eastAsia="Arial" w:hAnsi="Arial"/>
          <w:sz w:val="15"/>
          <w:szCs w:val="15"/>
          <w:u w:val="single" w:color="auto"/>
          <w:color w:val="auto"/>
        </w:rPr>
        <w:t>Severability</w:t>
      </w:r>
      <w:r>
        <w:rPr>
          <w:rFonts w:ascii="Arial" w:cs="Arial" w:eastAsia="Arial" w:hAnsi="Arial"/>
          <w:sz w:val="15"/>
          <w:szCs w:val="15"/>
          <w:color w:val="auto"/>
        </w:rPr>
        <w:t xml:space="preserve">.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 If this Agreement would be required to be terminated pursuant to clause (c) of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of this Agreement, the parties to this Agreement shall use their respective reasonable best efforts to cause the provisions of this Agreement to be reformed, prior to any such termination, to the fullest extent possible to both effectuate the intent of the parties to this Agreement (as of the date of this Agreement) and not cause the termination of this Agreement pursuant to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of this Agreement.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43" w:name="page344"/>
    <w:bookmarkEnd w:id="343"/>
    <w:p>
      <w:pPr>
        <w:jc w:val="both"/>
        <w:ind w:firstLine="574"/>
        <w:spacing w:after="0" w:line="268" w:lineRule="auto"/>
        <w:rPr>
          <w:sz w:val="20"/>
          <w:szCs w:val="20"/>
          <w:color w:val="auto"/>
        </w:rPr>
      </w:pPr>
      <w:r>
        <w:rPr>
          <w:rFonts w:ascii="Arial" w:cs="Arial" w:eastAsia="Arial" w:hAnsi="Arial"/>
          <w:sz w:val="15"/>
          <w:szCs w:val="15"/>
          <w:color w:val="auto"/>
        </w:rPr>
        <w:t xml:space="preserve">Section 4.8 </w:t>
      </w:r>
      <w:r>
        <w:rPr>
          <w:rFonts w:ascii="Arial" w:cs="Arial" w:eastAsia="Arial" w:hAnsi="Arial"/>
          <w:sz w:val="15"/>
          <w:szCs w:val="15"/>
          <w:u w:val="single" w:color="auto"/>
          <w:color w:val="auto"/>
        </w:rPr>
        <w:t>CHOICE OF LAW AND VENUE; WAIVER OF RIGHT TO JURY TRIAL</w:t>
      </w:r>
      <w:r>
        <w:rPr>
          <w:rFonts w:ascii="Arial" w:cs="Arial" w:eastAsia="Arial" w:hAnsi="Arial"/>
          <w:sz w:val="15"/>
          <w:szCs w:val="15"/>
          <w:color w:val="auto"/>
        </w:rPr>
        <w:t>. THIS AGREEMENT SHALL BE GOVERNED BY, CONSTRUED, APPLIED AND ENFORCED IN ACCORDANCE WITH THE INTERNAL LAWS OF THE STATE OF DELAWARE. 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INSTITUTE ANY LITIGATION, PROCEEDING OR OTHER LEGAL ACTION IN A COURT OF COMPETENT JURISDICTION LOCATED WITHIN THE STATE OF DELAWARE, WHETHER A STATE OR FEDERAL COURT; (2) AGREE THAT IN THE EVENT OF ANY SUCH LITIGATION, PROCEEDING OR ACTION, SUCH PARTIES WILL CONSENT AND SUBMIT TO THE PERSONAL JURISDICTION OF ANY SUCH COURT DESCRIBED IN CLAUSE (1) OF THIS SECTION AND TO SERVICE OF PROCESS UPON THEM IN ACCORDANCE WITH THE RULES AND STATUTES GOVERNING SERVICE OF PROCESS (IT BEING UNDERSTOOD THAT NOTHING IN THIS SECTION SHALL BE DEEMED TO PREVENT ANY PARTY FROM SEEKING TO REMOVE ANY ACTION TO A FEDERAL COURT IN THE STATE OF DELAWARE); (3) AGREE TO WAIVE TO THE FULL EXTENT PERMITTED BY LAW ANY OBJECTION THAT THEY MAY NOW OR HEREAFTER HAVE TO THE VENUE OF ANY SUCH LITIGATION, PROCEEDING OR ACTION IN ANY SUCH COURT OR THAT ANY SUCH LITIGATION, PROCEEDING OR ACTION WAS BROUGHT IN ANY INCONVENIENT FORUM; (4) AGREE, AFTER CONSULTATION WITH COUNSEL, TO WAIVE ANY RIGHTS TO A JURY TRIAL TO RESOLVE ANY DISPUTES OR CLAIMS RELATING TO THIS AGREEMENT; (5) AGREE TO SERVICE OF PROCESS IN ANY LEGAL PROCEEDING BY MAILING OF COPIES THEREOF TO SUCH PARTY AT ITS ADDRESS SET FORTH HEREIN FOR COMMUNICATIONS TO SUCH PARTY; (6) AGREE THAT ANY SERVICE MADE AS PROVIDED HEREIN SHALL BE EFFECTIVE AND BINDING SERVICE IN EVERY RESPECT; AND (7) AGREE THAT NOTHING HEREIN SHALL AFFECT THE RIGHTS OF ANY PARTY TO EFFECT SERVICE OF PROCESS IN ANY OTHER MANNER PERMITTED BY LAW.</w:t>
      </w:r>
    </w:p>
    <w:p>
      <w:pPr>
        <w:spacing w:after="0" w:line="16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44" w:name="page345"/>
    <w:bookmarkEnd w:id="344"/>
    <w:p>
      <w:pPr>
        <w:spacing w:after="0"/>
        <w:rPr>
          <w:sz w:val="20"/>
          <w:szCs w:val="20"/>
          <w:color w:val="auto"/>
        </w:rPr>
      </w:pPr>
      <w:r>
        <w:rPr>
          <w:rFonts w:ascii="Arial" w:cs="Arial" w:eastAsia="Arial" w:hAnsi="Arial"/>
          <w:sz w:val="14"/>
          <w:szCs w:val="14"/>
          <w:color w:val="auto"/>
        </w:rPr>
        <w:t>IN WITNESS WHEREOF, each of the undersigned has signed this Governance Agreement as of the date first above written.</w:t>
      </w:r>
    </w:p>
    <w:p>
      <w:pPr>
        <w:spacing w:after="0" w:line="217"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Combined Company</w:t>
      </w:r>
      <w:r>
        <w:rPr>
          <w:rFonts w:ascii="Arial" w:cs="Arial" w:eastAsia="Arial" w:hAnsi="Arial"/>
          <w:sz w:val="16"/>
          <w:szCs w:val="16"/>
          <w:b w:val="1"/>
          <w:bCs w:val="1"/>
          <w:color w:val="auto"/>
        </w:rPr>
        <w:t>]</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391160</wp:posOffset>
            </wp:positionV>
            <wp:extent cx="7148195" cy="152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9" w:right="1440" w:bottom="1440" w:gutter="0" w:footer="0" w:header="0"/>
        </w:sectPr>
      </w:pPr>
    </w:p>
    <w:bookmarkStart w:id="345" w:name="page346"/>
    <w:bookmarkEnd w:id="345"/>
    <w:p>
      <w:pPr>
        <w:ind w:left="5640"/>
        <w:spacing w:after="0"/>
        <w:rPr>
          <w:sz w:val="20"/>
          <w:szCs w:val="20"/>
          <w:color w:val="auto"/>
        </w:rPr>
      </w:pPr>
      <w:r>
        <w:rPr>
          <w:rFonts w:ascii="Arial" w:cs="Arial" w:eastAsia="Arial" w:hAnsi="Arial"/>
          <w:sz w:val="16"/>
          <w:szCs w:val="16"/>
          <w:b w:val="1"/>
          <w:bCs w:val="1"/>
          <w:color w:val="auto"/>
        </w:rPr>
        <w:t>REMUS STOCKHOLDERS:</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CAPITAL I, L.P.</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By: Romulus Capital Partners I, LLC, its General Partner</w:t>
      </w: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CAPITAL II, L.P.</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By: Romulus Capital Partners II,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CAPITAL III, L.P.</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By: Romulus Capital Partners II,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ELC B3 SPECIAL OPPORTUNITY, L.P.</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ZAFFRAN SPECIAL OPPORTUNITIES LLC</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384175</wp:posOffset>
            </wp:positionV>
            <wp:extent cx="7148195" cy="152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680"/>
          </w:cols>
          <w:pgMar w:left="1440" w:top="815" w:right="779" w:bottom="1440" w:gutter="0" w:footer="0" w:header="0"/>
        </w:sectPr>
      </w:pPr>
    </w:p>
    <w:bookmarkStart w:id="346" w:name="page347"/>
    <w:bookmarkEnd w:id="346"/>
    <w:p>
      <w:pPr>
        <w:ind w:left="5640"/>
        <w:spacing w:after="0"/>
        <w:rPr>
          <w:sz w:val="20"/>
          <w:szCs w:val="20"/>
          <w:color w:val="auto"/>
        </w:rPr>
      </w:pPr>
      <w:r>
        <w:rPr>
          <w:rFonts w:ascii="Arial" w:cs="Arial" w:eastAsia="Arial" w:hAnsi="Arial"/>
          <w:sz w:val="16"/>
          <w:szCs w:val="16"/>
          <w:b w:val="1"/>
          <w:bCs w:val="1"/>
          <w:color w:val="auto"/>
        </w:rPr>
        <w:t>I2BF GLOBAL INVESTMENTS LTD.</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RAJAT SURI</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72385" cy="1524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391795</wp:posOffset>
            </wp:positionV>
            <wp:extent cx="7148195" cy="152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347" w:name="page348"/>
    <w:bookmarkEnd w:id="347"/>
    <w:p>
      <w:pPr>
        <w:ind w:left="10420"/>
        <w:spacing w:after="0"/>
        <w:rPr>
          <w:sz w:val="20"/>
          <w:szCs w:val="20"/>
          <w:color w:val="auto"/>
        </w:rPr>
      </w:pPr>
      <w:r>
        <w:rPr>
          <w:rFonts w:ascii="Arial" w:cs="Arial" w:eastAsia="Arial" w:hAnsi="Arial"/>
          <w:sz w:val="15"/>
          <w:szCs w:val="15"/>
          <w:b w:val="1"/>
          <w:bCs w:val="1"/>
          <w:color w:val="auto"/>
        </w:rPr>
        <w:t>Exhibit 99.1</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Presto, a Leading Provider of Restaurant Labor Productivity Technologies, to be Publicly Listed Through a Merger with Ventoux CCM Acquisition Corp (NASDAQ:</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VTAQ)</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Presto offers next-generation touch, vision, and voice technologies to the highly analog restaurant industry.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Presto is poised to capture a significant share of the $205 billion restaurant labor productivity market.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COVID-19 and subsequent labor challenges have created an industry reset, driving restaurants to embrace technology enablement.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Presto has built a leading restaurant technology platform that modernizes restaurant dining rooms and drive-thrus to maximize customer profitability and enhance the guest experience.</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With over 250,000 systems shipped and a customer base that includes many of the top 20 restaurant chains, Presto is one of the largest restaurant technology providers in the U.S.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Proceeds from the transaction will be used to accelerate technology development, market expansion, and investment in adjacent hospitality markets.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transaction values the combined company at an estimated pro forma equity value of approximately $1 billion.</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i w:val="1"/>
          <w:iCs w:val="1"/>
          <w:color w:val="auto"/>
        </w:rPr>
        <w:t>The transaction includes a fully committed PIPE totaling approximately $70 million. In addition to institutional investors, the PIPE includes additional incremental capital from REMUS Capital investors, Presto Founder &amp; CEO Rajat Suri, Sam Altman and Max Altman’s Apollo project, other existing investors, and certain other strategic groups including franchisees of Yum! Brands, Applebee’s, McDonald’s, and Outback Steakhouse.</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Presto is also announcing that it expects to add a number of industry veterans to its Board of Directors, including Kim Lopdrup, former CEO of Red Lobster, Ed Scheetz, CEO and Chairman of Ventoux, and Blythe McGarvie, Board Member of Apple Hospitality REIT, Sonoco, LKQ and Wawa.</w:t>
      </w:r>
    </w:p>
    <w:p>
      <w:pPr>
        <w:spacing w:after="0" w:line="14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b w:val="1"/>
          <w:bCs w:val="1"/>
          <w:color w:val="auto"/>
        </w:rPr>
        <w:t xml:space="preserve">REDWOOD CITY, Calif. (November 10, 2021) </w:t>
      </w:r>
      <w:r>
        <w:rPr>
          <w:rFonts w:ascii="Arial" w:cs="Arial" w:eastAsia="Arial" w:hAnsi="Arial"/>
          <w:sz w:val="15"/>
          <w:szCs w:val="15"/>
          <w:color w:val="auto"/>
        </w:rPr>
        <w:t>– Presto, a leading provider of restaurant labor productivity technologies, and Ventoux CCM Acquisition Corp. (“Ventoux”)</w:t>
      </w:r>
      <w:r>
        <w:rPr>
          <w:rFonts w:ascii="Arial" w:cs="Arial" w:eastAsia="Arial" w:hAnsi="Arial"/>
          <w:sz w:val="15"/>
          <w:szCs w:val="15"/>
          <w:b w:val="1"/>
          <w:bCs w:val="1"/>
          <w:color w:val="auto"/>
        </w:rPr>
        <w:t xml:space="preserve"> </w:t>
      </w:r>
      <w:r>
        <w:rPr>
          <w:rFonts w:ascii="Arial" w:cs="Arial" w:eastAsia="Arial" w:hAnsi="Arial"/>
          <w:sz w:val="15"/>
          <w:szCs w:val="15"/>
          <w:color w:val="auto"/>
        </w:rPr>
        <w:t>(NASDAQ: VTAQ), a publicly traded special purpose acquisition company, today announced that they have entered into a definitive merger agreement that will result in Presto becoming a publicly listed company. The transaction values the combined company (the “Company”) at an estimated pro forma equity value of approximately $1 billion. Upon closing, the Company will be renamed Presto Technologies, Inc. and expects to list its common stock on Nasdaq.</w:t>
      </w:r>
    </w:p>
    <w:p>
      <w:pPr>
        <w:spacing w:after="0" w:line="149"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As restaurants reopen and guests are anxious to return, an acute labor shortage is preventing the industry from bouncing back. According to data from the Bureau of Labor Statistics, eating and drinking place employment remains 1.5 million below pre-pandemic levels. Operators are desperately trying to hire, but 72% of them rate recruitment and retention as their top challenge. The problem is likely to worsen, as 53% of existing restaurant workers are actively considering leaving their job. In this environment, it is critical for restaurants to adopt solutions that significantly improve labor productivity so that they can do more with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48195" cy="152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48" w:name="page349"/>
    <w:bookmarkEnd w:id="348"/>
    <w:p>
      <w:pPr>
        <w:jc w:val="both"/>
        <w:spacing w:after="0" w:line="287" w:lineRule="auto"/>
        <w:rPr>
          <w:sz w:val="20"/>
          <w:szCs w:val="20"/>
          <w:color w:val="auto"/>
        </w:rPr>
      </w:pPr>
      <w:r>
        <w:rPr>
          <w:rFonts w:ascii="Arial" w:cs="Arial" w:eastAsia="Arial" w:hAnsi="Arial"/>
          <w:sz w:val="15"/>
          <w:szCs w:val="15"/>
          <w:color w:val="auto"/>
        </w:rPr>
        <w:t>Presto is a market leader in restaurant labor productivity, overlaying next-generation digital solutions onto the physical world. Its enterprise-grade touch, vision, and voice technologies help hospitality businesses thrive while delighting guests. Presto’s solutions are designed to enable restaurants to do more with less by increasing their guest-to-staff ratios, improving speed and quality of service, identifying bottlenecks, and offering guests a superior experience. These solutions include:</w:t>
      </w:r>
    </w:p>
    <w:p>
      <w:pPr>
        <w:spacing w:after="0" w:line="142" w:lineRule="exact"/>
        <w:rPr>
          <w:sz w:val="20"/>
          <w:szCs w:val="20"/>
          <w:color w:val="auto"/>
        </w:rPr>
      </w:pPr>
    </w:p>
    <w:p>
      <w:pPr>
        <w:ind w:left="560" w:hanging="278"/>
        <w:spacing w:after="0"/>
        <w:tabs>
          <w:tab w:leader="none" w:pos="560" w:val="left"/>
        </w:tabs>
        <w:numPr>
          <w:ilvl w:val="0"/>
          <w:numId w:val="339"/>
        </w:numPr>
        <w:rPr>
          <w:rFonts w:ascii="Arial" w:cs="Arial" w:eastAsia="Arial" w:hAnsi="Arial"/>
          <w:sz w:val="14"/>
          <w:szCs w:val="14"/>
          <w:color w:val="auto"/>
        </w:rPr>
      </w:pPr>
      <w:r>
        <w:rPr>
          <w:rFonts w:ascii="Arial" w:cs="Arial" w:eastAsia="Arial" w:hAnsi="Arial"/>
          <w:sz w:val="14"/>
          <w:szCs w:val="14"/>
          <w:b w:val="1"/>
          <w:bCs w:val="1"/>
          <w:color w:val="auto"/>
        </w:rPr>
        <w:t xml:space="preserve">Voice: </w:t>
      </w:r>
      <w:r>
        <w:rPr>
          <w:rFonts w:ascii="Arial" w:cs="Arial" w:eastAsia="Arial" w:hAnsi="Arial"/>
          <w:sz w:val="14"/>
          <w:szCs w:val="14"/>
          <w:color w:val="auto"/>
        </w:rPr>
        <w:t>Guests and staff can place orders in a natural conversational style via automated speech recognition with over 94% accuracy even in noisy environments.</w:t>
      </w:r>
    </w:p>
    <w:p>
      <w:pPr>
        <w:spacing w:after="0" w:line="245" w:lineRule="exact"/>
        <w:rPr>
          <w:rFonts w:ascii="Arial" w:cs="Arial" w:eastAsia="Arial" w:hAnsi="Arial"/>
          <w:sz w:val="14"/>
          <w:szCs w:val="14"/>
          <w:color w:val="auto"/>
        </w:rPr>
      </w:pPr>
    </w:p>
    <w:p>
      <w:pPr>
        <w:ind w:left="560" w:hanging="278"/>
        <w:spacing w:after="0"/>
        <w:tabs>
          <w:tab w:leader="none" w:pos="560" w:val="left"/>
        </w:tabs>
        <w:numPr>
          <w:ilvl w:val="0"/>
          <w:numId w:val="339"/>
        </w:numPr>
        <w:rPr>
          <w:rFonts w:ascii="Arial" w:cs="Arial" w:eastAsia="Arial" w:hAnsi="Arial"/>
          <w:sz w:val="16"/>
          <w:szCs w:val="16"/>
          <w:color w:val="auto"/>
        </w:rPr>
      </w:pPr>
      <w:r>
        <w:rPr>
          <w:rFonts w:ascii="Arial" w:cs="Arial" w:eastAsia="Arial" w:hAnsi="Arial"/>
          <w:sz w:val="16"/>
          <w:szCs w:val="16"/>
          <w:b w:val="1"/>
          <w:bCs w:val="1"/>
          <w:color w:val="auto"/>
        </w:rPr>
        <w:t xml:space="preserve">Vision: </w:t>
      </w:r>
      <w:r>
        <w:rPr>
          <w:rFonts w:ascii="Arial" w:cs="Arial" w:eastAsia="Arial" w:hAnsi="Arial"/>
          <w:sz w:val="16"/>
          <w:szCs w:val="16"/>
          <w:color w:val="auto"/>
        </w:rPr>
        <w:t>Using just a few cameras, restaurants can measure throughput and order accuracy, identify issues, and implement real-time solutions.</w:t>
      </w:r>
    </w:p>
    <w:p>
      <w:pPr>
        <w:spacing w:after="0" w:line="222" w:lineRule="exact"/>
        <w:rPr>
          <w:rFonts w:ascii="Arial" w:cs="Arial" w:eastAsia="Arial" w:hAnsi="Arial"/>
          <w:sz w:val="16"/>
          <w:szCs w:val="16"/>
          <w:color w:val="auto"/>
        </w:rPr>
      </w:pPr>
    </w:p>
    <w:p>
      <w:pPr>
        <w:ind w:left="560" w:hanging="278"/>
        <w:spacing w:after="0" w:line="280" w:lineRule="auto"/>
        <w:tabs>
          <w:tab w:leader="none" w:pos="560" w:val="left"/>
        </w:tabs>
        <w:numPr>
          <w:ilvl w:val="0"/>
          <w:numId w:val="339"/>
        </w:numPr>
        <w:rPr>
          <w:rFonts w:ascii="Arial" w:cs="Arial" w:eastAsia="Arial" w:hAnsi="Arial"/>
          <w:sz w:val="16"/>
          <w:szCs w:val="16"/>
          <w:color w:val="auto"/>
        </w:rPr>
      </w:pPr>
      <w:r>
        <w:rPr>
          <w:rFonts w:ascii="Arial" w:cs="Arial" w:eastAsia="Arial" w:hAnsi="Arial"/>
          <w:sz w:val="16"/>
          <w:szCs w:val="16"/>
          <w:b w:val="1"/>
          <w:bCs w:val="1"/>
          <w:color w:val="auto"/>
        </w:rPr>
        <w:t xml:space="preserve">Touch: </w:t>
      </w:r>
      <w:r>
        <w:rPr>
          <w:rFonts w:ascii="Arial" w:cs="Arial" w:eastAsia="Arial" w:hAnsi="Arial"/>
          <w:sz w:val="16"/>
          <w:szCs w:val="16"/>
          <w:color w:val="auto"/>
        </w:rPr>
        <w:t>Custom designed for both drive-thru and dine-in applications, the same tablet can be deployed as a pay-at-table, staff handheld, kiosk, or drive-thru line buster</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wide front-of-house flexibility.</w:t>
      </w:r>
    </w:p>
    <w:p>
      <w:pPr>
        <w:spacing w:after="0" w:line="14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Leveraging innovation to empower the hospitality industry is fundamental to Presto’s DNA. In 2008, Presto’s Founder &amp; CEO Rajat Suri dropped out of his doctoral program at M.I.T. to found Presto. Its first product was a pay-at-table device that quickly became popular with both guests and restaurant operators. More than a decade later, Presto continues to bring innovative and secure next-generation technologies to the restaurant and hospitality industries on a customizable platform. The enterprise-grade platform has made the company one of the largest providers of restaurant technology, with over 250,000 systems shipped.</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launch of several new voice, vision, and touch solutions to optimize drive-thru performance and enable staff to serve more customers more quickly—critical components of a sound strategy for today’s labor-starved restaurant operators—has fueled Presto’s rapid growth over the past few years. Presto’s strategic relationships with important industry leaders such as Fiserv, Oracle, PayPal, and Visa provide valuable access to global markets and have helped the company scale rapidly. With Presto, restaurants across the world not only have access to today’s best technology; they also receive a continuous stream of innovation and a variety of complementary technologies to support their future needs.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Last year, as the pandemic impacted restaurants across the country, Presto made all of its solutions free for independent restaurants. To further its commitment to the community, Presto partnered with the COVID Tech Connect initiative. Volunteers from across the country came together to supply hospitals and senior care facilities with smart devices so that critically ill patients could communicate with loved ones during their last moments. The initiative received significant national media coverage and delivered 20,000 tablets to 2,000 healthcare facilities.</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Accelerated adoption of the Presto platform in the recent past underscores the urgent need for staff-enhancing and productivity-increasing solutions across the hospitality industry. As Presto embarks on the next phase of its corporate journey, it continues to be driven by its core values: customer focus, commitment to innovation, and corporate responsibility.</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will continue to be led by Founder &amp; CEO Rajat Suri and CFO Ashish Gupta. The expanded Board of Directors is expected to include industry veterans such as Kim Lopdrup, former CEO of Red Lobster, and Blythe McGarvie, Board Member of Apple Hospitality REIT, Sonoco, LKQ and Wawa. The Board of Directors will be chaired by longtime investor Krishna Gupta of REMUS Capital.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Comments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Rajat Suri, Founder &amp; CEO of Presto</w:t>
      </w:r>
    </w:p>
    <w:p>
      <w:pPr>
        <w:spacing w:after="0" w:line="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“Presto is on a mission to transform physical industries with next-gen digital technologies like Touch, Vision and Voice. We are excited to invite public market investors to join us on this journey, and support us in our efforts to solve deep-rooted problems for our customers like the shortage of labor, slow guest experiences and lack of data to enable sophisticated decision-making.”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49" w:name="page350"/>
    <w:bookmarkEnd w:id="349"/>
    <w:p>
      <w:pPr>
        <w:ind w:left="4"/>
        <w:spacing w:after="0"/>
        <w:rPr>
          <w:sz w:val="20"/>
          <w:szCs w:val="20"/>
          <w:color w:val="auto"/>
        </w:rPr>
      </w:pPr>
      <w:r>
        <w:rPr>
          <w:rFonts w:ascii="Arial" w:cs="Arial" w:eastAsia="Arial" w:hAnsi="Arial"/>
          <w:sz w:val="16"/>
          <w:szCs w:val="16"/>
          <w:b w:val="1"/>
          <w:bCs w:val="1"/>
          <w:color w:val="auto"/>
        </w:rPr>
        <w:t>Ed Scheetz, CEO &amp; Chairman of Ventoux</w:t>
      </w:r>
    </w:p>
    <w:p>
      <w:pPr>
        <w:spacing w:after="0" w:line="24"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“With our deep experience in hospitality operations, we see Presto’s advanced technologies addressing and solving the industry’s most pressing needs in today’s challenging labor environment. Presto’s track record of successfully deploying large scale enterprise-wide solutions sets the company apart from competitors and positions it for accelerated growth at a time when restaurants are increasingly adopting new technologies.”</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Krishna Gupta, Chairman of the Board &amp; CEO of REMUS Capital</w:t>
      </w:r>
    </w:p>
    <w:p>
      <w:pPr>
        <w:spacing w:after="0" w:line="24" w:lineRule="exact"/>
        <w:rPr>
          <w:sz w:val="20"/>
          <w:szCs w:val="20"/>
          <w:color w:val="auto"/>
        </w:rPr>
      </w:pPr>
    </w:p>
    <w:p>
      <w:pPr>
        <w:jc w:val="both"/>
        <w:ind w:left="4" w:right="20"/>
        <w:spacing w:after="0" w:line="292" w:lineRule="auto"/>
        <w:rPr>
          <w:sz w:val="20"/>
          <w:szCs w:val="20"/>
          <w:color w:val="auto"/>
        </w:rPr>
      </w:pPr>
      <w:r>
        <w:rPr>
          <w:rFonts w:ascii="Arial" w:cs="Arial" w:eastAsia="Arial" w:hAnsi="Arial"/>
          <w:sz w:val="15"/>
          <w:szCs w:val="15"/>
          <w:color w:val="auto"/>
        </w:rPr>
        <w:t>“Over our decade-long relationship with Presto, our confidence in the company, its management, and its top-tier technology has only grown. We believe this deal will accelerate Presto’s growth as the marquee provider of technology solutions that empower the restaurant and hospitality industries during this unique moment in time.”</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Key Transaction Terms</w:t>
      </w:r>
    </w:p>
    <w:p>
      <w:pPr>
        <w:spacing w:after="0" w:line="24" w:lineRule="exact"/>
        <w:rPr>
          <w:sz w:val="20"/>
          <w:szCs w:val="20"/>
          <w:color w:val="auto"/>
        </w:rPr>
      </w:pPr>
    </w:p>
    <w:p>
      <w:pPr>
        <w:jc w:val="both"/>
        <w:ind w:left="4"/>
        <w:spacing w:after="0" w:line="251" w:lineRule="auto"/>
        <w:rPr>
          <w:sz w:val="20"/>
          <w:szCs w:val="20"/>
          <w:color w:val="auto"/>
        </w:rPr>
      </w:pPr>
      <w:r>
        <w:rPr>
          <w:rFonts w:ascii="Arial" w:cs="Arial" w:eastAsia="Arial" w:hAnsi="Arial"/>
          <w:sz w:val="16"/>
          <w:szCs w:val="16"/>
          <w:color w:val="auto"/>
        </w:rPr>
        <w:t>Pursuant to the business combination, Ventoux will acquire the Company through a reverse merger. The business combination values the Company at approximately $1.04 billion pro forma equity value, at $10.00 per share. The transaction will be funded by cash from the Ventoux trust account of approximately $172.5 million, assuming no redemptions by Ventoux’s stockholders, and $70 million of gross proceeds from the issuance of equity and convertible financings in the PIPE transaction. Following the transaction and after the payment of transaction expenses, the Company is expected to add over $223.3 million of cash to its balance sheet, assuming no redemptions. Assuming no redemptions of Ventoux’s shares, the current holders of the Company’s securities will hold approximately 77% of the issued and outstanding shares of common stock immediately following the close of the transaction.</w:t>
      </w:r>
    </w:p>
    <w:p>
      <w:pPr>
        <w:spacing w:after="0" w:line="171" w:lineRule="exact"/>
        <w:rPr>
          <w:sz w:val="20"/>
          <w:szCs w:val="20"/>
          <w:color w:val="auto"/>
        </w:rPr>
      </w:pPr>
    </w:p>
    <w:p>
      <w:pPr>
        <w:jc w:val="both"/>
        <w:ind w:left="4" w:right="20"/>
        <w:spacing w:after="0" w:line="317" w:lineRule="auto"/>
        <w:rPr>
          <w:sz w:val="20"/>
          <w:szCs w:val="20"/>
          <w:color w:val="auto"/>
        </w:rPr>
      </w:pPr>
      <w:r>
        <w:rPr>
          <w:rFonts w:ascii="Arial" w:cs="Arial" w:eastAsia="Arial" w:hAnsi="Arial"/>
          <w:sz w:val="14"/>
          <w:szCs w:val="14"/>
          <w:color w:val="auto"/>
        </w:rPr>
        <w:t>The boards of directors of both the Company and Ventoux have unanimously approved the proposed business combination, which is expected to be completed in the first half of 2022, subject to, among other things, the approval by Ventoux’s stockholders, satisfaction of the conditions stated in the definitive agreement, including regulatory approvals, and other customary closing conditions, including a registration statement being declared effective by the U.S. Securities and Exchange Commission (the “SEC”).</w:t>
      </w:r>
    </w:p>
    <w:p>
      <w:pPr>
        <w:spacing w:after="0" w:line="127"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Additional information about the proposed transaction, including a copy of the merger agreement and investor presentation, will be provided in a Current Report on Form 8-K to be filed by Ventoux with the SEC and available at www.sec.gov. Additional information about the proposed transaction will be described in Ventoux’s registration statement relating to the merger, which it will file with the SEC.</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Advisors</w:t>
      </w:r>
    </w:p>
    <w:p>
      <w:pPr>
        <w:spacing w:after="0" w:line="24" w:lineRule="exact"/>
        <w:rPr>
          <w:sz w:val="20"/>
          <w:szCs w:val="20"/>
          <w:color w:val="auto"/>
        </w:rPr>
      </w:pPr>
    </w:p>
    <w:p>
      <w:pPr>
        <w:jc w:val="both"/>
        <w:ind w:left="4" w:right="20"/>
        <w:spacing w:after="0" w:line="285" w:lineRule="auto"/>
        <w:rPr>
          <w:sz w:val="20"/>
          <w:szCs w:val="20"/>
          <w:color w:val="auto"/>
        </w:rPr>
      </w:pPr>
      <w:r>
        <w:rPr>
          <w:rFonts w:ascii="Arial" w:cs="Arial" w:eastAsia="Arial" w:hAnsi="Arial"/>
          <w:sz w:val="14"/>
          <w:szCs w:val="14"/>
          <w:color w:val="auto"/>
        </w:rPr>
        <w:t>Jefferies LLC is acting as exclusive financial advisor and exclusive capital markets advisor to Presto, and White &amp; Case LLP is acting as legal advisor to Presto. Chardan and William Blair &amp; Company, L.L.C. are acting as financial advisors to Ventoux. Woolery &amp; Co. PLLC and Dentons US LLP are acting as legal advisors to Ventoux. William Blair</w:t>
      </w:r>
    </w:p>
    <w:p>
      <w:pPr>
        <w:ind w:left="4" w:right="20" w:hanging="4"/>
        <w:spacing w:after="0" w:line="258" w:lineRule="auto"/>
        <w:tabs>
          <w:tab w:leader="none" w:pos="169" w:val="left"/>
        </w:tabs>
        <w:numPr>
          <w:ilvl w:val="0"/>
          <w:numId w:val="340"/>
        </w:numPr>
        <w:rPr>
          <w:rFonts w:ascii="Arial" w:cs="Arial" w:eastAsia="Arial" w:hAnsi="Arial"/>
          <w:sz w:val="16"/>
          <w:szCs w:val="16"/>
          <w:color w:val="auto"/>
        </w:rPr>
      </w:pPr>
      <w:r>
        <w:rPr>
          <w:rFonts w:ascii="Arial" w:cs="Arial" w:eastAsia="Arial" w:hAnsi="Arial"/>
          <w:sz w:val="16"/>
          <w:szCs w:val="16"/>
          <w:color w:val="auto"/>
        </w:rPr>
        <w:t>Company, L.L.C., Truist Securities, Inc. and Chardan are acting as placement agents for the PIPE financing and as capital markets advisors, and Mayer Brown, LLP is acting as legal advisor to the placement agents.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Webcast</w:t>
      </w:r>
    </w:p>
    <w:p>
      <w:pPr>
        <w:spacing w:after="0" w:line="24" w:lineRule="exact"/>
        <w:rPr>
          <w:sz w:val="20"/>
          <w:szCs w:val="20"/>
          <w:color w:val="auto"/>
        </w:rPr>
      </w:pPr>
    </w:p>
    <w:p>
      <w:pPr>
        <w:jc w:val="both"/>
        <w:ind w:left="4" w:right="20"/>
        <w:spacing w:after="0" w:line="252" w:lineRule="auto"/>
        <w:rPr>
          <w:sz w:val="20"/>
          <w:szCs w:val="20"/>
          <w:color w:val="auto"/>
        </w:rPr>
      </w:pPr>
      <w:r>
        <w:rPr>
          <w:rFonts w:ascii="Arial" w:cs="Arial" w:eastAsia="Arial" w:hAnsi="Arial"/>
          <w:sz w:val="16"/>
          <w:szCs w:val="16"/>
          <w:color w:val="auto"/>
        </w:rPr>
        <w:t>Management of the Company and Ventoux will discuss the proposed business combination on a conference call. A recording of the call can be accessed at www.presto.com/investor-relations, or directly here. A transcript of the conference call will be filed by Ventoux with SEC and available on the SEC’s website at www.sec.gov. In addition, Ventoux intends to file a registration statement on Form S-4 with the SEC, which will include a proxy statement/prospectus of Ventoux, and will file other documents regarding the proposed transaction with the SEC.</w:t>
      </w:r>
    </w:p>
    <w:p>
      <w:pPr>
        <w:spacing w:after="0" w:line="3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5" w:right="319" w:bottom="1440" w:gutter="0" w:footer="0" w:header="0"/>
        </w:sectPr>
      </w:pPr>
    </w:p>
    <w:bookmarkStart w:id="350" w:name="page351"/>
    <w:bookmarkEnd w:id="350"/>
    <w:p>
      <w:pPr>
        <w:spacing w:after="0"/>
        <w:rPr>
          <w:sz w:val="20"/>
          <w:szCs w:val="20"/>
          <w:color w:val="auto"/>
        </w:rPr>
      </w:pPr>
      <w:r>
        <w:rPr>
          <w:rFonts w:ascii="Arial" w:cs="Arial" w:eastAsia="Arial" w:hAnsi="Arial"/>
          <w:sz w:val="16"/>
          <w:szCs w:val="16"/>
          <w:b w:val="1"/>
          <w:bCs w:val="1"/>
          <w:color w:val="auto"/>
        </w:rPr>
        <w:t>About Presto</w:t>
      </w:r>
    </w:p>
    <w:p>
      <w:pPr>
        <w:spacing w:after="0" w:line="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Presto overlays next-gen digital solutions onto the physical world. Our enterprise-grade touch, vision, and voice technologies help hospitality businesses thrive while delighting guests. With over 250,000 systems shipped, we are one of the largest labor automation technology providers in the industry. Founded at M.I.T. in 2008, Presto is headquartered in Silicon Valley, Calif. with customers including many of the top 20 restaurant chains in the U.S.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Ventoux CCM Acquisition Corp.</w:t>
      </w:r>
    </w:p>
    <w:p>
      <w:pPr>
        <w:spacing w:after="0" w:line="24"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Ventoux is a special purpose acquisition company formed for the purpose of effecting a merger, capital stock exchange, asset acquisition, stock purchase, reorganization or similar business combination with one or more businesses. VTAQ began trading on the Nasdaq on December 23, 2020 following its initial public offering. Its shares of common stock, units, warrants and rights trade under the ticker symbols VTAQ, VTAQU, VTAQW, and VTAQR respectively. VTAQ is co-sponsored by Ventoux Acquisition Holdings and an affiliate of Chardan Capital International.</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connection with the proposed business combination involving Ventoux and Presto, Ventoux intends to file a registration statement, which will include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24"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Solicitation</w:t>
      </w:r>
    </w:p>
    <w:p>
      <w:pPr>
        <w:spacing w:after="0" w:line="24"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March 30, 2021 and amended on June 22, 2021.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1" w:name="page352"/>
    <w:bookmarkEnd w:id="351"/>
    <w:p>
      <w:pPr>
        <w:spacing w:after="0"/>
        <w:rPr>
          <w:sz w:val="20"/>
          <w:szCs w:val="20"/>
          <w:color w:val="auto"/>
        </w:rPr>
      </w:pPr>
      <w:r>
        <w:rPr>
          <w:rFonts w:ascii="Arial" w:cs="Arial" w:eastAsia="Arial" w:hAnsi="Arial"/>
          <w:sz w:val="16"/>
          <w:szCs w:val="16"/>
          <w:b w:val="1"/>
          <w:bCs w:val="1"/>
          <w:color w:val="auto"/>
        </w:rPr>
        <w:t>Forward-Looking Statements</w:t>
      </w:r>
    </w:p>
    <w:p>
      <w:pPr>
        <w:spacing w:after="0" w:line="24"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Ventoux, Presto and the combined company, Ventoux’s and Presto’s estimated future results and the proposed business combination, including the implied pro forma equity value,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 (15) 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2" w:name="page353"/>
    <w:bookmarkEnd w:id="352"/>
    <w:p>
      <w:pPr>
        <w:jc w:val="both"/>
        <w:spacing w:after="0" w:line="271" w:lineRule="auto"/>
        <w:rPr>
          <w:sz w:val="20"/>
          <w:szCs w:val="20"/>
          <w:color w:val="auto"/>
        </w:rPr>
      </w:pPr>
      <w:r>
        <w:rPr>
          <w:rFonts w:ascii="Arial" w:cs="Arial" w:eastAsia="Arial" w:hAnsi="Arial"/>
          <w:sz w:val="15"/>
          <w:szCs w:val="15"/>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Presto</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Media: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Rajul Misra &amp; Brian Ruby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media@presto.com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(650) 817-9012</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Investors: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Ryan Gardella &amp; Michael Bowen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investor@presto.com</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For Ventoux CCM Acquisition Corp.</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Brock Strasbourger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brock@ventouxccm.com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(970) 948-9787</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3" w:name="page354"/>
    <w:bookmarkEnd w:id="353"/>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143510</wp:posOffset>
            </wp:positionV>
            <wp:extent cx="7203440" cy="59797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03440" cy="597979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354" w:name="page355"/>
    <w:bookmarkEnd w:id="3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6265545</wp:posOffset>
            </wp:positionV>
            <wp:extent cx="7148195" cy="152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6549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03440" cy="586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78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2" w:name="page363"/>
    <w:bookmarkEnd w:id="3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8" w:name="page369"/>
    <w:bookmarkEnd w:id="3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9" w:name="page370"/>
    <w:bookmarkEnd w:id="3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0" w:name="page371"/>
    <w:bookmarkEnd w:id="3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2" w:name="page373"/>
    <w:bookmarkEnd w:id="3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3" w:name="page374"/>
    <w:bookmarkEnd w:id="3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4" w:name="page375"/>
    <w:bookmarkEnd w:id="3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5" w:name="page376"/>
    <w:bookmarkEnd w:id="3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6" w:name="page377"/>
    <w:bookmarkEnd w:id="3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6242685</wp:posOffset>
            </wp:positionV>
            <wp:extent cx="7148195" cy="152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3" w:name="page384"/>
    <w:bookmarkEnd w:id="3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7" w:name="page388"/>
    <w:bookmarkEnd w:id="3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8" w:name="page389"/>
    <w:bookmarkEnd w:id="3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9" w:name="page390"/>
    <w:bookmarkEnd w:id="3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0" w:name="page391"/>
    <w:bookmarkEnd w:id="3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1" w:name="page392"/>
    <w:bookmarkEnd w:id="3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2" w:name="page393"/>
    <w:bookmarkEnd w:id="3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6257925</wp:posOffset>
            </wp:positionV>
            <wp:extent cx="7148195" cy="152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3" w:name="page394"/>
    <w:bookmarkEnd w:id="3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78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4" w:name="page395"/>
    <w:bookmarkEnd w:id="3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6549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03440" cy="586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5" w:name="page396"/>
    <w:bookmarkEnd w:id="395"/>
    <w:p>
      <w:pPr>
        <w:jc w:val="right"/>
        <w:spacing w:after="0"/>
        <w:rPr>
          <w:sz w:val="20"/>
          <w:szCs w:val="20"/>
          <w:color w:val="auto"/>
        </w:rPr>
      </w:pPr>
      <w:r>
        <w:rPr>
          <w:rFonts w:ascii="Arial" w:cs="Arial" w:eastAsia="Arial" w:hAnsi="Arial"/>
          <w:sz w:val="16"/>
          <w:szCs w:val="16"/>
          <w:b w:val="1"/>
          <w:bCs w:val="1"/>
          <w:color w:val="auto"/>
        </w:rPr>
        <w:t>Exhibit 99.3</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Presto and Ventoux Conference Call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11.10.21</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Hello everyone, and welcome to the Presto and Ventoux Conference Call. We appreciate everyone joining us today.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information discussed today is qualified in its entirety by the information contained in the Form 8-K, including the exhibits thereto, that is being filed by Ventoux today with the SEC, which may be accessed on the SEC’s website at www.sec.gov. In conjunction with today’s discussion we will be referring to an investor presentation, a copy of which is being filed as an exhibit to the aforementioned Form 8-K. You are encouraged to carefully review the disclaimers included therein. Please note that this call has been prerecorded and so a Q&amp;A session will not be conducted as part of today’s presentation. Before we begin, I would like to note that this call may contain forward-looking statements, including Ventoux’s and Presto’s expectations of future financial and business performance and conditions, the industry outlook and the timing and completion of the transaction. Forward-looking statements are inherently subject to risks, uncertainties and assumptions, and they are not guarantees of performance. You are encouraged to read the Form 8-K and the accompanying press release and investor presentation, as well as Ventoux’s other filings with the SEC for a discussion of the risks that can affect the business combination and the business of Presto after completion of the proposed transaction.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RAJ SURI</w:t>
      </w:r>
      <w:r>
        <w:rPr>
          <w:rFonts w:ascii="Arial" w:cs="Arial" w:eastAsia="Arial" w:hAnsi="Arial"/>
          <w:sz w:val="16"/>
          <w:szCs w:val="16"/>
          <w:color w:val="auto"/>
        </w:rPr>
        <w:t>, CEO and Founder, Presto:</w:t>
      </w:r>
    </w:p>
    <w:p>
      <w:pPr>
        <w:spacing w:after="0" w:line="20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Hi, everyone. Good to meet you. I'm Raj Suri, founder and CEO of Presto. I'm also joined today by Ashish Gupta, our CFO. I'm thrilled today to have the opportunity to share my life's work with you, and the story of Presto. So before I jump into it, I'd like to pass it over to the Ventoux team to give a brief overview of the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 SCHEETZ</w:t>
      </w:r>
      <w:r>
        <w:rPr>
          <w:rFonts w:ascii="Arial" w:cs="Arial" w:eastAsia="Arial" w:hAnsi="Arial"/>
          <w:sz w:val="16"/>
          <w:szCs w:val="16"/>
          <w:color w:val="auto"/>
        </w:rPr>
        <w:t>, CEO, Ventoux CCM:</w:t>
      </w:r>
    </w:p>
    <w:p>
      <w:pPr>
        <w:spacing w:after="0" w:line="202"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Great, thanks Raj. Good morning all, my name is Ed Scheetz, I am the CEO of Ventoux. My partners and I have deep hospitality experience, not just in investing but actually operating businesses, I’ve run two hotel companies, one of which I took public and coming from this background and seeing the trends that were only accelerated by COVID, one of the main investment themes we focused on was the effect of labor shortages and permanently higher labor costs on our industries. The industry has historically relied on plentiful, low cost labor, and that has changed permanently. Hospitality companies, and restaurant companies in particular, have no choice but to substitute technology for labor and labor efficiencies- their prosperity and even their very survival demands this. We looked at many restaurant and hospitality tech businesses, and many were niche or single product businesses and literally none had a track record of selling to large enterprises except for Presto. While looking at many other opportunities, we always came back to Presto, and then we saw an incredible increase in the demand for their products from the largest restaurant companies in the world, in Raj we saw a visionary leader with over a decade of experience building the company, best in class products for the industry, and an incredible team. Raj will walk through the current lineup of products targeting enterprise restaurants, and in conclusion Presto is literally the only company with enterprise grade solutions tailored to the issues facing the restaurant industry today and in the future. We are very excited to partner with Presto.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7148195" cy="152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96" w:name="page397"/>
    <w:bookmarkEnd w:id="396"/>
    <w:p>
      <w:pPr>
        <w:jc w:val="both"/>
        <w:spacing w:after="0" w:line="258" w:lineRule="auto"/>
        <w:rPr>
          <w:sz w:val="20"/>
          <w:szCs w:val="20"/>
          <w:color w:val="auto"/>
        </w:rPr>
      </w:pPr>
      <w:r>
        <w:rPr>
          <w:rFonts w:ascii="Arial" w:cs="Arial" w:eastAsia="Arial" w:hAnsi="Arial"/>
          <w:sz w:val="16"/>
          <w:szCs w:val="16"/>
          <w:color w:val="auto"/>
        </w:rPr>
        <w:t>I’ll give you a quick overview of the transaction. The fully diluted equity valuation of $815 million is very attractive, 100% of Presto’s shareholders are rolling their equity, and there are no secondaries as part of this transaction. We’ve raised over $70 million in addition to our approximately $175 million cash in trust. The $240 million plus from the PIPE and the trust are ample to fund Presto’s plan. The company burns relatively little cash, so most of the cash will go to new growth initiatives and M&amp;A. And now I’ll turn it back to Raj to tell you more about Presto.</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RAJ SURI</w:t>
      </w:r>
      <w:r>
        <w:rPr>
          <w:rFonts w:ascii="Arial" w:cs="Arial" w:eastAsia="Arial" w:hAnsi="Arial"/>
          <w:sz w:val="16"/>
          <w:szCs w:val="16"/>
          <w:color w:val="auto"/>
        </w:rPr>
        <w:t>:</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Great, thanks Ed. So let's start with some background on myself and the journey of Presto. It's been over 12 years now, since the fateful day I founded Presto. I actually had the idea at a restaurant dining table when I was a PhD engineering student at MIT, after finishing a meal with other engineers in my class, we struggled to split a check between seven of us and it ended up being an epic struggle. The bill was super complex and took us much longer than it should have. We just got to this point where it became a bad joke. How many more MIT engineers does it take to figure out how to split a check? What I realized at that point was that the restaurant experience hadn't changed in decades. It felt inevitable to me that this was the time for technology to digitize the industry. So I decided there and then, I actually announced it the dining table to drop out of my program and take a job as a waiter and really immerse myself in the restaurant industry.</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No one believed me, especially in the depths of the 2008-2009 financial crisis. I spent the next year and a half inside restaurants working in the industry and learning what products to develop, to move the industry forward into the modern era. Our first product was inspired by my dining experience from Hell: it was a software solution on a tablet that guests could use to self serve at the table. Little did I know that it would really help to solve the labor crisis in the country many, many years later. So eventually we got funded out in Silicon valley by some top investors and we moved out here. We landed big enterprise deals with some of the largest chains in the world. Applebee's, Red Lobster, Outback Steakhouse, Chili's, Taco Bell and more, which led us to about 300% revenue growth since early 2019. Additionally, we're also engaging with other major brands, like McDonald's, Panda Express, and many others- partnerships that will propel our growth for many years to come.</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And in the restaurant market today, we are very well positioned as one of the market leaders in the enterprise automation space. Throughout this time, we continue to develop and roll out a complete AI driven product line with Touch, Vision and Voice digital automation solutions that we are excited to share with you today. Before I move into their presentation, I'm also proud to announce that our pipe has been successfully raised with some notable restaurant enterprise industry leaders and Presto customers already committing to participate folks like Greg Flynn, Kim Lopdrup, and Jeff Jones who run thousands of stores like Taco Bell, Pizza Hut, Arby's, Outback Steakhouse, Red Lobster, and many others you've heard of are participating in our PIPE. Also Presto insiders are also participating in the PIPE, including myself personally. I think the strong insider, as well as customer participation shows that folks who know this company truly believe in the future of restaurant automation.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97" w:name="page398"/>
    <w:bookmarkEnd w:id="397"/>
    <w:p>
      <w:pPr>
        <w:jc w:val="both"/>
        <w:spacing w:after="0" w:line="254" w:lineRule="auto"/>
        <w:rPr>
          <w:sz w:val="20"/>
          <w:szCs w:val="20"/>
          <w:color w:val="auto"/>
        </w:rPr>
      </w:pPr>
      <w:r>
        <w:rPr>
          <w:rFonts w:ascii="Arial" w:cs="Arial" w:eastAsia="Arial" w:hAnsi="Arial"/>
          <w:sz w:val="16"/>
          <w:szCs w:val="16"/>
          <w:color w:val="auto"/>
        </w:rPr>
        <w:t>So why is restaurant automation so important? Why are all these people getting involved? It's because it's impossible to ignore that labor has been very scarce in North America. For several years, it's been driving up cost and leaving a huge amount of jobs unfilled. Right now we can see in this country that restaurants are not able to open all the sections they would like to open and serve as many guests as they would like because labor is more scarce than it ever has been in this country. And so the labor problems are reducing sales for the industry and forcing restaurants to shut down. And in addition, the rise of flexible gig economy, jobs like Instacart, Uber, DoorDash, and Lyft, as well as well as the increasing prevalence of Amazon and Walmart warehouse jobs, it means that low wage labor have plenty of options and restaurants have forever lost their competitive edge as a haven for the low wage worker.</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Indeed a huge number of people, 1.5 million people, have permanently left the restaurant workforce this last year with little intention of ever returning. That's almost 12%, according to the Bureau of Labor Statistics. This is a major headwind for this industry that Presto is perfectly positioned to tackle. So the restaurant industry actually ends up being one of the largest employers in the world spending over $170 billion in labor annually. The labor line is ballooning out of control, forcing industries to spend more on technology and automation. This is a massive opportunity- $170 billion is the size of the prize for Presto. Let me now tell you three reasons why Presto in particular is ideally positioned here to take advantage of these historic macro trends. One, we're the leader in our space, or rather one of the main leaders in this space, working with most of the top brands already, which we believe de-risks us as their preferred enterprise provider for all brands.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When McDonald's knows that we've successfully been taking care of other large customers, such as Brinker, Outback, etcetera, for several years, with very high renewal rates, they know we can deliver what large enterprises need and gives them the confidence to implement with Presto. Number two, we are also integrated with the majority of legacy technologies that these brands already use. This simplifies their buying decision, reduces the cost of ownership and speeds up time to market for our solutions. Number three, unlike other enterprise providers like NCR and Oracle, which are seen as slow and lumbering dinosaurs, Presto is still a founder driven up and comer with a culture centered on innovation and agility. We take great pride in having a modern next gen suite of products that are each best in their class. So let's talk some key numbers about Presto. What I think makes Presto an attractive investment beyond just our growth in our TAM and our product market fit, is that we have extremely high retention rates as well as very strong upsell conversion rates.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That's why we have a world-class 190% net revenue retention, even during a COVID affected year. When customers deploy our tech to their stores, they transform their entire labor model, which makes our solution very sticky and difficult to remove. And because we’ve done all the hard work of understanding their business and integrating with their unique tech stack, we're well positioned to expand with each customer leading to a net revenue retention of well over 100%. Presto’s product strategy is super simple. We take cutting edge Silicon valley technologies and apply them to solving problems for the enterprise restaurant sector, a bridge that virtually no other company has built. This means we're automating restaurant operations by using next gen software, powering touch, vision, and voice solutions. Think of the unique combinations here, on one side, we have advanced AI cloud services and on the other side, deep integration to legacy restaurant systems on the backend. It's like having an iPhone in the front and then MS DOS in the back. It's a very unique combination that’s extremely difficult to architect.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98" w:name="page399"/>
    <w:bookmarkEnd w:id="398"/>
    <w:p>
      <w:pPr>
        <w:jc w:val="both"/>
        <w:spacing w:after="0" w:line="301" w:lineRule="auto"/>
        <w:rPr>
          <w:sz w:val="20"/>
          <w:szCs w:val="20"/>
          <w:color w:val="auto"/>
        </w:rPr>
      </w:pPr>
      <w:r>
        <w:rPr>
          <w:rFonts w:ascii="Arial" w:cs="Arial" w:eastAsia="Arial" w:hAnsi="Arial"/>
          <w:sz w:val="14"/>
          <w:szCs w:val="14"/>
          <w:color w:val="auto"/>
        </w:rPr>
        <w:t>Our touch products involve smartphone, tablet, and kiosk software, allowing for commercial transactions in a variety of different physical configurations. For example, the next time you go to an Outback, you may notice a staff member taking your order from the table, using the Presto server system handheld solution, saving the staff member a trip to the POS station. Or you may stop by a BJ's Brewhouse and quickly order your own beer by scanning a Presto QR code at the table, or you may place a curbside order at Chili's and they will process your payment in the car with a terminal using Presto Payments. All of these have the impact of speeding up service and increasing labor productivity by taking out mundane tasks for the staff. And Outback is an example where we were able to double the labor productivity overnight with our order and pay at table solutions.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did this by eliminating unnecessary trips and allowing the staff member to cover twice as many tables going from four tables per server to eight tables per server when using our technology. Which actually makes a staff member more tips and makes them less likely to quit and take a job at Door Dash, for example. This new coverage ratio was achieved while still improving guest experience, and with half as many staff, the restaurant was able to expand net operating margins by 170 basis points, which is just huge for them. Everyone wins guests, staff and management. And there are a huge number of these stories across our install base, which spans many thousands of units across some of the most famous and storied brands in the world.</w:t>
      </w:r>
    </w:p>
    <w:p>
      <w:pPr>
        <w:spacing w:after="0" w:line="170"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Let's talk about computer vision. What is computer vision? It's AI powered software that intelligently translates images in the physical world to something digital that can be understood by software. Its the same technology used by self-driving cars and Amazon Go’s cashless convenience store. If you watch tennis or the Olympics, there are computer vision systems that detect if the balls or the shuttlecock is in or out when it's difficult for humans to do so. Our proprietary Presto vision software can identify key gaps in service in restaurants, as well as opportunities for operational improvements, either real-time or aggregated across many restaurants. For example, our software powers cameras that recognize that John has entered a drive through, for example, and he likes a burger with pickles on the side and triple extra mayo. So when he gets to the order point, the integrated digital menu board already has his favorites displayed. Not only that, we know that John has ordered a chocolate shake six out of his last ten visits. So he might be tempted to get another one if we display the upsell opportunity exactly at the right time. With this solution, the guest gets a faster and more personalized experience and the restaurant gets more cars per hour going through the drive through as well as more dollars per car. Everyone wins.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99" w:name="page400"/>
    <w:bookmarkEnd w:id="399"/>
    <w:p>
      <w:pPr>
        <w:jc w:val="both"/>
        <w:spacing w:after="0" w:line="276" w:lineRule="auto"/>
        <w:rPr>
          <w:sz w:val="20"/>
          <w:szCs w:val="20"/>
          <w:color w:val="auto"/>
        </w:rPr>
      </w:pPr>
      <w:r>
        <w:rPr>
          <w:rFonts w:ascii="Arial" w:cs="Arial" w:eastAsia="Arial" w:hAnsi="Arial"/>
          <w:sz w:val="15"/>
          <w:szCs w:val="15"/>
          <w:color w:val="auto"/>
        </w:rPr>
        <w:t>To put this in context, approximately 65% of U.S. sales come from drive through, representing a massive opportunity with large customers like McDonald's, Taco Bell, and KFC. Computer vision also has other applications like detecting if orders are being made incorrectly in a busy kitchen. Here's an example of a partner we're working with who told us that 10% to 15% of restaurant orders are made incorrectly- and the cost impact of these could be devastating. For each incorrect order there are refunds, labor costs, and remakes of that food and a guest who may never return. The problem is even more acute with the increase in off premise orders. Customer vision can detect an order being made incorrectly, saying two big Macs are added to an order versus three and alert staff about the problem before the order goes to the customer.</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Presto Voice is our automated assistant for taking orders at restaurants using an automated assistant means restaurants can not only reduce their labor costs, but also maintain greater control of their guest experience and upsells. A major problem with low wage staff is a lack of consistency, and that is where an automated system shines. Our technology maintains an impressive 95% success rate with automated order processing.</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Let me talk to you about our growth strategy for a minute. We've had a lot of success with our land and expand playbook. Presto has been able to get in the door at large chains with just a single product, at a limited number of stores and over a very short period of time, expand both with additional products and with additional stores and then additional geographies, converting a very small footprint to a very large one very quickly. Because our products are all tightly integrated with each other there's a lot of benefit in [00:14:00] companies adopting our entire platform. For example, Presto Voice assistant upsells more intelligently if the restaurant also uses Presto Vision to identify the customer. And, Presto Vision for example, can read a license plate and charge credit cards on file, allowing you to skip the payment step altogether. Here’s an example where we went from a few stores with a customer like Chilis to over a thousand in a space of just four quarters. We started with just a handful of stores and then within a few quarters, we got to an entire install base of Chili's corporate. Red Lobster is another example where a customer expanded first in the U.S. and then liked our product so much that they expanded to another country, in this case, Canada, and we've been able to expand geographically with several customers like this.</w:t>
      </w:r>
    </w:p>
    <w:p>
      <w:pPr>
        <w:spacing w:after="0" w:line="15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Presto has a purpose-built team, as well, for this opportunity. We have deep experience in restaurant technology amongst the C-level team, amongst just the five of us, for example, there are several decades of experience in this vertical, and there's also an extensive background in SaaS and AI. I'm now going to turn it over to Ashish for the financial section.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ASHISH GUPTA</w:t>
      </w:r>
      <w:r>
        <w:rPr>
          <w:rFonts w:ascii="Arial" w:cs="Arial" w:eastAsia="Arial" w:hAnsi="Arial"/>
          <w:sz w:val="16"/>
          <w:szCs w:val="16"/>
          <w:color w:val="auto"/>
        </w:rPr>
        <w:t>, CFO, Presto:</w:t>
      </w:r>
    </w:p>
    <w:p>
      <w:pPr>
        <w:spacing w:after="0" w:line="20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Thanks Raj. I’ll next talk a bit about Presto's key metrics and financial profile. There's a couple of key themes I want to touch on. First, Presto is a SaaS software play, a high growth business at scale with opportunities for greater than a $100 million in revenue in the near term with both a predictable revenue model, 99% [00:15:30] recurring and reoccurring revenue, and a sustainable growth engine fueled by multiple vectors of growth. Also a very sticky book of revenue with three year customer contracts and 119% net revenue retention, even during COVID as Raj pointed out. Lastly, what excites us even more is the tremendous opportunity in front of us. We estimate that we have a $1.6 billion pipeline leading to a weighted sales pipe of $234 million. That's a 7x pipeline coverage.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0" w:name="page401"/>
    <w:bookmarkEnd w:id="400"/>
    <w:p>
      <w:pPr>
        <w:jc w:val="both"/>
        <w:ind w:right="20"/>
        <w:spacing w:after="0" w:line="273" w:lineRule="auto"/>
        <w:rPr>
          <w:sz w:val="20"/>
          <w:szCs w:val="20"/>
          <w:color w:val="auto"/>
        </w:rPr>
      </w:pPr>
      <w:r>
        <w:rPr>
          <w:rFonts w:ascii="Arial" w:cs="Arial" w:eastAsia="Arial" w:hAnsi="Arial"/>
          <w:sz w:val="15"/>
          <w:szCs w:val="15"/>
          <w:color w:val="auto"/>
        </w:rPr>
        <w:t>As Raj highlighted the macro landscape that’s fueling sector wide labor shortages, hiring bonuses and increasing minimum wages have created very favorable tailwinds for us. And as such, we actually grew our store footprint even after COVID first hit in 2020 when the sector was directly impacted. And now coming out of COVID, we’ve already signed several new deals and accelerated expansion of others in the last quarter and more than doubled the size of our sales pipeline, all while maintaining our greater than 100 percent net revenue retention. We have a line of sight to robust revenue growth to over a $100 million in two years, with the strength of our sales pipeline evidenced earlier, and multiple new products and use cases in Vision, Voice and Touch, which appeal to a broad array of customers across both the casual dining and QSR segments. These new products lead to a mix shift, with even more recurring platform revenue than transaction, the latter being more entertainment applications. And part of our revenue layer cake is also for sure our industry leading and net revenue retention number.</w:t>
      </w:r>
    </w:p>
    <w:p>
      <w:pPr>
        <w:spacing w:after="0" w:line="156"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We believe the focus on mix shift on driving platform revenue will naturally accelerate our margin profile by about 25 percentage points over the next two years in part from scale efficiencies, also our Voice and Vision product lines, and increasing the platform mix. In regards to our pipeline, just to talk about that a little bit, we estimate we have a robust $1.6 billion raw sales pipeline across 30 named logos, which captures 120,000 locations. All very recognizable household names. Further, more than half our pipeline is comprised of very large tier one enterprise chains, each with greater than 2000 stores, that gives us multiple pathways to hit our forecast that I want to double-click on just a bit. And several of these are already in pilot. As a result, we have significant upside potential to our forecast. So for example, taking just two such tier one logos, both of which are currently signed pilots, we estimate that just a 25% penetration on these means we should get north of $27 million more in revenue for 2023 and a $100 million above our forecast if we get 75% penetration, which historically has been the norm for us when you look at our existing customer logos.</w:t>
      </w:r>
    </w:p>
    <w:p>
      <w:pPr>
        <w:spacing w:after="0" w:line="15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This year-over-year revenue bridge demonstrates how achievable our forecast is, as an example, Raj talked about McDonald's. So the total ARR opportunity with McDonald's is a $100 million and just 23% penetration there, alone, with no other new customers, should get us to our next year’s target. Similarly only 28% penetration of the $82 million ARR opportunity at Yum Brands with no other new customers gets us to our next year's target. As such, we think there's a lot of upside for us to outperform our projection. Pulling everything together, when you look at our projections, a couple of things I want to highlight. At a macro level, we have a high, robust high growth engine and expect to turn the corner to profitability by the middle of 2023. Further, very little of the cash from this transaction is used for working capital, leaving it for investment in new products, growth initiatives, and M&amp;A. And in fact, our forecast does not reflect upside from international or from M&amp;A, and we think those are big opportunities in their own right, as we take in more capital in this process. I'll now turn it over to Prasad from the Ventoux team to talk about the transaction pricing and peer benchmarks.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401" w:name="page402"/>
    <w:bookmarkEnd w:id="401"/>
    <w:p>
      <w:pPr>
        <w:spacing w:after="0"/>
        <w:rPr>
          <w:sz w:val="20"/>
          <w:szCs w:val="20"/>
          <w:color w:val="auto"/>
        </w:rPr>
      </w:pPr>
      <w:r>
        <w:rPr>
          <w:rFonts w:ascii="Arial" w:cs="Arial" w:eastAsia="Arial" w:hAnsi="Arial"/>
          <w:sz w:val="16"/>
          <w:szCs w:val="16"/>
          <w:b w:val="1"/>
          <w:bCs w:val="1"/>
          <w:color w:val="auto"/>
        </w:rPr>
        <w:t>PRASAD PHATAK</w:t>
      </w:r>
      <w:r>
        <w:rPr>
          <w:rFonts w:ascii="Arial" w:cs="Arial" w:eastAsia="Arial" w:hAnsi="Arial"/>
          <w:sz w:val="16"/>
          <w:szCs w:val="16"/>
          <w:color w:val="auto"/>
        </w:rPr>
        <w:t>, CIO, Ventoux CCM:</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Thanks, Ashish. Good morning. My name is Prasad Phatak and I am the Chief Investment Officer of Ventoux CCM. I wanted to walk everyone through how we're thinking about Presto's valuation and positioning versus peers. [00:20:00] As we thought about the peer group, we wanted to identify companies with similar characteristics to Presto, namely software type business models with high recurring revenue, strong incremental margins, and low capital intensity. In the restaurant space, we selected Lightspeed, Olo and Toast as comparables. In addition, we looked at a number of high growth software businesses, as we see Presto being the one-stop shop for enterprise restaurant software going forward. As you can see on the next slide, Presto's revenue growth is very attractive relative to both sets of peers for the next two years, driven by many of the tailwinds we've already discussed: the labor shortage, increased restaurant tech spend and increased desire to improve order accuracy and speed of service as off premise consumption has been accelerated in the post pandemic world.</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Revenue growth for Presto is significant, aided by voice and vision products that have significantly expanded the TAM for the company. These figures also exclude any international expansion or potential M&amp;A. On gross margins, Presto is in line with peers and we expect margins to improve in the future. [00:21:00] Upon contract renewal Presto should generate significant software like gross margins driving overall margins up over time. On slide 36, we have revenue multiples laid out graphically. At the deal valuation, Presto is at a significant discount to both peer groups. Adjusted for the significant projected growth, Presto's discount versus the peer group is even more pronounced. Finally, Presto is at an approximately 98% discount on 2023 expected revenue versus the selected peers. I'll send it back to Raj to recap.</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RAJ SURI</w:t>
      </w:r>
      <w:r>
        <w:rPr>
          <w:rFonts w:ascii="Arial" w:cs="Arial" w:eastAsia="Arial" w:hAnsi="Arial"/>
          <w:sz w:val="16"/>
          <w:szCs w:val="16"/>
          <w:color w:val="auto"/>
        </w:rPr>
        <w:t>:</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Thanks, Prasad. So Presto is at the right place at the right time for this industry. Over 12 years of building, we've earned our position as a market leader on labor automation and solutions at the exact same time that labor is the number one priority for restaurants. So I hope you will join us on this journey. It's going to be rewarding for you, and your family and friends will be thanking you every time they go out to eat for decades to come. Thank you all.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11240"/>
      </w:cols>
      <w:pgMar w:left="320" w:top="8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5B8110"/>
    <w:multiLevelType w:val="hybridMultilevel"/>
    <w:lvl w:ilvl="0">
      <w:lvlJc w:val="left"/>
      <w:lvlText w:val="☒"/>
      <w:numFmt w:val="bullet"/>
      <w:start w:val="1"/>
    </w:lvl>
  </w:abstractNum>
  <w:abstractNum w:abstractNumId="1">
    <w:nsid w:val="94927A8"/>
    <w:multiLevelType w:val="hybridMultilevel"/>
    <w:lvl w:ilvl="0">
      <w:lvlJc w:val="left"/>
      <w:lvlText w:val="☐"/>
      <w:numFmt w:val="bullet"/>
      <w:start w:val="1"/>
    </w:lvl>
  </w:abstractNum>
  <w:abstractNum w:abstractNumId="2">
    <w:nsid w:val="DCDF8F6"/>
    <w:multiLevelType w:val="hybridMultilevel"/>
    <w:lvl w:ilvl="0">
      <w:lvlJc w:val="left"/>
      <w:lvlText w:val="%1"/>
      <w:numFmt w:val="upperLetter"/>
      <w:start w:val="35"/>
    </w:lvl>
  </w:abstractNum>
  <w:abstractNum w:abstractNumId="3">
    <w:nsid w:val="52D7B105"/>
    <w:multiLevelType w:val="hybridMultilevel"/>
    <w:lvl w:ilvl="0">
      <w:lvlJc w:val="left"/>
      <w:lvlText w:val="(%1)"/>
      <w:numFmt w:val="lowerRoman"/>
      <w:start w:val="4"/>
    </w:lvl>
  </w:abstractNum>
  <w:abstractNum w:abstractNumId="4">
    <w:nsid w:val="2E8A6394"/>
    <w:multiLevelType w:val="hybridMultilevel"/>
    <w:lvl w:ilvl="0">
      <w:lvlJc w:val="left"/>
      <w:lvlText w:val="(%1)"/>
      <w:numFmt w:val="lowerRoman"/>
      <w:start w:val="4"/>
    </w:lvl>
  </w:abstractNum>
  <w:abstractNum w:abstractNumId="5">
    <w:nsid w:val="24E60401"/>
    <w:multiLevelType w:val="hybridMultilevel"/>
    <w:lvl w:ilvl="0">
      <w:lvlJc w:val="left"/>
      <w:lvlText w:val="†"/>
      <w:numFmt w:val="bullet"/>
      <w:start w:val="1"/>
    </w:lvl>
    <w:lvl w:ilvl="1">
      <w:lvlJc w:val="left"/>
      <w:lvlText w:val="*"/>
      <w:numFmt w:val="bullet"/>
      <w:start w:val="1"/>
    </w:lvl>
  </w:abstractNum>
  <w:abstractNum w:abstractNumId="6">
    <w:nsid w:val="2A6AD9BE"/>
    <w:multiLevelType w:val="hybridMultilevel"/>
    <w:lvl w:ilvl="0">
      <w:lvlJc w:val="left"/>
      <w:lvlText w:val="(%1)"/>
      <w:numFmt w:val="lowerLetter"/>
      <w:start w:val="1"/>
    </w:lvl>
  </w:abstractNum>
  <w:abstractNum w:abstractNumId="7">
    <w:nsid w:val="BAAC1B4"/>
    <w:multiLevelType w:val="hybridMultilevel"/>
    <w:lvl w:ilvl="0">
      <w:lvlJc w:val="left"/>
      <w:lvlText w:val="(%1)"/>
      <w:numFmt w:val="lowerRoman"/>
      <w:start w:val="9"/>
    </w:lvl>
  </w:abstractNum>
  <w:abstractNum w:abstractNumId="8">
    <w:nsid w:val="36B2ACBC"/>
    <w:multiLevelType w:val="hybridMultilevel"/>
    <w:lvl w:ilvl="0">
      <w:lvlJc w:val="left"/>
      <w:lvlText w:val="(%1)"/>
      <w:numFmt w:val="lowerRoman"/>
      <w:start w:val="2"/>
    </w:lvl>
  </w:abstractNum>
  <w:abstractNum w:abstractNumId="9">
    <w:nsid w:val="779D8544"/>
    <w:multiLevelType w:val="hybridMultilevel"/>
    <w:lvl w:ilvl="0">
      <w:lvlJc w:val="left"/>
      <w:lvlText w:val="(%1)"/>
      <w:numFmt w:val="lowerLetter"/>
      <w:start w:val="1"/>
    </w:lvl>
  </w:abstractNum>
  <w:abstractNum w:abstractNumId="10">
    <w:nsid w:val="4AB26E78"/>
    <w:multiLevelType w:val="hybridMultilevel"/>
    <w:lvl w:ilvl="0">
      <w:lvlJc w:val="left"/>
      <w:lvlText w:val="(%1)"/>
      <w:numFmt w:val="lowerLetter"/>
      <w:start w:val="5"/>
    </w:lvl>
  </w:abstractNum>
  <w:abstractNum w:abstractNumId="11">
    <w:nsid w:val="21FAA2FA"/>
    <w:multiLevelType w:val="hybridMultilevel"/>
    <w:lvl w:ilvl="0">
      <w:lvlJc w:val="left"/>
      <w:lvlText w:val="(%1)"/>
      <w:numFmt w:val="lowerLetter"/>
      <w:start w:val="1"/>
    </w:lvl>
  </w:abstractNum>
  <w:abstractNum w:abstractNumId="12">
    <w:nsid w:val="5451CF49"/>
    <w:multiLevelType w:val="hybridMultilevel"/>
    <w:lvl w:ilvl="0">
      <w:lvlJc w:val="left"/>
      <w:lvlText w:val="(%1)"/>
      <w:numFmt w:val="lowerLetter"/>
      <w:start w:val="1"/>
    </w:lvl>
  </w:abstractNum>
  <w:abstractNum w:abstractNumId="13">
    <w:nsid w:val="6181EF69"/>
    <w:multiLevelType w:val="hybridMultilevel"/>
    <w:lvl w:ilvl="0">
      <w:lvlJc w:val="left"/>
      <w:lvlText w:val="(%1)"/>
      <w:numFmt w:val="lowerLetter"/>
      <w:start w:val="1"/>
    </w:lvl>
  </w:abstractNum>
  <w:abstractNum w:abstractNumId="14">
    <w:nsid w:val="3E6400E6"/>
    <w:multiLevelType w:val="hybridMultilevel"/>
    <w:lvl w:ilvl="0">
      <w:lvlJc w:val="left"/>
      <w:lvlText w:val="(%1)"/>
      <w:numFmt w:val="lowerLetter"/>
      <w:start w:val="1"/>
    </w:lvl>
  </w:abstractNum>
  <w:abstractNum w:abstractNumId="15">
    <w:nsid w:val="14217E23"/>
    <w:multiLevelType w:val="hybridMultilevel"/>
    <w:lvl w:ilvl="0">
      <w:lvlJc w:val="left"/>
      <w:lvlText w:val="(%1)"/>
      <w:numFmt w:val="lowerLetter"/>
      <w:start w:val="2"/>
    </w:lvl>
  </w:abstractNum>
  <w:abstractNum w:abstractNumId="16">
    <w:nsid w:val="710757D0"/>
    <w:multiLevelType w:val="hybridMultilevel"/>
    <w:lvl w:ilvl="0">
      <w:lvlJc w:val="left"/>
      <w:lvlText w:val="(%1)"/>
      <w:numFmt w:val="lowerLetter"/>
      <w:start w:val="1"/>
    </w:lvl>
  </w:abstractNum>
  <w:abstractNum w:abstractNumId="17">
    <w:nsid w:val="5015CD1A"/>
    <w:multiLevelType w:val="hybridMultilevel"/>
    <w:lvl w:ilvl="0">
      <w:lvlJc w:val="left"/>
      <w:lvlText w:val="(%1)"/>
      <w:numFmt w:val="lowerLetter"/>
      <w:start w:val="1"/>
    </w:lvl>
  </w:abstractNum>
  <w:abstractNum w:abstractNumId="18">
    <w:nsid w:val="424479DA"/>
    <w:multiLevelType w:val="hybridMultilevel"/>
    <w:lvl w:ilvl="0">
      <w:lvlJc w:val="left"/>
      <w:lvlText w:val="(%1)"/>
      <w:numFmt w:val="lowerLetter"/>
      <w:start w:val="2"/>
    </w:lvl>
    <w:lvl w:ilvl="1">
      <w:lvlJc w:val="left"/>
      <w:lvlText w:val="(%2)"/>
      <w:numFmt w:val="lowerRoman"/>
      <w:start w:val="1"/>
    </w:lvl>
  </w:abstractNum>
  <w:abstractNum w:abstractNumId="19">
    <w:nsid w:val="1A9A9E69"/>
    <w:multiLevelType w:val="hybridMultilevel"/>
    <w:lvl w:ilvl="0">
      <w:lvlJc w:val="left"/>
      <w:lvlText w:val="(%1)"/>
      <w:numFmt w:val="lowerLetter"/>
      <w:start w:val="1"/>
    </w:lvl>
  </w:abstractNum>
  <w:abstractNum w:abstractNumId="20">
    <w:nsid w:val="475E256A"/>
    <w:multiLevelType w:val="hybridMultilevel"/>
    <w:lvl w:ilvl="0">
      <w:lvlJc w:val="left"/>
      <w:lvlText w:val="(%1)"/>
      <w:numFmt w:val="lowerLetter"/>
      <w:start w:val="1"/>
    </w:lvl>
  </w:abstractNum>
  <w:abstractNum w:abstractNumId="21">
    <w:nsid w:val="368DB37E"/>
    <w:multiLevelType w:val="hybridMultilevel"/>
    <w:lvl w:ilvl="0">
      <w:lvlJc w:val="left"/>
      <w:lvlText w:val="(%1)"/>
      <w:numFmt w:val="lowerLetter"/>
      <w:start w:val="1"/>
    </w:lvl>
  </w:abstractNum>
  <w:abstractNum w:abstractNumId="22">
    <w:nsid w:val="6A3B714C"/>
    <w:multiLevelType w:val="hybridMultilevel"/>
    <w:lvl w:ilvl="0">
      <w:lvlJc w:val="left"/>
      <w:lvlText w:val="%1"/>
      <w:numFmt w:val="lowerLetter"/>
      <w:start w:val="1"/>
    </w:lvl>
    <w:lvl w:ilvl="1">
      <w:lvlJc w:val="left"/>
      <w:lvlText w:val="(%2)"/>
      <w:numFmt w:val="lowerLetter"/>
      <w:start w:val="1"/>
    </w:lvl>
  </w:abstractNum>
  <w:abstractNum w:abstractNumId="23">
    <w:nsid w:val="327B517E"/>
    <w:multiLevelType w:val="hybridMultilevel"/>
    <w:lvl w:ilvl="0">
      <w:lvlJc w:val="left"/>
      <w:lvlText w:val="(%1)"/>
      <w:numFmt w:val="lowerLetter"/>
      <w:start w:val="9"/>
    </w:lvl>
    <w:lvl w:ilvl="1">
      <w:lvlJc w:val="left"/>
      <w:lvlText w:val="%2"/>
      <w:numFmt w:val="lowerLetter"/>
      <w:start w:val="1"/>
    </w:lvl>
  </w:abstractNum>
  <w:abstractNum w:abstractNumId="24">
    <w:nsid w:val="1F461B51"/>
    <w:multiLevelType w:val="hybridMultilevel"/>
    <w:lvl w:ilvl="0">
      <w:lvlJc w:val="left"/>
      <w:lvlText w:val="(%1)"/>
      <w:numFmt w:val="lowerLetter"/>
      <w:start w:val="1"/>
    </w:lvl>
  </w:abstractNum>
  <w:abstractNum w:abstractNumId="25">
    <w:nsid w:val="29BACF25"/>
    <w:multiLevelType w:val="hybridMultilevel"/>
    <w:lvl w:ilvl="0">
      <w:lvlJc w:val="left"/>
      <w:lvlText w:val="(%1)"/>
      <w:numFmt w:val="lowerLetter"/>
      <w:start w:val="1"/>
    </w:lvl>
  </w:abstractNum>
  <w:abstractNum w:abstractNumId="26">
    <w:nsid w:val="5D5BABB3"/>
    <w:multiLevelType w:val="hybridMultilevel"/>
    <w:lvl w:ilvl="0">
      <w:lvlJc w:val="left"/>
      <w:lvlText w:val="(%1)"/>
      <w:numFmt w:val="lowerLetter"/>
      <w:start w:val="1"/>
    </w:lvl>
  </w:abstractNum>
  <w:abstractNum w:abstractNumId="27">
    <w:nsid w:val="51BF6B48"/>
    <w:multiLevelType w:val="hybridMultilevel"/>
    <w:lvl w:ilvl="0">
      <w:lvlJc w:val="left"/>
      <w:lvlText w:val="%1"/>
      <w:numFmt w:val="lowerLetter"/>
      <w:start w:val="1"/>
    </w:lvl>
    <w:lvl w:ilvl="1">
      <w:lvlJc w:val="left"/>
      <w:lvlText w:val="(%2)"/>
      <w:numFmt w:val="lowerLetter"/>
      <w:start w:val="2"/>
    </w:lvl>
  </w:abstractNum>
  <w:abstractNum w:abstractNumId="28">
    <w:nsid w:val="7E0F6384"/>
    <w:multiLevelType w:val="hybridMultilevel"/>
    <w:lvl w:ilvl="0">
      <w:lvlJc w:val="left"/>
      <w:lvlText w:val="(%1)"/>
      <w:numFmt w:val="lowerLetter"/>
      <w:start w:val="24"/>
    </w:lvl>
    <w:lvl w:ilvl="1">
      <w:lvlJc w:val="left"/>
      <w:lvlText w:val="(%2)"/>
      <w:numFmt w:val="lowerLetter"/>
      <w:start w:val="4"/>
    </w:lvl>
  </w:abstractNum>
  <w:abstractNum w:abstractNumId="29">
    <w:nsid w:val="2B4B8B53"/>
    <w:multiLevelType w:val="hybridMultilevel"/>
    <w:lvl w:ilvl="0">
      <w:lvlJc w:val="left"/>
      <w:lvlText w:val="(%1)"/>
      <w:numFmt w:val="lowerLetter"/>
      <w:start w:val="5"/>
    </w:lvl>
  </w:abstractNum>
  <w:abstractNum w:abstractNumId="30">
    <w:nsid w:val="72E3413A"/>
    <w:multiLevelType w:val="hybridMultilevel"/>
    <w:lvl w:ilvl="0">
      <w:lvlJc w:val="left"/>
      <w:lvlText w:val="%1"/>
      <w:numFmt w:val="upperLetter"/>
      <w:start w:val="1"/>
    </w:lvl>
    <w:lvl w:ilvl="1">
      <w:lvlJc w:val="left"/>
      <w:lvlText w:val="(%2)"/>
      <w:numFmt w:val="lowerLetter"/>
      <w:start w:val="1"/>
    </w:lvl>
  </w:abstractNum>
  <w:abstractNum w:abstractNumId="31">
    <w:nsid w:val="116AE494"/>
    <w:multiLevelType w:val="hybridMultilevel"/>
    <w:lvl w:ilvl="0">
      <w:lvlJc w:val="left"/>
      <w:lvlText w:val="(%1)"/>
      <w:numFmt w:val="lowerLetter"/>
      <w:start w:val="1"/>
    </w:lvl>
  </w:abstractNum>
  <w:abstractNum w:abstractNumId="32">
    <w:nsid w:val="3494B2FB"/>
    <w:multiLevelType w:val="hybridMultilevel"/>
    <w:lvl w:ilvl="0">
      <w:lvlJc w:val="left"/>
      <w:lvlText w:val="(%1)"/>
      <w:numFmt w:val="lowerLetter"/>
      <w:start w:val="1"/>
    </w:lvl>
  </w:abstractNum>
  <w:abstractNum w:abstractNumId="33">
    <w:nsid w:val="B13A31"/>
    <w:multiLevelType w:val="hybridMultilevel"/>
    <w:lvl w:ilvl="0">
      <w:lvlJc w:val="left"/>
      <w:lvlText w:val="%1"/>
      <w:numFmt w:val="upperLetter"/>
      <w:start w:val="1"/>
    </w:lvl>
    <w:lvl w:ilvl="1">
      <w:lvlJc w:val="left"/>
      <w:lvlText w:val="(%2)"/>
      <w:numFmt w:val="lowerLetter"/>
      <w:start w:val="2"/>
    </w:lvl>
  </w:abstractNum>
  <w:abstractNum w:abstractNumId="34">
    <w:nsid w:val="64429599"/>
    <w:multiLevelType w:val="hybridMultilevel"/>
    <w:lvl w:ilvl="0">
      <w:lvlJc w:val="left"/>
      <w:lvlText w:val="(%1)"/>
      <w:numFmt w:val="upperLetter"/>
      <w:start w:val="1"/>
    </w:lvl>
    <w:lvl w:ilvl="1">
      <w:lvlJc w:val="left"/>
      <w:lvlText w:val="(%2)"/>
      <w:numFmt w:val="lowerLetter"/>
      <w:start w:val="3"/>
    </w:lvl>
  </w:abstractNum>
  <w:abstractNum w:abstractNumId="35">
    <w:nsid w:val="631F1690"/>
    <w:multiLevelType w:val="hybridMultilevel"/>
    <w:lvl w:ilvl="0">
      <w:lvlJc w:val="left"/>
      <w:lvlText w:val="(%1)"/>
      <w:numFmt w:val="lowerLetter"/>
      <w:start w:val="6"/>
    </w:lvl>
  </w:abstractNum>
  <w:abstractNum w:abstractNumId="36">
    <w:nsid w:val="25973E32"/>
    <w:multiLevelType w:val="hybridMultilevel"/>
    <w:lvl w:ilvl="0">
      <w:lvlJc w:val="left"/>
      <w:lvlText w:val="(%1)"/>
      <w:numFmt w:val="lowerLetter"/>
      <w:start w:val="1"/>
    </w:lvl>
    <w:lvl w:ilvl="1">
      <w:lvlJc w:val="left"/>
      <w:lvlText w:val="(%2)"/>
      <w:numFmt w:val="lowerRoman"/>
      <w:start w:val="1"/>
    </w:lvl>
  </w:abstractNum>
  <w:abstractNum w:abstractNumId="37">
    <w:nsid w:val="EAD6F57"/>
    <w:multiLevelType w:val="hybridMultilevel"/>
    <w:lvl w:ilvl="0">
      <w:lvlJc w:val="left"/>
      <w:lvlText w:val="%1"/>
      <w:numFmt w:val="lowerLetter"/>
      <w:start w:val="1"/>
    </w:lvl>
    <w:lvl w:ilvl="1">
      <w:lvlJc w:val="left"/>
      <w:lvlText w:val="(%2)"/>
      <w:numFmt w:val="lowerRoman"/>
      <w:start w:val="7"/>
    </w:lvl>
  </w:abstractNum>
  <w:abstractNum w:abstractNumId="38">
    <w:nsid w:val="6EC9D844"/>
    <w:multiLevelType w:val="hybridMultilevel"/>
    <w:lvl w:ilvl="0">
      <w:lvlJc w:val="left"/>
      <w:lvlText w:val="(%1)"/>
      <w:numFmt w:val="lowerLetter"/>
      <w:start w:val="2"/>
    </w:lvl>
    <w:lvl w:ilvl="1">
      <w:lvlJc w:val="left"/>
      <w:lvlText w:val="%2"/>
      <w:numFmt w:val="lowerRoman"/>
      <w:start w:val="1"/>
    </w:lvl>
  </w:abstractNum>
  <w:abstractNum w:abstractNumId="39">
    <w:nsid w:val="5C49EAEE"/>
    <w:multiLevelType w:val="hybridMultilevel"/>
    <w:lvl w:ilvl="0">
      <w:lvlJc w:val="left"/>
      <w:lvlText w:val="(%1)"/>
      <w:numFmt w:val="lowerLetter"/>
      <w:start w:val="1"/>
    </w:lvl>
  </w:abstractNum>
  <w:abstractNum w:abstractNumId="40">
    <w:nsid w:val="64AF49B"/>
    <w:multiLevelType w:val="hybridMultilevel"/>
    <w:lvl w:ilvl="0">
      <w:lvlJc w:val="left"/>
      <w:lvlText w:val="(%1)"/>
      <w:numFmt w:val="lowerLetter"/>
      <w:start w:val="6"/>
    </w:lvl>
  </w:abstractNum>
  <w:abstractNum w:abstractNumId="41">
    <w:nsid w:val="397C46BC"/>
    <w:multiLevelType w:val="hybridMultilevel"/>
    <w:lvl w:ilvl="0">
      <w:lvlJc w:val="left"/>
      <w:lvlText w:val="(%1)"/>
      <w:numFmt w:val="lowerLetter"/>
      <w:start w:val="1"/>
    </w:lvl>
  </w:abstractNum>
  <w:abstractNum w:abstractNumId="42">
    <w:nsid w:val="7E448DE9"/>
    <w:multiLevelType w:val="hybridMultilevel"/>
    <w:lvl w:ilvl="0">
      <w:lvlJc w:val="left"/>
      <w:lvlText w:val="(%1)"/>
      <w:numFmt w:val="lowerLetter"/>
      <w:start w:val="3"/>
    </w:lvl>
  </w:abstractNum>
  <w:abstractNum w:abstractNumId="43">
    <w:nsid w:val="5A9CC3E5"/>
    <w:multiLevelType w:val="hybridMultilevel"/>
    <w:lvl w:ilvl="0">
      <w:lvlJc w:val="left"/>
      <w:lvlText w:val="(%1)"/>
      <w:numFmt w:val="lowerLetter"/>
      <w:start w:val="1"/>
    </w:lvl>
  </w:abstractNum>
  <w:abstractNum w:abstractNumId="44">
    <w:nsid w:val="1AFE3625"/>
    <w:multiLevelType w:val="hybridMultilevel"/>
    <w:lvl w:ilvl="0">
      <w:lvlJc w:val="left"/>
      <w:lvlText w:val="(%1)"/>
      <w:numFmt w:val="lowerLetter"/>
      <w:start w:val="6"/>
    </w:lvl>
  </w:abstractNum>
  <w:abstractNum w:abstractNumId="45">
    <w:nsid w:val="3CA88ECF"/>
    <w:multiLevelType w:val="hybridMultilevel"/>
    <w:lvl w:ilvl="0">
      <w:lvlJc w:val="left"/>
      <w:lvlText w:val="(%1)"/>
      <w:numFmt w:val="lowerLetter"/>
      <w:start w:val="15"/>
    </w:lvl>
  </w:abstractNum>
  <w:abstractNum w:abstractNumId="46">
    <w:nsid w:val="6EBE4208"/>
    <w:multiLevelType w:val="hybridMultilevel"/>
    <w:lvl w:ilvl="0">
      <w:lvlJc w:val="left"/>
      <w:lvlText w:val="(%1)"/>
      <w:numFmt w:val="lowerLetter"/>
      <w:start w:val="1"/>
    </w:lvl>
  </w:abstractNum>
  <w:abstractNum w:abstractNumId="47">
    <w:nsid w:val="C058DF5"/>
    <w:multiLevelType w:val="hybridMultilevel"/>
    <w:lvl w:ilvl="0">
      <w:lvlJc w:val="left"/>
      <w:lvlText w:val="(%1)"/>
      <w:numFmt w:val="lowerLetter"/>
      <w:start w:val="4"/>
    </w:lvl>
  </w:abstractNum>
  <w:abstractNum w:abstractNumId="48">
    <w:nsid w:val="CBE5BE9"/>
    <w:multiLevelType w:val="hybridMultilevel"/>
    <w:lvl w:ilvl="0">
      <w:lvlJc w:val="left"/>
      <w:lvlText w:val="(%1)"/>
      <w:numFmt w:val="lowerLetter"/>
      <w:start w:val="1"/>
    </w:lvl>
  </w:abstractNum>
  <w:abstractNum w:abstractNumId="49">
    <w:nsid w:val="3102BBE2"/>
    <w:multiLevelType w:val="hybridMultilevel"/>
    <w:lvl w:ilvl="0">
      <w:lvlJc w:val="left"/>
      <w:lvlText w:val="(%1)"/>
      <w:numFmt w:val="lowerLetter"/>
      <w:start w:val="3"/>
    </w:lvl>
  </w:abstractNum>
  <w:abstractNum w:abstractNumId="50">
    <w:nsid w:val="26A02C5E"/>
    <w:multiLevelType w:val="hybridMultilevel"/>
    <w:lvl w:ilvl="0">
      <w:lvlJc w:val="left"/>
      <w:lvlText w:val="(%1)"/>
      <w:numFmt w:val="lowerLetter"/>
      <w:start w:val="1"/>
    </w:lvl>
  </w:abstractNum>
  <w:abstractNum w:abstractNumId="51">
    <w:nsid w:val="541C8153"/>
    <w:multiLevelType w:val="hybridMultilevel"/>
    <w:lvl w:ilvl="0">
      <w:lvlJc w:val="left"/>
      <w:lvlText w:val="(%1)"/>
      <w:numFmt w:val="lowerLetter"/>
      <w:start w:val="1"/>
    </w:lvl>
  </w:abstractNum>
  <w:abstractNum w:abstractNumId="52">
    <w:nsid w:val="67906F60"/>
    <w:multiLevelType w:val="hybridMultilevel"/>
    <w:lvl w:ilvl="0">
      <w:lvlJc w:val="left"/>
      <w:lvlText w:val="(%1)"/>
      <w:numFmt w:val="lowerLetter"/>
      <w:start w:val="1"/>
    </w:lvl>
  </w:abstractNum>
  <w:abstractNum w:abstractNumId="53">
    <w:nsid w:val="10DB9DAA"/>
    <w:multiLevelType w:val="hybridMultilevel"/>
    <w:lvl w:ilvl="0">
      <w:lvlJc w:val="left"/>
      <w:lvlText w:val="(%1)"/>
      <w:numFmt w:val="lowerLetter"/>
      <w:start w:val="2"/>
    </w:lvl>
  </w:abstractNum>
  <w:abstractNum w:abstractNumId="54">
    <w:nsid w:val="697D2D2"/>
    <w:multiLevelType w:val="hybridMultilevel"/>
    <w:lvl w:ilvl="0">
      <w:lvlJc w:val="left"/>
      <w:lvlText w:val="(%1)"/>
      <w:numFmt w:val="lowerLetter"/>
      <w:start w:val="1"/>
    </w:lvl>
  </w:abstractNum>
  <w:abstractNum w:abstractNumId="55">
    <w:nsid w:val="6D68AB2"/>
    <w:multiLevelType w:val="hybridMultilevel"/>
    <w:lvl w:ilvl="0">
      <w:lvlJc w:val="left"/>
      <w:lvlText w:val="(%1)"/>
      <w:numFmt w:val="lowerLetter"/>
      <w:start w:val="1"/>
    </w:lvl>
  </w:abstractNum>
  <w:abstractNum w:abstractNumId="56">
    <w:nsid w:val="3A966CD0"/>
    <w:multiLevelType w:val="hybridMultilevel"/>
    <w:lvl w:ilvl="0">
      <w:lvlJc w:val="left"/>
      <w:lvlText w:val="(%1)"/>
      <w:numFmt w:val="lowerLetter"/>
      <w:start w:val="1"/>
    </w:lvl>
  </w:abstractNum>
  <w:abstractNum w:abstractNumId="57">
    <w:nsid w:val="63F37E85"/>
    <w:multiLevelType w:val="hybridMultilevel"/>
    <w:lvl w:ilvl="0">
      <w:lvlJc w:val="left"/>
      <w:lvlText w:val="(%1)"/>
      <w:numFmt w:val="lowerLetter"/>
      <w:start w:val="10"/>
    </w:lvl>
  </w:abstractNum>
  <w:abstractNum w:abstractNumId="58">
    <w:nsid w:val="5895F5FA"/>
    <w:multiLevelType w:val="hybridMultilevel"/>
    <w:lvl w:ilvl="0">
      <w:lvlJc w:val="left"/>
      <w:lvlText w:val="(%1)"/>
      <w:numFmt w:val="lowerLetter"/>
      <w:start w:val="1"/>
    </w:lvl>
  </w:abstractNum>
  <w:abstractNum w:abstractNumId="59">
    <w:nsid w:val="38A5D054"/>
    <w:multiLevelType w:val="hybridMultilevel"/>
    <w:lvl w:ilvl="0">
      <w:lvlJc w:val="left"/>
      <w:lvlText w:val="(%1)"/>
      <w:numFmt w:val="lowerLetter"/>
      <w:start w:val="2"/>
    </w:lvl>
  </w:abstractNum>
  <w:abstractNum w:abstractNumId="60">
    <w:nsid w:val="F3F09D8"/>
    <w:multiLevelType w:val="hybridMultilevel"/>
    <w:lvl w:ilvl="0">
      <w:lvlJc w:val="left"/>
      <w:lvlText w:val="(%1)"/>
      <w:numFmt w:val="lowerLetter"/>
      <w:start w:val="1"/>
    </w:lvl>
  </w:abstractNum>
  <w:abstractNum w:abstractNumId="61">
    <w:nsid w:val="4B793735"/>
    <w:multiLevelType w:val="hybridMultilevel"/>
    <w:lvl w:ilvl="0">
      <w:lvlJc w:val="left"/>
      <w:lvlText w:val="(%1)"/>
      <w:numFmt w:val="lowerLetter"/>
      <w:start w:val="2"/>
    </w:lvl>
  </w:abstractNum>
  <w:abstractNum w:abstractNumId="62">
    <w:nsid w:val="4A10B4E8"/>
    <w:multiLevelType w:val="hybridMultilevel"/>
    <w:lvl w:ilvl="0">
      <w:lvlJc w:val="left"/>
      <w:lvlText w:val="(%1)"/>
      <w:numFmt w:val="lowerLetter"/>
      <w:start w:val="1"/>
    </w:lvl>
  </w:abstractNum>
  <w:abstractNum w:abstractNumId="63">
    <w:nsid w:val="43D3BCD4"/>
    <w:multiLevelType w:val="hybridMultilevel"/>
    <w:lvl w:ilvl="0">
      <w:lvlJc w:val="left"/>
      <w:lvlText w:val="(%1)"/>
      <w:numFmt w:val="lowerLetter"/>
      <w:start w:val="1"/>
    </w:lvl>
  </w:abstractNum>
  <w:abstractNum w:abstractNumId="64">
    <w:nsid w:val="4C2A7166"/>
    <w:multiLevelType w:val="hybridMultilevel"/>
    <w:lvl w:ilvl="0">
      <w:lvlJc w:val="left"/>
      <w:lvlText w:val="(%1)"/>
      <w:numFmt w:val="lowerLetter"/>
      <w:start w:val="1"/>
    </w:lvl>
  </w:abstractNum>
  <w:abstractNum w:abstractNumId="65">
    <w:nsid w:val="2E534A82"/>
    <w:multiLevelType w:val="hybridMultilevel"/>
    <w:lvl w:ilvl="0">
      <w:lvlJc w:val="left"/>
      <w:lvlText w:val="(%1)"/>
      <w:numFmt w:val="lowerLetter"/>
      <w:start w:val="4"/>
    </w:lvl>
  </w:abstractNum>
  <w:abstractNum w:abstractNumId="66">
    <w:nsid w:val="26F2D364"/>
    <w:multiLevelType w:val="hybridMultilevel"/>
    <w:lvl w:ilvl="0">
      <w:lvlJc w:val="left"/>
      <w:lvlText w:val="(%1)"/>
      <w:numFmt w:val="lowerLetter"/>
      <w:start w:val="7"/>
    </w:lvl>
  </w:abstractNum>
  <w:abstractNum w:abstractNumId="67">
    <w:nsid w:val="71C1AF98"/>
    <w:multiLevelType w:val="hybridMultilevel"/>
    <w:lvl w:ilvl="0">
      <w:lvlJc w:val="left"/>
      <w:lvlText w:val="(%1)"/>
      <w:numFmt w:val="lowerLetter"/>
      <w:start w:val="16"/>
    </w:lvl>
  </w:abstractNum>
  <w:abstractNum w:abstractNumId="68">
    <w:nsid w:val="3D00B9D9"/>
    <w:multiLevelType w:val="hybridMultilevel"/>
    <w:lvl w:ilvl="0">
      <w:lvlJc w:val="left"/>
      <w:lvlText w:val="(%1)"/>
      <w:numFmt w:val="lowerLetter"/>
      <w:start w:val="1"/>
    </w:lvl>
  </w:abstractNum>
  <w:abstractNum w:abstractNumId="69">
    <w:nsid w:val="15BCABA8"/>
    <w:multiLevelType w:val="hybridMultilevel"/>
    <w:lvl w:ilvl="0">
      <w:lvlJc w:val="left"/>
      <w:lvlText w:val="(%1)"/>
      <w:numFmt w:val="lowerLetter"/>
      <w:start w:val="1"/>
    </w:lvl>
  </w:abstractNum>
  <w:abstractNum w:abstractNumId="70">
    <w:nsid w:val="4E0B9A87"/>
    <w:multiLevelType w:val="hybridMultilevel"/>
    <w:lvl w:ilvl="0">
      <w:lvlJc w:val="left"/>
      <w:lvlText w:val="(%1)"/>
      <w:numFmt w:val="lowerLetter"/>
      <w:start w:val="2"/>
    </w:lvl>
  </w:abstractNum>
  <w:abstractNum w:abstractNumId="71">
    <w:nsid w:val="434BAE75"/>
    <w:multiLevelType w:val="hybridMultilevel"/>
    <w:lvl w:ilvl="0">
      <w:lvlJc w:val="left"/>
      <w:lvlText w:val="(%1)"/>
      <w:numFmt w:val="lowerLetter"/>
      <w:start w:val="2"/>
    </w:lvl>
  </w:abstractNum>
  <w:abstractNum w:abstractNumId="72">
    <w:nsid w:val="4F38F265"/>
    <w:multiLevelType w:val="hybridMultilevel"/>
    <w:lvl w:ilvl="0">
      <w:lvlJc w:val="left"/>
      <w:lvlText w:val="(%1)"/>
      <w:numFmt w:val="lowerLetter"/>
      <w:start w:val="1"/>
    </w:lvl>
  </w:abstractNum>
  <w:abstractNum w:abstractNumId="73">
    <w:nsid w:val="4C502870"/>
    <w:multiLevelType w:val="hybridMultilevel"/>
    <w:lvl w:ilvl="0">
      <w:lvlJc w:val="left"/>
      <w:lvlText w:val="(%1)"/>
      <w:numFmt w:val="lowerLetter"/>
      <w:start w:val="4"/>
    </w:lvl>
  </w:abstractNum>
  <w:abstractNum w:abstractNumId="74">
    <w:nsid w:val="1DE8725A"/>
    <w:multiLevelType w:val="hybridMultilevel"/>
    <w:lvl w:ilvl="0">
      <w:lvlJc w:val="left"/>
      <w:lvlText w:val="(%1)"/>
      <w:numFmt w:val="lowerLetter"/>
      <w:start w:val="1"/>
    </w:lvl>
  </w:abstractNum>
  <w:abstractNum w:abstractNumId="75">
    <w:nsid w:val="6A37288A"/>
    <w:multiLevelType w:val="hybridMultilevel"/>
    <w:lvl w:ilvl="0">
      <w:lvlJc w:val="left"/>
      <w:lvlText w:val="(%1)"/>
      <w:numFmt w:val="lowerLetter"/>
      <w:start w:val="1"/>
    </w:lvl>
    <w:lvl w:ilvl="1">
      <w:lvlJc w:val="left"/>
      <w:lvlText w:val="(%2)"/>
      <w:numFmt w:val="lowerRoman"/>
      <w:start w:val="1"/>
    </w:lvl>
  </w:abstractNum>
  <w:abstractNum w:abstractNumId="76">
    <w:nsid w:val="8F8B73F"/>
    <w:multiLevelType w:val="hybridMultilevel"/>
    <w:lvl w:ilvl="0">
      <w:lvlJc w:val="left"/>
      <w:lvlText w:val="(%1)"/>
      <w:numFmt w:val="lowerRoman"/>
      <w:start w:val="9"/>
    </w:lvl>
  </w:abstractNum>
  <w:abstractNum w:abstractNumId="77">
    <w:nsid w:val="CA6B462"/>
    <w:multiLevelType w:val="hybridMultilevel"/>
    <w:lvl w:ilvl="0">
      <w:lvlJc w:val="left"/>
      <w:lvlText w:val="(%1)"/>
      <w:numFmt w:val="lowerLetter"/>
      <w:start w:val="2"/>
    </w:lvl>
  </w:abstractNum>
  <w:abstractNum w:abstractNumId="78">
    <w:nsid w:val="763CB680"/>
    <w:multiLevelType w:val="hybridMultilevel"/>
    <w:lvl w:ilvl="0">
      <w:lvlJc w:val="left"/>
      <w:lvlText w:val="(%1)"/>
      <w:numFmt w:val="lowerLetter"/>
      <w:start w:val="1"/>
    </w:lvl>
  </w:abstractNum>
  <w:abstractNum w:abstractNumId="79">
    <w:nsid w:val="15B71329"/>
    <w:multiLevelType w:val="hybridMultilevel"/>
    <w:lvl w:ilvl="0">
      <w:lvlJc w:val="left"/>
      <w:lvlText w:val="(%1)"/>
      <w:numFmt w:val="lowerLetter"/>
      <w:start w:val="1"/>
    </w:lvl>
  </w:abstractNum>
  <w:abstractNum w:abstractNumId="80">
    <w:nsid w:val="3DA97044"/>
    <w:multiLevelType w:val="hybridMultilevel"/>
    <w:lvl w:ilvl="0">
      <w:lvlJc w:val="left"/>
      <w:lvlText w:val="(%1)"/>
      <w:numFmt w:val="lowerLetter"/>
      <w:start w:val="2"/>
    </w:lvl>
  </w:abstractNum>
  <w:abstractNum w:abstractNumId="81">
    <w:nsid w:val="1CDCE2DE"/>
    <w:multiLevelType w:val="hybridMultilevel"/>
    <w:lvl w:ilvl="0">
      <w:lvlJc w:val="left"/>
      <w:lvlText w:val="(%1)"/>
      <w:numFmt w:val="lowerLetter"/>
      <w:start w:val="1"/>
    </w:lvl>
  </w:abstractNum>
  <w:abstractNum w:abstractNumId="82">
    <w:nsid w:val="69D3947C"/>
    <w:multiLevelType w:val="hybridMultilevel"/>
    <w:lvl w:ilvl="0">
      <w:lvlJc w:val="left"/>
      <w:lvlText w:val="(%1)"/>
      <w:numFmt w:val="lowerLetter"/>
      <w:start w:val="1"/>
    </w:lvl>
  </w:abstractNum>
  <w:abstractNum w:abstractNumId="83">
    <w:nsid w:val="2539DFA5"/>
    <w:multiLevelType w:val="hybridMultilevel"/>
    <w:lvl w:ilvl="0">
      <w:lvlJc w:val="left"/>
      <w:lvlText w:val="(%1)"/>
      <w:numFmt w:val="lowerLetter"/>
      <w:start w:val="2"/>
    </w:lvl>
  </w:abstractNum>
  <w:abstractNum w:abstractNumId="84">
    <w:nsid w:val="2DB88089"/>
    <w:multiLevelType w:val="hybridMultilevel"/>
    <w:lvl w:ilvl="0">
      <w:lvlJc w:val="left"/>
      <w:lvlText w:val="(%1)"/>
      <w:numFmt w:val="lowerLetter"/>
      <w:start w:val="4"/>
    </w:lvl>
  </w:abstractNum>
  <w:abstractNum w:abstractNumId="85">
    <w:nsid w:val="706B674E"/>
    <w:multiLevelType w:val="hybridMultilevel"/>
    <w:lvl w:ilvl="0">
      <w:lvlJc w:val="left"/>
      <w:lvlText w:val="%1"/>
      <w:numFmt w:val="lowerLetter"/>
      <w:start w:val="1"/>
    </w:lvl>
    <w:lvl w:ilvl="1">
      <w:lvlJc w:val="left"/>
      <w:lvlText w:val="(%2)"/>
      <w:numFmt w:val="lowerLetter"/>
      <w:start w:val="1"/>
    </w:lvl>
  </w:abstractNum>
  <w:abstractNum w:abstractNumId="86">
    <w:nsid w:val="2C106A57"/>
    <w:multiLevelType w:val="hybridMultilevel"/>
    <w:lvl w:ilvl="0">
      <w:lvlJc w:val="left"/>
      <w:lvlText w:val="(%1)"/>
      <w:numFmt w:val="lowerLetter"/>
      <w:start w:val="35"/>
    </w:lvl>
    <w:lvl w:ilvl="1">
      <w:lvlJc w:val="left"/>
      <w:lvlText w:val="(%2)"/>
      <w:numFmt w:val="lowerLetter"/>
      <w:start w:val="3"/>
    </w:lvl>
  </w:abstractNum>
  <w:abstractNum w:abstractNumId="87">
    <w:nsid w:val="684EED59"/>
    <w:multiLevelType w:val="hybridMultilevel"/>
    <w:lvl w:ilvl="0">
      <w:lvlJc w:val="left"/>
      <w:lvlText w:val="(%1)"/>
      <w:numFmt w:val="lowerLetter"/>
      <w:start w:val="1"/>
    </w:lvl>
  </w:abstractNum>
  <w:abstractNum w:abstractNumId="88">
    <w:nsid w:val="545EE5D3"/>
    <w:multiLevelType w:val="hybridMultilevel"/>
    <w:lvl w:ilvl="0">
      <w:lvlJc w:val="left"/>
      <w:lvlText w:val="(%1)"/>
      <w:numFmt w:val="lowerLetter"/>
      <w:start w:val="3"/>
    </w:lvl>
  </w:abstractNum>
  <w:abstractNum w:abstractNumId="89">
    <w:nsid w:val="4A66051"/>
    <w:multiLevelType w:val="hybridMultilevel"/>
    <w:lvl w:ilvl="0">
      <w:lvlJc w:val="left"/>
      <w:lvlText w:val="(%1)"/>
      <w:numFmt w:val="lowerLetter"/>
      <w:start w:val="1"/>
    </w:lvl>
  </w:abstractNum>
  <w:abstractNum w:abstractNumId="90">
    <w:nsid w:val="20F4BDAD"/>
    <w:multiLevelType w:val="hybridMultilevel"/>
    <w:lvl w:ilvl="0">
      <w:lvlJc w:val="left"/>
      <w:lvlText w:val="(%1)"/>
      <w:numFmt w:val="lowerLetter"/>
      <w:start w:val="1"/>
    </w:lvl>
  </w:abstractNum>
  <w:abstractNum w:abstractNumId="91">
    <w:nsid w:val="639DEFAC"/>
    <w:multiLevelType w:val="hybridMultilevel"/>
    <w:lvl w:ilvl="0">
      <w:lvlJc w:val="left"/>
      <w:lvlText w:val="(%1)"/>
      <w:numFmt w:val="lowerLetter"/>
      <w:start w:val="1"/>
    </w:lvl>
    <w:lvl w:ilvl="1">
      <w:lvlJc w:val="left"/>
      <w:lvlText w:val="(%2)"/>
      <w:numFmt w:val="lowerRoman"/>
      <w:start w:val="1"/>
    </w:lvl>
  </w:abstractNum>
  <w:abstractNum w:abstractNumId="92">
    <w:nsid w:val="501F9786"/>
    <w:multiLevelType w:val="hybridMultilevel"/>
    <w:lvl w:ilvl="0">
      <w:lvlJc w:val="left"/>
      <w:lvlText w:val="(%1)"/>
      <w:numFmt w:val="lowerLetter"/>
      <w:start w:val="1"/>
    </w:lvl>
    <w:lvl w:ilvl="1">
      <w:lvlJc w:val="left"/>
      <w:lvlText w:val="(%2)"/>
      <w:numFmt w:val="lowerRoman"/>
      <w:start w:val="1"/>
    </w:lvl>
  </w:abstractNum>
  <w:abstractNum w:abstractNumId="93">
    <w:nsid w:val="6B057295"/>
    <w:multiLevelType w:val="hybridMultilevel"/>
    <w:lvl w:ilvl="0">
      <w:lvlJc w:val="left"/>
      <w:lvlText w:val="(%1)"/>
      <w:numFmt w:val="lowerLetter"/>
      <w:start w:val="1"/>
    </w:lvl>
  </w:abstractNum>
  <w:abstractNum w:abstractNumId="94">
    <w:nsid w:val="2771AC80"/>
    <w:multiLevelType w:val="hybridMultilevel"/>
    <w:lvl w:ilvl="0">
      <w:lvlJc w:val="left"/>
      <w:lvlText w:val="1"/>
      <w:numFmt w:val="bullet"/>
      <w:start w:val="1"/>
    </w:lvl>
  </w:abstractNum>
  <w:abstractNum w:abstractNumId="95">
    <w:nsid w:val="1C4A08EC"/>
    <w:multiLevelType w:val="hybridMultilevel"/>
    <w:lvl w:ilvl="0">
      <w:lvlJc w:val="left"/>
      <w:lvlText w:val="2"/>
      <w:numFmt w:val="bullet"/>
      <w:start w:val="1"/>
    </w:lvl>
  </w:abstractNum>
  <w:abstractNum w:abstractNumId="96">
    <w:nsid w:val="1958BD17"/>
    <w:multiLevelType w:val="hybridMultilevel"/>
    <w:lvl w:ilvl="0">
      <w:lvlJc w:val="left"/>
      <w:lvlText w:val="(%1)"/>
      <w:numFmt w:val="decimal"/>
      <w:start w:val="1"/>
    </w:lvl>
  </w:abstractNum>
  <w:abstractNum w:abstractNumId="97">
    <w:nsid w:val="4E647FE4"/>
    <w:multiLevelType w:val="hybridMultilevel"/>
    <w:lvl w:ilvl="0">
      <w:lvlJc w:val="left"/>
      <w:lvlText w:val="3"/>
      <w:numFmt w:val="bullet"/>
      <w:start w:val="1"/>
    </w:lvl>
  </w:abstractNum>
  <w:abstractNum w:abstractNumId="98">
    <w:nsid w:val="E0BB885"/>
    <w:multiLevelType w:val="hybridMultilevel"/>
    <w:lvl w:ilvl="0">
      <w:lvlJc w:val="left"/>
      <w:lvlText w:val="4"/>
      <w:numFmt w:val="bullet"/>
      <w:start w:val="1"/>
    </w:lvl>
  </w:abstractNum>
  <w:abstractNum w:abstractNumId="99">
    <w:nsid w:val="565976F1"/>
    <w:multiLevelType w:val="hybridMultilevel"/>
    <w:lvl w:ilvl="0">
      <w:lvlJc w:val="left"/>
      <w:lvlText w:val="5"/>
      <w:numFmt w:val="bullet"/>
      <w:start w:val="1"/>
    </w:lvl>
  </w:abstractNum>
  <w:abstractNum w:abstractNumId="100">
    <w:nsid w:val="64212B8C"/>
    <w:multiLevelType w:val="hybridMultilevel"/>
    <w:lvl w:ilvl="0">
      <w:lvlJc w:val="left"/>
      <w:lvlText w:val="6"/>
      <w:numFmt w:val="bullet"/>
      <w:start w:val="1"/>
    </w:lvl>
  </w:abstractNum>
  <w:abstractNum w:abstractNumId="101">
    <w:nsid w:val="5C17530C"/>
    <w:multiLevelType w:val="hybridMultilevel"/>
    <w:lvl w:ilvl="0">
      <w:lvlJc w:val="left"/>
      <w:lvlText w:val="7"/>
      <w:numFmt w:val="bullet"/>
      <w:start w:val="1"/>
    </w:lvl>
  </w:abstractNum>
  <w:abstractNum w:abstractNumId="102">
    <w:nsid w:val="19A52566"/>
    <w:multiLevelType w:val="hybridMultilevel"/>
    <w:lvl w:ilvl="0">
      <w:lvlJc w:val="left"/>
      <w:lvlText w:val="(%1)"/>
      <w:numFmt w:val="decimal"/>
      <w:start w:val="1"/>
    </w:lvl>
  </w:abstractNum>
  <w:abstractNum w:abstractNumId="103">
    <w:nsid w:val="335A1DF1"/>
    <w:multiLevelType w:val="hybridMultilevel"/>
    <w:lvl w:ilvl="0">
      <w:lvlJc w:val="left"/>
      <w:lvlText w:val="(%1)"/>
      <w:numFmt w:val="decimal"/>
      <w:start w:val="1"/>
    </w:lvl>
  </w:abstractNum>
  <w:abstractNum w:abstractNumId="104">
    <w:nsid w:val="28677B7C"/>
    <w:multiLevelType w:val="hybridMultilevel"/>
    <w:lvl w:ilvl="0">
      <w:lvlJc w:val="left"/>
      <w:lvlText w:val="8"/>
      <w:numFmt w:val="bullet"/>
      <w:start w:val="1"/>
    </w:lvl>
  </w:abstractNum>
  <w:abstractNum w:abstractNumId="105">
    <w:nsid w:val="378D97C0"/>
    <w:multiLevelType w:val="hybridMultilevel"/>
    <w:lvl w:ilvl="0">
      <w:lvlJc w:val="left"/>
      <w:lvlText w:val="9"/>
      <w:numFmt w:val="bullet"/>
      <w:start w:val="1"/>
    </w:lvl>
  </w:abstractNum>
  <w:abstractNum w:abstractNumId="106">
    <w:nsid w:val="1D91467C"/>
    <w:multiLevelType w:val="hybridMultilevel"/>
    <w:lvl w:ilvl="0">
      <w:lvlJc w:val="left"/>
      <w:lvlText w:val="(%1)"/>
      <w:numFmt w:val="lowerLetter"/>
      <w:start w:val="1"/>
    </w:lvl>
  </w:abstractNum>
  <w:abstractNum w:abstractNumId="107">
    <w:nsid w:val="316032BB"/>
    <w:multiLevelType w:val="hybridMultilevel"/>
    <w:lvl w:ilvl="0">
      <w:lvlJc w:val="left"/>
      <w:lvlText w:val="(%1)"/>
      <w:numFmt w:val="lowerLetter"/>
      <w:start w:val="1"/>
    </w:lvl>
  </w:abstractNum>
  <w:abstractNum w:abstractNumId="108">
    <w:nsid w:val="44344C22"/>
    <w:multiLevelType w:val="hybridMultilevel"/>
    <w:lvl w:ilvl="0">
      <w:lvlJc w:val="left"/>
      <w:lvlText w:val="(%1)"/>
      <w:numFmt w:val="lowerLetter"/>
      <w:start w:val="2"/>
    </w:lvl>
  </w:abstractNum>
  <w:abstractNum w:abstractNumId="109">
    <w:nsid w:val="13CDFCFC"/>
    <w:multiLevelType w:val="hybridMultilevel"/>
    <w:lvl w:ilvl="0">
      <w:lvlJc w:val="left"/>
      <w:lvlText w:val="(%1)"/>
      <w:numFmt w:val="decimal"/>
      <w:start w:val="1"/>
    </w:lvl>
  </w:abstractNum>
  <w:abstractNum w:abstractNumId="110">
    <w:nsid w:val="471745E4"/>
    <w:multiLevelType w:val="hybridMultilevel"/>
    <w:lvl w:ilvl="0">
      <w:lvlJc w:val="left"/>
      <w:lvlText w:val="(%1)"/>
      <w:numFmt w:val="decimal"/>
      <w:start w:val="4"/>
    </w:lvl>
  </w:abstractNum>
  <w:abstractNum w:abstractNumId="111">
    <w:nsid w:val="1DDBC66"/>
    <w:multiLevelType w:val="hybridMultilevel"/>
    <w:lvl w:ilvl="0">
      <w:lvlJc w:val="left"/>
      <w:lvlText w:val="(%1)"/>
      <w:numFmt w:val="lowerLetter"/>
      <w:start w:val="1"/>
    </w:lvl>
  </w:abstractNum>
  <w:abstractNum w:abstractNumId="112">
    <w:nsid w:val="30AADFDA"/>
    <w:multiLevelType w:val="hybridMultilevel"/>
    <w:lvl w:ilvl="0">
      <w:lvlJc w:val="left"/>
      <w:lvlText w:val="%1"/>
      <w:numFmt w:val="decimal"/>
      <w:start w:val="10"/>
    </w:lvl>
  </w:abstractNum>
  <w:abstractNum w:abstractNumId="113">
    <w:nsid w:val="30EADA61"/>
    <w:multiLevelType w:val="hybridMultilevel"/>
    <w:lvl w:ilvl="0">
      <w:lvlJc w:val="left"/>
      <w:lvlText w:val="(%1)"/>
      <w:numFmt w:val="lowerLetter"/>
      <w:start w:val="4"/>
    </w:lvl>
  </w:abstractNum>
  <w:abstractNum w:abstractNumId="114">
    <w:nsid w:val="27179C0B"/>
    <w:multiLevelType w:val="hybridMultilevel"/>
    <w:lvl w:ilvl="0">
      <w:lvlJc w:val="left"/>
      <w:lvlText w:val="(%1)"/>
      <w:numFmt w:val="decimal"/>
      <w:start w:val="1"/>
    </w:lvl>
  </w:abstractNum>
  <w:abstractNum w:abstractNumId="115">
    <w:nsid w:val="5E636063"/>
    <w:multiLevelType w:val="hybridMultilevel"/>
    <w:lvl w:ilvl="0">
      <w:lvlJc w:val="left"/>
      <w:lvlText w:val="(%1)"/>
      <w:numFmt w:val="decimal"/>
      <w:start w:val="1"/>
    </w:lvl>
  </w:abstractNum>
  <w:abstractNum w:abstractNumId="116">
    <w:nsid w:val="215641AF"/>
    <w:multiLevelType w:val="hybridMultilevel"/>
    <w:lvl w:ilvl="0">
      <w:lvlJc w:val="left"/>
      <w:lvlText w:val="(%1)"/>
      <w:numFmt w:val="decimal"/>
      <w:start w:val="3"/>
    </w:lvl>
  </w:abstractNum>
  <w:abstractNum w:abstractNumId="117">
    <w:nsid w:val="53280662"/>
    <w:multiLevelType w:val="hybridMultilevel"/>
    <w:lvl w:ilvl="0">
      <w:lvlJc w:val="left"/>
      <w:lvlText w:val="%1"/>
      <w:numFmt w:val="decimal"/>
      <w:start w:val="11"/>
    </w:lvl>
  </w:abstractNum>
  <w:abstractNum w:abstractNumId="118">
    <w:nsid w:val="46B24DBC"/>
    <w:multiLevelType w:val="hybridMultilevel"/>
    <w:lvl w:ilvl="0">
      <w:lvlJc w:val="left"/>
      <w:lvlText w:val="(%1)"/>
      <w:numFmt w:val="lowerLetter"/>
      <w:start w:val="2"/>
    </w:lvl>
    <w:lvl w:ilvl="1">
      <w:lvlJc w:val="left"/>
      <w:lvlText w:val="(%2)"/>
      <w:numFmt w:val="lowerLetter"/>
      <w:start w:val="9"/>
    </w:lvl>
  </w:abstractNum>
  <w:abstractNum w:abstractNumId="119">
    <w:nsid w:val="75B52783"/>
    <w:multiLevelType w:val="hybridMultilevel"/>
    <w:lvl w:ilvl="0">
      <w:lvlJc w:val="left"/>
      <w:lvlText w:val="(%1)"/>
      <w:numFmt w:val="lowerRoman"/>
      <w:start w:val="2"/>
    </w:lvl>
  </w:abstractNum>
  <w:abstractNum w:abstractNumId="120">
    <w:nsid w:val="57CE66B4"/>
    <w:multiLevelType w:val="hybridMultilevel"/>
    <w:lvl w:ilvl="0">
      <w:lvlJc w:val="left"/>
      <w:lvlText w:val="(%1)"/>
      <w:numFmt w:val="lowerLetter"/>
      <w:start w:val="2"/>
    </w:lvl>
  </w:abstractNum>
  <w:abstractNum w:abstractNumId="121">
    <w:nsid w:val="67A70B69"/>
    <w:multiLevelType w:val="hybridMultilevel"/>
    <w:lvl w:ilvl="0">
      <w:lvlJc w:val="left"/>
      <w:lvlText w:val="(%1)"/>
      <w:numFmt w:val="lowerLetter"/>
      <w:start w:val="3"/>
    </w:lvl>
  </w:abstractNum>
  <w:abstractNum w:abstractNumId="122">
    <w:nsid w:val="5953172F"/>
    <w:multiLevelType w:val="hybridMultilevel"/>
    <w:lvl w:ilvl="0">
      <w:lvlJc w:val="left"/>
      <w:lvlText w:val="(%1)"/>
      <w:numFmt w:val="upperLetter"/>
      <w:start w:val="1"/>
    </w:lvl>
  </w:abstractNum>
  <w:abstractNum w:abstractNumId="123">
    <w:nsid w:val="27EDFE3A"/>
    <w:multiLevelType w:val="hybridMultilevel"/>
    <w:lvl w:ilvl="0">
      <w:lvlJc w:val="left"/>
      <w:lvlText w:val="(%1)"/>
      <w:numFmt w:val="lowerLetter"/>
      <w:start w:val="4"/>
    </w:lvl>
  </w:abstractNum>
  <w:abstractNum w:abstractNumId="124">
    <w:nsid w:val="52AC7DFF"/>
    <w:multiLevelType w:val="hybridMultilevel"/>
    <w:lvl w:ilvl="0">
      <w:lvlJc w:val="left"/>
      <w:lvlText w:val="(%1)"/>
      <w:numFmt w:val="upperLetter"/>
      <w:start w:val="1"/>
    </w:lvl>
  </w:abstractNum>
  <w:abstractNum w:abstractNumId="125">
    <w:nsid w:val="C4C3AF"/>
    <w:multiLevelType w:val="hybridMultilevel"/>
    <w:lvl w:ilvl="0">
      <w:lvlJc w:val="left"/>
      <w:lvlText w:val="(%1)"/>
      <w:numFmt w:val="lowerLetter"/>
      <w:start w:val="5"/>
    </w:lvl>
  </w:abstractNum>
  <w:abstractNum w:abstractNumId="126">
    <w:nsid w:val="44380727"/>
    <w:multiLevelType w:val="hybridMultilevel"/>
    <w:lvl w:ilvl="0">
      <w:lvlJc w:val="left"/>
      <w:lvlText w:val="(%1)"/>
      <w:numFmt w:val="lowerRoman"/>
      <w:start w:val="1"/>
    </w:lvl>
  </w:abstractNum>
  <w:abstractNum w:abstractNumId="127">
    <w:nsid w:val="6C053B16"/>
    <w:multiLevelType w:val="hybridMultilevel"/>
    <w:lvl w:ilvl="0">
      <w:lvlJc w:val="left"/>
      <w:lvlText w:val="(%1)"/>
      <w:numFmt w:val="lowerRoman"/>
      <w:start w:val="2"/>
    </w:lvl>
  </w:abstractNum>
  <w:abstractNum w:abstractNumId="128">
    <w:nsid w:val="4F294393"/>
    <w:multiLevelType w:val="hybridMultilevel"/>
    <w:lvl w:ilvl="0">
      <w:lvlJc w:val="left"/>
      <w:lvlText w:val="(%1)"/>
      <w:numFmt w:val="lowerLetter"/>
      <w:start w:val="2"/>
    </w:lvl>
  </w:abstractNum>
  <w:abstractNum w:abstractNumId="129">
    <w:nsid w:val="5243BFAC"/>
    <w:multiLevelType w:val="hybridMultilevel"/>
    <w:lvl w:ilvl="0">
      <w:lvlJc w:val="left"/>
      <w:lvlText w:val="(%1)"/>
      <w:numFmt w:val="lowerLetter"/>
      <w:start w:val="2"/>
    </w:lvl>
  </w:abstractNum>
  <w:abstractNum w:abstractNumId="130">
    <w:nsid w:val="425EB20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1">
    <w:nsid w:val="334A6F1F"/>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32">
    <w:nsid w:val="2E5B12B8"/>
    <w:multiLevelType w:val="hybridMultilevel"/>
    <w:lvl w:ilvl="0">
      <w:lvlJc w:val="left"/>
      <w:lvlText w:val="(%1)"/>
      <w:numFmt w:val="decimal"/>
      <w:start w:val="1"/>
    </w:lvl>
  </w:abstractNum>
  <w:abstractNum w:abstractNumId="133">
    <w:nsid w:val="5C03D76D"/>
    <w:multiLevelType w:val="hybridMultilevel"/>
    <w:lvl w:ilvl="0">
      <w:lvlJc w:val="left"/>
      <w:lvlText w:val="%1"/>
      <w:numFmt w:val="decimal"/>
      <w:start w:val="13"/>
    </w:lvl>
  </w:abstractNum>
  <w:abstractNum w:abstractNumId="134">
    <w:nsid w:val="66A48D11"/>
    <w:multiLevelType w:val="hybridMultilevel"/>
    <w:lvl w:ilvl="0">
      <w:lvlJc w:val="left"/>
      <w:lvlText w:val="%1"/>
      <w:numFmt w:val="decimal"/>
      <w:start w:val="1"/>
    </w:lvl>
    <w:lvl w:ilvl="1">
      <w:lvlJc w:val="left"/>
      <w:lvlText w:val="(%2)"/>
      <w:numFmt w:val="lowerLetter"/>
      <w:start w:val="1"/>
    </w:lvl>
  </w:abstractNum>
  <w:abstractNum w:abstractNumId="135">
    <w:nsid w:val="56C28E34"/>
    <w:multiLevelType w:val="hybridMultilevel"/>
    <w:lvl w:ilvl="0">
      <w:lvlJc w:val="left"/>
      <w:lvlText w:val="(%1)"/>
      <w:numFmt w:val="decimal"/>
      <w:start w:val="1"/>
    </w:lvl>
    <w:lvl w:ilvl="1">
      <w:lvlJc w:val="left"/>
      <w:lvlText w:val="%2"/>
      <w:numFmt w:val="lowerLetter"/>
      <w:start w:val="1"/>
    </w:lvl>
  </w:abstractNum>
  <w:abstractNum w:abstractNumId="136">
    <w:nsid w:val="13916F2D"/>
    <w:multiLevelType w:val="hybridMultilevel"/>
    <w:lvl w:ilvl="0">
      <w:lvlJc w:val="left"/>
      <w:lvlText w:val="(%1)"/>
      <w:numFmt w:val="decimal"/>
      <w:start w:val="10"/>
    </w:lvl>
  </w:abstractNum>
  <w:abstractNum w:abstractNumId="137">
    <w:nsid w:val="435D38D"/>
    <w:multiLevelType w:val="hybridMultilevel"/>
    <w:lvl w:ilvl="0">
      <w:lvlJc w:val="left"/>
      <w:lvlText w:val="(%1)"/>
      <w:numFmt w:val="lowerLetter"/>
      <w:start w:val="1"/>
    </w:lvl>
  </w:abstractNum>
  <w:abstractNum w:abstractNumId="138">
    <w:nsid w:val="822C0EF"/>
    <w:multiLevelType w:val="hybridMultilevel"/>
    <w:lvl w:ilvl="0">
      <w:lvlJc w:val="left"/>
      <w:lvlText w:val="(%1)"/>
      <w:numFmt w:val="lowerLetter"/>
      <w:start w:val="1"/>
    </w:lvl>
    <w:lvl w:ilvl="1">
      <w:lvlJc w:val="left"/>
      <w:lvlText w:val="(%2)"/>
      <w:numFmt w:val="lowerRoman"/>
      <w:start w:val="1"/>
    </w:lvl>
  </w:abstractNum>
  <w:abstractNum w:abstractNumId="139">
    <w:nsid w:val="57C5BB4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0">
    <w:nsid w:val="1803D08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1">
    <w:nsid w:val="4F3A06D4"/>
    <w:multiLevelType w:val="hybridMultilevel"/>
    <w:lvl w:ilvl="0">
      <w:lvlJc w:val="left"/>
      <w:lvlText w:val="%1"/>
      <w:numFmt w:val="lowerLetter"/>
      <w:start w:val="1"/>
    </w:lvl>
    <w:lvl w:ilvl="1">
      <w:lvlJc w:val="left"/>
      <w:lvlText w:val="(%2)"/>
      <w:numFmt w:val="lowerRoman"/>
      <w:start w:val="3"/>
    </w:lvl>
  </w:abstractNum>
  <w:abstractNum w:abstractNumId="142">
    <w:nsid w:val="59A377B6"/>
    <w:multiLevelType w:val="hybridMultilevel"/>
    <w:lvl w:ilvl="0">
      <w:lvlJc w:val="left"/>
      <w:lvlText w:val="(%1)"/>
      <w:numFmt w:val="lowerLetter"/>
      <w:start w:val="3"/>
    </w:lvl>
    <w:lvl w:ilvl="1">
      <w:lvlJc w:val="left"/>
      <w:lvlText w:val="%2"/>
      <w:numFmt w:val="lowerRoman"/>
      <w:start w:val="1"/>
    </w:lvl>
  </w:abstractNum>
  <w:abstractNum w:abstractNumId="143">
    <w:nsid w:val="48AEB063"/>
    <w:multiLevelType w:val="hybridMultilevel"/>
    <w:lvl w:ilvl="0">
      <w:lvlJc w:val="left"/>
      <w:lvlText w:val="(%1)"/>
      <w:numFmt w:val="lowerLetter"/>
      <w:start w:val="1"/>
    </w:lvl>
  </w:abstractNum>
  <w:abstractNum w:abstractNumId="144">
    <w:nsid w:val="24E135"/>
    <w:multiLevelType w:val="hybridMultilevel"/>
    <w:lvl w:ilvl="0">
      <w:lvlJc w:val="left"/>
      <w:lvlText w:val="(%1)"/>
      <w:numFmt w:val="lowerLetter"/>
      <w:start w:val="5"/>
    </w:lvl>
  </w:abstractNum>
  <w:abstractNum w:abstractNumId="145">
    <w:nsid w:val="BB13C1"/>
    <w:multiLevelType w:val="hybridMultilevel"/>
    <w:lvl w:ilvl="0">
      <w:lvlJc w:val="left"/>
      <w:lvlText w:val="(%1)"/>
      <w:numFmt w:val="lowerLetter"/>
      <w:start w:val="1"/>
    </w:lvl>
  </w:abstractNum>
  <w:abstractNum w:abstractNumId="146">
    <w:nsid w:val="271210C7"/>
    <w:multiLevelType w:val="hybridMultilevel"/>
    <w:lvl w:ilvl="0">
      <w:lvlJc w:val="left"/>
      <w:lvlText w:val="(%1)"/>
      <w:numFmt w:val="lowerLetter"/>
      <w:start w:val="5"/>
    </w:lvl>
  </w:abstractNum>
  <w:abstractNum w:abstractNumId="147">
    <w:nsid w:val="217B22E4"/>
    <w:multiLevelType w:val="hybridMultilevel"/>
    <w:lvl w:ilvl="0">
      <w:lvlJc w:val="left"/>
      <w:lvlText w:val="(%1)"/>
      <w:numFmt w:val="lowerLetter"/>
      <w:start w:val="1"/>
    </w:lvl>
    <w:lvl w:ilvl="1">
      <w:lvlJc w:val="left"/>
      <w:lvlText w:val="(%2)"/>
      <w:numFmt w:val="lowerRoman"/>
      <w:start w:val="1"/>
    </w:lvl>
  </w:abstractNum>
  <w:abstractNum w:abstractNumId="148">
    <w:nsid w:val="53E31A24"/>
    <w:multiLevelType w:val="hybridMultilevel"/>
    <w:lvl w:ilvl="0">
      <w:lvlJc w:val="left"/>
      <w:lvlText w:val="(%1)"/>
      <w:numFmt w:val="lowerLetter"/>
      <w:start w:val="4"/>
    </w:lvl>
  </w:abstractNum>
  <w:abstractNum w:abstractNumId="149">
    <w:nsid w:val="6DC45E83"/>
    <w:multiLevelType w:val="hybridMultilevel"/>
    <w:lvl w:ilvl="0">
      <w:lvlJc w:val="left"/>
      <w:lvlText w:val="(%1)"/>
      <w:numFmt w:val="lowerLetter"/>
      <w:start w:val="1"/>
    </w:lvl>
  </w:abstractNum>
  <w:abstractNum w:abstractNumId="150">
    <w:nsid w:val="17304A67"/>
    <w:multiLevelType w:val="hybridMultilevel"/>
    <w:lvl w:ilvl="0">
      <w:lvlJc w:val="left"/>
      <w:lvlText w:val="(%1)"/>
      <w:numFmt w:val="lowerLetter"/>
      <w:start w:val="7"/>
    </w:lvl>
  </w:abstractNum>
  <w:abstractNum w:abstractNumId="151">
    <w:nsid w:val="2BB180D8"/>
    <w:multiLevelType w:val="hybridMultilevel"/>
    <w:lvl w:ilvl="0">
      <w:lvlJc w:val="left"/>
      <w:lvlText w:val="(%1)"/>
      <w:numFmt w:val="lowerLetter"/>
      <w:start w:val="2"/>
    </w:lvl>
    <w:lvl w:ilvl="1">
      <w:lvlJc w:val="left"/>
      <w:lvlText w:val="(%2)"/>
      <w:numFmt w:val="lowerRoman"/>
      <w:start w:val="1"/>
    </w:lvl>
  </w:abstractNum>
  <w:abstractNum w:abstractNumId="152">
    <w:nsid w:val="556B69ED"/>
    <w:multiLevelType w:val="hybridMultilevel"/>
    <w:lvl w:ilvl="0">
      <w:lvlJc w:val="left"/>
      <w:lvlText w:val="(%1)"/>
      <w:numFmt w:val="lowerLetter"/>
      <w:start w:val="3"/>
    </w:lvl>
  </w:abstractNum>
  <w:abstractNum w:abstractNumId="153">
    <w:nsid w:val="70836196"/>
    <w:multiLevelType w:val="hybridMultilevel"/>
    <w:lvl w:ilvl="0">
      <w:lvlJc w:val="left"/>
      <w:lvlText w:val="(%1)"/>
      <w:numFmt w:val="lowerLetter"/>
      <w:start w:val="1"/>
    </w:lvl>
  </w:abstractNum>
  <w:abstractNum w:abstractNumId="154">
    <w:nsid w:val="539F7F12"/>
    <w:multiLevelType w:val="hybridMultilevel"/>
    <w:lvl w:ilvl="0">
      <w:lvlJc w:val="left"/>
      <w:lvlText w:val="(%1)"/>
      <w:numFmt w:val="lowerLetter"/>
      <w:start w:val="2"/>
    </w:lvl>
  </w:abstractNum>
  <w:abstractNum w:abstractNumId="155">
    <w:nsid w:val="2817E7EC"/>
    <w:multiLevelType w:val="hybridMultilevel"/>
    <w:lvl w:ilvl="0">
      <w:lvlJc w:val="left"/>
      <w:lvlText w:val="(%1)"/>
      <w:numFmt w:val="lowerLetter"/>
      <w:start w:val="1"/>
    </w:lvl>
  </w:abstractNum>
  <w:abstractNum w:abstractNumId="156">
    <w:nsid w:val="71482545"/>
    <w:multiLevelType w:val="hybridMultilevel"/>
    <w:lvl w:ilvl="0">
      <w:lvlJc w:val="left"/>
      <w:lvlText w:val="(%1)"/>
      <w:numFmt w:val="lowerLetter"/>
      <w:start w:val="1"/>
    </w:lvl>
  </w:abstractNum>
  <w:abstractNum w:abstractNumId="157">
    <w:nsid w:val="17D78639"/>
    <w:multiLevelType w:val="hybridMultilevel"/>
    <w:lvl w:ilvl="0">
      <w:lvlJc w:val="left"/>
      <w:lvlText w:val="(%1)"/>
      <w:numFmt w:val="lowerLetter"/>
      <w:start w:val="1"/>
    </w:lvl>
  </w:abstractNum>
  <w:abstractNum w:abstractNumId="158">
    <w:nsid w:val="141D2302"/>
    <w:multiLevelType w:val="hybridMultilevel"/>
    <w:lvl w:ilvl="0">
      <w:lvlJc w:val="left"/>
      <w:lvlText w:val="(%1)"/>
      <w:numFmt w:val="lowerRoman"/>
      <w:start w:val="1"/>
    </w:lvl>
  </w:abstractNum>
  <w:abstractNum w:abstractNumId="159">
    <w:nsid w:val="407168D8"/>
    <w:multiLevelType w:val="hybridMultilevel"/>
    <w:lvl w:ilvl="0">
      <w:lvlJc w:val="left"/>
      <w:lvlText w:val="(%1)"/>
      <w:numFmt w:val="upperLetter"/>
      <w:start w:val="1"/>
    </w:lvl>
  </w:abstractNum>
  <w:abstractNum w:abstractNumId="160">
    <w:nsid w:val="6A1B45E5"/>
    <w:multiLevelType w:val="hybridMultilevel"/>
    <w:lvl w:ilvl="0">
      <w:lvlJc w:val="left"/>
      <w:lvlText w:val="%1"/>
      <w:numFmt w:val="decimal"/>
      <w:start w:val="14"/>
    </w:lvl>
  </w:abstractNum>
  <w:abstractNum w:abstractNumId="161">
    <w:nsid w:val="567BD50A"/>
    <w:multiLevelType w:val="hybridMultilevel"/>
    <w:lvl w:ilvl="0">
      <w:lvlJc w:val="left"/>
      <w:lvlText w:val="(%1)"/>
      <w:numFmt w:val="upperLetter"/>
      <w:start w:val="2"/>
    </w:lvl>
  </w:abstractNum>
  <w:abstractNum w:abstractNumId="162">
    <w:nsid w:val="73BBD7F8"/>
    <w:multiLevelType w:val="hybridMultilevel"/>
    <w:lvl w:ilvl="0">
      <w:lvlJc w:val="left"/>
      <w:lvlText w:val="%1"/>
      <w:numFmt w:val="lowerLetter"/>
      <w:start w:val="1"/>
    </w:lvl>
    <w:lvl w:ilvl="1">
      <w:lvlJc w:val="left"/>
      <w:lvlText w:val="(%2)"/>
      <w:numFmt w:val="lowerLetter"/>
      <w:start w:val="22"/>
    </w:lvl>
  </w:abstractNum>
  <w:abstractNum w:abstractNumId="163">
    <w:nsid w:val="1876589D"/>
    <w:multiLevelType w:val="hybridMultilevel"/>
    <w:lvl w:ilvl="0">
      <w:lvlJc w:val="left"/>
      <w:lvlText w:val="(%1)"/>
      <w:numFmt w:val="lowerLetter"/>
      <w:start w:val="2"/>
    </w:lvl>
    <w:lvl w:ilvl="1">
      <w:lvlJc w:val="left"/>
      <w:lvlText w:val="%2"/>
      <w:numFmt w:val="lowerLetter"/>
      <w:start w:val="1"/>
    </w:lvl>
  </w:abstractNum>
  <w:abstractNum w:abstractNumId="164">
    <w:nsid w:val="327FAC77"/>
    <w:multiLevelType w:val="hybridMultilevel"/>
    <w:lvl w:ilvl="0">
      <w:lvlJc w:val="left"/>
      <w:lvlText w:val="(%1)"/>
      <w:numFmt w:val="lowerLetter"/>
      <w:start w:val="3"/>
    </w:lvl>
  </w:abstractNum>
  <w:abstractNum w:abstractNumId="165">
    <w:nsid w:val="5A606509"/>
    <w:multiLevelType w:val="hybridMultilevel"/>
    <w:lvl w:ilvl="0">
      <w:lvlJc w:val="left"/>
      <w:lvlText w:val="(%1)"/>
      <w:numFmt w:val="lowerLetter"/>
      <w:start w:val="6"/>
    </w:lvl>
  </w:abstractNum>
  <w:abstractNum w:abstractNumId="166">
    <w:nsid w:val="6F38E6D1"/>
    <w:multiLevelType w:val="hybridMultilevel"/>
    <w:lvl w:ilvl="0">
      <w:lvlJc w:val="left"/>
      <w:lvlText w:val="(%1)"/>
      <w:numFmt w:val="lowerLetter"/>
      <w:start w:val="1"/>
    </w:lvl>
  </w:abstractNum>
  <w:abstractNum w:abstractNumId="167">
    <w:nsid w:val="46111BA5"/>
    <w:multiLevelType w:val="hybridMultilevel"/>
    <w:lvl w:ilvl="0">
      <w:lvlJc w:val="left"/>
      <w:lvlText w:val="%1"/>
      <w:numFmt w:val="decimal"/>
      <w:start w:val="15"/>
    </w:lvl>
  </w:abstractNum>
  <w:abstractNum w:abstractNumId="168">
    <w:nsid w:val="5E963896"/>
    <w:multiLevelType w:val="hybridMultilevel"/>
    <w:lvl w:ilvl="0">
      <w:lvlJc w:val="left"/>
      <w:lvlText w:val="(%1)"/>
      <w:numFmt w:val="lowerLetter"/>
      <w:start w:val="2"/>
    </w:lvl>
  </w:abstractNum>
  <w:abstractNum w:abstractNumId="169">
    <w:nsid w:val="775BA7C1"/>
    <w:multiLevelType w:val="hybridMultilevel"/>
    <w:lvl w:ilvl="0">
      <w:lvlJc w:val="left"/>
      <w:lvlText w:val="%1"/>
      <w:numFmt w:val="lowerLetter"/>
      <w:start w:val="1"/>
    </w:lvl>
    <w:lvl w:ilvl="1">
      <w:lvlJc w:val="left"/>
      <w:lvlText w:val="(%2)"/>
      <w:numFmt w:val="lowerRoman"/>
      <w:start w:val="1"/>
    </w:lvl>
  </w:abstractNum>
  <w:abstractNum w:abstractNumId="170">
    <w:nsid w:val="1DD6D6F4"/>
    <w:multiLevelType w:val="hybridMultilevel"/>
    <w:lvl w:ilvl="0">
      <w:lvlJc w:val="left"/>
      <w:lvlText w:val="(%1)"/>
      <w:numFmt w:val="lowerLetter"/>
      <w:start w:val="3"/>
    </w:lvl>
    <w:lvl w:ilvl="1">
      <w:lvlJc w:val="left"/>
      <w:lvlText w:val="%2"/>
      <w:numFmt w:val="lowerRoman"/>
      <w:start w:val="1"/>
    </w:lvl>
  </w:abstractNum>
  <w:abstractNum w:abstractNumId="171">
    <w:nsid w:val="769A091F"/>
    <w:multiLevelType w:val="hybridMultilevel"/>
    <w:lvl w:ilvl="0">
      <w:lvlJc w:val="left"/>
      <w:lvlText w:val="(%1)"/>
      <w:numFmt w:val="lowerLetter"/>
      <w:start w:val="2"/>
    </w:lvl>
  </w:abstractNum>
  <w:abstractNum w:abstractNumId="172">
    <w:nsid w:val="4695AE95"/>
    <w:multiLevelType w:val="hybridMultilevel"/>
    <w:lvl w:ilvl="0">
      <w:lvlJc w:val="left"/>
      <w:lvlText w:val="(%1)"/>
      <w:numFmt w:val="lowerRoman"/>
      <w:start w:val="1"/>
    </w:lvl>
  </w:abstractNum>
  <w:abstractNum w:abstractNumId="173">
    <w:nsid w:val="777A4EAA"/>
    <w:multiLevelType w:val="hybridMultilevel"/>
    <w:lvl w:ilvl="0">
      <w:lvlJc w:val="left"/>
      <w:lvlText w:val="%1"/>
      <w:numFmt w:val="decimal"/>
      <w:start w:val="17"/>
    </w:lvl>
  </w:abstractNum>
  <w:abstractNum w:abstractNumId="174">
    <w:nsid w:val="3F48B982"/>
    <w:multiLevelType w:val="hybridMultilevel"/>
    <w:lvl w:ilvl="0">
      <w:lvlJc w:val="left"/>
      <w:lvlText w:val="(%1)"/>
      <w:numFmt w:val="lowerRoman"/>
      <w:start w:val="3"/>
    </w:lvl>
  </w:abstractNum>
  <w:abstractNum w:abstractNumId="175">
    <w:nsid w:val="46BA8FCA"/>
    <w:multiLevelType w:val="hybridMultilevel"/>
    <w:lvl w:ilvl="0">
      <w:lvlJc w:val="left"/>
      <w:lvlText w:val="(%1)"/>
      <w:numFmt w:val="lowerLetter"/>
      <w:start w:val="6"/>
    </w:lvl>
  </w:abstractNum>
  <w:abstractNum w:abstractNumId="176">
    <w:nsid w:val="7835626C"/>
    <w:multiLevelType w:val="hybridMultilevel"/>
    <w:lvl w:ilvl="0">
      <w:lvlJc w:val="left"/>
      <w:lvlText w:val="(%1)"/>
      <w:numFmt w:val="lowerLetter"/>
      <w:start w:val="25"/>
    </w:lvl>
    <w:lvl w:ilvl="1">
      <w:lvlJc w:val="left"/>
      <w:lvlText w:val="(%2)"/>
      <w:numFmt w:val="lowerLetter"/>
      <w:start w:val="1"/>
    </w:lvl>
  </w:abstractNum>
  <w:abstractNum w:abstractNumId="177">
    <w:nsid w:val="665ACA49"/>
    <w:multiLevelType w:val="hybridMultilevel"/>
    <w:lvl w:ilvl="0">
      <w:lvlJc w:val="left"/>
      <w:lvlText w:val="(%1)"/>
      <w:numFmt w:val="lowerLetter"/>
      <w:start w:val="2"/>
    </w:lvl>
  </w:abstractNum>
  <w:abstractNum w:abstractNumId="178">
    <w:nsid w:val="6835B2AE"/>
    <w:multiLevelType w:val="hybridMultilevel"/>
    <w:lvl w:ilvl="0">
      <w:lvlJc w:val="left"/>
      <w:lvlText w:val="X"/>
      <w:numFmt w:val="bullet"/>
      <w:start w:val="1"/>
    </w:lvl>
  </w:abstractNum>
  <w:abstractNum w:abstractNumId="179">
    <w:nsid w:val="4C187C90"/>
    <w:multiLevelType w:val="hybridMultilevel"/>
    <w:lvl w:ilvl="0">
      <w:lvlJc w:val="left"/>
      <w:lvlText w:val="Y"/>
      <w:numFmt w:val="bullet"/>
      <w:start w:val="1"/>
    </w:lvl>
  </w:abstractNum>
  <w:abstractNum w:abstractNumId="180">
    <w:nsid w:val="541F28CD"/>
    <w:multiLevelType w:val="hybridMultilevel"/>
    <w:lvl w:ilvl="0">
      <w:lvlJc w:val="left"/>
      <w:lvlText w:val="(%1)"/>
      <w:numFmt w:val="lowerLetter"/>
      <w:start w:val="3"/>
    </w:lvl>
  </w:abstractNum>
  <w:abstractNum w:abstractNumId="181">
    <w:nsid w:val="7F65FD16"/>
    <w:multiLevelType w:val="hybridMultilevel"/>
    <w:lvl w:ilvl="0">
      <w:lvlJc w:val="left"/>
      <w:lvlText w:val="(%1)"/>
      <w:numFmt w:val="lowerRoman"/>
      <w:start w:val="10"/>
    </w:lvl>
  </w:abstractNum>
  <w:abstractNum w:abstractNumId="182">
    <w:nsid w:val="77C9FD68"/>
    <w:multiLevelType w:val="hybridMultilevel"/>
    <w:lvl w:ilvl="0">
      <w:lvlJc w:val="left"/>
      <w:lvlText w:val="(%1)"/>
      <w:numFmt w:val="lowerRoman"/>
      <w:start w:val="2"/>
    </w:lvl>
  </w:abstractNum>
  <w:abstractNum w:abstractNumId="183">
    <w:nsid w:val="298A92BA"/>
    <w:multiLevelType w:val="hybridMultilevel"/>
    <w:lvl w:ilvl="0">
      <w:lvlJc w:val="left"/>
      <w:lvlText w:val="(%1)"/>
      <w:numFmt w:val="lowerLetter"/>
      <w:start w:val="4"/>
    </w:lvl>
  </w:abstractNum>
  <w:abstractNum w:abstractNumId="184">
    <w:nsid w:val="6FE95EAC"/>
    <w:multiLevelType w:val="hybridMultilevel"/>
    <w:lvl w:ilvl="0">
      <w:lvlJc w:val="left"/>
      <w:lvlText w:val="C"/>
      <w:numFmt w:val="bullet"/>
      <w:start w:val="1"/>
    </w:lvl>
  </w:abstractNum>
  <w:abstractNum w:abstractNumId="185">
    <w:nsid w:val="4B697C7A"/>
    <w:multiLevelType w:val="hybridMultilevel"/>
    <w:lvl w:ilvl="0">
      <w:lvlJc w:val="left"/>
      <w:lvlText w:val="(%1)"/>
      <w:numFmt w:val="lowerLetter"/>
      <w:start w:val="5"/>
    </w:lvl>
  </w:abstractNum>
  <w:abstractNum w:abstractNumId="186">
    <w:nsid w:val="51A27AA6"/>
    <w:multiLevelType w:val="hybridMultilevel"/>
    <w:lvl w:ilvl="0">
      <w:lvlJc w:val="left"/>
      <w:lvlText w:val="(%1)"/>
      <w:numFmt w:val="lowerLetter"/>
      <w:start w:val="6"/>
    </w:lvl>
    <w:lvl w:ilvl="1">
      <w:lvlJc w:val="left"/>
      <w:lvlText w:val="(%2)"/>
      <w:numFmt w:val="lowerLetter"/>
      <w:start w:val="9"/>
    </w:lvl>
  </w:abstractNum>
  <w:abstractNum w:abstractNumId="187">
    <w:nsid w:val="613183F2"/>
    <w:multiLevelType w:val="hybridMultilevel"/>
    <w:lvl w:ilvl="0">
      <w:lvlJc w:val="left"/>
      <w:lvlText w:val="%1"/>
      <w:numFmt w:val="lowerLetter"/>
      <w:start w:val="1"/>
    </w:lvl>
    <w:lvl w:ilvl="1">
      <w:lvlJc w:val="left"/>
      <w:lvlText w:val="(%2)"/>
      <w:numFmt w:val="lowerRoman"/>
      <w:start w:val="2"/>
    </w:lvl>
  </w:abstractNum>
  <w:abstractNum w:abstractNumId="188">
    <w:nsid w:val="634102B4"/>
    <w:multiLevelType w:val="hybridMultilevel"/>
    <w:lvl w:ilvl="0">
      <w:lvlJc w:val="left"/>
      <w:lvlText w:val="(%1)"/>
      <w:numFmt w:val="lowerLetter"/>
      <w:start w:val="11"/>
    </w:lvl>
    <w:lvl w:ilvl="1">
      <w:lvlJc w:val="left"/>
      <w:lvlText w:val="%2"/>
      <w:numFmt w:val="lowerRoman"/>
      <w:start w:val="1"/>
    </w:lvl>
  </w:abstractNum>
  <w:abstractNum w:abstractNumId="189">
    <w:nsid w:val="65BF9DA8"/>
    <w:multiLevelType w:val="hybridMultilevel"/>
    <w:lvl w:ilvl="0">
      <w:lvlJc w:val="left"/>
      <w:lvlText w:val="(%1)"/>
      <w:numFmt w:val="lowerLetter"/>
      <w:start w:val="13"/>
    </w:lvl>
  </w:abstractNum>
  <w:abstractNum w:abstractNumId="190">
    <w:nsid w:val="21A2ECCA"/>
    <w:multiLevelType w:val="hybridMultilevel"/>
    <w:lvl w:ilvl="0">
      <w:lvlJc w:val="left"/>
      <w:lvlText w:val="%1"/>
      <w:numFmt w:val="decimal"/>
      <w:start w:val="19"/>
    </w:lvl>
  </w:abstractNum>
  <w:abstractNum w:abstractNumId="191">
    <w:nsid w:val="4D5C4899"/>
    <w:multiLevelType w:val="hybridMultilevel"/>
    <w:lvl w:ilvl="0">
      <w:lvlJc w:val="left"/>
      <w:lvlText w:val="(%1)"/>
      <w:numFmt w:val="lowerLetter"/>
      <w:start w:val="14"/>
    </w:lvl>
  </w:abstractNum>
  <w:abstractNum w:abstractNumId="192">
    <w:nsid w:val="3C3B72B2"/>
    <w:multiLevelType w:val="hybridMultilevel"/>
    <w:lvl w:ilvl="0">
      <w:lvlJc w:val="left"/>
      <w:lvlText w:val="(%1)"/>
      <w:numFmt w:val="lowerLetter"/>
      <w:start w:val="1"/>
    </w:lvl>
    <w:lvl w:ilvl="1">
      <w:lvlJc w:val="left"/>
      <w:lvlText w:val="(%2)"/>
      <w:numFmt w:val="lowerRoman"/>
      <w:start w:val="1"/>
    </w:lvl>
  </w:abstractNum>
  <w:abstractNum w:abstractNumId="193">
    <w:nsid w:val="155EC4C2"/>
    <w:multiLevelType w:val="hybridMultilevel"/>
    <w:lvl w:ilvl="0">
      <w:lvlJc w:val="left"/>
      <w:lvlText w:val="(%1)"/>
      <w:numFmt w:val="lowerLetter"/>
      <w:start w:val="2"/>
    </w:lvl>
  </w:abstractNum>
  <w:abstractNum w:abstractNumId="194">
    <w:nsid w:val="65D2A137"/>
    <w:multiLevelType w:val="hybridMultilevel"/>
    <w:lvl w:ilvl="0">
      <w:lvlJc w:val="left"/>
      <w:lvlText w:val="(%1)"/>
      <w:numFmt w:val="lowerLetter"/>
      <w:start w:val="3"/>
    </w:lvl>
  </w:abstractNum>
  <w:abstractNum w:abstractNumId="195">
    <w:nsid w:val="6EBB1F2A"/>
    <w:multiLevelType w:val="hybridMultilevel"/>
    <w:lvl w:ilvl="0">
      <w:lvlJc w:val="left"/>
      <w:lvlText w:val="(%1)"/>
      <w:numFmt w:val="lowerLetter"/>
      <w:start w:val="2"/>
    </w:lvl>
  </w:abstractNum>
  <w:abstractNum w:abstractNumId="196">
    <w:nsid w:val="6FBF29CB"/>
    <w:multiLevelType w:val="hybridMultilevel"/>
    <w:lvl w:ilvl="0">
      <w:lvlJc w:val="left"/>
      <w:lvlText w:val="(%1)"/>
      <w:numFmt w:val="lowerLetter"/>
      <w:start w:val="1"/>
    </w:lvl>
  </w:abstractNum>
  <w:abstractNum w:abstractNumId="197">
    <w:nsid w:val="550B8808"/>
    <w:multiLevelType w:val="hybridMultilevel"/>
    <w:lvl w:ilvl="0">
      <w:lvlJc w:val="left"/>
      <w:lvlText w:val="(%1)"/>
      <w:numFmt w:val="lowerLetter"/>
      <w:start w:val="1"/>
    </w:lvl>
  </w:abstractNum>
  <w:abstractNum w:abstractNumId="198">
    <w:nsid w:val="34CC3ACF"/>
    <w:multiLevelType w:val="hybridMultilevel"/>
    <w:lvl w:ilvl="0">
      <w:lvlJc w:val="left"/>
      <w:lvlText w:val="(%1)"/>
      <w:numFmt w:val="lowerLetter"/>
      <w:start w:val="2"/>
    </w:lvl>
  </w:abstractNum>
  <w:abstractNum w:abstractNumId="199">
    <w:nsid w:val="4E556261"/>
    <w:multiLevelType w:val="hybridMultilevel"/>
    <w:lvl w:ilvl="0">
      <w:lvlJc w:val="left"/>
      <w:lvlText w:val="(%1)"/>
      <w:numFmt w:val="lowerLetter"/>
      <w:start w:val="2"/>
    </w:lvl>
    <w:lvl w:ilvl="1">
      <w:lvlJc w:val="left"/>
      <w:lvlText w:val="(%2)"/>
      <w:numFmt w:val="lowerRoman"/>
      <w:start w:val="1"/>
    </w:lvl>
  </w:abstractNum>
  <w:abstractNum w:abstractNumId="200">
    <w:nsid w:val="4C672FC9"/>
    <w:multiLevelType w:val="hybridMultilevel"/>
    <w:lvl w:ilvl="0">
      <w:lvlJc w:val="left"/>
      <w:lvlText w:val="(%1)"/>
      <w:numFmt w:val="decimal"/>
      <w:start w:val="1"/>
    </w:lvl>
  </w:abstractNum>
  <w:abstractNum w:abstractNumId="201">
    <w:nsid w:val="52A311C3"/>
    <w:multiLevelType w:val="hybridMultilevel"/>
    <w:lvl w:ilvl="0">
      <w:lvlJc w:val="left"/>
      <w:lvlText w:val="(%1)"/>
      <w:numFmt w:val="lowerLetter"/>
      <w:start w:val="3"/>
    </w:lvl>
    <w:lvl w:ilvl="1">
      <w:lvlJc w:val="left"/>
      <w:lvlText w:val="(%2)"/>
      <w:numFmt w:val="lowerRoman"/>
      <w:start w:val="1"/>
    </w:lvl>
  </w:abstractNum>
  <w:abstractNum w:abstractNumId="202">
    <w:nsid w:val="44EF6B80"/>
    <w:multiLevelType w:val="hybridMultilevel"/>
    <w:lvl w:ilvl="0">
      <w:lvlJc w:val="left"/>
      <w:lvlText w:val="(%1)"/>
      <w:numFmt w:val="lowerLetter"/>
      <w:start w:val="4"/>
    </w:lvl>
  </w:abstractNum>
  <w:abstractNum w:abstractNumId="203">
    <w:nsid w:val="12FCDE5E"/>
    <w:multiLevelType w:val="hybridMultilevel"/>
    <w:lvl w:ilvl="0">
      <w:lvlJc w:val="left"/>
      <w:lvlText w:val="(%1)"/>
      <w:numFmt w:val="lowerRoman"/>
      <w:start w:val="2"/>
    </w:lvl>
  </w:abstractNum>
  <w:abstractNum w:abstractNumId="204">
    <w:nsid w:val="4A1D606E"/>
    <w:multiLevelType w:val="hybridMultilevel"/>
    <w:lvl w:ilvl="0">
      <w:lvlJc w:val="left"/>
      <w:lvlText w:val="(%1)"/>
      <w:numFmt w:val="lowerLetter"/>
      <w:start w:val="2"/>
    </w:lvl>
  </w:abstractNum>
  <w:abstractNum w:abstractNumId="205">
    <w:nsid w:val="4382503"/>
    <w:multiLevelType w:val="hybridMultilevel"/>
    <w:lvl w:ilvl="0">
      <w:lvlJc w:val="left"/>
      <w:lvlText w:val="(%1)"/>
      <w:numFmt w:val="lowerLetter"/>
      <w:start w:val="1"/>
    </w:lvl>
  </w:abstractNum>
  <w:abstractNum w:abstractNumId="206">
    <w:nsid w:val="59B76E28"/>
    <w:multiLevelType w:val="hybridMultilevel"/>
    <w:lvl w:ilvl="0">
      <w:lvlJc w:val="left"/>
      <w:lvlText w:val="(%1)"/>
      <w:numFmt w:val="lowerLetter"/>
      <w:start w:val="2"/>
    </w:lvl>
    <w:lvl w:ilvl="1">
      <w:lvlJc w:val="left"/>
      <w:lvlText w:val="(%2)"/>
      <w:numFmt w:val="lowerRoman"/>
      <w:start w:val="1"/>
    </w:lvl>
  </w:abstractNum>
  <w:abstractNum w:abstractNumId="207">
    <w:nsid w:val="4252C2DA"/>
    <w:multiLevelType w:val="hybridMultilevel"/>
    <w:lvl w:ilvl="0">
      <w:lvlJc w:val="left"/>
      <w:lvlText w:val="(%1)"/>
      <w:numFmt w:val="lowerLetter"/>
      <w:start w:val="4"/>
    </w:lvl>
  </w:abstractNum>
  <w:abstractNum w:abstractNumId="208">
    <w:nsid w:val="6A92EF4C"/>
    <w:multiLevelType w:val="hybridMultilevel"/>
    <w:lvl w:ilvl="0">
      <w:lvlJc w:val="left"/>
      <w:lvlText w:val="(%1)"/>
      <w:numFmt w:val="lowerLetter"/>
      <w:start w:val="2"/>
    </w:lvl>
  </w:abstractNum>
  <w:abstractNum w:abstractNumId="209">
    <w:nsid w:val="41ED20D7"/>
    <w:multiLevelType w:val="hybridMultilevel"/>
    <w:lvl w:ilvl="0">
      <w:lvlJc w:val="left"/>
      <w:lvlText w:val="(%1)"/>
      <w:numFmt w:val="decimal"/>
      <w:start w:val="1"/>
    </w:lvl>
  </w:abstractNum>
  <w:abstractNum w:abstractNumId="210">
    <w:nsid w:val="E6B3F6A"/>
    <w:multiLevelType w:val="hybridMultilevel"/>
    <w:lvl w:ilvl="0">
      <w:lvlJc w:val="left"/>
      <w:lvlText w:val="%1"/>
      <w:numFmt w:val="decimal"/>
      <w:start w:val="20"/>
    </w:lvl>
  </w:abstractNum>
  <w:abstractNum w:abstractNumId="211">
    <w:nsid w:val="3EB21819"/>
    <w:multiLevelType w:val="hybridMultilevel"/>
    <w:lvl w:ilvl="0">
      <w:lvlJc w:val="left"/>
      <w:lvlText w:val="(%1)"/>
      <w:numFmt w:val="upperLetter"/>
      <w:start w:val="1"/>
    </w:lvl>
  </w:abstractNum>
  <w:abstractNum w:abstractNumId="212">
    <w:nsid w:val="41531DED"/>
    <w:multiLevelType w:val="hybridMultilevel"/>
    <w:lvl w:ilvl="0">
      <w:lvlJc w:val="left"/>
      <w:lvlText w:val="%1"/>
      <w:numFmt w:val="decimal"/>
      <w:start w:val="21"/>
    </w:lvl>
  </w:abstractNum>
  <w:abstractNum w:abstractNumId="213">
    <w:nsid w:val="6353CD2"/>
    <w:multiLevelType w:val="hybridMultilevel"/>
    <w:lvl w:ilvl="0">
      <w:lvlJc w:val="left"/>
      <w:lvlText w:val="%1"/>
      <w:numFmt w:val="decimal"/>
      <w:start w:val="22"/>
    </w:lvl>
  </w:abstractNum>
  <w:abstractNum w:abstractNumId="214">
    <w:nsid w:val="683CAAD3"/>
    <w:multiLevelType w:val="hybridMultilevel"/>
    <w:lvl w:ilvl="0">
      <w:lvlJc w:val="left"/>
      <w:lvlText w:val="%1"/>
      <w:numFmt w:val="decimal"/>
      <w:start w:val="29"/>
    </w:lvl>
  </w:abstractNum>
  <w:abstractNum w:abstractNumId="215">
    <w:nsid w:val="313C7C99"/>
    <w:multiLevelType w:val="hybridMultilevel"/>
    <w:lvl w:ilvl="0">
      <w:lvlJc w:val="left"/>
      <w:lvlText w:val="%1"/>
      <w:numFmt w:val="decimal"/>
      <w:start w:val="30"/>
    </w:lvl>
  </w:abstractNum>
  <w:abstractNum w:abstractNumId="216">
    <w:nsid w:val="519EB94C"/>
    <w:multiLevelType w:val="hybridMultilevel"/>
    <w:lvl w:ilvl="0">
      <w:lvlJc w:val="left"/>
      <w:lvlText w:val="%1"/>
      <w:numFmt w:val="decimal"/>
      <w:start w:val="31"/>
    </w:lvl>
  </w:abstractNum>
  <w:abstractNum w:abstractNumId="217">
    <w:nsid w:val="39DF2579"/>
    <w:multiLevelType w:val="hybridMultilevel"/>
    <w:lvl w:ilvl="0">
      <w:lvlJc w:val="left"/>
      <w:lvlText w:val="☐"/>
      <w:numFmt w:val="bullet"/>
      <w:start w:val="1"/>
    </w:lvl>
  </w:abstractNum>
  <w:abstractNum w:abstractNumId="218">
    <w:nsid w:val="126E008B"/>
    <w:multiLevelType w:val="hybridMultilevel"/>
    <w:lvl w:ilvl="0">
      <w:lvlJc w:val="left"/>
      <w:lvlText w:val="%1."/>
      <w:numFmt w:val="decimal"/>
      <w:start w:val="1"/>
    </w:lvl>
  </w:abstractNum>
  <w:abstractNum w:abstractNumId="219">
    <w:nsid w:val="34DFBC00"/>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20">
    <w:nsid w:val="1F9EC32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21">
    <w:nsid w:val="3410ED5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22">
    <w:nsid w:val="23C049A"/>
    <w:multiLevelType w:val="hybridMultilevel"/>
    <w:lvl w:ilvl="0">
      <w:lvlJc w:val="left"/>
      <w:lvlText w:val="(%1)"/>
      <w:numFmt w:val="lowerRoman"/>
      <w:start w:val="10"/>
    </w:lvl>
    <w:lvl w:ilvl="1">
      <w:lvlJc w:val="left"/>
      <w:lvlText w:val="%2."/>
      <w:numFmt w:val="lowerLetter"/>
      <w:start w:val="4"/>
    </w:lvl>
    <w:lvl w:ilvl="2">
      <w:lvlJc w:val="left"/>
      <w:lvlText w:val="(%3)"/>
      <w:numFmt w:val="lowerRoman"/>
      <w:start w:val="2"/>
    </w:lvl>
  </w:abstractNum>
  <w:abstractNum w:abstractNumId="223">
    <w:nsid w:val="5BDA35D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24">
    <w:nsid w:val="496FB2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225">
    <w:nsid w:val="680EA5D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26">
    <w:nsid w:val="4A9554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7">
    <w:nsid w:val="392EDBE4"/>
    <w:multiLevelType w:val="hybridMultilevel"/>
    <w:lvl w:ilvl="0">
      <w:lvlJc w:val="left"/>
      <w:lvlText w:val="(%1)"/>
      <w:numFmt w:val="lowerRoman"/>
      <w:start w:val="3"/>
    </w:lvl>
    <w:lvl w:ilvl="1">
      <w:lvlJc w:val="left"/>
      <w:lvlText w:val="%2."/>
      <w:numFmt w:val="lowerLetter"/>
      <w:start w:val="7"/>
    </w:lvl>
  </w:abstractNum>
  <w:abstractNum w:abstractNumId="228">
    <w:nsid w:val="3D1A2DD9"/>
    <w:multiLevelType w:val="hybridMultilevel"/>
    <w:lvl w:ilvl="0">
      <w:lvlJc w:val="left"/>
      <w:lvlText w:val="%1."/>
      <w:numFmt w:val="decimal"/>
      <w:start w:val="4"/>
    </w:lvl>
    <w:lvl w:ilvl="1">
      <w:lvlJc w:val="left"/>
      <w:lvlText w:val="%2"/>
      <w:numFmt w:val="lowerLetter"/>
      <w:start w:val="1"/>
    </w:lvl>
  </w:abstractNum>
  <w:abstractNum w:abstractNumId="229">
    <w:nsid w:val="7F618FCD"/>
    <w:multiLevelType w:val="hybridMultilevel"/>
    <w:lvl w:ilvl="0">
      <w:lvlJc w:val="left"/>
      <w:lvlText w:val="(%1)"/>
      <w:numFmt w:val="decimal"/>
      <w:start w:val="1"/>
    </w:lvl>
  </w:abstractNum>
  <w:abstractNum w:abstractNumId="230">
    <w:nsid w:val="7843E45"/>
    <w:multiLevelType w:val="hybridMultilevel"/>
    <w:lvl w:ilvl="0">
      <w:lvlJc w:val="left"/>
      <w:lvlText w:val="(%1)"/>
      <w:numFmt w:val="upperLetter"/>
      <w:start w:val="1"/>
    </w:lvl>
  </w:abstractNum>
  <w:abstractNum w:abstractNumId="231">
    <w:nsid w:val="9815DA3"/>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232">
    <w:nsid w:val="5204A191"/>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233">
    <w:nsid w:val="4C73A9C6"/>
    <w:multiLevelType w:val="hybridMultilevel"/>
    <w:lvl w:ilvl="0">
      <w:lvlJc w:val="left"/>
      <w:lvlText w:val="%1"/>
      <w:numFmt w:val="lowerLetter"/>
      <w:start w:val="1"/>
    </w:lvl>
    <w:lvl w:ilvl="1">
      <w:lvlJc w:val="left"/>
      <w:lvlText w:val="%2."/>
      <w:numFmt w:val="decimal"/>
      <w:start w:val="6"/>
    </w:lvl>
  </w:abstractNum>
  <w:abstractNum w:abstractNumId="234">
    <w:nsid w:val="1C7E3C01"/>
    <w:multiLevelType w:val="hybridMultilevel"/>
    <w:lvl w:ilvl="0">
      <w:lvlJc w:val="left"/>
      <w:lvlText w:val="(%1)"/>
      <w:numFmt w:val="lowerLetter"/>
      <w:start w:val="25"/>
    </w:lvl>
    <w:lvl w:ilvl="1">
      <w:lvlJc w:val="left"/>
      <w:lvlText w:val="%2"/>
      <w:numFmt w:val="decimal"/>
      <w:start w:val="1"/>
    </w:lvl>
  </w:abstractNum>
  <w:abstractNum w:abstractNumId="235">
    <w:nsid w:val="1C2201FF"/>
    <w:multiLevelType w:val="hybridMultilevel"/>
    <w:lvl w:ilvl="0">
      <w:lvlJc w:val="left"/>
      <w:lvlText w:val="%1."/>
      <w:numFmt w:val="decimal"/>
      <w:start w:val="8"/>
    </w:lvl>
    <w:lvl w:ilvl="1">
      <w:lvlJc w:val="left"/>
      <w:lvlText w:val="%2."/>
      <w:numFmt w:val="lowerLetter"/>
      <w:start w:val="1"/>
    </w:lvl>
  </w:abstractNum>
  <w:abstractNum w:abstractNumId="236">
    <w:nsid w:val="50ABCEC9"/>
    <w:multiLevelType w:val="hybridMultilevel"/>
    <w:lvl w:ilvl="0">
      <w:lvlJc w:val="left"/>
      <w:lvlText w:val="%1."/>
      <w:numFmt w:val="upperLetter"/>
      <w:start w:val="1"/>
    </w:lvl>
    <w:lvl w:ilvl="1">
      <w:lvlJc w:val="left"/>
      <w:lvlText w:val="☐"/>
      <w:numFmt w:val="bullet"/>
      <w:start w:val="1"/>
    </w:lvl>
  </w:abstractNum>
  <w:abstractNum w:abstractNumId="237">
    <w:nsid w:val="7635AA2A"/>
    <w:multiLevelType w:val="hybridMultilevel"/>
    <w:lvl w:ilvl="0">
      <w:lvlJc w:val="left"/>
      <w:lvlText w:val="☐"/>
      <w:numFmt w:val="bullet"/>
      <w:start w:val="1"/>
    </w:lvl>
  </w:abstractNum>
  <w:abstractNum w:abstractNumId="238">
    <w:nsid w:val="5E74C4D9"/>
    <w:multiLevelType w:val="hybridMultilevel"/>
    <w:lvl w:ilvl="0">
      <w:lvlJc w:val="left"/>
      <w:lvlText w:val="☐"/>
      <w:numFmt w:val="bullet"/>
      <w:start w:val="1"/>
    </w:lvl>
  </w:abstractNum>
  <w:abstractNum w:abstractNumId="239">
    <w:nsid w:val="3B3EBE15"/>
    <w:multiLevelType w:val="hybridMultilevel"/>
    <w:lvl w:ilvl="0">
      <w:lvlJc w:val="left"/>
      <w:lvlText w:val="%1."/>
      <w:numFmt w:val="decimal"/>
      <w:start w:val="1"/>
    </w:lvl>
    <w:lvl w:ilvl="1">
      <w:lvlJc w:val="left"/>
      <w:lvlText w:val="%2."/>
      <w:numFmt w:val="lowerLetter"/>
      <w:start w:val="1"/>
    </w:lvl>
  </w:abstractNum>
  <w:abstractNum w:abstractNumId="240">
    <w:nsid w:val="3822CB0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1">
    <w:nsid w:val="6CE00443"/>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242">
    <w:nsid w:val="79F0D62F"/>
    <w:multiLevelType w:val="hybridMultilevel"/>
    <w:lvl w:ilvl="0">
      <w:lvlJc w:val="left"/>
      <w:lvlText w:val="(%1)"/>
      <w:numFmt w:val="lowerRoman"/>
      <w:start w:val="10"/>
    </w:lvl>
    <w:lvl w:ilvl="1">
      <w:lvlJc w:val="left"/>
      <w:lvlText w:val="%2."/>
      <w:numFmt w:val="lowerLetter"/>
      <w:start w:val="4"/>
    </w:lvl>
    <w:lvl w:ilvl="2">
      <w:lvlJc w:val="left"/>
      <w:lvlText w:val="(%3)"/>
      <w:numFmt w:val="lowerRoman"/>
      <w:start w:val="2"/>
    </w:lvl>
  </w:abstractNum>
  <w:abstractNum w:abstractNumId="243">
    <w:nsid w:val="7975E8E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4">
    <w:nsid w:val="73154115"/>
    <w:multiLevelType w:val="hybridMultilevel"/>
    <w:lvl w:ilvl="0">
      <w:lvlJc w:val="left"/>
      <w:lvlText w:val="(%1)"/>
      <w:numFmt w:val="lowerRoman"/>
      <w:start w:val="2"/>
    </w:lvl>
  </w:abstractNum>
  <w:abstractNum w:abstractNumId="245">
    <w:nsid w:val="622D81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246">
    <w:nsid w:val="2AB26587"/>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47">
    <w:nsid w:val="44B3FA6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8">
    <w:nsid w:val="1C0CA67C"/>
    <w:multiLevelType w:val="hybridMultilevel"/>
    <w:lvl w:ilvl="0">
      <w:lvlJc w:val="left"/>
      <w:lvlText w:val="%1."/>
      <w:numFmt w:val="lowerLetter"/>
      <w:start w:val="6"/>
    </w:lvl>
  </w:abstractNum>
  <w:abstractNum w:abstractNumId="249">
    <w:nsid w:val="3D206613"/>
    <w:multiLevelType w:val="hybridMultilevel"/>
    <w:lvl w:ilvl="0">
      <w:lvlJc w:val="left"/>
      <w:lvlText w:val="%1."/>
      <w:numFmt w:val="lowerLetter"/>
      <w:start w:val="18"/>
    </w:lvl>
  </w:abstractNum>
  <w:abstractNum w:abstractNumId="250">
    <w:nsid w:val="7993B662"/>
    <w:multiLevelType w:val="hybridMultilevel"/>
    <w:lvl w:ilvl="0">
      <w:lvlJc w:val="left"/>
      <w:lvlText w:val="%1."/>
      <w:numFmt w:val="decimal"/>
      <w:start w:val="4"/>
    </w:lvl>
    <w:lvl w:ilvl="1">
      <w:lvlJc w:val="left"/>
      <w:lvlText w:val="%2."/>
      <w:numFmt w:val="lowerLetter"/>
      <w:start w:val="1"/>
    </w:lvl>
  </w:abstractNum>
  <w:abstractNum w:abstractNumId="251">
    <w:nsid w:val="3BAB699E"/>
    <w:multiLevelType w:val="hybridMultilevel"/>
    <w:lvl w:ilvl="0">
      <w:lvlJc w:val="left"/>
      <w:lvlText w:val="%1."/>
      <w:numFmt w:val="lowerLetter"/>
      <w:start w:val="6"/>
    </w:lvl>
  </w:abstractNum>
  <w:abstractNum w:abstractNumId="252">
    <w:nsid w:val="71315369"/>
    <w:multiLevelType w:val="hybridMultilevel"/>
    <w:lvl w:ilvl="0">
      <w:lvlJc w:val="left"/>
      <w:lvlText w:val="(%1)"/>
      <w:numFmt w:val="decimal"/>
      <w:start w:val="1"/>
    </w:lvl>
  </w:abstractNum>
  <w:abstractNum w:abstractNumId="253">
    <w:nsid w:val="7BCFBAFC"/>
    <w:multiLevelType w:val="hybridMultilevel"/>
    <w:lvl w:ilvl="0">
      <w:lvlJc w:val="left"/>
      <w:lvlText w:val="(%1)"/>
      <w:numFmt w:val="upperLetter"/>
      <w:start w:val="1"/>
    </w:lvl>
  </w:abstractNum>
  <w:abstractNum w:abstractNumId="254">
    <w:nsid w:val="17859F72"/>
    <w:multiLevelType w:val="hybridMultilevel"/>
    <w:lvl w:ilvl="0">
      <w:lvlJc w:val="left"/>
      <w:lvlText w:val="%1."/>
      <w:numFmt w:val="decimal"/>
      <w:start w:val="5"/>
    </w:lvl>
  </w:abstractNum>
  <w:abstractNum w:abstractNumId="255">
    <w:nsid w:val="3AA10581"/>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56">
    <w:nsid w:val="63DE60CD"/>
    <w:multiLevelType w:val="hybridMultilevel"/>
    <w:lvl w:ilvl="0">
      <w:lvlJc w:val="left"/>
      <w:lvlText w:val="(%1)"/>
      <w:numFmt w:val="lowerLetter"/>
      <w:start w:val="25"/>
    </w:lvl>
    <w:lvl w:ilvl="1">
      <w:lvlJc w:val="left"/>
      <w:lvlText w:val="%2."/>
      <w:numFmt w:val="decimal"/>
      <w:start w:val="8"/>
    </w:lvl>
    <w:lvl w:ilvl="2">
      <w:lvlJc w:val="left"/>
      <w:lvlText w:val="%3."/>
      <w:numFmt w:val="lowerLetter"/>
      <w:start w:val="1"/>
    </w:lvl>
  </w:abstractNum>
  <w:abstractNum w:abstractNumId="257">
    <w:nsid w:val="621AF471"/>
    <w:multiLevelType w:val="hybridMultilevel"/>
    <w:lvl w:ilvl="0">
      <w:lvlJc w:val="left"/>
      <w:lvlText w:val="(%1)"/>
      <w:numFmt w:val="lowerRoman"/>
      <w:start w:val="7"/>
    </w:lvl>
  </w:abstractNum>
  <w:abstractNum w:abstractNumId="258">
    <w:nsid w:val="73CFE165"/>
    <w:multiLevelType w:val="hybridMultilevel"/>
    <w:lvl w:ilvl="0">
      <w:lvlJc w:val="left"/>
      <w:lvlText w:val="%1."/>
      <w:numFmt w:val="upperLetter"/>
      <w:start w:val="1"/>
    </w:lvl>
    <w:lvl w:ilvl="1">
      <w:lvlJc w:val="left"/>
      <w:lvlText w:val="□"/>
      <w:numFmt w:val="bullet"/>
      <w:start w:val="1"/>
    </w:lvl>
  </w:abstractNum>
  <w:abstractNum w:abstractNumId="259">
    <w:nsid w:val="20F88EA6"/>
    <w:multiLevelType w:val="hybridMultilevel"/>
    <w:lvl w:ilvl="0">
      <w:lvlJc w:val="left"/>
      <w:lvlText w:val="□"/>
      <w:numFmt w:val="bullet"/>
      <w:start w:val="1"/>
    </w:lvl>
  </w:abstractNum>
  <w:abstractNum w:abstractNumId="260">
    <w:nsid w:val="617C843E"/>
    <w:multiLevelType w:val="hybridMultilevel"/>
    <w:lvl w:ilvl="0">
      <w:lvlJc w:val="left"/>
      <w:lvlText w:val="□"/>
      <w:numFmt w:val="bullet"/>
      <w:start w:val="1"/>
    </w:lvl>
  </w:abstractNum>
  <w:abstractNum w:abstractNumId="261">
    <w:nsid w:val="7B541FAB"/>
    <w:multiLevelType w:val="hybridMultilevel"/>
    <w:lvl w:ilvl="0">
      <w:lvlJc w:val="left"/>
      <w:lvlText w:val="%1."/>
      <w:numFmt w:val="decimal"/>
      <w:start w:val="1"/>
    </w:lvl>
  </w:abstractNum>
  <w:abstractNum w:abstractNumId="262">
    <w:nsid w:val="2A79EC49"/>
    <w:multiLevelType w:val="hybridMultilevel"/>
    <w:lvl w:ilvl="0">
      <w:lvlJc w:val="left"/>
      <w:lvlText w:val="(%1)"/>
      <w:numFmt w:val="lowerRoman"/>
      <w:start w:val="1"/>
    </w:lvl>
  </w:abstractNum>
  <w:abstractNum w:abstractNumId="263">
    <w:nsid w:val="338125CF"/>
    <w:multiLevelType w:val="hybridMultilevel"/>
    <w:lvl w:ilvl="0">
      <w:lvlJc w:val="left"/>
      <w:lvlText w:val="%1."/>
      <w:numFmt w:val="decimal"/>
      <w:start w:val="4"/>
    </w:lvl>
  </w:abstractNum>
  <w:abstractNum w:abstractNumId="264">
    <w:nsid w:val="47C7C971"/>
    <w:multiLevelType w:val="hybridMultilevel"/>
    <w:lvl w:ilvl="0">
      <w:lvlJc w:val="left"/>
      <w:lvlText w:val="%1."/>
      <w:numFmt w:val="decimal"/>
      <w:start w:val="5"/>
    </w:lvl>
  </w:abstractNum>
  <w:abstractNum w:abstractNumId="265">
    <w:nsid w:val="46F8284B"/>
    <w:multiLevelType w:val="hybridMultilevel"/>
    <w:lvl w:ilvl="0">
      <w:lvlJc w:val="left"/>
      <w:lvlText w:val="%1."/>
      <w:numFmt w:val="decimal"/>
      <w:start w:val="6"/>
    </w:lvl>
  </w:abstractNum>
  <w:abstractNum w:abstractNumId="266">
    <w:nsid w:val="4FA327CE"/>
    <w:multiLevelType w:val="hybridMultilevel"/>
    <w:lvl w:ilvl="0">
      <w:lvlJc w:val="left"/>
      <w:lvlText w:val="%1."/>
      <w:numFmt w:val="decimal"/>
      <w:start w:val="7"/>
    </w:lvl>
  </w:abstractNum>
  <w:abstractNum w:abstractNumId="267">
    <w:nsid w:val="1873983A"/>
    <w:multiLevelType w:val="hybridMultilevel"/>
    <w:lvl w:ilvl="0">
      <w:lvlJc w:val="left"/>
      <w:lvlText w:val="%1."/>
      <w:numFmt w:val="decimal"/>
      <w:start w:val="8"/>
    </w:lvl>
  </w:abstractNum>
  <w:abstractNum w:abstractNumId="268">
    <w:nsid w:val="3D2DD275"/>
    <w:multiLevelType w:val="hybridMultilevel"/>
    <w:lvl w:ilvl="0">
      <w:lvlJc w:val="left"/>
      <w:lvlText w:val="%1."/>
      <w:numFmt w:val="decimal"/>
      <w:start w:val="9"/>
    </w:lvl>
  </w:abstractNum>
  <w:abstractNum w:abstractNumId="269">
    <w:nsid w:val="2E17ECA7"/>
    <w:multiLevelType w:val="hybridMultilevel"/>
    <w:lvl w:ilvl="0">
      <w:lvlJc w:val="left"/>
      <w:lvlText w:val="2"/>
      <w:numFmt w:val="bullet"/>
      <w:start w:val="1"/>
    </w:lvl>
  </w:abstractNum>
  <w:abstractNum w:abstractNumId="270">
    <w:nsid w:val="53B2564F"/>
    <w:multiLevelType w:val="hybridMultilevel"/>
    <w:lvl w:ilvl="0">
      <w:lvlJc w:val="left"/>
      <w:lvlText w:val="%1."/>
      <w:numFmt w:val="decimal"/>
      <w:start w:val="1"/>
    </w:lvl>
    <w:lvl w:ilvl="1">
      <w:lvlJc w:val="left"/>
      <w:lvlText w:val="(%2)"/>
      <w:numFmt w:val="lowerLetter"/>
      <w:start w:val="1"/>
    </w:lvl>
  </w:abstractNum>
  <w:abstractNum w:abstractNumId="271">
    <w:nsid w:val="75509D76"/>
    <w:multiLevelType w:val="hybridMultilevel"/>
    <w:lvl w:ilvl="0">
      <w:lvlJc w:val="left"/>
      <w:lvlText w:val="(%1)"/>
      <w:numFmt w:val="lowerLetter"/>
      <w:start w:val="2"/>
    </w:lvl>
  </w:abstractNum>
  <w:abstractNum w:abstractNumId="272">
    <w:nsid w:val="1AF7F0EA"/>
    <w:multiLevelType w:val="hybridMultilevel"/>
    <w:lvl w:ilvl="0">
      <w:lvlJc w:val="left"/>
      <w:lvlText w:val="%1."/>
      <w:numFmt w:val="decimal"/>
      <w:start w:val="2"/>
    </w:lvl>
    <w:lvl w:ilvl="1">
      <w:lvlJc w:val="left"/>
      <w:lvlText w:val="(%2)"/>
      <w:numFmt w:val="lowerLetter"/>
      <w:start w:val="1"/>
    </w:lvl>
  </w:abstractNum>
  <w:abstractNum w:abstractNumId="273">
    <w:nsid w:val="4DA32C7E"/>
    <w:multiLevelType w:val="hybridMultilevel"/>
    <w:lvl w:ilvl="0">
      <w:lvlJc w:val="left"/>
      <w:lvlText w:val="(%1)"/>
      <w:numFmt w:val="lowerLetter"/>
      <w:start w:val="3"/>
    </w:lvl>
  </w:abstractNum>
  <w:abstractNum w:abstractNumId="274">
    <w:nsid w:val="6EC68664"/>
    <w:multiLevelType w:val="hybridMultilevel"/>
    <w:lvl w:ilvl="0">
      <w:lvlJc w:val="left"/>
      <w:lvlText w:val="(%1)"/>
      <w:numFmt w:val="lowerLetter"/>
      <w:start w:val="5"/>
    </w:lvl>
    <w:lvl w:ilvl="1">
      <w:lvlJc w:val="left"/>
      <w:lvlText w:val="(%2)"/>
      <w:numFmt w:val="lowerLetter"/>
      <w:start w:val="9"/>
    </w:lvl>
  </w:abstractNum>
  <w:abstractNum w:abstractNumId="275">
    <w:nsid w:val="E0D31FF"/>
    <w:multiLevelType w:val="hybridMultilevel"/>
    <w:lvl w:ilvl="0">
      <w:lvlJc w:val="left"/>
      <w:lvlText w:val="%1"/>
      <w:numFmt w:val="lowerLetter"/>
      <w:start w:val="1"/>
    </w:lvl>
    <w:lvl w:ilvl="1">
      <w:lvlJc w:val="left"/>
      <w:lvlText w:val="(%2)"/>
      <w:numFmt w:val="lowerRoman"/>
      <w:start w:val="2"/>
    </w:lvl>
  </w:abstractNum>
  <w:abstractNum w:abstractNumId="276">
    <w:nsid w:val="2FD0AD81"/>
    <w:multiLevelType w:val="hybridMultilevel"/>
    <w:lvl w:ilvl="0">
      <w:lvlJc w:val="left"/>
      <w:lvlText w:val="(%1)"/>
      <w:numFmt w:val="lowerLetter"/>
      <w:start w:val="7"/>
    </w:lvl>
    <w:lvl w:ilvl="1">
      <w:lvlJc w:val="left"/>
      <w:lvlText w:val="%2"/>
      <w:numFmt w:val="lowerRoman"/>
      <w:start w:val="1"/>
    </w:lvl>
  </w:abstractNum>
  <w:abstractNum w:abstractNumId="277">
    <w:nsid w:val="1978EBEB"/>
    <w:multiLevelType w:val="hybridMultilevel"/>
    <w:lvl w:ilvl="0">
      <w:lvlJc w:val="left"/>
      <w:lvlText w:val="%1"/>
      <w:numFmt w:val="decimal"/>
      <w:start w:val="1"/>
    </w:lvl>
    <w:lvl w:ilvl="1">
      <w:lvlJc w:val="left"/>
      <w:lvlText w:val="(%2)"/>
      <w:numFmt w:val="lowerLetter"/>
      <w:start w:val="8"/>
    </w:lvl>
  </w:abstractNum>
  <w:abstractNum w:abstractNumId="278">
    <w:nsid w:val="52C12C61"/>
    <w:multiLevelType w:val="hybridMultilevel"/>
    <w:lvl w:ilvl="0">
      <w:lvlJc w:val="left"/>
      <w:lvlText w:val="%1."/>
      <w:numFmt w:val="decimal"/>
      <w:start w:val="3"/>
    </w:lvl>
    <w:lvl w:ilvl="1">
      <w:lvlJc w:val="left"/>
      <w:lvlText w:val="(%2)"/>
      <w:numFmt w:val="lowerLetter"/>
      <w:start w:val="1"/>
    </w:lvl>
  </w:abstractNum>
  <w:abstractNum w:abstractNumId="279">
    <w:nsid w:val="4BDD53F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80">
    <w:nsid w:val="569951FE"/>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5"/>
    </w:lvl>
  </w:abstractNum>
  <w:abstractNum w:abstractNumId="281">
    <w:nsid w:val="4C54E2C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82">
    <w:nsid w:val="788BD9B"/>
    <w:multiLevelType w:val="hybridMultilevel"/>
    <w:lvl w:ilvl="0">
      <w:lvlJc w:val="left"/>
      <w:lvlText w:val="(%1)"/>
      <w:numFmt w:val="lowerLetter"/>
      <w:start w:val="2"/>
    </w:lvl>
  </w:abstractNum>
  <w:abstractNum w:abstractNumId="283">
    <w:nsid w:val="47CAA567"/>
    <w:multiLevelType w:val="hybridMultilevel"/>
    <w:lvl w:ilvl="0">
      <w:lvlJc w:val="left"/>
      <w:lvlText w:val="%1."/>
      <w:numFmt w:val="decimal"/>
      <w:start w:val="5"/>
    </w:lvl>
    <w:lvl w:ilvl="1">
      <w:lvlJc w:val="left"/>
      <w:lvlText w:val="(%2)"/>
      <w:numFmt w:val="lowerLetter"/>
      <w:start w:val="1"/>
    </w:lvl>
  </w:abstractNum>
  <w:abstractNum w:abstractNumId="284">
    <w:nsid w:val="48249DBF"/>
    <w:multiLevelType w:val="hybridMultilevel"/>
    <w:lvl w:ilvl="0">
      <w:lvlJc w:val="left"/>
      <w:lvlText w:val="%1"/>
      <w:numFmt w:val="lowerLetter"/>
      <w:start w:val="1"/>
    </w:lvl>
    <w:lvl w:ilvl="1">
      <w:lvlJc w:val="left"/>
      <w:lvlText w:val="(%2)"/>
      <w:numFmt w:val="lowerLetter"/>
      <w:start w:val="4"/>
    </w:lvl>
  </w:abstractNum>
  <w:abstractNum w:abstractNumId="285">
    <w:nsid w:val="1F0E5D0D"/>
    <w:multiLevelType w:val="hybridMultilevel"/>
    <w:lvl w:ilvl="0">
      <w:lvlJc w:val="left"/>
      <w:lvlText w:val="(%1)"/>
      <w:numFmt w:val="lowerLetter"/>
      <w:start w:val="61"/>
    </w:lvl>
    <w:lvl w:ilvl="1">
      <w:lvlJc w:val="left"/>
      <w:lvlText w:val="(%2)"/>
      <w:numFmt w:val="lowerLetter"/>
      <w:start w:val="7"/>
    </w:lvl>
  </w:abstractNum>
  <w:abstractNum w:abstractNumId="286">
    <w:nsid w:val="26BAAE9"/>
    <w:multiLevelType w:val="hybridMultilevel"/>
    <w:lvl w:ilvl="0">
      <w:lvlJc w:val="left"/>
      <w:lvlText w:val="(%1)"/>
      <w:numFmt w:val="lowerLetter"/>
      <w:start w:val="11"/>
    </w:lvl>
  </w:abstractNum>
  <w:abstractNum w:abstractNumId="287">
    <w:nsid w:val="2C02FE8C"/>
    <w:multiLevelType w:val="hybridMultilevel"/>
    <w:lvl w:ilvl="0">
      <w:lvlJc w:val="left"/>
      <w:lvlText w:val="(%1)"/>
      <w:numFmt w:val="lowerLetter"/>
      <w:start w:val="19"/>
    </w:lvl>
  </w:abstractNum>
  <w:abstractNum w:abstractNumId="288">
    <w:nsid w:val="129517E"/>
    <w:multiLevelType w:val="hybridMultilevel"/>
    <w:lvl w:ilvl="0">
      <w:lvlJc w:val="left"/>
      <w:lvlText w:val="%1."/>
      <w:numFmt w:val="decimal"/>
      <w:start w:val="6"/>
    </w:lvl>
    <w:lvl w:ilvl="1">
      <w:lvlJc w:val="left"/>
      <w:lvlText w:val="(%2)"/>
      <w:numFmt w:val="lowerLetter"/>
      <w:start w:val="1"/>
    </w:lvl>
  </w:abstractNum>
  <w:abstractNum w:abstractNumId="289">
    <w:nsid w:val="763B8C4E"/>
    <w:multiLevelType w:val="hybridMultilevel"/>
    <w:lvl w:ilvl="0">
      <w:lvlJc w:val="left"/>
      <w:lvlText w:val="%1."/>
      <w:numFmt w:val="decimal"/>
      <w:start w:val="8"/>
    </w:lvl>
    <w:lvl w:ilvl="1">
      <w:lvlJc w:val="left"/>
      <w:lvlText w:val="(%2)"/>
      <w:numFmt w:val="lowerLetter"/>
      <w:start w:val="1"/>
    </w:lvl>
  </w:abstractNum>
  <w:abstractNum w:abstractNumId="290">
    <w:nsid w:val="4CFB8D32"/>
    <w:multiLevelType w:val="hybridMultilevel"/>
    <w:lvl w:ilvl="0">
      <w:lvlJc w:val="left"/>
      <w:lvlText w:val="(%1)"/>
      <w:numFmt w:val="lowerLetter"/>
      <w:start w:val="3"/>
    </w:lvl>
  </w:abstractNum>
  <w:abstractNum w:abstractNumId="291">
    <w:nsid w:val="62A5D5BD"/>
    <w:multiLevelType w:val="hybridMultilevel"/>
    <w:lvl w:ilvl="0">
      <w:lvlJc w:val="left"/>
      <w:lvlText w:val="%1."/>
      <w:numFmt w:val="decimal"/>
      <w:start w:val="9"/>
    </w:lvl>
    <w:lvl w:ilvl="1">
      <w:lvlJc w:val="left"/>
      <w:lvlText w:val="(%2)"/>
      <w:numFmt w:val="lowerLetter"/>
      <w:start w:val="1"/>
    </w:lvl>
  </w:abstractNum>
  <w:abstractNum w:abstractNumId="292">
    <w:nsid w:val="718FABF9"/>
    <w:multiLevelType w:val="hybridMultilevel"/>
    <w:lvl w:ilvl="0">
      <w:lvlJc w:val="left"/>
      <w:lvlText w:val="(%1)"/>
      <w:numFmt w:val="lowerLetter"/>
      <w:start w:val="3"/>
    </w:lvl>
  </w:abstractNum>
  <w:abstractNum w:abstractNumId="293">
    <w:nsid w:val="7775797C"/>
    <w:multiLevelType w:val="hybridMultilevel"/>
    <w:lvl w:ilvl="0">
      <w:lvlJc w:val="left"/>
      <w:lvlText w:val="%1."/>
      <w:numFmt w:val="decimal"/>
      <w:start w:val="11"/>
    </w:lvl>
    <w:lvl w:ilvl="1">
      <w:lvlJc w:val="left"/>
      <w:lvlText w:val="(%2)"/>
      <w:numFmt w:val="lowerLetter"/>
      <w:start w:val="1"/>
    </w:lvl>
  </w:abstractNum>
  <w:abstractNum w:abstractNumId="294">
    <w:nsid w:val="1626FB8C"/>
    <w:multiLevelType w:val="hybridMultilevel"/>
    <w:lvl w:ilvl="0">
      <w:lvlJc w:val="left"/>
      <w:lvlText w:val="(%1)"/>
      <w:numFmt w:val="upperLetter"/>
      <w:start w:val="2"/>
    </w:lvl>
    <w:lvl w:ilvl="1">
      <w:lvlJc w:val="left"/>
      <w:lvlText w:val="(%2)"/>
      <w:numFmt w:val="lowerLetter"/>
      <w:start w:val="13"/>
    </w:lvl>
  </w:abstractNum>
  <w:abstractNum w:abstractNumId="295">
    <w:nsid w:val="3957756A"/>
    <w:multiLevelType w:val="hybridMultilevel"/>
    <w:lvl w:ilvl="0">
      <w:lvlJc w:val="left"/>
      <w:lvlText w:val="(%1)"/>
      <w:numFmt w:val="lowerLetter"/>
      <w:start w:val="14"/>
    </w:lvl>
  </w:abstractNum>
  <w:abstractNum w:abstractNumId="296">
    <w:nsid w:val="3E6DA1C7"/>
    <w:multiLevelType w:val="hybridMultilevel"/>
    <w:lvl w:ilvl="0">
      <w:lvlJc w:val="left"/>
      <w:lvlText w:val="%1"/>
      <w:numFmt w:val="decimal"/>
      <w:start w:val="1"/>
    </w:lvl>
    <w:lvl w:ilvl="1">
      <w:lvlJc w:val="left"/>
      <w:lvlText w:val="(%2)"/>
      <w:numFmt w:val="lowerLetter"/>
      <w:start w:val="20"/>
    </w:lvl>
  </w:abstractNum>
  <w:abstractNum w:abstractNumId="297">
    <w:nsid w:val="65CA235B"/>
    <w:multiLevelType w:val="hybridMultilevel"/>
    <w:lvl w:ilvl="0">
      <w:lvlJc w:val="left"/>
      <w:lvlText w:val="%1."/>
      <w:numFmt w:val="decimal"/>
      <w:start w:val="12"/>
    </w:lvl>
    <w:lvl w:ilvl="1">
      <w:lvlJc w:val="left"/>
      <w:lvlText w:val="(%2)"/>
      <w:numFmt w:val="lowerLetter"/>
      <w:start w:val="1"/>
    </w:lvl>
  </w:abstractNum>
  <w:abstractNum w:abstractNumId="298">
    <w:nsid w:val="51CB0DA4"/>
    <w:multiLevelType w:val="hybridMultilevel"/>
    <w:lvl w:ilvl="0">
      <w:lvlJc w:val="left"/>
      <w:lvlText w:val="(%1)"/>
      <w:numFmt w:val="lowerLetter"/>
      <w:start w:val="5"/>
    </w:lvl>
  </w:abstractNum>
  <w:abstractNum w:abstractNumId="299">
    <w:nsid w:val="7B9B743C"/>
    <w:multiLevelType w:val="hybridMultilevel"/>
    <w:lvl w:ilvl="0">
      <w:lvlJc w:val="left"/>
      <w:lvlText w:val="(%1)"/>
      <w:numFmt w:val="lowerLetter"/>
      <w:start w:val="11"/>
    </w:lvl>
  </w:abstractNum>
  <w:abstractNum w:abstractNumId="300">
    <w:nsid w:val="13E21002"/>
    <w:multiLevelType w:val="hybridMultilevel"/>
    <w:lvl w:ilvl="0">
      <w:lvlJc w:val="left"/>
      <w:lvlText w:val="(%1)"/>
      <w:numFmt w:val="lowerLetter"/>
      <w:start w:val="12"/>
    </w:lvl>
    <w:lvl w:ilvl="1">
      <w:lvlJc w:val="left"/>
      <w:lvlText w:val="*"/>
      <w:numFmt w:val="bullet"/>
      <w:start w:val="1"/>
    </w:lvl>
  </w:abstractNum>
  <w:abstractNum w:abstractNumId="301">
    <w:nsid w:val="257D63F4"/>
    <w:multiLevelType w:val="hybridMultilevel"/>
    <w:lvl w:ilvl="0">
      <w:lvlJc w:val="left"/>
      <w:lvlText w:val="1"/>
      <w:numFmt w:val="bullet"/>
      <w:start w:val="1"/>
    </w:lvl>
  </w:abstractNum>
  <w:abstractNum w:abstractNumId="302">
    <w:nsid w:val="70EC11B2"/>
    <w:multiLevelType w:val="hybridMultilevel"/>
    <w:lvl w:ilvl="0">
      <w:lvlJc w:val="left"/>
      <w:lvlText w:val="(%1)"/>
      <w:numFmt w:val="lowerLetter"/>
      <w:start w:val="1"/>
    </w:lvl>
    <w:lvl w:ilvl="1">
      <w:lvlJc w:val="left"/>
      <w:lvlText w:val="(%2)"/>
      <w:numFmt w:val="lowerRoman"/>
      <w:start w:val="1"/>
    </w:lvl>
  </w:abstractNum>
  <w:abstractNum w:abstractNumId="303">
    <w:nsid w:val="2EDA00ED"/>
    <w:multiLevelType w:val="hybridMultilevel"/>
    <w:lvl w:ilvl="0">
      <w:lvlJc w:val="left"/>
      <w:lvlText w:val="(%1)"/>
      <w:numFmt w:val="lowerRoman"/>
      <w:start w:val="3"/>
    </w:lvl>
  </w:abstractNum>
  <w:abstractNum w:abstractNumId="304">
    <w:nsid w:val="73209072"/>
    <w:multiLevelType w:val="hybridMultilevel"/>
    <w:lvl w:ilvl="0">
      <w:lvlJc w:val="left"/>
      <w:lvlText w:val="(%1)"/>
      <w:numFmt w:val="lowerLetter"/>
      <w:start w:val="3"/>
    </w:lvl>
  </w:abstractNum>
  <w:abstractNum w:abstractNumId="305">
    <w:nsid w:val="5FB29816"/>
    <w:multiLevelType w:val="hybridMultilevel"/>
    <w:lvl w:ilvl="0">
      <w:lvlJc w:val="left"/>
      <w:lvlText w:val="(%1)"/>
      <w:numFmt w:val="lowerLetter"/>
      <w:start w:val="1"/>
    </w:lvl>
  </w:abstractNum>
  <w:abstractNum w:abstractNumId="306">
    <w:nsid w:val="3CE732EC"/>
    <w:multiLevelType w:val="hybridMultilevel"/>
    <w:lvl w:ilvl="0">
      <w:lvlJc w:val="left"/>
      <w:lvlText w:val="(%1)"/>
      <w:numFmt w:val="lowerLetter"/>
      <w:start w:val="1"/>
    </w:lvl>
  </w:abstractNum>
  <w:abstractNum w:abstractNumId="307">
    <w:nsid w:val="22F13DF3"/>
    <w:multiLevelType w:val="hybridMultilevel"/>
    <w:lvl w:ilvl="0">
      <w:lvlJc w:val="left"/>
      <w:lvlText w:val="(%1)"/>
      <w:numFmt w:val="lowerLetter"/>
      <w:start w:val="2"/>
    </w:lvl>
  </w:abstractNum>
  <w:abstractNum w:abstractNumId="308">
    <w:nsid w:val="792B8401"/>
    <w:multiLevelType w:val="hybridMultilevel"/>
    <w:lvl w:ilvl="0">
      <w:lvlJc w:val="left"/>
      <w:lvlText w:val="(%1)"/>
      <w:numFmt w:val="lowerLetter"/>
      <w:start w:val="1"/>
    </w:lvl>
  </w:abstractNum>
  <w:abstractNum w:abstractNumId="309">
    <w:nsid w:val="FA85F4D"/>
    <w:multiLevelType w:val="hybridMultilevel"/>
    <w:lvl w:ilvl="0">
      <w:lvlJc w:val="left"/>
      <w:lvlText w:val="(%1)"/>
      <w:numFmt w:val="lowerLetter"/>
      <w:start w:val="3"/>
    </w:lvl>
  </w:abstractNum>
  <w:abstractNum w:abstractNumId="310">
    <w:nsid w:val="6ECE91F0"/>
    <w:multiLevelType w:val="hybridMultilevel"/>
    <w:lvl w:ilvl="0">
      <w:lvlJc w:val="left"/>
      <w:lvlText w:val="(%1)"/>
      <w:numFmt w:val="lowerLetter"/>
      <w:start w:val="1"/>
    </w:lvl>
  </w:abstractNum>
  <w:abstractNum w:abstractNumId="311">
    <w:nsid w:val="4FC4D600"/>
    <w:multiLevelType w:val="hybridMultilevel"/>
    <w:lvl w:ilvl="0">
      <w:lvlJc w:val="left"/>
      <w:lvlText w:val="(%1)"/>
      <w:numFmt w:val="lowerLetter"/>
      <w:start w:val="3"/>
    </w:lvl>
  </w:abstractNum>
  <w:abstractNum w:abstractNumId="312">
    <w:nsid w:val="5BFD4210"/>
    <w:multiLevelType w:val="hybridMultilevel"/>
    <w:lvl w:ilvl="0">
      <w:lvlJc w:val="left"/>
      <w:lvlText w:val="%1."/>
      <w:numFmt w:val="decimal"/>
      <w:start w:val="1"/>
    </w:lvl>
    <w:lvl w:ilvl="1">
      <w:lvlJc w:val="left"/>
      <w:lvlText w:val="(%2)"/>
      <w:numFmt w:val="lowerLetter"/>
      <w:start w:val="1"/>
    </w:lvl>
  </w:abstractNum>
  <w:abstractNum w:abstractNumId="313">
    <w:nsid w:val="76574F8B"/>
    <w:multiLevelType w:val="hybridMultilevel"/>
    <w:lvl w:ilvl="0">
      <w:lvlJc w:val="left"/>
      <w:lvlText w:val="(%1)"/>
      <w:numFmt w:val="lowerLetter"/>
      <w:start w:val="4"/>
    </w:lvl>
  </w:abstractNum>
  <w:abstractNum w:abstractNumId="314">
    <w:nsid w:val="178F7B67"/>
    <w:multiLevelType w:val="hybridMultilevel"/>
    <w:lvl w:ilvl="0">
      <w:lvlJc w:val="left"/>
      <w:lvlText w:val="%1."/>
      <w:numFmt w:val="decimal"/>
      <w:start w:val="2"/>
    </w:lvl>
    <w:lvl w:ilvl="1">
      <w:lvlJc w:val="left"/>
      <w:lvlText w:val="(%2)"/>
      <w:numFmt w:val="lowerLetter"/>
      <w:start w:val="1"/>
    </w:lvl>
  </w:abstractNum>
  <w:abstractNum w:abstractNumId="315">
    <w:nsid w:val="2421DFC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16">
    <w:nsid w:val="1565AC99"/>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17">
    <w:nsid w:val="19FB2650"/>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318">
    <w:nsid w:val="5024DE5B"/>
    <w:multiLevelType w:val="hybridMultilevel"/>
    <w:lvl w:ilvl="0">
      <w:lvlJc w:val="left"/>
      <w:lvlText w:val="%1"/>
      <w:numFmt w:val="lowerLetter"/>
      <w:start w:val="1"/>
    </w:lvl>
    <w:lvl w:ilvl="1">
      <w:lvlJc w:val="left"/>
      <w:lvlText w:val="(%2)"/>
      <w:numFmt w:val="lowerLetter"/>
      <w:start w:val="2"/>
    </w:lvl>
  </w:abstractNum>
  <w:abstractNum w:abstractNumId="319">
    <w:nsid w:val="168EFE17"/>
    <w:multiLevelType w:val="hybridMultilevel"/>
    <w:lvl w:ilvl="0">
      <w:lvlJc w:val="left"/>
      <w:lvlText w:val="(%1)"/>
      <w:numFmt w:val="lowerLetter"/>
      <w:start w:val="61"/>
    </w:lvl>
    <w:lvl w:ilvl="1">
      <w:lvlJc w:val="left"/>
      <w:lvlText w:val="(%2)"/>
      <w:numFmt w:val="lowerLetter"/>
      <w:start w:val="3"/>
    </w:lvl>
  </w:abstractNum>
  <w:abstractNum w:abstractNumId="320">
    <w:nsid w:val="1036B29F"/>
    <w:multiLevelType w:val="hybridMultilevel"/>
    <w:lvl w:ilvl="0">
      <w:lvlJc w:val="left"/>
      <w:lvlText w:val="(%1)"/>
      <w:numFmt w:val="lowerLetter"/>
      <w:start w:val="5"/>
    </w:lvl>
  </w:abstractNum>
  <w:abstractNum w:abstractNumId="321">
    <w:nsid w:val="1D206B8E"/>
    <w:multiLevelType w:val="hybridMultilevel"/>
    <w:lvl w:ilvl="0">
      <w:lvlJc w:val="left"/>
      <w:lvlText w:val="%1."/>
      <w:numFmt w:val="decimal"/>
      <w:start w:val="7"/>
    </w:lvl>
    <w:lvl w:ilvl="1">
      <w:lvlJc w:val="left"/>
      <w:lvlText w:val="(%2)"/>
      <w:numFmt w:val="lowerLetter"/>
      <w:start w:val="1"/>
    </w:lvl>
  </w:abstractNum>
  <w:abstractNum w:abstractNumId="322">
    <w:nsid w:val="7934D3D4"/>
    <w:multiLevelType w:val="hybridMultilevel"/>
    <w:lvl w:ilvl="0">
      <w:lvlJc w:val="left"/>
      <w:lvlText w:val="(%1)"/>
      <w:numFmt w:val="lowerLetter"/>
      <w:start w:val="2"/>
    </w:lvl>
  </w:abstractNum>
  <w:abstractNum w:abstractNumId="323">
    <w:nsid w:val="1C65E98"/>
    <w:multiLevelType w:val="hybridMultilevel"/>
    <w:lvl w:ilvl="0">
      <w:lvlJc w:val="left"/>
      <w:lvlText w:val="%1."/>
      <w:numFmt w:val="decimal"/>
      <w:start w:val="8"/>
    </w:lvl>
  </w:abstractNum>
  <w:abstractNum w:abstractNumId="324">
    <w:nsid w:val="1495E50A"/>
    <w:multiLevelType w:val="hybridMultilevel"/>
    <w:lvl w:ilvl="0">
      <w:lvlJc w:val="left"/>
      <w:lvlText w:val="%1."/>
      <w:numFmt w:val="decimal"/>
      <w:start w:val="13"/>
    </w:lvl>
  </w:abstractNum>
  <w:abstractNum w:abstractNumId="325">
    <w:nsid w:val="F5BCF61"/>
    <w:multiLevelType w:val="hybridMultilevel"/>
    <w:lvl w:ilvl="0">
      <w:lvlJc w:val="left"/>
      <w:lvlText w:val="%1."/>
      <w:numFmt w:val="decimal"/>
      <w:start w:val="14"/>
    </w:lvl>
  </w:abstractNum>
  <w:abstractNum w:abstractNumId="326">
    <w:nsid w:val="3B1DD403"/>
    <w:multiLevelType w:val="hybridMultilevel"/>
    <w:lvl w:ilvl="0">
      <w:lvlJc w:val="left"/>
      <w:lvlText w:val="%1."/>
      <w:numFmt w:val="decimal"/>
      <w:start w:val="18"/>
    </w:lvl>
  </w:abstractNum>
  <w:abstractNum w:abstractNumId="327">
    <w:nsid w:val="530386D1"/>
    <w:multiLevelType w:val="hybridMultilevel"/>
    <w:lvl w:ilvl="0">
      <w:lvlJc w:val="left"/>
      <w:lvlText w:val="%1."/>
      <w:numFmt w:val="decimal"/>
      <w:start w:val="23"/>
    </w:lvl>
  </w:abstractNum>
  <w:abstractNum w:abstractNumId="328">
    <w:nsid w:val="7525F2BC"/>
    <w:multiLevelType w:val="hybridMultilevel"/>
    <w:lvl w:ilvl="0">
      <w:lvlJc w:val="left"/>
      <w:lvlText w:val="%1."/>
      <w:numFmt w:val="decimal"/>
      <w:start w:val="1"/>
    </w:lvl>
  </w:abstractNum>
  <w:abstractNum w:abstractNumId="329">
    <w:nsid w:val="CE8E1A7"/>
    <w:multiLevelType w:val="hybridMultilevel"/>
    <w:lvl w:ilvl="0">
      <w:lvlJc w:val="left"/>
      <w:lvlText w:val="(%1)"/>
      <w:numFmt w:val="lowerLetter"/>
      <w:start w:val="1"/>
    </w:lvl>
    <w:lvl w:ilvl="1">
      <w:lvlJc w:val="left"/>
      <w:lvlText w:val="(%2)"/>
      <w:numFmt w:val="lowerLetter"/>
      <w:start w:val="9"/>
    </w:lvl>
  </w:abstractNum>
  <w:abstractNum w:abstractNumId="330">
    <w:nsid w:val="4E9EFB0D"/>
    <w:multiLevelType w:val="hybridMultilevel"/>
    <w:lvl w:ilvl="0">
      <w:lvlJc w:val="left"/>
      <w:lvlText w:val="%1"/>
      <w:numFmt w:val="lowerLetter"/>
      <w:start w:val="1"/>
    </w:lvl>
    <w:lvl w:ilvl="1">
      <w:lvlJc w:val="left"/>
      <w:lvlText w:val="(%2)"/>
      <w:numFmt w:val="lowerRoman"/>
      <w:start w:val="2"/>
    </w:lvl>
  </w:abstractNum>
  <w:abstractNum w:abstractNumId="331">
    <w:nsid w:val="90802BE"/>
    <w:multiLevelType w:val="hybridMultilevel"/>
    <w:lvl w:ilvl="0">
      <w:lvlJc w:val="left"/>
      <w:lvlText w:val="(%1)"/>
      <w:numFmt w:val="lowerLetter"/>
      <w:start w:val="2"/>
    </w:lvl>
    <w:lvl w:ilvl="1">
      <w:lvlJc w:val="left"/>
      <w:lvlText w:val="(%2)"/>
      <w:numFmt w:val="lowerRoman"/>
      <w:start w:val="1"/>
    </w:lvl>
  </w:abstractNum>
  <w:abstractNum w:abstractNumId="332">
    <w:nsid w:val="3266459B"/>
    <w:multiLevelType w:val="hybridMultilevel"/>
    <w:lvl w:ilvl="0">
      <w:lvlJc w:val="left"/>
      <w:lvlText w:val="(%1)"/>
      <w:numFmt w:val="lowerLetter"/>
      <w:start w:val="6"/>
    </w:lvl>
  </w:abstractNum>
  <w:abstractNum w:abstractNumId="333">
    <w:nsid w:val="3F8B0CBF"/>
    <w:multiLevelType w:val="hybridMultilevel"/>
    <w:lvl w:ilvl="0">
      <w:lvlJc w:val="left"/>
      <w:lvlText w:val="(%1)"/>
      <w:numFmt w:val="lowerLetter"/>
      <w:start w:val="1"/>
    </w:lvl>
    <w:lvl w:ilvl="1">
      <w:lvlJc w:val="left"/>
      <w:lvlText w:val="(%2)"/>
      <w:numFmt w:val="lowerRoman"/>
      <w:start w:val="1"/>
    </w:lvl>
  </w:abstractNum>
  <w:abstractNum w:abstractNumId="334">
    <w:nsid w:val="37E203AB"/>
    <w:multiLevelType w:val="hybridMultilevel"/>
    <w:lvl w:ilvl="0">
      <w:lvlJc w:val="left"/>
      <w:lvlText w:val="(%1)"/>
      <w:numFmt w:val="lowerLetter"/>
      <w:start w:val="3"/>
    </w:lvl>
  </w:abstractNum>
  <w:abstractNum w:abstractNumId="335">
    <w:nsid w:val="2586D60E"/>
    <w:multiLevelType w:val="hybridMultilevel"/>
    <w:lvl w:ilvl="0">
      <w:lvlJc w:val="left"/>
      <w:lvlText w:val="(%1)"/>
      <w:numFmt w:val="lowerRoman"/>
      <w:start w:val="1"/>
    </w:lvl>
  </w:abstractNum>
  <w:abstractNum w:abstractNumId="336">
    <w:nsid w:val="1F3DA4D5"/>
    <w:multiLevelType w:val="hybridMultilevel"/>
    <w:lvl w:ilvl="0">
      <w:lvlJc w:val="left"/>
      <w:lvlText w:val="(%1)"/>
      <w:numFmt w:val="lowerLetter"/>
      <w:start w:val="1"/>
    </w:lvl>
  </w:abstractNum>
  <w:abstractNum w:abstractNumId="337">
    <w:nsid w:val="74C93698"/>
    <w:multiLevelType w:val="hybridMultilevel"/>
    <w:lvl w:ilvl="0">
      <w:lvlJc w:val="left"/>
      <w:lvlText w:val="(%1)"/>
      <w:numFmt w:val="lowerLetter"/>
      <w:start w:val="1"/>
    </w:lvl>
  </w:abstractNum>
  <w:abstractNum w:abstractNumId="338">
    <w:nsid w:val="48781401"/>
    <w:multiLevelType w:val="hybridMultilevel"/>
    <w:lvl w:ilvl="0">
      <w:lvlJc w:val="left"/>
      <w:lvlText w:val="●"/>
      <w:numFmt w:val="bullet"/>
      <w:start w:val="1"/>
    </w:lvl>
  </w:abstractNum>
  <w:abstractNum w:abstractNumId="339">
    <w:nsid w:val="186928D6"/>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2021-11-12T06:29:25Z</dcterms:created>
  <dcterms:modified xsi:type="dcterms:W3CDTF">2021-11-12T06:29:25Z</dcterms:modified>
</cp:coreProperties>
</file>